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11.0 -->
  <w:body>
    <w:p w:rsidR="00A77B3E">
      <w:pPr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>Zarządzenie</w:t>
      </w:r>
      <w:r>
        <w:rPr>
          <w:rFonts w:ascii="Times New Roman" w:eastAsia="Times New Roman" w:hAnsi="Times New Roman" w:cs="Times New Roman"/>
          <w:b/>
          <w:caps/>
          <w:sz w:val="24"/>
        </w:rPr>
        <w:br/>
      </w:r>
      <w:r>
        <w:rPr>
          <w:rFonts w:ascii="Times New Roman" w:eastAsia="Times New Roman" w:hAnsi="Times New Roman" w:cs="Times New Roman"/>
          <w:b/>
          <w:caps/>
          <w:sz w:val="24"/>
        </w:rPr>
        <w:t>Regionalnego Dyrektora Ochrony Środowiska w Bydgoszczy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 w:val="0"/>
          <w:caps w:val="0"/>
          <w:sz w:val="24"/>
        </w:rPr>
        <w:t>z dnia 12 września 2022 r.</w:t>
      </w:r>
    </w:p>
    <w:p w:rsidR="00A77B3E">
      <w:pPr>
        <w:spacing w:before="280" w:after="280" w:line="240" w:lineRule="auto"/>
        <w:ind w:left="0"/>
        <w:jc w:val="center"/>
        <w:rPr>
          <w:rFonts w:ascii="Times New Roman" w:eastAsia="Times New Roman" w:hAnsi="Times New Roman" w:cs="Times New Roman"/>
          <w:b w:val="0"/>
          <w:caps w:val="0"/>
          <w:sz w:val="22"/>
        </w:rPr>
      </w:pP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w sprawie ustanowienia planu ochrony dla rezerwatu przyrody „Łąki Ślesińskie”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19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16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kwietnia 2004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roku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ochronie przyrody (Dz. U. z 2022, poz. 916 i 1726) zarządza się, co następuje: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1.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Ustanawia się  plan ochrony dla rezerwatu przyrody „Łąki Ślesińskie” zwanego  dalej „rezerwatem”.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Plan ochrony rezerwatu uwzględnia zakres planu zadań ochronnych dla części obszaru Natura 2000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Dolina Środkowej Noteci i Kanału Bydgoskiego PLB300001, zwanego dalej obszarem Natura 2000, pokrywającego się z rezerwatem.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2.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Celem  ochrony w rezerwacie jest zachowanie stanowiska reliktowej brzozy niskiej </w:t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t>Betula humilis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Przyrodniczymi  i społecznymi  uwarunkowaniami  realizacji  celu  ochrony,  o którym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mowa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ust. 1, są: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rezerwatu na gruntach prywatnych należących do Fundacji Potulickiej;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ekosystemów nieleśnych w zachodniej części rezerwatu, o roślinności charakteryzującej się mozaikowatością drobnopowierzchniowych zbiorowisk roślinnych;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położenie wtórnego drzewostanu z dominacją brzozy omszonej </w:t>
      </w:r>
      <w:r>
        <w:rPr>
          <w:rFonts w:ascii="Times New Roman" w:eastAsia="Times New Roman" w:hAnsi="Times New Roman" w:cs="Times New Roman"/>
          <w:b w:val="0"/>
          <w:i/>
          <w:caps w:val="0"/>
          <w:strike w:val="0"/>
          <w:color w:val="000000"/>
          <w:sz w:val="24"/>
          <w:u w:val="none" w:color="000000"/>
          <w:vertAlign w:val="baseline"/>
        </w:rPr>
        <w:t xml:space="preserve">Betula pubescens 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we wschodniej części rezerwatu; 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rezerwatu na terenie obszaru Natura 2000 Dolina Noteci PLH300004;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5)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położenie rezerwatu na terenie obszaru Natura 2000 Dolina Środkowej Noteci i Kanału Bydgoskiego PLB300001.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Identyfikację oraz określenie sposobów eliminacji i ograniczania istniejących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potencjalnych zagrożeń wewnętrznych i zewnętrznych oraz ich skutków na obszarze rezerwatu przedstawia tabela stanowiąca załącznik nr 1 do zarządzenia.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Ochronie ścisłej podlega cały obszar rezerwatu.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5.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Określenie działań ochronnych na obszarze ochrony ścisłej, z podaniem ich rodzaju, zakresu i lokalizacji, przedstawia tabela stanowiąca załącznik nr 2 do zarządzenia.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6.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Opis granic obszaru Natura 2000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Dolina Środkowej Noteci i Kanału Bydgoskiego PLB300001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części pokrywającej się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rezerwatem,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postaci współrzędnych punktów ich załamania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układzie współrzędnych płaskich prostokątnych PL-1992, stanowi załącznik nr 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zarządzenia.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7.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Mapa obszaru Natura 2000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Dolina Środkowej Noteci i Kanału Bydgoskiego PLB300001 wraz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leżącym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jego granicach rezerwatem przyrody „Łąki Ślesińskie”, stanowi załącznik nr 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zarządzenia.</w:t>
      </w:r>
    </w:p>
    <w:p w:rsidR="00A77B3E">
      <w:pPr>
        <w:keepNext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4"/>
        </w:rPr>
        <w:t>§ 8.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Zarządzenie wchodzi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życie po upływie 14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 od dnia ogłoszenia.</w:t>
      </w:r>
    </w:p>
    <w:p w:rsidR="00A77B3E">
      <w:pPr>
        <w:keepNext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</w:p>
        </w:tc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t>Regionalny Dyrektor  Ochrony Środowiska w Bydgoszczy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b/>
                <w:i w:val="0"/>
              </w:rPr>
              <w:t>Szymon Kosmalski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sectPr>
          <w:footerReference w:type="default" r:id="rId4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12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września 2022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Identyfikacja oraz określenie sposobów eliminacji lub ograniczania istniejących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potencjalnych zagrożeń wewnętrznych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zewnętrznych oraz ich skutków na obszarze rezerwatu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632"/>
        <w:gridCol w:w="4960"/>
        <w:gridCol w:w="4490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</w:rPr>
              <w:t>Lp.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</w:rPr>
              <w:t>Identyfikacja zagrożeń istniejących i potencjalnych zagrożeń wewnętrznych i zewnętrznych</w:t>
            </w: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</w:rPr>
              <w:t>Sposób eliminacji lub ograniczania istniejących i potencjalnych zagrożeń wewnętrznych i zewnętrznych oraz ich skutków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97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Eutrofizacja (naturalna), wyschnięcie (obniżenie poziomu wód gruntowych), nagromadzenie materii organicznej (zagrożenie istniejące, wewnętrzne i zewnętrzne).</w:t>
            </w: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Brak możliwości eliminacji zagrożenia. Nie ma realnych sposobów zatrzymania procesu, w ramach zarządzania rezerwatem przyrody.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163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 xml:space="preserve">Zanik populacji brzozy niskiej </w:t>
            </w:r>
            <w:r>
              <w:rPr>
                <w:i/>
              </w:rPr>
              <w:t xml:space="preserve">Betula humilis </w:t>
            </w:r>
            <w:r>
              <w:t>w związku ze zmianami stosunków wodnych, przejawiającymi się obniżeniem poziomu wód gruntowych i ich konsekwencjami. Podłoże torfowe podlega sukcesywnemu murszeniu, zwiększa się dostępność azotu dla roślin, co przejawia się dominacją gatunków nitrofilnych na terenach niezadrzewionych rezerwatu, zachodzi zatem kierunkowa, systematyczna i nieodwracalna zmiana charakteru siedliska brzozy niskiej (zagrożenie istniejące, wewnętrzne).</w:t>
            </w: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 xml:space="preserve">Brak możliwości eliminacji zagrożenia. Nie ma realnych sposobów zatrzymania procesu, w ramach zarządzania rezerwatem przyrody. Wskazane monitorowanie stanu populacji brzozy niskiej </w:t>
            </w:r>
            <w:r>
              <w:rPr>
                <w:i/>
              </w:rPr>
              <w:t>Betula humilis.</w:t>
            </w:r>
          </w:p>
        </w:tc>
      </w:tr>
    </w:tbl>
    <w:p w:rsidR="00A77B3E">
      <w:pPr>
        <w:keepNext/>
        <w:keepLines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</w:p>
    <w:p w:rsidR="00A77B3E">
      <w:pPr>
        <w:keepNext/>
        <w:keepLines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</w:p>
        </w:tc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t>Regionalny Dyrektor Ochrony Środowiska w Bydgoszczy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b/>
                <w:i w:val="0"/>
              </w:rPr>
              <w:t>Szymon Kosmalski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5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12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września 2022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Określenie działań ochronnych na obszarze ochrony ścisłej, z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podaniem ich rodzaju, zakresu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lokalizacji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687"/>
        <w:gridCol w:w="1982"/>
        <w:gridCol w:w="4058"/>
        <w:gridCol w:w="3355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</w:rPr>
              <w:t>Lp.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</w:rPr>
              <w:t>Rodzaj działań ochronnych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</w:rPr>
              <w:t>Zakres działań ochronnych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</w:rPr>
              <w:t>Lokalizacja działań</w:t>
            </w:r>
          </w:p>
          <w:p>
            <w:pPr>
              <w:jc w:val="left"/>
            </w:pPr>
            <w:r>
              <w:rPr>
                <w:b/>
              </w:rPr>
              <w:t xml:space="preserve">ochronnych 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643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1.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 xml:space="preserve">Monitoring stanu populacji brzozy niskiej </w:t>
            </w:r>
            <w:r>
              <w:rPr>
                <w:i/>
              </w:rPr>
              <w:t>Betula humilis.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 xml:space="preserve">Monitoring stanu populacji brzozy niskiej </w:t>
            </w:r>
            <w:r>
              <w:rPr>
                <w:i/>
              </w:rPr>
              <w:t xml:space="preserve">Betula humilis </w:t>
            </w:r>
            <w:r>
              <w:t>nie rzadziej niż co 5 lat w trakcie obowiązywania planu ochrony.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  <w:hideMark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Rezerwat przyrody Łąki Ślesińskie ze szczególnym uwzględnieniem stanowiska (kilka osobników brzozy  niskiej) w układzie PUWG 1992:</w:t>
            </w:r>
          </w:p>
          <w:p>
            <w:pPr>
              <w:jc w:val="left"/>
            </w:pPr>
            <w:r>
              <w:t>X 586177,01</w:t>
            </w:r>
          </w:p>
          <w:p>
            <w:pPr>
              <w:jc w:val="left"/>
            </w:pPr>
            <w:r>
              <w:t>Y 410911,97</w:t>
            </w:r>
          </w:p>
        </w:tc>
      </w:tr>
    </w:tbl>
    <w:p w:rsidR="00A77B3E">
      <w:pPr>
        <w:keepNext/>
        <w:keepLines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</w:p>
    <w:p w:rsidR="00A77B3E">
      <w:pPr>
        <w:keepNext/>
        <w:keepLines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</w:p>
        </w:tc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t>Regionalny Dyrektor Ochrony Środowiska w Bydgoszczy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b/>
                <w:i w:val="0"/>
              </w:rPr>
              <w:t>Szymon Kosmalski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6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12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września 2022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Opis granic obszaru Natura 2000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Dolina Środkowej Noteci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Kanału Bydgoskiego PLB300001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części pokrywającej się z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rezerwatem,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postaci współrzędnych punktów ich załamania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układzie współrzędnych płaskich prostokątnych PL-1992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1928"/>
        <w:gridCol w:w="4077"/>
        <w:gridCol w:w="4077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Nr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x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y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6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586489,67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412390,35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6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586240,16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412110,62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6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586115,41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410891,69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6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586347,46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410870,90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6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586355,58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410890,66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6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586466,07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411833,01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6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586475,82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411854,32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6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586547,56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411943,80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6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586825,32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412300,88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6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586803,05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412342,30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66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11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586489,67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bottom"/>
            <w:hideMark/>
          </w:tcPr>
          <w:p w:rsidR="00A77B3E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t>412390,35</w:t>
            </w:r>
          </w:p>
        </w:tc>
      </w:tr>
    </w:tbl>
    <w:p w:rsidR="00A77B3E">
      <w:pPr>
        <w:keepNext/>
        <w:keepLines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</w:p>
    <w:p w:rsidR="00A77B3E">
      <w:pPr>
        <w:keepNext/>
        <w:keepLines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</w:p>
        </w:tc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t>Regionalny Dyrektor Ochrony Środowiska w Bydgoszczy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b/>
                <w:i w:val="0"/>
              </w:rPr>
              <w:t>Szymon Kosmalski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7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>
      <w:pPr>
        <w:keepNext/>
        <w:spacing w:before="120" w:after="120" w:line="360" w:lineRule="auto"/>
        <w:ind w:left="3634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do zarządzenia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Regionalnego Dyrektora Ochrony Środowiska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Bydgoszczy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12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września 2022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Mapa obszaru Natura 2000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Dolina Środkowej Noteci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Kanału Bydgoskiego PLB300001 wraz z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leżącym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jego granicach rezerwatem przyrody Łąki Ślesińskie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264861" cy="77136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4861" cy="77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/>
        <w:keepLines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CellMar>
          <w:top w:w="0" w:type="dxa"/>
          <w:left w:w="0" w:type="dxa"/>
          <w:bottom w:w="0" w:type="dxa"/>
          <w:right w:w="0" w:type="dxa"/>
        </w:tblCellMar>
      </w:tblPr>
      <w:tblGrid>
        <w:gridCol w:w="4933"/>
        <w:gridCol w:w="4933"/>
      </w:tblGrid>
      <w:tr>
        <w:tblPrEx>
          <w:tblW w:w="5000" w:type="pct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</w:p>
        </w:tc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  <w:hideMark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t>Regionalny Dyrektor Ochrony Środowiska w Bydgoszczy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b/>
                <w:i w:val="0"/>
              </w:rPr>
              <w:t>Szymon Kosmalski</w:t>
            </w:r>
          </w:p>
        </w:tc>
      </w:tr>
    </w:tbl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10"/>
          <w:endnotePr>
            <w:numFmt w:val="decimal"/>
          </w:endnotePr>
          <w:type w:val="nextPage"/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0"/>
        <w:contextualSpacing w:val="0"/>
        <w:jc w:val="center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Plan ochrony dla rezerwatu przyrody „</w:t>
      </w:r>
      <w:r>
        <w:rPr>
          <w:color w:val="000000"/>
          <w:szCs w:val="20"/>
          <w:shd w:val="clear" w:color="auto" w:fill="FFFFFF"/>
        </w:rPr>
        <w:t>Łąki Ślesińskie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 je</w:t>
      </w:r>
      <w:r>
        <w:rPr>
          <w:color w:val="000000"/>
          <w:szCs w:val="20"/>
          <w:shd w:val="clear" w:color="auto" w:fill="FFFFFF"/>
          <w:lang w:val="x-none" w:eastAsia="en-US" w:bidi="ar-SA"/>
        </w:rPr>
        <w:t>st dokumentem określającym spos</w:t>
      </w:r>
      <w:r>
        <w:rPr>
          <w:color w:val="000000"/>
          <w:szCs w:val="20"/>
          <w:shd w:val="clear" w:color="auto" w:fill="FFFFFF"/>
        </w:rPr>
        <w:t>ób ochrony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stanowisk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reliktowej brzozy niskiej 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>Betula humilis</w:t>
      </w:r>
      <w:r>
        <w:rPr>
          <w:color w:val="000000"/>
          <w:szCs w:val="20"/>
          <w:shd w:val="clear" w:color="auto" w:fill="FFFFFF"/>
        </w:rPr>
        <w:t xml:space="preserve"> stanowiących przedmiot ochrony w rezerwacie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. Rezerwat przyrody został ustanowiony </w:t>
      </w:r>
      <w:r>
        <w:rPr>
          <w:color w:val="000000"/>
          <w:szCs w:val="20"/>
          <w:shd w:val="clear" w:color="auto" w:fill="FFFFFF"/>
        </w:rPr>
        <w:t>z</w:t>
      </w:r>
      <w:r>
        <w:rPr>
          <w:color w:val="000000"/>
          <w:szCs w:val="20"/>
          <w:shd w:val="clear" w:color="auto" w:fill="FFFFFF"/>
          <w:lang w:val="x-none" w:eastAsia="en-US" w:bidi="ar-SA"/>
        </w:rPr>
        <w:t>arządzenie</w:t>
      </w:r>
      <w:r>
        <w:rPr>
          <w:color w:val="000000"/>
          <w:szCs w:val="20"/>
          <w:shd w:val="clear" w:color="auto" w:fill="FFFFFF"/>
        </w:rPr>
        <w:t>m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Ministra Leśnictwa i Przemysłu Drzewnego z dnia 26 marca 1975 r. w sprawie uznania za rezerwaty przyrody (M. P. nr 11, poz. 64)</w:t>
      </w:r>
      <w:r>
        <w:rPr>
          <w:color w:val="000000"/>
          <w:szCs w:val="20"/>
          <w:shd w:val="clear" w:color="auto" w:fill="FFFFFF"/>
        </w:rPr>
        <w:t>.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Aktualnie obowiązuje z</w:t>
      </w:r>
      <w:r>
        <w:rPr>
          <w:color w:val="000000"/>
          <w:szCs w:val="20"/>
          <w:shd w:val="clear" w:color="auto" w:fill="FFFFFF"/>
          <w:lang w:val="x-none" w:eastAsia="en-US" w:bidi="ar-SA"/>
        </w:rPr>
        <w:t>arządzenie Regionalnego Dyrektora Ochrony Środowiska w Bydgoszczy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 z dnia 20 czerwca 2016 r. w sprawie rezerwatu przyrody Łąki Ślesińskie (Dz. Urz. Woj. Kuj-Pom. poz. 2116)</w:t>
      </w:r>
      <w:r>
        <w:rPr>
          <w:color w:val="000000"/>
          <w:szCs w:val="20"/>
          <w:shd w:val="clear" w:color="auto" w:fill="FFFFFF"/>
        </w:rPr>
        <w:t>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Dla właściwego funkcjonowania rezerwatu i jego ochrony plan ochrony zgodnie z art. 20 ustawy z dnia 16 kwietnia 2004 roku o ochronie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(Dz. U. z 2022, poz. 916</w:t>
      </w:r>
      <w:r>
        <w:rPr>
          <w:color w:val="000000"/>
          <w:szCs w:val="20"/>
          <w:shd w:val="clear" w:color="auto" w:fill="FFFFFF"/>
        </w:rPr>
        <w:t xml:space="preserve"> ze zm.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sporządza się na okres 20 lat. Zgodnie z art. 19 ust. 6 ustawy o ochronie przyrody Regionalny Dyrektor Ochrony Środowiska ustanawia w drodze zarządzenia plan ochrony dla rezerwatu przyrody, sporządzony na podstawie w art. 20 ww. ustawy.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ar-SA" w:eastAsia="ar-SA" w:bidi="ar-SA"/>
        </w:rPr>
        <w:t>P</w:t>
      </w:r>
      <w:r>
        <w:rPr>
          <w:color w:val="000000"/>
          <w:szCs w:val="20"/>
          <w:shd w:val="clear" w:color="auto" w:fill="FFFFFF"/>
        </w:rPr>
        <w:t>rojekt planu ochrony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dla rezerwatu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</w:rPr>
        <w:t>Łąki Ślesińskie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został zaopiniowan</w:t>
      </w:r>
      <w:r>
        <w:rPr>
          <w:color w:val="000000"/>
          <w:szCs w:val="20"/>
          <w:shd w:val="clear" w:color="auto" w:fill="FFFFFF"/>
        </w:rPr>
        <w:t>y pozytywnie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przez </w:t>
      </w:r>
      <w:r>
        <w:rPr>
          <w:color w:val="000000"/>
          <w:szCs w:val="20"/>
          <w:shd w:val="clear" w:color="auto" w:fill="FFFFFF"/>
        </w:rPr>
        <w:t>właściciela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terenu </w:t>
      </w:r>
      <w:r>
        <w:rPr>
          <w:color w:val="000000"/>
          <w:szCs w:val="20"/>
          <w:shd w:val="clear" w:color="auto" w:fill="FFFFFF"/>
        </w:rPr>
        <w:t>rezerwatu Fundację Potulicką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pismem z dnia 8 lutego </w:t>
      </w:r>
      <w:r>
        <w:rPr>
          <w:color w:val="000000"/>
          <w:szCs w:val="20"/>
          <w:shd w:val="clear" w:color="auto" w:fill="FFFFFF"/>
          <w:lang w:val="ar-SA" w:eastAsia="ar-SA" w:bidi="ar-SA"/>
        </w:rPr>
        <w:t>202</w:t>
      </w:r>
      <w:r>
        <w:rPr>
          <w:color w:val="000000"/>
          <w:szCs w:val="20"/>
          <w:shd w:val="clear" w:color="auto" w:fill="FFFFFF"/>
        </w:rPr>
        <w:t>2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r.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Projekt zarządzenia w sprawie ustanowienia planu ochrony dla rezerwatu przyrody „</w:t>
      </w:r>
      <w:r>
        <w:rPr>
          <w:color w:val="000000"/>
          <w:szCs w:val="20"/>
          <w:shd w:val="clear" w:color="auto" w:fill="FFFFFF"/>
        </w:rPr>
        <w:t>Łąki Ślesińskie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został zaopiniowany </w:t>
      </w:r>
      <w:r>
        <w:rPr>
          <w:color w:val="000000"/>
          <w:szCs w:val="20"/>
          <w:shd w:val="clear" w:color="auto" w:fill="FFFFFF"/>
        </w:rPr>
        <w:t xml:space="preserve">pozytywnie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przez Radę </w:t>
      </w:r>
      <w:r>
        <w:rPr>
          <w:color w:val="000000"/>
          <w:szCs w:val="20"/>
          <w:shd w:val="clear" w:color="auto" w:fill="FFFFFF"/>
        </w:rPr>
        <w:t>Miejską w Nakle nad Notecią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uchwałą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nr XLVIII/1008/2022 z dnia 24 marca 2022 r.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i </w:t>
      </w:r>
      <w:r>
        <w:rPr>
          <w:color w:val="000000"/>
          <w:szCs w:val="20"/>
          <w:shd w:val="clear" w:color="auto" w:fill="FFFFFF"/>
        </w:rPr>
        <w:t xml:space="preserve">pozytywnie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przez Regionalną Radę Ochrony Przyrody w Bydgoszczy uchwałą </w:t>
      </w:r>
      <w:r>
        <w:rPr>
          <w:color w:val="000000"/>
          <w:szCs w:val="20"/>
          <w:shd w:val="clear" w:color="auto" w:fill="FFFFFF"/>
        </w:rPr>
        <w:t>n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r </w:t>
      </w:r>
      <w:r>
        <w:rPr>
          <w:color w:val="000000"/>
          <w:szCs w:val="20"/>
          <w:shd w:val="clear" w:color="auto" w:fill="FFFFFF"/>
        </w:rPr>
        <w:t>5/2022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z dnia </w:t>
      </w:r>
      <w:r>
        <w:rPr>
          <w:color w:val="000000"/>
          <w:szCs w:val="20"/>
          <w:shd w:val="clear" w:color="auto" w:fill="FFFFFF"/>
        </w:rPr>
        <w:t>10 sierpnia 2022 r.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Na podstawie art. 59 ust. 2 ustawy z dnia 23 stycznia 2009 r. o wojewodzie i administracji rządowej w województwie (Dz. U. z 20</w:t>
      </w:r>
      <w:r>
        <w:rPr>
          <w:color w:val="000000"/>
          <w:szCs w:val="20"/>
          <w:shd w:val="clear" w:color="auto" w:fill="FFFFFF"/>
        </w:rPr>
        <w:t>22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 poz. </w:t>
      </w:r>
      <w:r>
        <w:rPr>
          <w:color w:val="000000"/>
          <w:szCs w:val="20"/>
          <w:shd w:val="clear" w:color="auto" w:fill="FFFFFF"/>
        </w:rPr>
        <w:t>135 ze zm.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) projekt zarządzenia został uzgodniony przez Wojewodę Kujawsko-Pomorskiego pismem znak: </w:t>
      </w:r>
      <w:r>
        <w:rPr>
          <w:color w:val="000000"/>
          <w:szCs w:val="20"/>
          <w:shd w:val="clear" w:color="auto" w:fill="FFFFFF"/>
        </w:rPr>
        <w:t>WIR.IX.710.46.2022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, z dnia </w:t>
      </w:r>
      <w:r>
        <w:rPr>
          <w:color w:val="000000"/>
          <w:szCs w:val="20"/>
          <w:shd w:val="clear" w:color="auto" w:fill="FFFFFF"/>
        </w:rPr>
        <w:t xml:space="preserve">8 września 2022 r.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 xml:space="preserve">Obwieszczeniem z dnia 28 stycznia 2021 r., znak WOP.6202.3.2021.KLD, Regionalny Dyrektor Ochrony Środowiska w Bydgoszczy zawiadomił o przystąpieniu do sporządzenia projektu planu ochrony dla rezerwatu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</w:rPr>
        <w:t>Łąki Ślesińskie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Obwieszczeniem z dnia </w:t>
      </w:r>
      <w:r>
        <w:rPr>
          <w:color w:val="000000"/>
          <w:szCs w:val="20"/>
          <w:shd w:val="clear" w:color="auto" w:fill="FFFFFF"/>
        </w:rPr>
        <w:t>1 lutego 2022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r., znak </w:t>
      </w:r>
      <w:r>
        <w:rPr>
          <w:color w:val="000000"/>
          <w:szCs w:val="20"/>
          <w:shd w:val="clear" w:color="auto" w:fill="FFFFFF"/>
        </w:rPr>
        <w:t>WOP.6202.6-8.2022.KLD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Regionalny Dyrektor Ochrony Środowiska w Bydgoszczy zawiadomił o możliwości udziału społeczeństwa w postępowaniu poprzez zapoznanie się z projektem planu ochrony i </w:t>
      </w:r>
      <w:r>
        <w:rPr>
          <w:color w:val="000000"/>
          <w:szCs w:val="20"/>
          <w:shd w:val="clear" w:color="auto" w:fill="FFFFFF"/>
        </w:rPr>
        <w:t xml:space="preserve">o </w:t>
      </w:r>
      <w:r>
        <w:rPr>
          <w:color w:val="000000"/>
          <w:szCs w:val="20"/>
          <w:shd w:val="clear" w:color="auto" w:fill="FFFFFF"/>
          <w:lang w:val="x-none" w:eastAsia="en-US" w:bidi="ar-SA"/>
        </w:rPr>
        <w:t>możliwoś</w:t>
      </w:r>
      <w:r>
        <w:rPr>
          <w:color w:val="000000"/>
          <w:szCs w:val="20"/>
          <w:shd w:val="clear" w:color="auto" w:fill="FFFFFF"/>
        </w:rPr>
        <w:t>ci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składania uwag i wniosków. Informacja została podana do publicznej wiadomości zgodnie z</w:t>
      </w:r>
      <w:r>
        <w:rPr>
          <w:color w:val="000000"/>
          <w:szCs w:val="20"/>
          <w:shd w:val="clear" w:color="auto" w:fill="FFFFFF"/>
        </w:rPr>
        <w:t xml:space="preserve"> art. 19 ust. 1a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ustawy z dnia 16 kwietnia 2004 roku o ochronie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(Dz. U. z 2022, poz. 916</w:t>
      </w:r>
      <w:r>
        <w:rPr>
          <w:color w:val="000000"/>
          <w:szCs w:val="20"/>
          <w:shd w:val="clear" w:color="auto" w:fill="FFFFFF"/>
        </w:rPr>
        <w:t xml:space="preserve"> ze zm.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>,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art. 3 ust. 1 pkt 11, art. 39 ustawy z dnia 3 października 2008 roku o udostępnieniu informacji o środowisku i jego ochronie, udziale społeczeństwa w ochronie środowiska oraz o ocenach oddziaływania na środowisko (Dz. U. z 202</w:t>
      </w:r>
      <w:r>
        <w:rPr>
          <w:color w:val="000000"/>
          <w:szCs w:val="20"/>
          <w:shd w:val="clear" w:color="auto" w:fill="FFFFFF"/>
        </w:rPr>
        <w:t>2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 r., poz. </w:t>
      </w:r>
      <w:r>
        <w:rPr>
          <w:color w:val="000000"/>
          <w:szCs w:val="20"/>
          <w:shd w:val="clear" w:color="auto" w:fill="FFFFFF"/>
        </w:rPr>
        <w:t>1029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ze zm.) i rozporządzeniem Ministra Środowiska z dnia 12 maja 2005 r. w sprawie sporządzenia projektu planu ochrony dla parku narodowego, rezerwatu przyrody i parku krajobrazowego, dokonania zmian w tym planie oraz ochrony zasobów, tworów i składników przyrody (Dz. U. Nr 94, poz. 794)</w:t>
      </w:r>
      <w:r>
        <w:rPr>
          <w:color w:val="000000"/>
          <w:szCs w:val="20"/>
          <w:shd w:val="clear" w:color="auto" w:fill="FFFFFF"/>
        </w:rPr>
        <w:t xml:space="preserve"> oraz art. 49 ustawy z dnia 14 czerwca 1960 r. Kodeks postępowania administracyjnego (Dz. U. z 2021 r., poz. 735, ze zm.)</w:t>
      </w:r>
      <w:r>
        <w:rPr>
          <w:color w:val="000000"/>
          <w:szCs w:val="20"/>
          <w:shd w:val="clear" w:color="auto" w:fill="FFFFFF"/>
          <w:lang w:val="x-none" w:eastAsia="en-US" w:bidi="ar-SA"/>
        </w:rPr>
        <w:t>.</w:t>
      </w:r>
      <w:r>
        <w:rPr>
          <w:color w:val="000000"/>
          <w:szCs w:val="20"/>
          <w:shd w:val="clear" w:color="auto" w:fill="FFFFFF"/>
        </w:rPr>
        <w:t xml:space="preserve"> Projekt zarządzenia </w:t>
      </w:r>
      <w:r>
        <w:rPr>
          <w:color w:val="000000"/>
          <w:szCs w:val="20"/>
          <w:shd w:val="clear" w:color="auto" w:fill="FFFFFF"/>
          <w:lang w:val="x-none" w:eastAsia="en-US" w:bidi="ar-SA"/>
        </w:rPr>
        <w:t>był podan</w:t>
      </w:r>
      <w:r>
        <w:rPr>
          <w:color w:val="000000"/>
          <w:szCs w:val="20"/>
          <w:shd w:val="clear" w:color="auto" w:fill="FFFFFF"/>
        </w:rPr>
        <w:t>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do publicznej wiadomości również poprzez ogłoszenie w prasie o odpowiednim do rodzaju dokumentu zasięgu</w:t>
      </w:r>
      <w:r>
        <w:rPr>
          <w:color w:val="000000"/>
          <w:szCs w:val="20"/>
          <w:shd w:val="clear" w:color="auto" w:fill="FFFFFF"/>
        </w:rPr>
        <w:t>. Projekt planu ochrony zamieszczono również w publicznie dostępnym wykazie danych na Ekoportalu (nr karty: 42/2022). W trakcie przeprowadzonych konsultacji społecznych nie wpłynęły do tut. Urzędu uwagi do przedmiotowego projektu planu ochrony.</w:t>
      </w:r>
    </w:p>
    <w:p>
      <w:pPr>
        <w:keepNext w:val="0"/>
        <w:keepLines w:val="0"/>
        <w:widowControl/>
        <w:suppressLineNumbers/>
        <w:shd w:val="clear" w:color="auto" w:fill="auto"/>
        <w:suppressAutoHyphens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ab/>
      </w:r>
      <w:r>
        <w:rPr>
          <w:color w:val="000000"/>
          <w:szCs w:val="20"/>
          <w:shd w:val="clear" w:color="auto" w:fill="FFFFFF"/>
        </w:rPr>
        <w:t>Na terenie rezerwatu stwierdzono zagrożenia polegające na: e</w:t>
      </w:r>
      <w:r>
        <w:rPr>
          <w:color w:val="000000"/>
          <w:szCs w:val="20"/>
          <w:shd w:val="clear" w:color="auto" w:fill="FFFFFF"/>
        </w:rPr>
        <w:t>utrofizacji (naturalnej), wyschnięciu (</w:t>
      </w:r>
      <w:r>
        <w:rPr>
          <w:color w:val="000000"/>
          <w:szCs w:val="20"/>
          <w:shd w:val="clear" w:color="auto" w:fill="FFFFFF"/>
          <w:lang w:val="en-US" w:eastAsia="en-US" w:bidi="en-US"/>
        </w:rPr>
        <w:t>obniżeni</w:t>
      </w:r>
      <w:r>
        <w:rPr>
          <w:color w:val="000000"/>
          <w:szCs w:val="20"/>
          <w:shd w:val="clear" w:color="auto" w:fill="FFFFFF"/>
        </w:rPr>
        <w:t>u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poziomu wód gruntowych</w:t>
      </w:r>
      <w:r>
        <w:rPr>
          <w:color w:val="000000"/>
          <w:szCs w:val="20"/>
          <w:shd w:val="clear" w:color="auto" w:fill="FFFFFF"/>
        </w:rPr>
        <w:t>), nagromadzeniu materii organicznej i z</w:t>
      </w:r>
      <w:r>
        <w:rPr>
          <w:color w:val="000000"/>
          <w:szCs w:val="20"/>
          <w:shd w:val="clear" w:color="auto" w:fill="FFFFFF"/>
          <w:lang w:val="en-US" w:eastAsia="en-US" w:bidi="en-US"/>
        </w:rPr>
        <w:t>anik</w:t>
      </w:r>
      <w:r>
        <w:rPr>
          <w:color w:val="000000"/>
          <w:szCs w:val="20"/>
          <w:shd w:val="clear" w:color="auto" w:fill="FFFFFF"/>
        </w:rPr>
        <w:t>u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populacji brzozy niskiej </w:t>
      </w:r>
      <w:r>
        <w:rPr>
          <w:i/>
          <w:color w:val="000000"/>
          <w:szCs w:val="20"/>
          <w:shd w:val="clear" w:color="auto" w:fill="FFFFFF"/>
          <w:lang w:val="en-US" w:eastAsia="en-US" w:bidi="en-US"/>
        </w:rPr>
        <w:t>Betula humilis</w:t>
      </w:r>
      <w:r>
        <w:rPr>
          <w:i/>
          <w:color w:val="000000"/>
          <w:szCs w:val="20"/>
          <w:shd w:val="clear" w:color="auto" w:fill="FFFFFF"/>
        </w:rPr>
        <w:t>,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w związku </w:t>
      </w:r>
      <w:r>
        <w:rPr>
          <w:color w:val="000000"/>
          <w:szCs w:val="20"/>
          <w:shd w:val="clear" w:color="auto" w:fill="FFFFFF"/>
          <w:lang w:val="en-US" w:eastAsia="en-US" w:bidi="en-US"/>
        </w:rPr>
        <w:t>ze zmianami stosunków wodnych, przejawiającymi się obniżeniem poziomu wód gruntowych i ich konsekwencjami (podłoże torfowe podlega sukcesywnemu murszeniu, zwiększa się dostępność azotu dla roślin, co przejawia się dominacją gatunków nitrofilnych na terenach niezadrzewionych rezerwatu</w:t>
      </w:r>
      <w:r>
        <w:rPr>
          <w:color w:val="000000"/>
          <w:szCs w:val="20"/>
          <w:shd w:val="clear" w:color="auto" w:fill="FFFFFF"/>
        </w:rPr>
        <w:t>,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zachodzi zatem kierunkowa, systematyczna i nieodwracalna zmiana charakteru siedliska brzozy niskiej)</w:t>
      </w:r>
      <w:r>
        <w:rPr>
          <w:color w:val="000000"/>
          <w:szCs w:val="20"/>
          <w:shd w:val="clear" w:color="auto" w:fill="FFFFFF"/>
        </w:rPr>
        <w:t>. W odniesieniu do powyższych zagrożeń brak jest możliwości ich eliminacji, nie ma realnych sposobów zatrzymania procesu, w ramach zarządzania rezerwatem przyrody. W związku z powyższym n</w:t>
      </w:r>
      <w:r>
        <w:rPr>
          <w:color w:val="000000"/>
          <w:szCs w:val="20"/>
          <w:shd w:val="clear" w:color="auto" w:fill="FFFFFF"/>
        </w:rPr>
        <w:t>a terenie całego rezerwatu przyrody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„</w:t>
      </w:r>
      <w:r>
        <w:rPr>
          <w:color w:val="000000"/>
          <w:szCs w:val="20"/>
          <w:shd w:val="clear" w:color="auto" w:fill="FFFFFF"/>
        </w:rPr>
        <w:t>Łąki Ślesińskie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 wyznaczono obszar ochrony ścisłej</w:t>
      </w:r>
      <w:r>
        <w:rPr>
          <w:color w:val="000000"/>
          <w:szCs w:val="20"/>
          <w:shd w:val="clear" w:color="auto" w:fill="FFFFFF"/>
        </w:rPr>
        <w:t xml:space="preserve"> na okres 20 lat.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Ochronę ścisłą zaplanowano, gdyż nie przewiduje się potrzeby działań ochronnych z zakresu ochrony czynnej i umożliwia się zachodzenie naturalnych procesów w siedliskach</w:t>
      </w:r>
      <w:r>
        <w:rPr>
          <w:color w:val="000000"/>
          <w:szCs w:val="20"/>
          <w:shd w:val="clear" w:color="auto" w:fill="FFFFFF"/>
        </w:rPr>
        <w:t xml:space="preserve"> przyrodniczych </w:t>
      </w:r>
      <w:r>
        <w:rPr>
          <w:color w:val="000000"/>
          <w:szCs w:val="20"/>
          <w:shd w:val="clear" w:color="auto" w:fill="FFFFFF"/>
          <w:lang w:val="x-none" w:eastAsia="en-US" w:bidi="ar-SA"/>
        </w:rPr>
        <w:t>rezerwatu</w:t>
      </w:r>
      <w:r>
        <w:rPr>
          <w:color w:val="000000"/>
          <w:szCs w:val="20"/>
          <w:shd w:val="clear" w:color="auto" w:fill="FFFFFF"/>
        </w:rPr>
        <w:t>. Jednocześnie zaplanowano m</w:t>
      </w:r>
      <w:r>
        <w:rPr>
          <w:color w:val="000000"/>
          <w:szCs w:val="20"/>
          <w:shd w:val="clear" w:color="auto" w:fill="FFFFFF"/>
        </w:rPr>
        <w:t xml:space="preserve">onitoring stanu populacji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brzozy niskiej </w:t>
      </w:r>
      <w:r>
        <w:rPr>
          <w:i/>
          <w:color w:val="000000"/>
          <w:szCs w:val="20"/>
          <w:shd w:val="clear" w:color="auto" w:fill="FFFFFF"/>
          <w:lang w:val="en-US" w:eastAsia="en-US" w:bidi="en-US"/>
        </w:rPr>
        <w:t>Betula humilis</w:t>
      </w:r>
      <w:r>
        <w:rPr>
          <w:i/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</w:rPr>
        <w:t>nie rzadziej niż co 5 lat w trakcie obowiązywania planu ochrony. Ze względu na uwarunkowanie przyrodnicze rezerwatu nie wskazano miejsc, w których może być prowadzona działalność wytwórcza, handlowa i rolnicza, jak również nie wskazano obszarów udostępnianych do celów naukowych, edukacyjnych, rekreacyjnych, sportowych, amatorskiego połowu ryb i rybactwa. Udostępnianie rezerwatu w celu badań naukowych należy rozpatrywać na podstawie art. 15 ust. 1 pkt. 24 ustawy o ochronie przyrody. Uzyskanie indywidualnej zgody na prowadzenie ww. czynności gwarantuje nadzór nad ich rodzajem i metodyką, mając na uwadze dbałość o zachowanie celu ochrony rezerwatu przyrody we właściwym stanie. 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dostępnienie rezerwatu przyrody dla celów edukacyjnych i turystycznych może nastąpić jedynie w formie odrębnego zarządzenia na podstawie ar. 15 ust. 1 pkt </w:t>
      </w:r>
      <w:r>
        <w:rPr>
          <w:color w:val="000000"/>
          <w:szCs w:val="20"/>
          <w:shd w:val="clear" w:color="auto" w:fill="FFFFFF"/>
        </w:rPr>
        <w:t>1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5 ustawy z dnia 16 kwietnia 2004 r. o ochronie przyrody, a nie zarządzeniem w sprawie ustanowienia planu ochrony rezerwatu. 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Nie wprowadzono dodatkowych ustaleń do studiów uwarunkowań i kierunków zagospodarowania przestrzennego gminy Nakło nad Notecią, planów zagospodarowania przestrzennego województwa kujawsko-pomorskiego dotyczących eliminacji lub ograniczenia zagrożeń wewnętrznych i zewnętrznych. Brak ustaleń wynika z braku zagrożeń, którym można by przeciwdziałać poprzez ww. ustalenia.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Zgodnie z art. 20 ust. 6 ustawy o ochronie przyrody niniejszy plan ochrony dla rezerwatu nie zawiera zakresu planu zadań ochronnych obszaru Natura 2000 </w:t>
      </w:r>
      <w:r>
        <w:rPr>
          <w:color w:val="000000"/>
          <w:szCs w:val="20"/>
          <w:shd w:val="clear" w:color="auto" w:fill="FFFFFF"/>
        </w:rPr>
        <w:t>Dolina Noteci PLH300004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ponieważ dla tego obszaru Natura 2000 ustanowiono plan zadań ochronnych zarządzeniem </w:t>
      </w:r>
      <w:r>
        <w:rPr>
          <w:color w:val="000000"/>
          <w:szCs w:val="20"/>
          <w:shd w:val="clear" w:color="auto" w:fill="FFFFFF"/>
          <w:lang w:val="x-none" w:eastAsia="en-US" w:bidi="ar-SA"/>
        </w:rPr>
        <w:t>Regionalnego Dyrektora Ochrony Środowiska w Bydgoszczy i Regionalnego Dyrektora Ochrony Środowiska w Poznaniu z dnia 28 kwietnia 2014 r. w sprawie ustanowienia planu zadań ochronnych dla obszaru Natura 2000 Dolina Noteci PLH300004 (Dz. Urz. Woj. Kuj-Pom. poz. 1477, z późn. zm.)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r>
        <w:rPr>
          <w:color w:val="000000"/>
          <w:szCs w:val="20"/>
          <w:shd w:val="clear" w:color="auto" w:fill="FFFFFF"/>
        </w:rPr>
        <w:t xml:space="preserve">którego zakres </w:t>
      </w:r>
      <w:r>
        <w:rPr>
          <w:color w:val="000000"/>
          <w:szCs w:val="20"/>
          <w:shd w:val="clear" w:color="auto" w:fill="FFFFFF"/>
          <w:lang w:val="x-none" w:eastAsia="en-US" w:bidi="ar-SA"/>
        </w:rPr>
        <w:t>obejmuj</w:t>
      </w:r>
      <w:r>
        <w:rPr>
          <w:color w:val="000000"/>
          <w:szCs w:val="20"/>
          <w:shd w:val="clear" w:color="auto" w:fill="FFFFFF"/>
        </w:rPr>
        <w:t>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obszar rezerwatu przyrody „</w:t>
      </w:r>
      <w:r>
        <w:rPr>
          <w:color w:val="000000"/>
          <w:szCs w:val="20"/>
          <w:shd w:val="clear" w:color="auto" w:fill="FFFFFF"/>
        </w:rPr>
        <w:t xml:space="preserve">Łąki </w:t>
      </w:r>
      <w:r>
        <w:rPr>
          <w:color w:val="000000"/>
          <w:szCs w:val="20"/>
          <w:shd w:val="clear" w:color="auto" w:fill="FFFFFF"/>
        </w:rPr>
        <w:t>Ślesińskie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”.</w:t>
      </w: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>R</w:t>
      </w:r>
      <w:r>
        <w:rPr>
          <w:color w:val="000000"/>
          <w:szCs w:val="20"/>
          <w:shd w:val="clear" w:color="auto" w:fill="FFFFFF"/>
          <w:lang w:val="x-none" w:eastAsia="en-US" w:bidi="ar-SA"/>
        </w:rPr>
        <w:t>ezerwat przyrody ,,</w:t>
      </w:r>
      <w:r>
        <w:rPr>
          <w:color w:val="000000"/>
          <w:szCs w:val="20"/>
          <w:shd w:val="clear" w:color="auto" w:fill="FFFFFF"/>
        </w:rPr>
        <w:t>Łąki Ślesińskie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 położony jest na terenie </w:t>
      </w:r>
      <w:r>
        <w:rPr>
          <w:color w:val="000000"/>
          <w:szCs w:val="20"/>
          <w:shd w:val="clear" w:color="auto" w:fill="FFFFFF"/>
        </w:rPr>
        <w:t>obszaru Natura 2000 Dolina Środkowej Noteci i Kanału Bydgoskiego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PL</w:t>
      </w:r>
      <w:r>
        <w:rPr>
          <w:color w:val="000000"/>
          <w:szCs w:val="20"/>
          <w:shd w:val="clear" w:color="auto" w:fill="FFFFFF"/>
        </w:rPr>
        <w:t>B300001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dla kt</w:t>
      </w:r>
      <w:r>
        <w:rPr>
          <w:color w:val="000000"/>
          <w:szCs w:val="20"/>
          <w:shd w:val="clear" w:color="auto" w:fill="FFFFFF"/>
        </w:rPr>
        <w:t>óre</w:t>
      </w:r>
      <w:r>
        <w:rPr>
          <w:color w:val="000000"/>
          <w:szCs w:val="20"/>
          <w:shd w:val="clear" w:color="auto" w:fill="FFFFFF"/>
          <w:lang w:val="x-none" w:eastAsia="en-US" w:bidi="ar-SA"/>
        </w:rPr>
        <w:t>go ni</w:t>
      </w:r>
      <w:r>
        <w:rPr>
          <w:color w:val="000000"/>
          <w:szCs w:val="20"/>
          <w:shd w:val="clear" w:color="auto" w:fill="FFFFFF"/>
        </w:rPr>
        <w:t>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zosta</w:t>
      </w:r>
      <w:r>
        <w:rPr>
          <w:color w:val="000000"/>
          <w:szCs w:val="20"/>
          <w:shd w:val="clear" w:color="auto" w:fill="FFFFFF"/>
        </w:rPr>
        <w:t>ł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ustanowiony plan zad</w:t>
      </w:r>
      <w:r>
        <w:rPr>
          <w:color w:val="000000"/>
          <w:szCs w:val="20"/>
          <w:shd w:val="clear" w:color="auto" w:fill="FFFFFF"/>
        </w:rPr>
        <w:t>ań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ochronnych, </w:t>
      </w:r>
      <w:r>
        <w:rPr>
          <w:color w:val="000000"/>
          <w:szCs w:val="20"/>
          <w:shd w:val="clear" w:color="auto" w:fill="FFFFFF"/>
        </w:rPr>
        <w:t xml:space="preserve">o którym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mowa </w:t>
      </w:r>
      <w:r>
        <w:rPr>
          <w:color w:val="000000"/>
          <w:szCs w:val="20"/>
          <w:shd w:val="clear" w:color="auto" w:fill="FFFFFF"/>
        </w:rPr>
        <w:t>w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art. 28 ustawy </w:t>
      </w:r>
      <w:r>
        <w:rPr>
          <w:color w:val="000000"/>
          <w:szCs w:val="20"/>
          <w:shd w:val="clear" w:color="auto" w:fill="FFFFFF"/>
        </w:rPr>
        <w:t>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ochronie przyrody oraz plan ochrony </w:t>
      </w:r>
      <w:r>
        <w:rPr>
          <w:color w:val="000000"/>
          <w:szCs w:val="20"/>
          <w:shd w:val="clear" w:color="auto" w:fill="FFFFFF"/>
        </w:rPr>
        <w:t>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kt</w:t>
      </w:r>
      <w:r>
        <w:rPr>
          <w:color w:val="000000"/>
          <w:szCs w:val="20"/>
          <w:shd w:val="clear" w:color="auto" w:fill="FFFFFF"/>
        </w:rPr>
        <w:t>ó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rym mowa </w:t>
      </w:r>
      <w:r>
        <w:rPr>
          <w:color w:val="000000"/>
          <w:szCs w:val="20"/>
          <w:shd w:val="clear" w:color="auto" w:fill="FFFFFF"/>
        </w:rPr>
        <w:t>w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art. 29 </w:t>
      </w:r>
      <w:r>
        <w:rPr>
          <w:color w:val="000000"/>
          <w:szCs w:val="20"/>
          <w:shd w:val="clear" w:color="auto" w:fill="FFFFFF"/>
        </w:rPr>
        <w:t xml:space="preserve">ww.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ustawy. Zgodnie z art. 20 ust. 5 ustawy </w:t>
      </w:r>
      <w:r>
        <w:rPr>
          <w:color w:val="000000"/>
          <w:szCs w:val="20"/>
          <w:shd w:val="clear" w:color="auto" w:fill="FFFFFF"/>
        </w:rPr>
        <w:t>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ochronie przyrody plan ochrony dla rezerwatu przyrody</w:t>
      </w:r>
      <w:r>
        <w:rPr>
          <w:color w:val="000000"/>
          <w:szCs w:val="20"/>
          <w:shd w:val="clear" w:color="auto" w:fill="FFFFFF"/>
        </w:rPr>
        <w:t xml:space="preserve"> w części pokrywającej się z obszarem Natura 2000 powinien uwzględniać zakres planu zadań ochronnych dla obszaru Natura 2000, o którym mowa w art. 28, bądź zakres planu ochrony dla obszaru Natura 2000, o którym mowa w art. 29. </w:t>
      </w:r>
      <w:r>
        <w:rPr>
          <w:color w:val="000000"/>
          <w:szCs w:val="20"/>
          <w:shd w:val="clear" w:color="auto" w:fill="FFFFFF"/>
          <w:lang w:val="x-none" w:eastAsia="en-US" w:bidi="ar-SA"/>
        </w:rPr>
        <w:t>W niniejszym zarz</w:t>
      </w:r>
      <w:r>
        <w:rPr>
          <w:color w:val="000000"/>
          <w:szCs w:val="20"/>
          <w:shd w:val="clear" w:color="auto" w:fill="FFFFFF"/>
        </w:rPr>
        <w:t>ą</w:t>
      </w:r>
      <w:r>
        <w:rPr>
          <w:color w:val="000000"/>
          <w:szCs w:val="20"/>
          <w:shd w:val="clear" w:color="auto" w:fill="FFFFFF"/>
          <w:lang w:val="x-none" w:eastAsia="en-US" w:bidi="ar-SA"/>
        </w:rPr>
        <w:t>dzeniu uwzg</w:t>
      </w:r>
      <w:r>
        <w:rPr>
          <w:color w:val="000000"/>
          <w:szCs w:val="20"/>
          <w:shd w:val="clear" w:color="auto" w:fill="FFFFFF"/>
        </w:rPr>
        <w:t>lędniono w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planie ochrony dla</w:t>
      </w:r>
      <w:r>
        <w:rPr>
          <w:color w:val="000000"/>
          <w:szCs w:val="20"/>
          <w:shd w:val="clear" w:color="auto" w:fill="FFFFFF"/>
        </w:rPr>
        <w:t xml:space="preserve"> ww.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rezerwatu przyrody zakres planu zad</w:t>
      </w:r>
      <w:r>
        <w:rPr>
          <w:color w:val="000000"/>
          <w:szCs w:val="20"/>
          <w:shd w:val="clear" w:color="auto" w:fill="FFFFFF"/>
        </w:rPr>
        <w:t>ań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ochronnych dla obszaru Natura 2000 </w:t>
      </w:r>
      <w:r>
        <w:rPr>
          <w:color w:val="000000"/>
          <w:szCs w:val="20"/>
          <w:shd w:val="clear" w:color="auto" w:fill="FFFFFF"/>
        </w:rPr>
        <w:t>Dolina Środkowej Noteci i Kanału Bydgoskiego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PL</w:t>
      </w:r>
      <w:r>
        <w:rPr>
          <w:color w:val="000000"/>
          <w:szCs w:val="20"/>
          <w:shd w:val="clear" w:color="auto" w:fill="FFFFFF"/>
        </w:rPr>
        <w:t xml:space="preserve">B300001, w części pokrywającej się z rezerwatem (tj. na powierzchni 43,62 ha), w postaci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współrzędnych punktów ich załamania</w:t>
      </w:r>
      <w:r>
        <w:rPr>
          <w:color w:val="000000"/>
          <w:szCs w:val="20"/>
          <w:u w:color="000000"/>
          <w:shd w:val="clear" w:color="auto" w:fill="FFFFFF"/>
        </w:rPr>
        <w:t xml:space="preserve"> oraz załączając mapę obszaru Natura 2000 oraz znajdującego się na jego terenie rezerwatu.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Nie </w:t>
      </w:r>
      <w:r>
        <w:rPr>
          <w:color w:val="000000"/>
          <w:szCs w:val="20"/>
          <w:shd w:val="clear" w:color="auto" w:fill="FFFFFF"/>
        </w:rPr>
        <w:t>w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skazano </w:t>
      </w:r>
      <w:r>
        <w:rPr>
          <w:color w:val="000000"/>
          <w:szCs w:val="20"/>
          <w:shd w:val="clear" w:color="auto" w:fill="FFFFFF"/>
        </w:rPr>
        <w:t xml:space="preserve">zagrożeń celów działań ochronnych, działań ochronnych oraz ustaleń do dokumentów planistycznych z uwagi na brak przedmiotów ochrony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obszaru Natura 2000 </w:t>
      </w:r>
      <w:r>
        <w:rPr>
          <w:color w:val="000000"/>
          <w:szCs w:val="20"/>
          <w:shd w:val="clear" w:color="auto" w:fill="FFFFFF"/>
        </w:rPr>
        <w:t>Dolina Środkowej Noteci i Kanału Bydgoskiego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PL</w:t>
      </w:r>
      <w:r>
        <w:rPr>
          <w:color w:val="000000"/>
          <w:szCs w:val="20"/>
          <w:shd w:val="clear" w:color="auto" w:fill="FFFFFF"/>
        </w:rPr>
        <w:t>B300001 na obszarze rezerwatu pokrywającym się z ww. obszarem Natura 2000. R</w:t>
      </w:r>
      <w:r>
        <w:rPr>
          <w:color w:val="000000"/>
          <w:szCs w:val="20"/>
          <w:shd w:val="clear" w:color="auto" w:fill="FFFFFF"/>
        </w:rPr>
        <w:t xml:space="preserve">ezerwat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,,</w:t>
      </w:r>
      <w:r>
        <w:rPr>
          <w:color w:val="000000"/>
          <w:szCs w:val="20"/>
          <w:shd w:val="clear" w:color="auto" w:fill="FFFFFF"/>
        </w:rPr>
        <w:t>Łąki Ślesińskie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 stanowi 0,13% powierzchni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obszaru Natura 2000 </w:t>
      </w:r>
      <w:r>
        <w:rPr>
          <w:color w:val="000000"/>
          <w:szCs w:val="20"/>
          <w:shd w:val="clear" w:color="auto" w:fill="FFFFFF"/>
        </w:rPr>
        <w:t>Dolina Środkowej Noteci i Kanału Bydgoskiego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PL</w:t>
      </w:r>
      <w:r>
        <w:rPr>
          <w:color w:val="000000"/>
          <w:szCs w:val="20"/>
          <w:shd w:val="clear" w:color="auto" w:fill="FFFFFF"/>
        </w:rPr>
        <w:t>B300001.</w:t>
      </w:r>
    </w:p>
    <w:tbl>
      <w:tblPr>
        <w:tblStyle w:val="TableSimple1"/>
        <w:tblW w:w="8640" w:type="dxa"/>
        <w:tblInd w:w="93" w:type="dxa"/>
        <w:tblBorders>
          <w:top w:val="nil"/>
          <w:left w:val="nil"/>
          <w:bottom w:val="nil"/>
          <w:right w:val="nil"/>
        </w:tblBorders>
        <w:tblLook w:val="04A0"/>
      </w:tblPr>
      <w:tblGrid>
        <w:gridCol w:w="5081"/>
        <w:gridCol w:w="3559"/>
      </w:tblGrid>
      <w:tr>
        <w:tblPrEx>
          <w:tblW w:w="8640" w:type="dxa"/>
          <w:tblInd w:w="93" w:type="dxa"/>
          <w:tblBorders>
            <w:top w:val="nil"/>
            <w:left w:val="nil"/>
            <w:bottom w:val="nil"/>
            <w:right w:val="nil"/>
          </w:tblBorders>
          <w:tblLook w:val="04A0"/>
        </w:tblPrEx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120" w:afterAutospacing="0" w:line="240" w:lineRule="auto"/>
              <w:ind w:left="0" w:right="0" w:firstLine="0"/>
              <w:contextualSpacing w:val="0"/>
              <w:jc w:val="left"/>
              <w:rPr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Cs w:val="20"/>
              </w:rPr>
            </w:pPr>
            <w:r>
              <w:rPr>
                <w:szCs w:val="20"/>
                <w:u w:color="000000"/>
              </w:rPr>
              <w:fldChar w:fldCharType="begin"/>
            </w:r>
            <w:r>
              <w:rPr>
                <w:szCs w:val="20"/>
                <w:u w:color="000000"/>
              </w:rPr>
              <w:instrText>SIGNATURE_0_1_FUNCTION</w:instrText>
            </w:r>
            <w:r>
              <w:rPr>
                <w:szCs w:val="20"/>
                <w:u w:color="000000"/>
              </w:rPr>
              <w:fldChar w:fldCharType="separate"/>
            </w:r>
            <w:r>
              <w:rPr>
                <w:szCs w:val="20"/>
                <w:u w:color="000000"/>
              </w:rPr>
              <w:t xml:space="preserve">Regionalny Dyrektor 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Cs w:val="20"/>
              </w:rPr>
            </w:pPr>
            <w:r>
              <w:rPr>
                <w:szCs w:val="20"/>
                <w:u w:color="000000"/>
              </w:rPr>
              <w:t xml:space="preserve">Ochrony Środowiska 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Cs w:val="20"/>
              </w:rPr>
            </w:pPr>
            <w:r>
              <w:rPr>
                <w:szCs w:val="20"/>
                <w:u w:color="000000"/>
              </w:rPr>
              <w:t>w Bydgoszczy</w:t>
            </w:r>
            <w:r>
              <w:rPr>
                <w:szCs w:val="20"/>
                <w:u w:color="000000"/>
              </w:rPr>
              <w:fldChar w:fldCharType="end"/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Cs w:val="20"/>
              </w:rPr>
            </w:pP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Cs w:val="20"/>
              </w:rPr>
            </w:pPr>
            <w:r>
              <w:rPr>
                <w:szCs w:val="20"/>
                <w:u w:color="000000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auto"/>
              <w:suppressAutoHyphens w:val="0"/>
              <w:spacing w:before="0" w:beforeAutospacing="0" w:after="0" w:afterAutospacing="0" w:line="240" w:lineRule="auto"/>
              <w:ind w:left="0" w:right="0" w:firstLine="0"/>
              <w:contextualSpacing w:val="0"/>
              <w:jc w:val="center"/>
              <w:rPr>
                <w:szCs w:val="20"/>
              </w:rPr>
            </w:pPr>
            <w:r>
              <w:rPr>
                <w:szCs w:val="20"/>
                <w:u w:color="000000"/>
              </w:rPr>
              <w:fldChar w:fldCharType="begin"/>
            </w:r>
            <w:r>
              <w:rPr>
                <w:szCs w:val="20"/>
                <w:u w:color="000000"/>
              </w:rPr>
              <w:instrText>SIGNATURE_0_1_FIRSTNAME</w:instrText>
            </w:r>
            <w:r>
              <w:rPr>
                <w:szCs w:val="20"/>
                <w:u w:color="000000"/>
              </w:rPr>
              <w:fldChar w:fldCharType="separate"/>
            </w:r>
            <w:r>
              <w:rPr>
                <w:b/>
                <w:szCs w:val="20"/>
                <w:u w:color="000000"/>
              </w:rPr>
              <w:t xml:space="preserve">Szymon </w:t>
            </w:r>
            <w:r>
              <w:rPr>
                <w:szCs w:val="20"/>
                <w:u w:color="000000"/>
              </w:rPr>
              <w:fldChar w:fldCharType="end"/>
            </w:r>
            <w:r>
              <w:rPr>
                <w:szCs w:val="20"/>
                <w:u w:color="000000"/>
              </w:rPr>
              <w:fldChar w:fldCharType="begin"/>
            </w:r>
            <w:r>
              <w:rPr>
                <w:szCs w:val="20"/>
                <w:u w:color="000000"/>
              </w:rPr>
              <w:instrText>SIGNATURE_0_1_LASTNAME</w:instrText>
            </w:r>
            <w:r>
              <w:rPr>
                <w:szCs w:val="20"/>
                <w:u w:color="000000"/>
              </w:rPr>
              <w:fldChar w:fldCharType="separate"/>
            </w:r>
            <w:r>
              <w:rPr>
                <w:b/>
                <w:szCs w:val="20"/>
                <w:u w:color="000000"/>
              </w:rPr>
              <w:t>Kosmalski</w:t>
            </w:r>
            <w:r>
              <w:rPr>
                <w:szCs w:val="20"/>
                <w:u w:color="000000"/>
              </w:rPr>
              <w:fldChar w:fldCharType="end"/>
            </w:r>
          </w:p>
        </w:tc>
      </w:tr>
    </w:tbl>
    <w:p>
      <w:pPr>
        <w:keepNext w:val="0"/>
        <w:keepLines w:val="0"/>
        <w:widowControl/>
        <w:suppressLineNumbers w:val="0"/>
        <w:shd w:val="clear" w:color="auto" w:fill="auto"/>
        <w:tabs>
          <w:tab w:val="left" w:pos="680"/>
          <w:tab w:val="left" w:pos="709"/>
        </w:tabs>
        <w:suppressAutoHyphens w:val="0"/>
        <w:spacing w:before="0" w:beforeAutospacing="0" w:after="0" w:afterAutospacing="0" w:line="360" w:lineRule="auto"/>
        <w:ind w:left="0" w:right="0" w:firstLine="0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</w:p>
    <w:p>
      <w:pPr>
        <w:keepNext w:val="0"/>
        <w:keepLines w:val="0"/>
        <w:widowControl/>
        <w:suppressLineNumbers w:val="0"/>
        <w:shd w:val="clear" w:color="auto" w:fill="auto"/>
        <w:suppressAutoHyphens w:val="0"/>
        <w:spacing w:before="0" w:beforeAutospacing="0" w:after="0" w:afterAutospacing="0" w:line="360" w:lineRule="auto"/>
        <w:ind w:left="0" w:right="0" w:firstLine="708"/>
        <w:contextualSpacing w:val="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</w:p>
    <w:sectPr>
      <w:footerReference w:type="default" r:id="rId11"/>
      <w:type w:val="nextPage"/>
      <w:pgSz w:w="11907" w:h="16839" w:code="9"/>
      <w:pgMar w:top="1440" w:right="862" w:bottom="1440" w:left="14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5897775C-71D9-446C-AC53-4FC699547798.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5897775C-71D9-446C-AC53-4FC699547798.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5897775C-71D9-446C-AC53-4FC699547798.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5897775C-71D9-446C-AC53-4FC699547798.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577"/>
      <w:gridCol w:w="3289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5897775C-71D9-446C-AC53-4FC699547798.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403"/>
      <w:gridCol w:w="32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5897775C-71D9-446C-AC53-4FC699547798. Uchwalony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0" w:type="dxa"/>
            <w:bottom w:w="0" w:type="dxa"/>
            <w:right w:w="0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Simple1">
    <w:name w:val="Table Simple 1"/>
    <w:basedOn w:val="TableNormal"/>
    <w:rPr>
      <w:color w:val="000000"/>
      <w:sz w:val="22"/>
      <w:shd w:val="clear" w:color="auto" w:fill="FFFFFF"/>
      <w:lang w:val="x-none" w:eastAsia="en-US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5.xml" /><Relationship Id="rId11" Type="http://schemas.openxmlformats.org/officeDocument/2006/relationships/footer" Target="footer6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footer" Target="footer2.xml" /><Relationship Id="rId6" Type="http://schemas.openxmlformats.org/officeDocument/2006/relationships/footer" Target="footer3.xml" /><Relationship Id="rId7" Type="http://schemas.openxmlformats.org/officeDocument/2006/relationships/footer" Target="footer4.xml" /><Relationship Id="rId8" Type="http://schemas.openxmlformats.org/officeDocument/2006/relationships/image" Target="media/image1.png" /><Relationship Id="rId9" Type="http://schemas.openxmlformats.org/officeDocument/2006/relationships/image" Target="ZalacznikADCCF93F-5AAF-4430-AFB0-3855F1936092.jp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Regionalny Dyrektor Ochrony Środowiska w Bydgoszczy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z dnia 12 września 2022 r.</dc:title>
  <dc:subject>w^sprawie ustanowienia planu ochrony dla rezerwatu przyrody „Łąki Ślesińskie”</dc:subject>
  <dc:creator>kleszczynska</dc:creator>
  <cp:lastModifiedBy>kleszczynska</cp:lastModifiedBy>
  <cp:revision>1</cp:revision>
  <dcterms:created xsi:type="dcterms:W3CDTF">2022-09-13T10:07:52Z</dcterms:created>
  <dcterms:modified xsi:type="dcterms:W3CDTF">2022-09-13T10:07:52Z</dcterms:modified>
  <cp:category>Akt prawny</cp:category>
</cp:coreProperties>
</file>