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B28D8" w14:textId="04515135" w:rsidR="00AF1F5C" w:rsidRPr="004F3E3B" w:rsidRDefault="0008036A" w:rsidP="00172EF2">
      <w:pPr>
        <w:spacing w:line="360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4F3E3B">
        <w:rPr>
          <w:rFonts w:ascii="Verdana" w:eastAsia="Verdana" w:hAnsi="Verdana" w:cs="Times New Roman"/>
          <w:b/>
          <w:sz w:val="24"/>
          <w:szCs w:val="24"/>
        </w:rPr>
        <w:t xml:space="preserve">Uchwała nr </w:t>
      </w:r>
      <w:r w:rsidR="00776C40">
        <w:rPr>
          <w:rFonts w:ascii="Verdana" w:eastAsia="Verdana" w:hAnsi="Verdana" w:cs="Times New Roman"/>
          <w:b/>
          <w:sz w:val="24"/>
          <w:szCs w:val="24"/>
        </w:rPr>
        <w:t>211</w:t>
      </w:r>
      <w:r w:rsidRPr="004F3E3B">
        <w:rPr>
          <w:rFonts w:ascii="Verdana" w:eastAsia="Verdana" w:hAnsi="Verdana" w:cs="Times New Roman"/>
          <w:b/>
          <w:sz w:val="24"/>
          <w:szCs w:val="24"/>
        </w:rPr>
        <w:br/>
        <w:t>Rady Działalności Pożytku Publicznego</w:t>
      </w:r>
      <w:r w:rsidRPr="004F3E3B">
        <w:rPr>
          <w:rFonts w:ascii="Verdana" w:eastAsia="Verdana" w:hAnsi="Verdana" w:cs="Times New Roman"/>
          <w:b/>
          <w:sz w:val="24"/>
          <w:szCs w:val="24"/>
        </w:rPr>
        <w:br/>
        <w:t xml:space="preserve">z dnia </w:t>
      </w:r>
      <w:r w:rsidR="00776C40">
        <w:rPr>
          <w:rFonts w:ascii="Verdana" w:eastAsia="Verdana" w:hAnsi="Verdana" w:cs="Times New Roman"/>
          <w:b/>
          <w:sz w:val="24"/>
          <w:szCs w:val="24"/>
        </w:rPr>
        <w:t>8</w:t>
      </w:r>
      <w:r w:rsidR="007105CA" w:rsidRPr="004F3E3B">
        <w:rPr>
          <w:rFonts w:ascii="Verdana" w:eastAsia="Verdana" w:hAnsi="Verdana" w:cs="Times New Roman"/>
          <w:b/>
          <w:sz w:val="24"/>
          <w:szCs w:val="24"/>
        </w:rPr>
        <w:t xml:space="preserve"> </w:t>
      </w:r>
      <w:r w:rsidR="00776C40">
        <w:rPr>
          <w:rFonts w:ascii="Verdana" w:eastAsia="Verdana" w:hAnsi="Verdana" w:cs="Times New Roman"/>
          <w:b/>
          <w:sz w:val="24"/>
          <w:szCs w:val="24"/>
        </w:rPr>
        <w:t xml:space="preserve">października </w:t>
      </w:r>
      <w:bookmarkStart w:id="0" w:name="_GoBack"/>
      <w:bookmarkEnd w:id="0"/>
      <w:r w:rsidRPr="004F3E3B">
        <w:rPr>
          <w:rFonts w:ascii="Verdana" w:eastAsia="Verdana" w:hAnsi="Verdana" w:cs="Times New Roman"/>
          <w:b/>
          <w:sz w:val="24"/>
          <w:szCs w:val="24"/>
        </w:rPr>
        <w:t xml:space="preserve">2021 r. </w:t>
      </w:r>
      <w:r w:rsidRPr="004F3E3B">
        <w:rPr>
          <w:rFonts w:ascii="Verdana" w:eastAsia="Verdana" w:hAnsi="Verdana" w:cs="Times New Roman"/>
          <w:b/>
          <w:sz w:val="24"/>
          <w:szCs w:val="24"/>
        </w:rPr>
        <w:br/>
      </w:r>
      <w:r w:rsidR="00AF1F5C" w:rsidRPr="004F3E3B">
        <w:rPr>
          <w:rFonts w:ascii="Verdana" w:hAnsi="Verdana" w:cs="Times New Roman"/>
          <w:b/>
          <w:sz w:val="24"/>
          <w:szCs w:val="24"/>
        </w:rPr>
        <w:t xml:space="preserve">w sprawie dotyczącej sporu związanego z trybem wyboru wykonawcy w projekcie realizowanym przez Fundację „Wróć" </w:t>
      </w:r>
      <w:r w:rsidR="00AF1F5C" w:rsidRPr="004F3E3B">
        <w:rPr>
          <w:rFonts w:ascii="Verdana" w:hAnsi="Verdana" w:cs="Times New Roman"/>
          <w:b/>
          <w:sz w:val="24"/>
          <w:szCs w:val="24"/>
        </w:rPr>
        <w:br/>
        <w:t xml:space="preserve">pn. „Zwiększenie efektywności energetycznej budynków </w:t>
      </w:r>
      <w:r w:rsidR="00AF1F5C" w:rsidRPr="004F3E3B">
        <w:rPr>
          <w:rFonts w:ascii="Verdana" w:hAnsi="Verdana" w:cs="Times New Roman"/>
          <w:b/>
          <w:sz w:val="24"/>
          <w:szCs w:val="24"/>
        </w:rPr>
        <w:br/>
        <w:t>w ośrodkach rehabilitacyjno-edukacyj</w:t>
      </w:r>
      <w:r w:rsidR="00086F0E" w:rsidRPr="004F3E3B">
        <w:rPr>
          <w:rFonts w:ascii="Verdana" w:hAnsi="Verdana" w:cs="Times New Roman"/>
          <w:b/>
          <w:sz w:val="24"/>
          <w:szCs w:val="24"/>
        </w:rPr>
        <w:t>no-wychowawczych Fundacji „Wróć</w:t>
      </w:r>
      <w:r w:rsidR="00B72E0E" w:rsidRPr="004F3E3B">
        <w:rPr>
          <w:rFonts w:ascii="Verdana" w:hAnsi="Verdana" w:cs="Times New Roman"/>
          <w:b/>
          <w:sz w:val="24"/>
          <w:szCs w:val="24"/>
        </w:rPr>
        <w:t>”</w:t>
      </w:r>
      <w:r w:rsidR="00AF1F5C" w:rsidRPr="004F3E3B">
        <w:rPr>
          <w:rFonts w:ascii="Verdana" w:hAnsi="Verdana" w:cs="Times New Roman"/>
          <w:b/>
          <w:sz w:val="24"/>
          <w:szCs w:val="24"/>
        </w:rPr>
        <w:t xml:space="preserve">, w ramach RPO WP 2014-2020, </w:t>
      </w:r>
      <w:r w:rsidR="00AF1F5C" w:rsidRPr="004F3E3B">
        <w:rPr>
          <w:rFonts w:ascii="Verdana" w:hAnsi="Verdana" w:cs="Times New Roman"/>
          <w:b/>
          <w:sz w:val="24"/>
          <w:szCs w:val="24"/>
        </w:rPr>
        <w:br/>
        <w:t>poddziałanie 10</w:t>
      </w:r>
      <w:r w:rsidR="00970AD1" w:rsidRPr="004F3E3B">
        <w:rPr>
          <w:rFonts w:ascii="Verdana" w:hAnsi="Verdana" w:cs="Times New Roman"/>
          <w:b/>
          <w:sz w:val="24"/>
          <w:szCs w:val="24"/>
        </w:rPr>
        <w:t>.02.01 Efektywność Energetyczna</w:t>
      </w:r>
    </w:p>
    <w:p w14:paraId="374AD54A" w14:textId="77777777" w:rsidR="00AF1F5C" w:rsidRDefault="00AF1F5C" w:rsidP="00172EF2">
      <w:pPr>
        <w:spacing w:line="360" w:lineRule="auto"/>
        <w:jc w:val="center"/>
        <w:rPr>
          <w:rFonts w:ascii="Verdana" w:hAnsi="Verdana" w:cs="Times New Roman"/>
          <w:sz w:val="24"/>
          <w:szCs w:val="24"/>
        </w:rPr>
      </w:pPr>
    </w:p>
    <w:p w14:paraId="0C97ED10" w14:textId="77777777" w:rsidR="006427FB" w:rsidRPr="00AF1F5C" w:rsidRDefault="006427FB" w:rsidP="00172EF2">
      <w:pPr>
        <w:spacing w:line="360" w:lineRule="auto"/>
        <w:jc w:val="center"/>
        <w:rPr>
          <w:rFonts w:ascii="Verdana" w:hAnsi="Verdana" w:cs="Times New Roman"/>
          <w:sz w:val="24"/>
          <w:szCs w:val="24"/>
        </w:rPr>
      </w:pPr>
    </w:p>
    <w:p w14:paraId="4CE5443C" w14:textId="319D7E82" w:rsidR="00AF1F5C" w:rsidRPr="004F3E3B" w:rsidRDefault="00AF1F5C" w:rsidP="004F3E3B">
      <w:pPr>
        <w:spacing w:line="360" w:lineRule="auto"/>
        <w:rPr>
          <w:rFonts w:ascii="Verdana" w:hAnsi="Verdana"/>
          <w:sz w:val="24"/>
          <w:szCs w:val="24"/>
        </w:rPr>
      </w:pPr>
      <w:r w:rsidRPr="004F3E3B">
        <w:rPr>
          <w:rFonts w:ascii="Verdana" w:hAnsi="Verdana"/>
          <w:sz w:val="24"/>
          <w:szCs w:val="24"/>
        </w:rPr>
        <w:t>Na podstawie § 10 rozporządzenia Przewodniczącego Komitetu do spraw Pożytku Publicznego z dnia 24 października 2018 r. w sprawie Rady Działalności Pożytku Publicznego (Dz. U. poz. </w:t>
      </w:r>
      <w:r w:rsidR="00574A8E" w:rsidRPr="004F3E3B">
        <w:rPr>
          <w:rFonts w:ascii="Verdana" w:hAnsi="Verdana"/>
          <w:sz w:val="24"/>
          <w:szCs w:val="24"/>
        </w:rPr>
        <w:t>2052) oraz art. 35 ust. 2</w:t>
      </w:r>
      <w:r w:rsidRPr="004F3E3B">
        <w:rPr>
          <w:rFonts w:ascii="Verdana" w:hAnsi="Verdana"/>
          <w:sz w:val="24"/>
          <w:szCs w:val="24"/>
        </w:rPr>
        <w:t xml:space="preserve"> ustawy z dnia 24 kwietnia 2003 r. o działalności pożytku publicznego i o wolontariacie (Dz. U. z 2019 r. poz. 688, 1570 i 2020), uchwala się stanowisko Rady Działalności Pożytku Publicznego w sprawie </w:t>
      </w:r>
      <w:r w:rsidR="008A64C1" w:rsidRPr="004F3E3B">
        <w:rPr>
          <w:rFonts w:ascii="Verdana" w:hAnsi="Verdana"/>
          <w:sz w:val="24"/>
          <w:szCs w:val="24"/>
        </w:rPr>
        <w:t>dotyczącej sporu związanego z trybem wyboru wykonawcy w projekcie realizowanym przez Fundację „Wróć" pn. „Zwiększenie efektywności energetycznej budynków w ośrodkach rehabilitacyjno-edukacyjno-wychowawczych Fundacji „Wróć"</w:t>
      </w:r>
      <w:r w:rsidR="00B72E0E" w:rsidRPr="004F3E3B">
        <w:rPr>
          <w:rFonts w:ascii="Verdana" w:hAnsi="Verdana"/>
          <w:sz w:val="24"/>
          <w:szCs w:val="24"/>
        </w:rPr>
        <w:t>”</w:t>
      </w:r>
      <w:r w:rsidR="008A64C1" w:rsidRPr="004F3E3B">
        <w:rPr>
          <w:rFonts w:ascii="Verdana" w:hAnsi="Verdana"/>
          <w:sz w:val="24"/>
          <w:szCs w:val="24"/>
        </w:rPr>
        <w:t>, w ramach RPO WP 2014-2020, poddziałanie 10.02.01 Efektywność Energetyczna.</w:t>
      </w:r>
    </w:p>
    <w:p w14:paraId="14D43367" w14:textId="77777777" w:rsidR="008A64C1" w:rsidRDefault="008A64C1" w:rsidP="00172EF2">
      <w:pPr>
        <w:spacing w:line="36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12778F29" w14:textId="77777777" w:rsidR="00AF1F5C" w:rsidRPr="004F3E3B" w:rsidRDefault="00AF1F5C" w:rsidP="00172EF2">
      <w:pPr>
        <w:spacing w:line="360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4F3E3B">
        <w:rPr>
          <w:rFonts w:ascii="Verdana" w:hAnsi="Verdana" w:cs="Times New Roman"/>
          <w:b/>
          <w:sz w:val="24"/>
          <w:szCs w:val="24"/>
        </w:rPr>
        <w:t>§ 1</w:t>
      </w:r>
    </w:p>
    <w:p w14:paraId="78D1F17E" w14:textId="2961640B" w:rsidR="00A84989" w:rsidRPr="004F3E3B" w:rsidRDefault="00AF1F5C" w:rsidP="004F3E3B">
      <w:pPr>
        <w:spacing w:line="360" w:lineRule="auto"/>
        <w:rPr>
          <w:rFonts w:ascii="Verdana" w:hAnsi="Verdana" w:cs="Times New Roman"/>
          <w:sz w:val="24"/>
          <w:szCs w:val="24"/>
        </w:rPr>
      </w:pPr>
      <w:r w:rsidRPr="004F3E3B">
        <w:rPr>
          <w:rFonts w:ascii="Verdana" w:hAnsi="Verdana" w:cs="Times New Roman"/>
          <w:bCs/>
          <w:sz w:val="24"/>
          <w:szCs w:val="24"/>
        </w:rPr>
        <w:t>Rada Działalności Pożytku Publicznego</w:t>
      </w:r>
      <w:r w:rsidR="000C160A" w:rsidRPr="004F3E3B">
        <w:rPr>
          <w:rFonts w:ascii="Verdana" w:hAnsi="Verdana" w:cs="Times New Roman"/>
          <w:bCs/>
          <w:sz w:val="24"/>
          <w:szCs w:val="24"/>
        </w:rPr>
        <w:t>, zwana dalej Radą,</w:t>
      </w:r>
      <w:r w:rsidRPr="004F3E3B">
        <w:rPr>
          <w:rFonts w:ascii="Verdana" w:hAnsi="Verdana" w:cs="Times New Roman"/>
          <w:bCs/>
          <w:sz w:val="24"/>
          <w:szCs w:val="24"/>
        </w:rPr>
        <w:t xml:space="preserve"> </w:t>
      </w:r>
      <w:r w:rsidR="008A64C1" w:rsidRPr="004F3E3B">
        <w:rPr>
          <w:rFonts w:ascii="Verdana" w:hAnsi="Verdana" w:cs="Times New Roman"/>
          <w:bCs/>
          <w:sz w:val="24"/>
          <w:szCs w:val="24"/>
        </w:rPr>
        <w:t xml:space="preserve">po wnikliwej analizie dokumentów dotyczących </w:t>
      </w:r>
      <w:r w:rsidR="008A64C1" w:rsidRPr="004F3E3B">
        <w:rPr>
          <w:rFonts w:ascii="Verdana" w:hAnsi="Verdana" w:cs="Times New Roman"/>
          <w:sz w:val="24"/>
          <w:szCs w:val="24"/>
        </w:rPr>
        <w:t>sporu związanego z trybem wyboru wykonawcy w projekcie realizowanym przez Fundację „Wróć" pn. „Zwiększenie efektywności energetycznej budynków w ośrodkach rehabilitacyjno-edukacyjno-wychowawczych Fundacji „Wróć"</w:t>
      </w:r>
      <w:r w:rsidR="00B72E0E" w:rsidRPr="004F3E3B">
        <w:rPr>
          <w:rFonts w:ascii="Verdana" w:hAnsi="Verdana" w:cs="Times New Roman"/>
          <w:sz w:val="24"/>
          <w:szCs w:val="24"/>
        </w:rPr>
        <w:t>”</w:t>
      </w:r>
      <w:r w:rsidR="008A64C1" w:rsidRPr="004F3E3B">
        <w:rPr>
          <w:rFonts w:ascii="Verdana" w:hAnsi="Verdana" w:cs="Times New Roman"/>
          <w:sz w:val="24"/>
          <w:szCs w:val="24"/>
        </w:rPr>
        <w:t>, w ramach RPO WP 2014-2020, poddziałanie 10.</w:t>
      </w:r>
      <w:r w:rsidR="00690DF6" w:rsidRPr="004F3E3B">
        <w:rPr>
          <w:rFonts w:ascii="Verdana" w:hAnsi="Verdana" w:cs="Times New Roman"/>
          <w:sz w:val="24"/>
          <w:szCs w:val="24"/>
        </w:rPr>
        <w:t xml:space="preserve">02.01 Efektywność Energetyczna, </w:t>
      </w:r>
      <w:r w:rsidR="008A64C1" w:rsidRPr="004F3E3B">
        <w:rPr>
          <w:rFonts w:ascii="Verdana" w:hAnsi="Verdana" w:cs="Times New Roman"/>
          <w:sz w:val="24"/>
          <w:szCs w:val="24"/>
        </w:rPr>
        <w:t xml:space="preserve">w oparciu o odpowiedź </w:t>
      </w:r>
      <w:r w:rsidR="00B624B7" w:rsidRPr="004F3E3B">
        <w:rPr>
          <w:rFonts w:ascii="Verdana" w:hAnsi="Verdana" w:cs="Times New Roman"/>
          <w:sz w:val="24"/>
          <w:szCs w:val="24"/>
        </w:rPr>
        <w:t xml:space="preserve">w tej sprawie </w:t>
      </w:r>
      <w:r w:rsidR="008A64C1" w:rsidRPr="004F3E3B">
        <w:rPr>
          <w:rFonts w:ascii="Verdana" w:hAnsi="Verdana" w:cs="Times New Roman"/>
          <w:sz w:val="24"/>
          <w:szCs w:val="24"/>
        </w:rPr>
        <w:t xml:space="preserve">Departamentu Prawnego Urzędu </w:t>
      </w:r>
      <w:r w:rsidR="00B624B7" w:rsidRPr="004F3E3B">
        <w:rPr>
          <w:rFonts w:ascii="Verdana" w:hAnsi="Verdana" w:cs="Times New Roman"/>
          <w:sz w:val="24"/>
          <w:szCs w:val="24"/>
        </w:rPr>
        <w:t>Z</w:t>
      </w:r>
      <w:r w:rsidR="008A64C1" w:rsidRPr="004F3E3B">
        <w:rPr>
          <w:rFonts w:ascii="Verdana" w:hAnsi="Verdana" w:cs="Times New Roman"/>
          <w:sz w:val="24"/>
          <w:szCs w:val="24"/>
        </w:rPr>
        <w:t>amówień Publicznych z dnia 30.11.2019 r. oraz</w:t>
      </w:r>
      <w:r w:rsidR="00A84989" w:rsidRPr="004F3E3B">
        <w:rPr>
          <w:rFonts w:ascii="Verdana" w:hAnsi="Verdana" w:cs="Times New Roman"/>
          <w:sz w:val="24"/>
          <w:szCs w:val="24"/>
        </w:rPr>
        <w:t xml:space="preserve"> </w:t>
      </w:r>
      <w:r w:rsidR="00A84989" w:rsidRPr="004F3E3B">
        <w:rPr>
          <w:rFonts w:ascii="Verdana" w:hAnsi="Verdana" w:cs="Times New Roman"/>
          <w:sz w:val="24"/>
          <w:szCs w:val="24"/>
          <w:u w:val="single"/>
        </w:rPr>
        <w:t xml:space="preserve">mając na względzie </w:t>
      </w:r>
      <w:r w:rsidR="00A84989" w:rsidRPr="004F3E3B">
        <w:rPr>
          <w:rFonts w:ascii="Verdana" w:hAnsi="Verdana" w:cs="Times New Roman"/>
          <w:sz w:val="24"/>
          <w:szCs w:val="24"/>
          <w:u w:val="single"/>
        </w:rPr>
        <w:lastRenderedPageBreak/>
        <w:t>interes społeczny</w:t>
      </w:r>
      <w:r w:rsidR="00A84989" w:rsidRPr="004F3E3B">
        <w:rPr>
          <w:rFonts w:ascii="Verdana" w:hAnsi="Verdana" w:cs="Times New Roman"/>
          <w:sz w:val="24"/>
          <w:szCs w:val="24"/>
        </w:rPr>
        <w:t xml:space="preserve"> na podstawie art. 7  ustawy z dnia 14 czerwca 1960 roku - Kodeks postępowania administracyjnego, kiedy interes społeczny</w:t>
      </w:r>
      <w:r w:rsidR="00A84989" w:rsidRPr="00086F0E">
        <w:rPr>
          <w:rFonts w:ascii="Times New Roman" w:hAnsi="Times New Roman" w:cs="Times New Roman"/>
          <w:sz w:val="24"/>
          <w:szCs w:val="24"/>
        </w:rPr>
        <w:t xml:space="preserve"> </w:t>
      </w:r>
      <w:r w:rsidR="00A84989" w:rsidRPr="004F3E3B">
        <w:rPr>
          <w:rFonts w:ascii="Verdana" w:hAnsi="Verdana" w:cs="Times New Roman"/>
          <w:sz w:val="24"/>
          <w:szCs w:val="24"/>
        </w:rPr>
        <w:t>należy rozumieć jako "interes wszystkich ludzi żyjących w ramach politycznie zorganizowanej wspólnoty, gdzie zapewniona jest realizacja określonych, legitymowanych interesów ogółu, zorganizowanego w konkretnej postaci z poszanowaniem wolności jednostki jako niezbędnej części składowej dobra publicznego, przy czym realizacja i ochrona tak przyjętych ogólnych interesów powinna być wymagana bezwarunkowo w celu zapewnienia egzystencji i wspólnego, pokojowego życia społeczeństwa złożonego z grup, części składowych i jednostek mających zróżnicowane interesy i potrzeby"</w:t>
      </w:r>
      <w:r w:rsidR="00172EF2" w:rsidRPr="004F3E3B">
        <w:rPr>
          <w:rStyle w:val="Odwoanieprzypisudolnego"/>
          <w:rFonts w:ascii="Verdana" w:hAnsi="Verdana" w:cs="Times New Roman"/>
          <w:sz w:val="24"/>
          <w:szCs w:val="24"/>
        </w:rPr>
        <w:footnoteReference w:id="1"/>
      </w:r>
      <w:r w:rsidR="00B624B7" w:rsidRPr="004F3E3B">
        <w:rPr>
          <w:rFonts w:ascii="Verdana" w:hAnsi="Verdana" w:cs="Times New Roman"/>
          <w:sz w:val="24"/>
          <w:szCs w:val="24"/>
        </w:rPr>
        <w:t>,</w:t>
      </w:r>
      <w:r w:rsidR="00BE461A" w:rsidRPr="004F3E3B">
        <w:rPr>
          <w:rFonts w:ascii="Verdana" w:hAnsi="Verdana" w:cs="Times New Roman"/>
          <w:sz w:val="24"/>
          <w:szCs w:val="24"/>
        </w:rPr>
        <w:t xml:space="preserve"> </w:t>
      </w:r>
      <w:r w:rsidR="00690DF6" w:rsidRPr="004F3E3B">
        <w:rPr>
          <w:rFonts w:ascii="Verdana" w:hAnsi="Verdana" w:cs="Times New Roman"/>
          <w:sz w:val="24"/>
          <w:szCs w:val="24"/>
        </w:rPr>
        <w:t xml:space="preserve">a także w oparciu o kazus art. 11b ust. 1 ustawy z 24 kwietnia 2003 r. o działalności pożytku publicznego i o wolontariacie, w sytuacjach wyjątkowych pozwalający Prezesowi Rady Ministrów </w:t>
      </w:r>
      <w:r w:rsidR="00690DF6" w:rsidRPr="004F3E3B">
        <w:rPr>
          <w:rFonts w:ascii="Verdana" w:hAnsi="Verdana" w:cs="Times New Roman"/>
          <w:sz w:val="24"/>
          <w:szCs w:val="24"/>
          <w:u w:val="single"/>
        </w:rPr>
        <w:t>ze względu na ważny interes społeczny zlecać organizacjom pozarządowym oraz podmiotom wymienionym w art. 3 ust. 3 realizację zadań publicznych z pominięciem otwartego konkursu ofert</w:t>
      </w:r>
      <w:r w:rsidR="00690DF6" w:rsidRPr="004F3E3B">
        <w:rPr>
          <w:rFonts w:ascii="Verdana" w:hAnsi="Verdana" w:cs="Times New Roman"/>
          <w:sz w:val="24"/>
          <w:szCs w:val="24"/>
        </w:rPr>
        <w:t xml:space="preserve">, </w:t>
      </w:r>
      <w:r w:rsidR="00BE461A" w:rsidRPr="004F3E3B">
        <w:rPr>
          <w:rFonts w:ascii="Verdana" w:hAnsi="Verdana" w:cs="Times New Roman"/>
          <w:b/>
          <w:sz w:val="24"/>
          <w:szCs w:val="24"/>
        </w:rPr>
        <w:t xml:space="preserve">wnosi o uznanie </w:t>
      </w:r>
      <w:r w:rsidR="00330FAE" w:rsidRPr="004F3E3B">
        <w:rPr>
          <w:rFonts w:ascii="Verdana" w:hAnsi="Verdana" w:cs="Times New Roman"/>
          <w:b/>
          <w:sz w:val="24"/>
          <w:szCs w:val="24"/>
        </w:rPr>
        <w:t>poniesionych wydatków przez Fundację „Wróć"</w:t>
      </w:r>
      <w:r w:rsidR="00330FAE" w:rsidRPr="004F3E3B">
        <w:rPr>
          <w:rFonts w:ascii="Verdana" w:hAnsi="Verdana" w:cs="Times New Roman"/>
          <w:sz w:val="24"/>
          <w:szCs w:val="24"/>
        </w:rPr>
        <w:t xml:space="preserve"> </w:t>
      </w:r>
      <w:r w:rsidR="00B624B7" w:rsidRPr="004F3E3B">
        <w:rPr>
          <w:rFonts w:ascii="Verdana" w:hAnsi="Verdana" w:cs="Times New Roman"/>
          <w:b/>
          <w:sz w:val="24"/>
          <w:szCs w:val="24"/>
        </w:rPr>
        <w:t>za kwalifikowalne</w:t>
      </w:r>
      <w:r w:rsidR="00B624B7" w:rsidRPr="004F3E3B">
        <w:rPr>
          <w:rFonts w:ascii="Verdana" w:hAnsi="Verdana" w:cs="Times New Roman"/>
          <w:sz w:val="24"/>
          <w:szCs w:val="24"/>
        </w:rPr>
        <w:t xml:space="preserve"> wniosków o płatność projektu nr:</w:t>
      </w:r>
    </w:p>
    <w:p w14:paraId="429AC2D6" w14:textId="455F5750" w:rsidR="000A0C51" w:rsidRPr="004F3E3B" w:rsidRDefault="000A0C51" w:rsidP="004F3E3B">
      <w:pPr>
        <w:pStyle w:val="Akapitzlist"/>
        <w:numPr>
          <w:ilvl w:val="0"/>
          <w:numId w:val="15"/>
        </w:numPr>
        <w:spacing w:line="360" w:lineRule="auto"/>
        <w:rPr>
          <w:rFonts w:ascii="Verdana" w:hAnsi="Verdana"/>
        </w:rPr>
      </w:pPr>
      <w:r w:rsidRPr="004F3E3B">
        <w:rPr>
          <w:rFonts w:ascii="Verdana" w:hAnsi="Verdana"/>
        </w:rPr>
        <w:t>RPPM.10.02.01-22-0013/16-002 na kwotę 185.946,13 zł,</w:t>
      </w:r>
    </w:p>
    <w:p w14:paraId="46315120" w14:textId="560667F7" w:rsidR="000A0C51" w:rsidRPr="004F3E3B" w:rsidRDefault="000A0C51" w:rsidP="004F3E3B">
      <w:pPr>
        <w:pStyle w:val="Akapitzlist"/>
        <w:numPr>
          <w:ilvl w:val="0"/>
          <w:numId w:val="15"/>
        </w:numPr>
        <w:spacing w:line="360" w:lineRule="auto"/>
        <w:rPr>
          <w:rFonts w:ascii="Verdana" w:hAnsi="Verdana"/>
        </w:rPr>
      </w:pPr>
      <w:r w:rsidRPr="004F3E3B">
        <w:rPr>
          <w:rFonts w:ascii="Verdana" w:hAnsi="Verdana"/>
        </w:rPr>
        <w:t>RPPM.10.02.01-22-0013/16-005 na kwotę 159.587,00 zł,</w:t>
      </w:r>
    </w:p>
    <w:p w14:paraId="6D021A1B" w14:textId="6EBA9D10" w:rsidR="000A0C51" w:rsidRPr="004F3E3B" w:rsidRDefault="000A0C51" w:rsidP="004F3E3B">
      <w:pPr>
        <w:pStyle w:val="Akapitzlist"/>
        <w:numPr>
          <w:ilvl w:val="0"/>
          <w:numId w:val="15"/>
        </w:numPr>
        <w:spacing w:line="360" w:lineRule="auto"/>
        <w:rPr>
          <w:rFonts w:ascii="Verdana" w:hAnsi="Verdana"/>
        </w:rPr>
      </w:pPr>
      <w:r w:rsidRPr="004F3E3B">
        <w:rPr>
          <w:rFonts w:ascii="Verdana" w:hAnsi="Verdana"/>
        </w:rPr>
        <w:t>RPPM.10.02.01-22-0013/16-008 na kwotę 292.063,36 zł,</w:t>
      </w:r>
    </w:p>
    <w:p w14:paraId="04B063B7" w14:textId="07A08F92" w:rsidR="000A0C51" w:rsidRPr="004F3E3B" w:rsidRDefault="000A0C51" w:rsidP="004F3E3B">
      <w:pPr>
        <w:pStyle w:val="Akapitzlist"/>
        <w:numPr>
          <w:ilvl w:val="0"/>
          <w:numId w:val="15"/>
        </w:numPr>
        <w:spacing w:line="360" w:lineRule="auto"/>
        <w:rPr>
          <w:rFonts w:ascii="Verdana" w:hAnsi="Verdana"/>
        </w:rPr>
      </w:pPr>
      <w:r w:rsidRPr="004F3E3B">
        <w:rPr>
          <w:rFonts w:ascii="Verdana" w:hAnsi="Verdana"/>
        </w:rPr>
        <w:t>RPPM.10.02.01-22-0013/16-009 na kwotę 118.409,95 zł</w:t>
      </w:r>
      <w:r w:rsidR="004D00FE" w:rsidRPr="004F3E3B">
        <w:rPr>
          <w:rFonts w:ascii="Verdana" w:hAnsi="Verdana"/>
        </w:rPr>
        <w:t>.</w:t>
      </w:r>
    </w:p>
    <w:p w14:paraId="3452F7B7" w14:textId="77777777" w:rsidR="00AF1F5C" w:rsidRPr="00AF1F5C" w:rsidRDefault="00AF1F5C" w:rsidP="00172EF2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4CBEB19D" w14:textId="120CC3C2" w:rsidR="00BE461A" w:rsidRPr="004F3E3B" w:rsidRDefault="00BE461A" w:rsidP="00172EF2">
      <w:pPr>
        <w:keepNext/>
        <w:spacing w:line="360" w:lineRule="auto"/>
        <w:jc w:val="center"/>
        <w:rPr>
          <w:rFonts w:ascii="Verdana" w:eastAsia="Verdana" w:hAnsi="Verdana" w:cs="Times New Roman"/>
          <w:b/>
          <w:sz w:val="24"/>
        </w:rPr>
      </w:pPr>
      <w:r w:rsidRPr="004F3E3B">
        <w:rPr>
          <w:rFonts w:ascii="Verdana" w:eastAsia="Verdana" w:hAnsi="Verdana" w:cs="Times New Roman"/>
          <w:b/>
          <w:sz w:val="24"/>
        </w:rPr>
        <w:t>§ 2</w:t>
      </w:r>
    </w:p>
    <w:p w14:paraId="7E88E8F6" w14:textId="532E1A8D" w:rsidR="000C160A" w:rsidRPr="004F3E3B" w:rsidRDefault="000C160A" w:rsidP="004F3E3B">
      <w:pPr>
        <w:spacing w:line="360" w:lineRule="auto"/>
        <w:rPr>
          <w:rFonts w:ascii="Verdana" w:hAnsi="Verdana" w:cs="Times New Roman"/>
          <w:sz w:val="24"/>
          <w:szCs w:val="24"/>
        </w:rPr>
      </w:pPr>
      <w:bookmarkStart w:id="1" w:name="_1fob9te" w:colFirst="0" w:colLast="0"/>
      <w:bookmarkEnd w:id="1"/>
      <w:r w:rsidRPr="004F3E3B">
        <w:rPr>
          <w:rFonts w:ascii="Verdana" w:hAnsi="Verdana" w:cs="Times New Roman"/>
          <w:sz w:val="24"/>
          <w:szCs w:val="24"/>
        </w:rPr>
        <w:t xml:space="preserve">Rada, w przypadku ewentualnego podejmowania </w:t>
      </w:r>
      <w:r w:rsidR="00F4556A" w:rsidRPr="004F3E3B">
        <w:rPr>
          <w:rFonts w:ascii="Verdana" w:hAnsi="Verdana" w:cs="Times New Roman"/>
          <w:sz w:val="24"/>
          <w:szCs w:val="24"/>
        </w:rPr>
        <w:t xml:space="preserve">wobec Fundacji „Wróć” </w:t>
      </w:r>
      <w:r w:rsidRPr="004F3E3B">
        <w:rPr>
          <w:rFonts w:ascii="Verdana" w:hAnsi="Verdana" w:cs="Times New Roman"/>
          <w:sz w:val="24"/>
          <w:szCs w:val="24"/>
        </w:rPr>
        <w:t>egzekucji środków wniosków o płatność projektu nr:</w:t>
      </w:r>
    </w:p>
    <w:p w14:paraId="655E22A5" w14:textId="320C50A0" w:rsidR="000C160A" w:rsidRPr="004F3E3B" w:rsidRDefault="000C160A" w:rsidP="004F3E3B">
      <w:pPr>
        <w:pStyle w:val="Akapitzlist"/>
        <w:numPr>
          <w:ilvl w:val="0"/>
          <w:numId w:val="16"/>
        </w:numPr>
        <w:spacing w:line="360" w:lineRule="auto"/>
        <w:rPr>
          <w:rFonts w:ascii="Verdana" w:hAnsi="Verdana"/>
        </w:rPr>
      </w:pPr>
      <w:r w:rsidRPr="004F3E3B">
        <w:rPr>
          <w:rFonts w:ascii="Verdana" w:hAnsi="Verdana"/>
        </w:rPr>
        <w:t>RPPM.10.02.01-22-0013/16-002 na kwotę 185.946,13 zł,</w:t>
      </w:r>
    </w:p>
    <w:p w14:paraId="676408C1" w14:textId="70B72847" w:rsidR="000C160A" w:rsidRPr="004F3E3B" w:rsidRDefault="000C160A" w:rsidP="004F3E3B">
      <w:pPr>
        <w:pStyle w:val="Akapitzlist"/>
        <w:numPr>
          <w:ilvl w:val="0"/>
          <w:numId w:val="16"/>
        </w:numPr>
        <w:spacing w:line="360" w:lineRule="auto"/>
        <w:rPr>
          <w:rFonts w:ascii="Verdana" w:hAnsi="Verdana"/>
        </w:rPr>
      </w:pPr>
      <w:r w:rsidRPr="004F3E3B">
        <w:rPr>
          <w:rFonts w:ascii="Verdana" w:hAnsi="Verdana"/>
        </w:rPr>
        <w:t>RPPM.10.02.01-22-0013/16-005 na kwotę 159.587,00 zł,</w:t>
      </w:r>
    </w:p>
    <w:p w14:paraId="03B0B4C6" w14:textId="59D11F8B" w:rsidR="000C160A" w:rsidRPr="004F3E3B" w:rsidRDefault="000C160A" w:rsidP="004F3E3B">
      <w:pPr>
        <w:pStyle w:val="Akapitzlist"/>
        <w:numPr>
          <w:ilvl w:val="0"/>
          <w:numId w:val="16"/>
        </w:numPr>
        <w:spacing w:line="360" w:lineRule="auto"/>
        <w:rPr>
          <w:rFonts w:ascii="Verdana" w:hAnsi="Verdana"/>
        </w:rPr>
      </w:pPr>
      <w:r w:rsidRPr="004F3E3B">
        <w:rPr>
          <w:rFonts w:ascii="Verdana" w:hAnsi="Verdana"/>
        </w:rPr>
        <w:lastRenderedPageBreak/>
        <w:t>RPPM.10.02.01-22-0013/16-008 na kwotę 292.063,36 zł,</w:t>
      </w:r>
    </w:p>
    <w:p w14:paraId="2D13CF8C" w14:textId="42F646B6" w:rsidR="000C160A" w:rsidRPr="004F3E3B" w:rsidRDefault="000C160A" w:rsidP="004F3E3B">
      <w:pPr>
        <w:pStyle w:val="Akapitzlist"/>
        <w:numPr>
          <w:ilvl w:val="0"/>
          <w:numId w:val="16"/>
        </w:numPr>
        <w:spacing w:line="360" w:lineRule="auto"/>
        <w:rPr>
          <w:rFonts w:ascii="Verdana" w:hAnsi="Verdana"/>
        </w:rPr>
      </w:pPr>
      <w:r w:rsidRPr="004F3E3B">
        <w:rPr>
          <w:rFonts w:ascii="Verdana" w:hAnsi="Verdana"/>
        </w:rPr>
        <w:t>RPPM.10.02.01-22-0013/16-009 na kwotę 118.409,95 zł</w:t>
      </w:r>
      <w:r w:rsidR="00C74F99" w:rsidRPr="004F3E3B">
        <w:rPr>
          <w:rFonts w:ascii="Verdana" w:hAnsi="Verdana"/>
        </w:rPr>
        <w:t>,</w:t>
      </w:r>
    </w:p>
    <w:p w14:paraId="626CE319" w14:textId="453C9174" w:rsidR="000C160A" w:rsidRPr="004F3E3B" w:rsidRDefault="000C160A" w:rsidP="004F3E3B">
      <w:pPr>
        <w:spacing w:line="360" w:lineRule="auto"/>
        <w:rPr>
          <w:rFonts w:ascii="Verdana" w:hAnsi="Verdana" w:cs="Times New Roman"/>
          <w:sz w:val="24"/>
          <w:szCs w:val="24"/>
        </w:rPr>
      </w:pPr>
      <w:r w:rsidRPr="004F3E3B">
        <w:rPr>
          <w:rFonts w:ascii="Verdana" w:hAnsi="Verdana" w:cs="Times New Roman"/>
          <w:sz w:val="24"/>
          <w:szCs w:val="24"/>
        </w:rPr>
        <w:t xml:space="preserve">wnosi do Urzędu Marszałkowskiego Województwa Pomorskiego </w:t>
      </w:r>
      <w:r w:rsidR="00C74F99" w:rsidRPr="004F3E3B">
        <w:rPr>
          <w:rFonts w:ascii="Verdana" w:hAnsi="Verdana" w:cs="Times New Roman"/>
          <w:sz w:val="24"/>
          <w:szCs w:val="24"/>
        </w:rPr>
        <w:t xml:space="preserve">o </w:t>
      </w:r>
      <w:r w:rsidR="0083520E" w:rsidRPr="004F3E3B">
        <w:rPr>
          <w:rFonts w:ascii="Verdana" w:hAnsi="Verdana" w:cs="Times New Roman"/>
          <w:sz w:val="24"/>
          <w:szCs w:val="24"/>
        </w:rPr>
        <w:t>poparcie wniosku Fundacji „Wróć” o wstrzymanie egzekucji do momentu prawomocnego zakończenia postępowania sądowo-administr</w:t>
      </w:r>
      <w:r w:rsidR="00C74F99" w:rsidRPr="004F3E3B">
        <w:rPr>
          <w:rFonts w:ascii="Verdana" w:hAnsi="Verdana" w:cs="Times New Roman"/>
          <w:sz w:val="24"/>
          <w:szCs w:val="24"/>
        </w:rPr>
        <w:t>acyjnego.</w:t>
      </w:r>
    </w:p>
    <w:p w14:paraId="065114AC" w14:textId="77777777" w:rsidR="000C160A" w:rsidRPr="004F3E3B" w:rsidRDefault="000C160A" w:rsidP="00172EF2">
      <w:pPr>
        <w:spacing w:line="360" w:lineRule="auto"/>
        <w:rPr>
          <w:rFonts w:ascii="Verdana" w:hAnsi="Verdana"/>
          <w:sz w:val="24"/>
          <w:szCs w:val="24"/>
        </w:rPr>
      </w:pPr>
    </w:p>
    <w:p w14:paraId="761A2000" w14:textId="77777777" w:rsidR="000C160A" w:rsidRPr="004F3E3B" w:rsidRDefault="000C160A" w:rsidP="000C160A">
      <w:pPr>
        <w:spacing w:line="360" w:lineRule="auto"/>
        <w:jc w:val="center"/>
        <w:rPr>
          <w:rFonts w:ascii="Verdana" w:eastAsia="Verdana" w:hAnsi="Verdana" w:cs="Times New Roman"/>
          <w:sz w:val="24"/>
          <w:szCs w:val="24"/>
        </w:rPr>
      </w:pPr>
      <w:r w:rsidRPr="004F3E3B">
        <w:rPr>
          <w:rFonts w:ascii="Verdana" w:eastAsia="Verdana" w:hAnsi="Verdana" w:cs="Times New Roman"/>
          <w:b/>
          <w:sz w:val="24"/>
          <w:szCs w:val="24"/>
        </w:rPr>
        <w:t>§ 3</w:t>
      </w:r>
    </w:p>
    <w:p w14:paraId="4AB0B13F" w14:textId="77777777" w:rsidR="00BE461A" w:rsidRPr="004F3E3B" w:rsidRDefault="00BE461A" w:rsidP="004F3E3B">
      <w:pPr>
        <w:spacing w:line="360" w:lineRule="auto"/>
        <w:rPr>
          <w:rFonts w:ascii="Verdana" w:hAnsi="Verdana" w:cs="Times New Roman"/>
          <w:sz w:val="24"/>
          <w:szCs w:val="24"/>
        </w:rPr>
      </w:pPr>
      <w:r w:rsidRPr="004F3E3B">
        <w:rPr>
          <w:rFonts w:ascii="Verdana" w:hAnsi="Verdana" w:cs="Times New Roman"/>
          <w:sz w:val="24"/>
          <w:szCs w:val="24"/>
        </w:rPr>
        <w:t>Rada wnosi o przekazanie niniejszej uchwały:</w:t>
      </w:r>
    </w:p>
    <w:p w14:paraId="778C9639" w14:textId="4A2B422A" w:rsidR="00BE461A" w:rsidRPr="004F3E3B" w:rsidRDefault="00BE461A" w:rsidP="004F3E3B">
      <w:pPr>
        <w:pStyle w:val="Akapitzlist"/>
        <w:numPr>
          <w:ilvl w:val="0"/>
          <w:numId w:val="6"/>
        </w:numPr>
        <w:spacing w:line="360" w:lineRule="auto"/>
        <w:ind w:left="709"/>
        <w:rPr>
          <w:rFonts w:ascii="Verdana" w:hAnsi="Verdana"/>
        </w:rPr>
      </w:pPr>
      <w:r w:rsidRPr="004F3E3B">
        <w:rPr>
          <w:rFonts w:ascii="Verdana" w:hAnsi="Verdana"/>
        </w:rPr>
        <w:t>Ministrowi Finansów;</w:t>
      </w:r>
    </w:p>
    <w:p w14:paraId="676C0ED4" w14:textId="4A99A137" w:rsidR="00BE461A" w:rsidRPr="004F3E3B" w:rsidRDefault="00BE461A" w:rsidP="004F3E3B">
      <w:pPr>
        <w:pStyle w:val="Akapitzlist"/>
        <w:numPr>
          <w:ilvl w:val="0"/>
          <w:numId w:val="6"/>
        </w:numPr>
        <w:spacing w:line="360" w:lineRule="auto"/>
        <w:ind w:left="709"/>
        <w:rPr>
          <w:rFonts w:ascii="Verdana" w:hAnsi="Verdana"/>
        </w:rPr>
      </w:pPr>
      <w:r w:rsidRPr="004F3E3B">
        <w:rPr>
          <w:rFonts w:ascii="Verdana" w:hAnsi="Verdana"/>
        </w:rPr>
        <w:t>Urzędowi Marszałkowskiemu Województwa Pomorskiego;</w:t>
      </w:r>
    </w:p>
    <w:p w14:paraId="31217D41" w14:textId="245E003E" w:rsidR="00690DF6" w:rsidRPr="004F3E3B" w:rsidRDefault="00690DF6" w:rsidP="004F3E3B">
      <w:pPr>
        <w:pStyle w:val="Akapitzlist"/>
        <w:numPr>
          <w:ilvl w:val="0"/>
          <w:numId w:val="6"/>
        </w:numPr>
        <w:spacing w:line="360" w:lineRule="auto"/>
        <w:ind w:left="709"/>
        <w:rPr>
          <w:rFonts w:ascii="Verdana" w:hAnsi="Verdana"/>
        </w:rPr>
      </w:pPr>
      <w:r w:rsidRPr="004F3E3B">
        <w:rPr>
          <w:rFonts w:ascii="Verdana" w:hAnsi="Verdana"/>
        </w:rPr>
        <w:t>Fundacji „Wróć”.</w:t>
      </w:r>
    </w:p>
    <w:p w14:paraId="0DE7FD5B" w14:textId="77777777" w:rsidR="000C160A" w:rsidRPr="004F3E3B" w:rsidRDefault="000C160A" w:rsidP="00172EF2">
      <w:pPr>
        <w:spacing w:line="360" w:lineRule="auto"/>
        <w:jc w:val="center"/>
        <w:rPr>
          <w:rFonts w:ascii="Verdana" w:eastAsia="Verdana" w:hAnsi="Verdana" w:cs="Times New Roman"/>
          <w:b/>
          <w:sz w:val="24"/>
          <w:szCs w:val="24"/>
        </w:rPr>
      </w:pPr>
    </w:p>
    <w:p w14:paraId="02F86A7B" w14:textId="40CB5E65" w:rsidR="00BE461A" w:rsidRPr="004F3E3B" w:rsidRDefault="00BE461A" w:rsidP="00172EF2">
      <w:pPr>
        <w:spacing w:line="360" w:lineRule="auto"/>
        <w:jc w:val="center"/>
        <w:rPr>
          <w:rFonts w:ascii="Verdana" w:eastAsia="Verdana" w:hAnsi="Verdana" w:cs="Times New Roman"/>
          <w:sz w:val="24"/>
          <w:szCs w:val="24"/>
        </w:rPr>
      </w:pPr>
      <w:r w:rsidRPr="004F3E3B">
        <w:rPr>
          <w:rFonts w:ascii="Verdana" w:eastAsia="Verdana" w:hAnsi="Verdana" w:cs="Times New Roman"/>
          <w:b/>
          <w:sz w:val="24"/>
          <w:szCs w:val="24"/>
        </w:rPr>
        <w:t xml:space="preserve">§ </w:t>
      </w:r>
      <w:r w:rsidR="000C160A" w:rsidRPr="004F3E3B">
        <w:rPr>
          <w:rFonts w:ascii="Verdana" w:eastAsia="Verdana" w:hAnsi="Verdana" w:cs="Times New Roman"/>
          <w:b/>
          <w:sz w:val="24"/>
          <w:szCs w:val="24"/>
        </w:rPr>
        <w:t>4</w:t>
      </w:r>
    </w:p>
    <w:p w14:paraId="0F19A510" w14:textId="77777777" w:rsidR="00BE461A" w:rsidRPr="004F3E3B" w:rsidRDefault="00BE461A" w:rsidP="004F3E3B">
      <w:pPr>
        <w:spacing w:line="360" w:lineRule="auto"/>
        <w:rPr>
          <w:rFonts w:ascii="Verdana" w:eastAsia="Verdana" w:hAnsi="Verdana" w:cs="Times New Roman"/>
          <w:sz w:val="24"/>
          <w:szCs w:val="24"/>
        </w:rPr>
      </w:pPr>
      <w:r w:rsidRPr="004F3E3B">
        <w:rPr>
          <w:rFonts w:ascii="Verdana" w:eastAsia="Verdana" w:hAnsi="Verdana" w:cs="Times New Roman"/>
          <w:sz w:val="24"/>
          <w:szCs w:val="24"/>
        </w:rPr>
        <w:t>Uchwała wchodzi w życie z dniem podjęcia.</w:t>
      </w:r>
    </w:p>
    <w:p w14:paraId="572437A9" w14:textId="77777777" w:rsidR="00AF1F5C" w:rsidRPr="00AF1F5C" w:rsidRDefault="00AF1F5C" w:rsidP="00172EF2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711D857C" w14:textId="77777777" w:rsidR="00CA1DDD" w:rsidRDefault="00CA1DDD" w:rsidP="00172EF2">
      <w:pPr>
        <w:spacing w:line="360" w:lineRule="auto"/>
        <w:jc w:val="center"/>
        <w:rPr>
          <w:rFonts w:ascii="Verdana" w:hAnsi="Verdana" w:cs="Times New Roman"/>
          <w:sz w:val="24"/>
          <w:szCs w:val="24"/>
        </w:rPr>
      </w:pPr>
    </w:p>
    <w:p w14:paraId="1496EB46" w14:textId="77777777" w:rsidR="00CA1DDD" w:rsidRDefault="00CA1DDD" w:rsidP="00172EF2">
      <w:pPr>
        <w:spacing w:line="360" w:lineRule="auto"/>
        <w:jc w:val="center"/>
        <w:rPr>
          <w:rFonts w:ascii="Verdana" w:hAnsi="Verdana" w:cs="Times New Roman"/>
          <w:sz w:val="24"/>
          <w:szCs w:val="24"/>
        </w:rPr>
      </w:pPr>
    </w:p>
    <w:p w14:paraId="7CCC8E67" w14:textId="77777777" w:rsidR="00CA1DDD" w:rsidRDefault="00CA1DDD" w:rsidP="00172EF2">
      <w:pPr>
        <w:spacing w:line="360" w:lineRule="auto"/>
        <w:jc w:val="center"/>
        <w:rPr>
          <w:rFonts w:ascii="Verdana" w:hAnsi="Verdana" w:cs="Times New Roman"/>
          <w:sz w:val="24"/>
          <w:szCs w:val="24"/>
        </w:rPr>
      </w:pPr>
    </w:p>
    <w:p w14:paraId="2CB9112B" w14:textId="77777777" w:rsidR="00690DF6" w:rsidRDefault="00690DF6" w:rsidP="00172EF2">
      <w:pPr>
        <w:spacing w:line="36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52D460B5" w14:textId="77777777" w:rsidR="00690DF6" w:rsidRDefault="00690DF6" w:rsidP="00172EF2">
      <w:pPr>
        <w:spacing w:line="36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388EE189" w14:textId="77777777" w:rsidR="00690DF6" w:rsidRDefault="00690DF6" w:rsidP="00172EF2">
      <w:pPr>
        <w:spacing w:line="36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5C6F202E" w14:textId="77777777" w:rsidR="00690DF6" w:rsidRDefault="00690DF6" w:rsidP="00172EF2">
      <w:pPr>
        <w:spacing w:line="36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2E3275A1" w14:textId="77777777" w:rsidR="00690DF6" w:rsidRDefault="00690DF6" w:rsidP="00172EF2">
      <w:pPr>
        <w:spacing w:line="36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60D7710F" w14:textId="77777777" w:rsidR="00690DF6" w:rsidRDefault="00690DF6" w:rsidP="00172EF2">
      <w:pPr>
        <w:spacing w:line="36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441948E8" w14:textId="77777777" w:rsidR="00690DF6" w:rsidRDefault="00690DF6" w:rsidP="00172EF2">
      <w:pPr>
        <w:spacing w:line="36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190EBACF" w14:textId="77777777" w:rsidR="00690DF6" w:rsidRDefault="00690DF6" w:rsidP="00172EF2">
      <w:pPr>
        <w:spacing w:line="36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65215876" w14:textId="77777777" w:rsidR="00690DF6" w:rsidRDefault="00690DF6" w:rsidP="00172EF2">
      <w:pPr>
        <w:spacing w:line="36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4B4B88B9" w14:textId="77777777" w:rsidR="00690DF6" w:rsidRDefault="00690DF6" w:rsidP="00172EF2">
      <w:pPr>
        <w:spacing w:line="36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2BC90397" w14:textId="77777777" w:rsidR="00690DF6" w:rsidRDefault="00690DF6" w:rsidP="00172EF2">
      <w:pPr>
        <w:spacing w:line="36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599B7E49" w14:textId="77777777" w:rsidR="00690DF6" w:rsidRDefault="00690DF6" w:rsidP="00172EF2">
      <w:pPr>
        <w:spacing w:line="36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3D48ACD5" w14:textId="77777777" w:rsidR="00690DF6" w:rsidRDefault="00690DF6" w:rsidP="00172EF2">
      <w:pPr>
        <w:spacing w:line="36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281B39F4" w14:textId="77777777" w:rsidR="00690DF6" w:rsidRDefault="00690DF6" w:rsidP="00172EF2">
      <w:pPr>
        <w:spacing w:line="36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52C381F1" w14:textId="77777777" w:rsidR="00AF1F5C" w:rsidRPr="004F3E3B" w:rsidRDefault="00AF1F5C" w:rsidP="00172EF2">
      <w:pPr>
        <w:spacing w:line="360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4F3E3B">
        <w:rPr>
          <w:rFonts w:ascii="Verdana" w:hAnsi="Verdana" w:cs="Times New Roman"/>
          <w:b/>
          <w:sz w:val="24"/>
          <w:szCs w:val="24"/>
        </w:rPr>
        <w:lastRenderedPageBreak/>
        <w:t>UZASADNIENIE</w:t>
      </w:r>
    </w:p>
    <w:p w14:paraId="6A14E68F" w14:textId="77777777" w:rsidR="00C5016C" w:rsidRPr="00C5016C" w:rsidRDefault="00C5016C" w:rsidP="00172EF2">
      <w:pPr>
        <w:spacing w:line="36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58CAA130" w14:textId="6EF311A4" w:rsidR="00C5016C" w:rsidRPr="00C5016C" w:rsidRDefault="00C5016C" w:rsidP="004F3E3B">
      <w:pPr>
        <w:spacing w:line="360" w:lineRule="auto"/>
        <w:rPr>
          <w:rFonts w:ascii="Verdana" w:hAnsi="Verdana"/>
          <w:sz w:val="24"/>
          <w:szCs w:val="24"/>
        </w:rPr>
      </w:pPr>
      <w:r w:rsidRPr="00C5016C">
        <w:rPr>
          <w:rFonts w:ascii="Verdana" w:hAnsi="Verdana"/>
          <w:sz w:val="24"/>
          <w:szCs w:val="24"/>
        </w:rPr>
        <w:t xml:space="preserve">Prowadzone przez Fundację </w:t>
      </w:r>
      <w:r>
        <w:rPr>
          <w:rFonts w:ascii="Verdana" w:hAnsi="Verdana"/>
          <w:sz w:val="24"/>
          <w:szCs w:val="24"/>
        </w:rPr>
        <w:t xml:space="preserve">„Wróć” </w:t>
      </w:r>
      <w:r>
        <w:rPr>
          <w:rFonts w:ascii="Verdana" w:hAnsi="Verdana" w:cs="Times New Roman"/>
          <w:sz w:val="24"/>
          <w:szCs w:val="24"/>
        </w:rPr>
        <w:t>O</w:t>
      </w:r>
      <w:r w:rsidRPr="008A64C1">
        <w:rPr>
          <w:rFonts w:ascii="Verdana" w:hAnsi="Verdana" w:cs="Times New Roman"/>
          <w:sz w:val="24"/>
          <w:szCs w:val="24"/>
        </w:rPr>
        <w:t>środk</w:t>
      </w:r>
      <w:r>
        <w:rPr>
          <w:rFonts w:ascii="Verdana" w:hAnsi="Verdana" w:cs="Times New Roman"/>
          <w:sz w:val="24"/>
          <w:szCs w:val="24"/>
        </w:rPr>
        <w:t>i</w:t>
      </w:r>
      <w:r w:rsidRPr="008A64C1">
        <w:rPr>
          <w:rFonts w:ascii="Verdana" w:hAnsi="Verdana" w:cs="Times New Roman"/>
          <w:sz w:val="24"/>
          <w:szCs w:val="24"/>
        </w:rPr>
        <w:t xml:space="preserve"> </w:t>
      </w:r>
      <w:r>
        <w:rPr>
          <w:rFonts w:ascii="Verdana" w:hAnsi="Verdana" w:cs="Times New Roman"/>
          <w:sz w:val="24"/>
          <w:szCs w:val="24"/>
        </w:rPr>
        <w:t>R</w:t>
      </w:r>
      <w:r w:rsidRPr="008A64C1">
        <w:rPr>
          <w:rFonts w:ascii="Verdana" w:hAnsi="Verdana" w:cs="Times New Roman"/>
          <w:sz w:val="24"/>
          <w:szCs w:val="24"/>
        </w:rPr>
        <w:t>ehabilitacyjno-</w:t>
      </w:r>
      <w:r>
        <w:rPr>
          <w:rFonts w:ascii="Verdana" w:hAnsi="Verdana" w:cs="Times New Roman"/>
          <w:sz w:val="24"/>
          <w:szCs w:val="24"/>
        </w:rPr>
        <w:t>E</w:t>
      </w:r>
      <w:r w:rsidRPr="008A64C1">
        <w:rPr>
          <w:rFonts w:ascii="Verdana" w:hAnsi="Verdana" w:cs="Times New Roman"/>
          <w:sz w:val="24"/>
          <w:szCs w:val="24"/>
        </w:rPr>
        <w:t>dukacyjno-</w:t>
      </w:r>
      <w:r>
        <w:rPr>
          <w:rFonts w:ascii="Verdana" w:hAnsi="Verdana" w:cs="Times New Roman"/>
          <w:sz w:val="24"/>
          <w:szCs w:val="24"/>
        </w:rPr>
        <w:t>W</w:t>
      </w:r>
      <w:r w:rsidRPr="008A64C1">
        <w:rPr>
          <w:rFonts w:ascii="Verdana" w:hAnsi="Verdana" w:cs="Times New Roman"/>
          <w:sz w:val="24"/>
          <w:szCs w:val="24"/>
        </w:rPr>
        <w:t>ychowawcz</w:t>
      </w:r>
      <w:r>
        <w:rPr>
          <w:rFonts w:ascii="Verdana" w:hAnsi="Verdana" w:cs="Times New Roman"/>
          <w:sz w:val="24"/>
          <w:szCs w:val="24"/>
        </w:rPr>
        <w:t xml:space="preserve">e (OREW) </w:t>
      </w:r>
      <w:r w:rsidRPr="00C5016C">
        <w:rPr>
          <w:rFonts w:ascii="Verdana" w:hAnsi="Verdana"/>
          <w:sz w:val="24"/>
          <w:szCs w:val="24"/>
        </w:rPr>
        <w:t>w Jezierniku i Lasowicach Wielkich są jedynymi na znacz</w:t>
      </w:r>
      <w:r>
        <w:rPr>
          <w:rFonts w:ascii="Verdana" w:hAnsi="Verdana"/>
          <w:sz w:val="24"/>
          <w:szCs w:val="24"/>
        </w:rPr>
        <w:t>nym</w:t>
      </w:r>
      <w:r w:rsidRPr="00C5016C">
        <w:rPr>
          <w:rFonts w:ascii="Verdana" w:hAnsi="Verdana"/>
          <w:sz w:val="24"/>
          <w:szCs w:val="24"/>
        </w:rPr>
        <w:t xml:space="preserve"> obszarze województwa pomorskiego ośrodkami wsparcia edukacyjno-terapeutycznego dla osób z niepełnosprawnością sprzężoną w stopniu znacznym i głębokim. </w:t>
      </w:r>
      <w:r>
        <w:rPr>
          <w:rFonts w:ascii="Verdana" w:hAnsi="Verdana"/>
          <w:sz w:val="24"/>
          <w:szCs w:val="24"/>
        </w:rPr>
        <w:t>Placów</w:t>
      </w:r>
      <w:r w:rsidRPr="00C5016C">
        <w:rPr>
          <w:rFonts w:ascii="Verdana" w:hAnsi="Verdana"/>
          <w:sz w:val="24"/>
          <w:szCs w:val="24"/>
        </w:rPr>
        <w:t>k</w:t>
      </w:r>
      <w:r>
        <w:rPr>
          <w:rFonts w:ascii="Verdana" w:hAnsi="Verdana"/>
          <w:sz w:val="24"/>
          <w:szCs w:val="24"/>
        </w:rPr>
        <w:t>i obejmują swoim wsparciem</w:t>
      </w:r>
      <w:r w:rsidRPr="00C5016C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obecnie </w:t>
      </w:r>
      <w:r w:rsidRPr="00C5016C">
        <w:rPr>
          <w:rFonts w:ascii="Verdana" w:hAnsi="Verdana"/>
          <w:sz w:val="24"/>
          <w:szCs w:val="24"/>
        </w:rPr>
        <w:t xml:space="preserve">60 osób w wieku </w:t>
      </w:r>
      <w:r>
        <w:rPr>
          <w:rFonts w:ascii="Verdana" w:hAnsi="Verdana"/>
          <w:sz w:val="24"/>
          <w:szCs w:val="24"/>
        </w:rPr>
        <w:t xml:space="preserve">od 2,5 do </w:t>
      </w:r>
      <w:r w:rsidRPr="00C5016C">
        <w:rPr>
          <w:rFonts w:ascii="Verdana" w:hAnsi="Verdana"/>
          <w:sz w:val="24"/>
          <w:szCs w:val="24"/>
        </w:rPr>
        <w:t xml:space="preserve">25 </w:t>
      </w:r>
      <w:r>
        <w:rPr>
          <w:rFonts w:ascii="Verdana" w:hAnsi="Verdana"/>
          <w:sz w:val="24"/>
          <w:szCs w:val="24"/>
        </w:rPr>
        <w:t>lat. P</w:t>
      </w:r>
      <w:r w:rsidRPr="00C5016C">
        <w:rPr>
          <w:rFonts w:ascii="Verdana" w:hAnsi="Verdana"/>
          <w:sz w:val="24"/>
          <w:szCs w:val="24"/>
        </w:rPr>
        <w:t>onadto znajdują w nich wsparcie rehabilitacyjno-terapeutyczne absolwenci OREW -</w:t>
      </w:r>
      <w:r>
        <w:rPr>
          <w:rFonts w:ascii="Verdana" w:hAnsi="Verdana"/>
          <w:sz w:val="24"/>
          <w:szCs w:val="24"/>
        </w:rPr>
        <w:t xml:space="preserve"> obecnie to kolejne</w:t>
      </w:r>
      <w:r w:rsidRPr="00C5016C">
        <w:rPr>
          <w:rFonts w:ascii="Verdana" w:hAnsi="Verdana"/>
          <w:sz w:val="24"/>
          <w:szCs w:val="24"/>
        </w:rPr>
        <w:t xml:space="preserve"> 12 osób oraz </w:t>
      </w:r>
      <w:r>
        <w:rPr>
          <w:rFonts w:ascii="Verdana" w:hAnsi="Verdana"/>
          <w:sz w:val="24"/>
          <w:szCs w:val="24"/>
        </w:rPr>
        <w:t xml:space="preserve">w </w:t>
      </w:r>
      <w:r w:rsidRPr="00C5016C">
        <w:rPr>
          <w:rFonts w:ascii="Verdana" w:hAnsi="Verdana"/>
          <w:sz w:val="24"/>
          <w:szCs w:val="24"/>
        </w:rPr>
        <w:t xml:space="preserve">Środowiskowym Domu Samopomocy – kolejne 30 osób. Licząc tylko najbliższe otoczenie, z bezpośredniego i pośredniego wsparcia Fundacji </w:t>
      </w:r>
      <w:r>
        <w:rPr>
          <w:rFonts w:ascii="Verdana" w:hAnsi="Verdana"/>
          <w:sz w:val="24"/>
          <w:szCs w:val="24"/>
        </w:rPr>
        <w:t xml:space="preserve">„Wróć” </w:t>
      </w:r>
      <w:r w:rsidRPr="00C5016C">
        <w:rPr>
          <w:rFonts w:ascii="Verdana" w:hAnsi="Verdana"/>
          <w:sz w:val="24"/>
          <w:szCs w:val="24"/>
        </w:rPr>
        <w:t>korzysta co najmniej 300 mieszkańców</w:t>
      </w:r>
      <w:r>
        <w:rPr>
          <w:rFonts w:ascii="Verdana" w:hAnsi="Verdana"/>
          <w:sz w:val="24"/>
          <w:szCs w:val="24"/>
        </w:rPr>
        <w:t xml:space="preserve"> </w:t>
      </w:r>
      <w:r w:rsidRPr="00C5016C">
        <w:rPr>
          <w:rFonts w:ascii="Verdana" w:hAnsi="Verdana"/>
          <w:sz w:val="24"/>
          <w:szCs w:val="24"/>
        </w:rPr>
        <w:t xml:space="preserve">- głównie </w:t>
      </w:r>
      <w:r>
        <w:rPr>
          <w:rFonts w:ascii="Verdana" w:hAnsi="Verdana"/>
          <w:sz w:val="24"/>
          <w:szCs w:val="24"/>
        </w:rPr>
        <w:t xml:space="preserve">z terenów </w:t>
      </w:r>
      <w:r w:rsidRPr="00C5016C">
        <w:rPr>
          <w:rFonts w:ascii="Verdana" w:hAnsi="Verdana"/>
          <w:sz w:val="24"/>
          <w:szCs w:val="24"/>
        </w:rPr>
        <w:t>wiejskich, oddalonych od dużych centrów medycznych, reha</w:t>
      </w:r>
      <w:r>
        <w:rPr>
          <w:rFonts w:ascii="Verdana" w:hAnsi="Verdana"/>
          <w:sz w:val="24"/>
          <w:szCs w:val="24"/>
        </w:rPr>
        <w:t>bilitacyjnych i edukacyjnych – z</w:t>
      </w:r>
      <w:r w:rsidRPr="00C5016C">
        <w:rPr>
          <w:rFonts w:ascii="Verdana" w:hAnsi="Verdana"/>
          <w:sz w:val="24"/>
          <w:szCs w:val="24"/>
        </w:rPr>
        <w:t xml:space="preserve"> powiatów malborskiego, nowodworskiego i sztumskiego.</w:t>
      </w:r>
    </w:p>
    <w:p w14:paraId="70968414" w14:textId="77777777" w:rsidR="00C5016C" w:rsidRPr="00C5016C" w:rsidRDefault="00C5016C" w:rsidP="004F3E3B">
      <w:pPr>
        <w:spacing w:line="360" w:lineRule="auto"/>
        <w:rPr>
          <w:rFonts w:ascii="Verdana" w:hAnsi="Verdana"/>
          <w:sz w:val="24"/>
          <w:szCs w:val="24"/>
        </w:rPr>
      </w:pPr>
    </w:p>
    <w:p w14:paraId="5955E4B5" w14:textId="3271FADB" w:rsidR="00C5016C" w:rsidRPr="00C5016C" w:rsidRDefault="00C5016C" w:rsidP="004F3E3B">
      <w:pPr>
        <w:spacing w:line="360" w:lineRule="auto"/>
        <w:rPr>
          <w:rFonts w:ascii="Verdana" w:hAnsi="Verdana"/>
          <w:sz w:val="24"/>
          <w:szCs w:val="24"/>
        </w:rPr>
      </w:pPr>
      <w:r w:rsidRPr="00C5016C">
        <w:rPr>
          <w:rFonts w:ascii="Verdana" w:hAnsi="Verdana"/>
          <w:sz w:val="24"/>
          <w:szCs w:val="24"/>
        </w:rPr>
        <w:t xml:space="preserve">W funkcjonowanie placówek Fundacja </w:t>
      </w:r>
      <w:r>
        <w:rPr>
          <w:rFonts w:ascii="Verdana" w:hAnsi="Verdana"/>
          <w:sz w:val="24"/>
          <w:szCs w:val="24"/>
        </w:rPr>
        <w:t xml:space="preserve">„Wróć” </w:t>
      </w:r>
      <w:r w:rsidRPr="00C5016C">
        <w:rPr>
          <w:rFonts w:ascii="Verdana" w:hAnsi="Verdana"/>
          <w:sz w:val="24"/>
          <w:szCs w:val="24"/>
        </w:rPr>
        <w:t>przez lata zaangażowała ogromne siły i środki – począwszy od gruntownej adaptacji zniszczonych budynków po likwidowanych szkołach wiejskich, poprzez wykształcenie – nie tylko dla własnych placówek – wysokospecjalistycznej kadry terapeutów i rehabilitantów (tylko w ramach projektu „Pomorski rehabilitant XX</w:t>
      </w:r>
      <w:r>
        <w:rPr>
          <w:rFonts w:ascii="Verdana" w:hAnsi="Verdana"/>
          <w:sz w:val="24"/>
          <w:szCs w:val="24"/>
        </w:rPr>
        <w:t>I wieku” wykształcono 340 osób,</w:t>
      </w:r>
      <w:r w:rsidRPr="00C5016C">
        <w:rPr>
          <w:rFonts w:ascii="Verdana" w:hAnsi="Verdana"/>
          <w:sz w:val="24"/>
          <w:szCs w:val="24"/>
        </w:rPr>
        <w:t xml:space="preserve"> m.in. </w:t>
      </w:r>
      <w:r>
        <w:rPr>
          <w:rFonts w:ascii="Verdana" w:hAnsi="Verdana"/>
          <w:sz w:val="24"/>
          <w:szCs w:val="24"/>
        </w:rPr>
        <w:t xml:space="preserve">w </w:t>
      </w:r>
      <w:r w:rsidRPr="00C5016C">
        <w:rPr>
          <w:rFonts w:ascii="Verdana" w:hAnsi="Verdana"/>
          <w:sz w:val="24"/>
          <w:szCs w:val="24"/>
        </w:rPr>
        <w:t xml:space="preserve">terapiach alternatywnej komunikacji; NDT Bobath, PNF, Hallwick itd). </w:t>
      </w:r>
    </w:p>
    <w:p w14:paraId="4F33CDE4" w14:textId="3D02DC10" w:rsidR="00C5016C" w:rsidRPr="00C5016C" w:rsidRDefault="00C5016C" w:rsidP="004F3E3B">
      <w:pPr>
        <w:spacing w:line="360" w:lineRule="auto"/>
        <w:rPr>
          <w:rFonts w:ascii="Verdana" w:hAnsi="Verdana"/>
          <w:sz w:val="24"/>
          <w:szCs w:val="24"/>
        </w:rPr>
      </w:pPr>
      <w:r w:rsidRPr="00C5016C">
        <w:rPr>
          <w:rFonts w:ascii="Verdana" w:hAnsi="Verdana"/>
          <w:sz w:val="24"/>
          <w:szCs w:val="24"/>
        </w:rPr>
        <w:t xml:space="preserve">Fundacja </w:t>
      </w:r>
      <w:r w:rsidR="00853323">
        <w:rPr>
          <w:rFonts w:ascii="Verdana" w:hAnsi="Verdana"/>
          <w:sz w:val="24"/>
          <w:szCs w:val="24"/>
        </w:rPr>
        <w:t xml:space="preserve">„Wróć” </w:t>
      </w:r>
      <w:r w:rsidRPr="00C5016C">
        <w:rPr>
          <w:rFonts w:ascii="Verdana" w:hAnsi="Verdana"/>
          <w:sz w:val="24"/>
          <w:szCs w:val="24"/>
        </w:rPr>
        <w:t>zaangażowała w projekt termomodernizacji budynków OREW ogromne środki finansowe własne (</w:t>
      </w:r>
      <w:r>
        <w:rPr>
          <w:rFonts w:ascii="Verdana" w:hAnsi="Verdana"/>
          <w:sz w:val="24"/>
          <w:szCs w:val="24"/>
        </w:rPr>
        <w:t xml:space="preserve">ok. 1,5 mln zł </w:t>
      </w:r>
      <w:r w:rsidRPr="00C5016C">
        <w:rPr>
          <w:rFonts w:ascii="Verdana" w:hAnsi="Verdana"/>
          <w:sz w:val="24"/>
          <w:szCs w:val="24"/>
        </w:rPr>
        <w:t xml:space="preserve">łącznie z VAT, którego nie </w:t>
      </w:r>
      <w:r>
        <w:rPr>
          <w:rFonts w:ascii="Verdana" w:hAnsi="Verdana"/>
          <w:sz w:val="24"/>
          <w:szCs w:val="24"/>
        </w:rPr>
        <w:t>może odzyskać)</w:t>
      </w:r>
      <w:r w:rsidRPr="00C5016C">
        <w:rPr>
          <w:rFonts w:ascii="Verdana" w:hAnsi="Verdana"/>
          <w:sz w:val="24"/>
          <w:szCs w:val="24"/>
        </w:rPr>
        <w:t xml:space="preserve">. Kierując się koniecznością zapewnienia uczestnikom, z których większość cechuje znacznie obniżony poziom odporności, odpowiedniej temperatury, wilgotności i czystości powietrza, Fundacja </w:t>
      </w:r>
      <w:r w:rsidR="00853323">
        <w:rPr>
          <w:rFonts w:ascii="Verdana" w:hAnsi="Verdana"/>
          <w:sz w:val="24"/>
          <w:szCs w:val="24"/>
        </w:rPr>
        <w:t xml:space="preserve">„Wróć” </w:t>
      </w:r>
      <w:r w:rsidRPr="00C5016C">
        <w:rPr>
          <w:rFonts w:ascii="Verdana" w:hAnsi="Verdana"/>
          <w:sz w:val="24"/>
          <w:szCs w:val="24"/>
        </w:rPr>
        <w:t xml:space="preserve">podjęła tak znaczący wysiłek finansowy i organizacyjny. Zadanie zostało wykonane w całości. Z jego efektów korzystają uczestnicy i środowisko, w którym funkcjonują placówki. </w:t>
      </w:r>
    </w:p>
    <w:p w14:paraId="116E9160" w14:textId="77777777" w:rsidR="00C5016C" w:rsidRPr="00C5016C" w:rsidRDefault="00C5016C" w:rsidP="004F3E3B">
      <w:pPr>
        <w:spacing w:line="360" w:lineRule="auto"/>
        <w:rPr>
          <w:rFonts w:ascii="Verdana" w:hAnsi="Verdana"/>
          <w:sz w:val="24"/>
          <w:szCs w:val="24"/>
        </w:rPr>
      </w:pPr>
    </w:p>
    <w:p w14:paraId="3A3B672C" w14:textId="27AED270" w:rsidR="00172EF2" w:rsidRPr="00172EF2" w:rsidRDefault="00853323" w:rsidP="004F3E3B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Ponadto, z</w:t>
      </w:r>
      <w:r w:rsidR="00172EF2" w:rsidRPr="00C5016C">
        <w:rPr>
          <w:rFonts w:ascii="Verdana" w:hAnsi="Verdana"/>
          <w:sz w:val="24"/>
          <w:szCs w:val="24"/>
        </w:rPr>
        <w:t>godnie</w:t>
      </w:r>
      <w:r w:rsidR="00172EF2" w:rsidRPr="00172EF2">
        <w:rPr>
          <w:rFonts w:ascii="Verdana" w:hAnsi="Verdana"/>
          <w:sz w:val="24"/>
          <w:szCs w:val="24"/>
        </w:rPr>
        <w:t xml:space="preserve"> z art. 29 rozporządzenia delegowanego KE nr 480/2014</w:t>
      </w:r>
      <w:r w:rsidR="00172EF2" w:rsidRPr="00172EF2">
        <w:rPr>
          <w:rStyle w:val="Odwoanieprzypisudolnego"/>
          <w:rFonts w:ascii="Verdana" w:hAnsi="Verdana"/>
          <w:sz w:val="24"/>
          <w:szCs w:val="24"/>
        </w:rPr>
        <w:footnoteReference w:id="2"/>
      </w:r>
      <w:r w:rsidR="00172EF2" w:rsidRPr="00172EF2">
        <w:rPr>
          <w:rFonts w:ascii="Verdana" w:hAnsi="Verdana"/>
          <w:sz w:val="24"/>
          <w:szCs w:val="24"/>
        </w:rPr>
        <w:t xml:space="preserve"> audyty zestawień wydatków, o których mowa w art. 137 ust. 1 rozporządzenia ogólnego</w:t>
      </w:r>
      <w:r w:rsidR="00172EF2" w:rsidRPr="00172EF2">
        <w:rPr>
          <w:rStyle w:val="Odwoanieprzypisudolnego"/>
          <w:rFonts w:ascii="Verdana" w:hAnsi="Verdana"/>
          <w:sz w:val="24"/>
          <w:szCs w:val="24"/>
        </w:rPr>
        <w:footnoteReference w:id="3"/>
      </w:r>
      <w:r w:rsidR="00172EF2" w:rsidRPr="00172EF2">
        <w:rPr>
          <w:rFonts w:ascii="Verdana" w:hAnsi="Verdana"/>
          <w:sz w:val="24"/>
          <w:szCs w:val="24"/>
        </w:rPr>
        <w:t>, są przeprowadzane przez Instytucję Audytową (dalej jako: IA) w odniesieniu do każdego roku obrachunkowego.</w:t>
      </w:r>
    </w:p>
    <w:p w14:paraId="13F1DA5B" w14:textId="77777777" w:rsidR="00172EF2" w:rsidRPr="00172EF2" w:rsidRDefault="00172EF2" w:rsidP="004F3E3B">
      <w:pPr>
        <w:spacing w:line="360" w:lineRule="auto"/>
        <w:rPr>
          <w:rFonts w:ascii="Verdana" w:hAnsi="Verdana"/>
          <w:sz w:val="24"/>
          <w:szCs w:val="24"/>
        </w:rPr>
      </w:pPr>
      <w:r w:rsidRPr="00172EF2">
        <w:rPr>
          <w:rFonts w:ascii="Verdana" w:hAnsi="Verdana"/>
          <w:sz w:val="24"/>
          <w:szCs w:val="24"/>
        </w:rPr>
        <w:t>Celem audytu zestawień wydatków jest potwierdzenie, że wszystkie elementy wymagane przez art. 137 rozporządzenia ogólnego są kompletne, rzetelne, prawidłowo ujęte w zestawieniu wydatków i opierają się na zapisach księgowych prowadzonych przez Instytucję Certyfikującą. W zakresie audytu IA sprawdza również, czy w stosownych przypadkach wydatki zostały wykluczone z zestawienia wydatków zgodnie z art. 137 ust. 2 rozporządzenia ogólnego i czy wszystkie wymagane korekty zostały uwzględnione w zestawieniach wydatków za dany rok obrachunkowy.</w:t>
      </w:r>
    </w:p>
    <w:p w14:paraId="40528098" w14:textId="77777777" w:rsidR="00172EF2" w:rsidRDefault="00172EF2" w:rsidP="004F3E3B">
      <w:pPr>
        <w:spacing w:line="360" w:lineRule="auto"/>
        <w:rPr>
          <w:rFonts w:ascii="Verdana" w:hAnsi="Verdana"/>
          <w:sz w:val="24"/>
          <w:szCs w:val="24"/>
        </w:rPr>
      </w:pPr>
      <w:r w:rsidRPr="00172EF2">
        <w:rPr>
          <w:rFonts w:ascii="Verdana" w:hAnsi="Verdana"/>
          <w:sz w:val="24"/>
          <w:szCs w:val="24"/>
        </w:rPr>
        <w:t xml:space="preserve">Wydatki dotyczące projektu nr RPPM.10.02.01-22-0013/16 pn. </w:t>
      </w:r>
      <w:r w:rsidRPr="00172EF2">
        <w:rPr>
          <w:rFonts w:ascii="Verdana" w:hAnsi="Verdana"/>
          <w:i/>
          <w:sz w:val="24"/>
          <w:szCs w:val="24"/>
        </w:rPr>
        <w:t>Zwiększenie efektywności energetycznej budynków w ośrodkach rehabilitacyjno-edukacyjno-wychowawczych Fundacji "Wróć"</w:t>
      </w:r>
      <w:r w:rsidRPr="00172EF2">
        <w:rPr>
          <w:rFonts w:ascii="Verdana" w:hAnsi="Verdana"/>
          <w:sz w:val="24"/>
          <w:szCs w:val="24"/>
        </w:rPr>
        <w:t xml:space="preserve">, objęte w roku obrachunkowym audytem operacji przeprowadzonym przez IA, zostały wyłączone przez IZ RPO WP z Rocznego Zestawienia Wydatków (dalej jako: </w:t>
      </w:r>
      <w:r w:rsidRPr="00172EF2">
        <w:rPr>
          <w:rFonts w:ascii="Verdana" w:hAnsi="Verdana"/>
          <w:i/>
          <w:sz w:val="24"/>
          <w:szCs w:val="24"/>
        </w:rPr>
        <w:t>RZW</w:t>
      </w:r>
      <w:r w:rsidRPr="00172EF2">
        <w:rPr>
          <w:rFonts w:ascii="Verdana" w:hAnsi="Verdana"/>
          <w:sz w:val="24"/>
          <w:szCs w:val="24"/>
        </w:rPr>
        <w:t xml:space="preserve">) za rok obrachunkowy 2016/2017 na podstawie art. 137 ust. 2 rozporządzenia ogólnego, co IA potwierdziła w treści </w:t>
      </w:r>
      <w:r w:rsidRPr="00172EF2">
        <w:rPr>
          <w:rFonts w:ascii="Verdana" w:hAnsi="Verdana"/>
          <w:i/>
          <w:sz w:val="24"/>
          <w:szCs w:val="24"/>
        </w:rPr>
        <w:t>Rocznego sprawozdania z kontroli</w:t>
      </w:r>
      <w:r w:rsidRPr="00172EF2">
        <w:rPr>
          <w:rFonts w:ascii="Verdana" w:hAnsi="Verdana"/>
          <w:i/>
          <w:sz w:val="24"/>
          <w:szCs w:val="24"/>
          <w:vertAlign w:val="superscript"/>
        </w:rPr>
        <w:footnoteReference w:id="4"/>
      </w:r>
      <w:r w:rsidRPr="00172EF2">
        <w:rPr>
          <w:rFonts w:ascii="Verdana" w:hAnsi="Verdana"/>
          <w:sz w:val="24"/>
          <w:szCs w:val="24"/>
        </w:rPr>
        <w:t xml:space="preserve"> (dalej jako: </w:t>
      </w:r>
      <w:r w:rsidRPr="00172EF2">
        <w:rPr>
          <w:rFonts w:ascii="Verdana" w:hAnsi="Verdana"/>
          <w:i/>
          <w:sz w:val="24"/>
          <w:szCs w:val="24"/>
        </w:rPr>
        <w:t>RSK</w:t>
      </w:r>
      <w:r w:rsidRPr="00172EF2">
        <w:rPr>
          <w:rFonts w:ascii="Verdana" w:hAnsi="Verdana"/>
          <w:sz w:val="24"/>
          <w:szCs w:val="24"/>
        </w:rPr>
        <w:t>) za okres od 1 lipca 2016 r. do 30 czerwca 2017 r.:</w:t>
      </w:r>
    </w:p>
    <w:p w14:paraId="78CBDDFD" w14:textId="77777777" w:rsidR="00853323" w:rsidRDefault="00853323" w:rsidP="004F3E3B">
      <w:pPr>
        <w:spacing w:line="360" w:lineRule="auto"/>
        <w:rPr>
          <w:rFonts w:ascii="Verdana" w:hAnsi="Verdana"/>
          <w:sz w:val="24"/>
          <w:szCs w:val="24"/>
        </w:rPr>
      </w:pPr>
    </w:p>
    <w:p w14:paraId="401021CE" w14:textId="77777777" w:rsidR="00853323" w:rsidRDefault="00853323" w:rsidP="004F3E3B">
      <w:pPr>
        <w:spacing w:line="360" w:lineRule="auto"/>
        <w:rPr>
          <w:rFonts w:ascii="Verdana" w:hAnsi="Verdana"/>
          <w:sz w:val="24"/>
          <w:szCs w:val="24"/>
        </w:rPr>
      </w:pPr>
    </w:p>
    <w:p w14:paraId="45EDAF15" w14:textId="77777777" w:rsidR="00853323" w:rsidRDefault="00853323" w:rsidP="004F3E3B">
      <w:pPr>
        <w:spacing w:line="360" w:lineRule="auto"/>
        <w:rPr>
          <w:rFonts w:ascii="Verdana" w:hAnsi="Verdana"/>
          <w:sz w:val="24"/>
          <w:szCs w:val="24"/>
        </w:rPr>
      </w:pPr>
    </w:p>
    <w:p w14:paraId="4A628AE6" w14:textId="77777777" w:rsidR="00853323" w:rsidRDefault="00853323" w:rsidP="004F3E3B">
      <w:pPr>
        <w:spacing w:line="360" w:lineRule="auto"/>
        <w:rPr>
          <w:rFonts w:ascii="Verdana" w:hAnsi="Verdan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8"/>
        <w:gridCol w:w="7082"/>
      </w:tblGrid>
      <w:tr w:rsidR="00172EF2" w:rsidRPr="00172EF2" w14:paraId="29C6B8C9" w14:textId="77777777" w:rsidTr="00853323">
        <w:tc>
          <w:tcPr>
            <w:tcW w:w="1988" w:type="dxa"/>
          </w:tcPr>
          <w:p w14:paraId="381C0F27" w14:textId="77777777" w:rsidR="00172EF2" w:rsidRPr="00172EF2" w:rsidRDefault="00172EF2" w:rsidP="004F3E3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r w:rsidRPr="00172EF2">
              <w:rPr>
                <w:rFonts w:ascii="Verdana" w:hAnsi="Verdana" w:cstheme="minorHAnsi"/>
                <w:sz w:val="24"/>
                <w:szCs w:val="24"/>
              </w:rPr>
              <w:lastRenderedPageBreak/>
              <w:t>Rekomendacja</w:t>
            </w:r>
          </w:p>
        </w:tc>
        <w:tc>
          <w:tcPr>
            <w:tcW w:w="7082" w:type="dxa"/>
          </w:tcPr>
          <w:p w14:paraId="277E0D08" w14:textId="77777777" w:rsidR="00172EF2" w:rsidRPr="00172EF2" w:rsidRDefault="00172EF2" w:rsidP="004F3E3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r w:rsidRPr="00172EF2">
              <w:rPr>
                <w:rFonts w:ascii="Verdana" w:hAnsi="Verdana" w:cstheme="minorHAnsi"/>
                <w:sz w:val="24"/>
                <w:szCs w:val="24"/>
              </w:rPr>
              <w:t>IZ wykluczyła z Rocznego zestawienia wydatków na podstawie art. 137 ust. 2 Rozporządzenia nr 1303/2013 kwotę 750.997,62 PLN / 179.836,59 EUR. Wdrożenie rekomendacji będzie przedmiotem badania w ramach audytu follow-up.</w:t>
            </w:r>
          </w:p>
        </w:tc>
      </w:tr>
    </w:tbl>
    <w:p w14:paraId="47ABB86F" w14:textId="77777777" w:rsidR="00172EF2" w:rsidRPr="00172EF2" w:rsidRDefault="00172EF2" w:rsidP="004F3E3B">
      <w:pPr>
        <w:spacing w:line="360" w:lineRule="auto"/>
        <w:rPr>
          <w:rFonts w:ascii="Verdana" w:hAnsi="Verdana"/>
          <w:sz w:val="24"/>
          <w:szCs w:val="24"/>
        </w:rPr>
      </w:pPr>
      <w:r w:rsidRPr="00172EF2">
        <w:rPr>
          <w:rFonts w:ascii="Verdana" w:hAnsi="Verdana"/>
          <w:sz w:val="24"/>
          <w:szCs w:val="24"/>
        </w:rPr>
        <w:t>W tym kontekście należy podkreślić, że wyłączenie wydatków z RZW przez IZ RPO WP nastąpiło zgodnie z obowiązującymi przepisami prawa (art. 137 ust. 2 rozporządzenia ogólnego) oraz z przyjętymi w tamtym czasie i zakresie interpretacjami, a IZ RPO WP w dalszym ciągu prowadziła czynności służące ocenie prawidłowości całości wydatków w projekcie, w szczególności z uwzględnieniem ustaleń sformułowanych przez IA dotyczących projektu nr RPPM.10.02.01-22-0013/16.</w:t>
      </w:r>
    </w:p>
    <w:p w14:paraId="21CF43C2" w14:textId="77777777" w:rsidR="00172EF2" w:rsidRPr="00172EF2" w:rsidRDefault="00172EF2" w:rsidP="004F3E3B">
      <w:pPr>
        <w:spacing w:line="360" w:lineRule="auto"/>
        <w:rPr>
          <w:rFonts w:ascii="Verdana" w:hAnsi="Verdana"/>
          <w:sz w:val="24"/>
          <w:szCs w:val="24"/>
        </w:rPr>
      </w:pPr>
      <w:r w:rsidRPr="00172EF2">
        <w:rPr>
          <w:rFonts w:ascii="Verdana" w:hAnsi="Verdana"/>
          <w:sz w:val="24"/>
          <w:szCs w:val="24"/>
        </w:rPr>
        <w:t>IZ RPO WP zwraca uwagę, że</w:t>
      </w:r>
      <w:r w:rsidRPr="00172EF2">
        <w:rPr>
          <w:rFonts w:ascii="Verdana" w:hAnsi="Verdana"/>
          <w:i/>
          <w:sz w:val="24"/>
          <w:szCs w:val="24"/>
        </w:rPr>
        <w:t xml:space="preserve"> </w:t>
      </w:r>
      <w:r w:rsidRPr="00172EF2">
        <w:rPr>
          <w:rFonts w:ascii="Verdana" w:hAnsi="Verdana"/>
          <w:sz w:val="24"/>
          <w:szCs w:val="24"/>
        </w:rPr>
        <w:t xml:space="preserve">przedstawione powyżej działania są zgodne z </w:t>
      </w:r>
      <w:r w:rsidRPr="00172EF2">
        <w:rPr>
          <w:rFonts w:ascii="Verdana" w:hAnsi="Verdana"/>
          <w:i/>
          <w:sz w:val="24"/>
          <w:szCs w:val="24"/>
        </w:rPr>
        <w:t>Wytycznymi KE dla państw członkowskich w zakresie sporządzania, analizy i zatwierdzania zestawień wydatków</w:t>
      </w:r>
      <w:r w:rsidRPr="00172EF2">
        <w:rPr>
          <w:rStyle w:val="Odwoanieprzypisudolnego"/>
          <w:rFonts w:ascii="Verdana" w:hAnsi="Verdana"/>
          <w:sz w:val="24"/>
          <w:szCs w:val="24"/>
        </w:rPr>
        <w:footnoteReference w:id="5"/>
      </w:r>
      <w:r w:rsidRPr="00172EF2">
        <w:rPr>
          <w:rFonts w:ascii="Verdana" w:hAnsi="Verdana"/>
          <w:sz w:val="24"/>
          <w:szCs w:val="24"/>
        </w:rPr>
        <w:t>, które zawierają wyjaśnienia dotyczące traktowania wydatków będących przedmiotem trwającej oceny (art. 137 ust. 2 RWP), zgodnie z którymi:</w:t>
      </w:r>
    </w:p>
    <w:p w14:paraId="27671D41" w14:textId="77777777" w:rsidR="00172EF2" w:rsidRPr="00172EF2" w:rsidRDefault="00172EF2" w:rsidP="004F3E3B">
      <w:pPr>
        <w:spacing w:line="360" w:lineRule="auto"/>
        <w:rPr>
          <w:rFonts w:ascii="Verdana" w:hAnsi="Verdana"/>
          <w:i/>
          <w:sz w:val="24"/>
          <w:szCs w:val="24"/>
        </w:rPr>
      </w:pPr>
      <w:r w:rsidRPr="00172EF2">
        <w:rPr>
          <w:rFonts w:ascii="Verdana" w:hAnsi="Verdana"/>
          <w:b/>
          <w:i/>
          <w:sz w:val="24"/>
          <w:szCs w:val="24"/>
        </w:rPr>
        <w:t xml:space="preserve">Jeżeli IZ lub IC ma wątpliwości co do zgodności z prawem i prawidłowości wydatków, zaleca się, aby nie uwzględniała ona takich wydatków we wniosku o płatność. </w:t>
      </w:r>
      <w:r w:rsidRPr="00172EF2">
        <w:rPr>
          <w:rFonts w:ascii="Verdana" w:hAnsi="Verdana"/>
          <w:b/>
          <w:i/>
          <w:sz w:val="24"/>
          <w:szCs w:val="24"/>
          <w:u w:val="single"/>
        </w:rPr>
        <w:t>Jeśli jednak wydatki uwzględniono już we wniosku o płatność, a w chwili złożenia zestawienia wydatków istnieją wątpliwości co do zgodności z prawem i prawidłowości tych wydatków, IC może zastosować przepis art. 137 ust. 2 RWP i tymczasowo odliczyć dane wydatki będące przedmiotem trwającej oceny od zestawienia wydatków, które ma zostać przedłożone Komisji (z możliwością późniejszego ponownego wprowadzenia takich wydatków po stwierdzeniu, iż są one w pełni zgodne z prawem i prawidłowe</w:t>
      </w:r>
      <w:r w:rsidRPr="00172EF2">
        <w:rPr>
          <w:rFonts w:ascii="Verdana" w:hAnsi="Verdana"/>
          <w:i/>
          <w:sz w:val="24"/>
          <w:szCs w:val="24"/>
        </w:rPr>
        <w:t>).</w:t>
      </w:r>
    </w:p>
    <w:p w14:paraId="39DA0DCC" w14:textId="77777777" w:rsidR="00172EF2" w:rsidRPr="00172EF2" w:rsidRDefault="00172EF2" w:rsidP="004F3E3B">
      <w:pPr>
        <w:spacing w:line="360" w:lineRule="auto"/>
        <w:rPr>
          <w:rFonts w:ascii="Verdana" w:hAnsi="Verdana"/>
          <w:i/>
          <w:sz w:val="24"/>
          <w:szCs w:val="24"/>
        </w:rPr>
      </w:pPr>
      <w:r w:rsidRPr="00172EF2">
        <w:rPr>
          <w:rFonts w:ascii="Verdana" w:hAnsi="Verdana"/>
          <w:i/>
          <w:sz w:val="24"/>
          <w:szCs w:val="24"/>
        </w:rPr>
        <w:t>(…)</w:t>
      </w:r>
    </w:p>
    <w:p w14:paraId="7D501403" w14:textId="77777777" w:rsidR="00172EF2" w:rsidRPr="00172EF2" w:rsidRDefault="00172EF2" w:rsidP="004F3E3B">
      <w:pPr>
        <w:spacing w:line="360" w:lineRule="auto"/>
        <w:rPr>
          <w:rFonts w:ascii="Verdana" w:hAnsi="Verdana"/>
          <w:i/>
          <w:sz w:val="24"/>
          <w:szCs w:val="24"/>
        </w:rPr>
      </w:pPr>
      <w:r w:rsidRPr="00172EF2">
        <w:rPr>
          <w:rFonts w:ascii="Verdana" w:hAnsi="Verdana"/>
          <w:b/>
          <w:i/>
          <w:sz w:val="24"/>
          <w:szCs w:val="24"/>
          <w:u w:val="single"/>
        </w:rPr>
        <w:lastRenderedPageBreak/>
        <w:t>IC powinna odliczyć kwoty będące przedmiotem trwającej oceny od zestawienia wydatków, a nie na etapie wniosków o płatność</w:t>
      </w:r>
      <w:r w:rsidRPr="00172EF2">
        <w:rPr>
          <w:rFonts w:ascii="Verdana" w:hAnsi="Verdana"/>
          <w:i/>
          <w:sz w:val="24"/>
          <w:szCs w:val="24"/>
        </w:rPr>
        <w:t xml:space="preserve">. Oznaczałoby to, że kwoty będące przedmiotem trwającej oceny pozostawia się we wnioskach o płatność do Komisji w ciągu roku obrachunkowego do momentu złożenia zestawienia wydatków. </w:t>
      </w:r>
      <w:r w:rsidRPr="00172EF2">
        <w:rPr>
          <w:rFonts w:ascii="Verdana" w:hAnsi="Verdana"/>
          <w:b/>
          <w:i/>
          <w:sz w:val="24"/>
          <w:szCs w:val="24"/>
          <w:u w:val="single"/>
        </w:rPr>
        <w:t>Zgodnie z art. 137 ust. 2 RWP całość lub część takich wydatków uznanych następnie za zgodne z prawem i prawidłowe może zostać ujęta przez IC we wniosku o płatność okresową dotyczącym kolejnych lat obrachunkowych</w:t>
      </w:r>
      <w:r w:rsidRPr="00172EF2">
        <w:rPr>
          <w:rFonts w:ascii="Verdana" w:hAnsi="Verdana"/>
          <w:i/>
          <w:sz w:val="24"/>
          <w:szCs w:val="24"/>
        </w:rPr>
        <w:t>. W związku z tym zgodnie z art. 135 ust. 1 RWP kwoty wprowadzone do systemu księgowego IC w odniesieniu do roku obrachunkowego mogą być wyższe niż kwoty faktycznie zadeklarowane w rocznym zestawieniu wydatków dla tego roku obrachunkowego.</w:t>
      </w:r>
    </w:p>
    <w:p w14:paraId="041CAD2E" w14:textId="77777777" w:rsidR="00172EF2" w:rsidRPr="00172EF2" w:rsidRDefault="00172EF2" w:rsidP="004F3E3B">
      <w:pPr>
        <w:spacing w:line="360" w:lineRule="auto"/>
        <w:rPr>
          <w:rFonts w:ascii="Verdana" w:hAnsi="Verdana"/>
          <w:i/>
          <w:sz w:val="24"/>
          <w:szCs w:val="24"/>
        </w:rPr>
      </w:pPr>
      <w:r w:rsidRPr="00172EF2">
        <w:rPr>
          <w:rFonts w:ascii="Verdana" w:hAnsi="Verdana"/>
          <w:i/>
          <w:sz w:val="24"/>
          <w:szCs w:val="24"/>
        </w:rPr>
        <w:t>(…)</w:t>
      </w:r>
    </w:p>
    <w:p w14:paraId="5B2C7B60" w14:textId="77777777" w:rsidR="00172EF2" w:rsidRPr="00172EF2" w:rsidRDefault="00172EF2" w:rsidP="004F3E3B">
      <w:pPr>
        <w:spacing w:line="360" w:lineRule="auto"/>
        <w:rPr>
          <w:rFonts w:ascii="Verdana" w:hAnsi="Verdana"/>
          <w:i/>
          <w:sz w:val="24"/>
          <w:szCs w:val="24"/>
        </w:rPr>
      </w:pPr>
      <w:r w:rsidRPr="00172EF2">
        <w:rPr>
          <w:rFonts w:ascii="Verdana" w:hAnsi="Verdana"/>
          <w:b/>
          <w:i/>
          <w:sz w:val="24"/>
          <w:szCs w:val="24"/>
          <w:u w:val="single"/>
        </w:rPr>
        <w:t>Z zestawienia wydatków należy również odliczyć nieprawidłowe wydatki wynikające z prac audytowych (prowadzonych przez IA, Komisję lub Trybunał Obrachunkowy, lub pod ich nadzorem) oraz z dodatkowych kontroli zarządczych przeprowadzonych przez IZ lub prac weryfikacyjnych prowadzonych przez IC związanych z wydatkami zadeklarowanymi w roku obrachunkowym</w:t>
      </w:r>
      <w:r w:rsidRPr="00172EF2">
        <w:rPr>
          <w:rFonts w:ascii="Verdana" w:hAnsi="Verdana"/>
          <w:i/>
          <w:sz w:val="24"/>
          <w:szCs w:val="24"/>
        </w:rPr>
        <w:t>.</w:t>
      </w:r>
    </w:p>
    <w:p w14:paraId="58543377" w14:textId="77777777" w:rsidR="00853323" w:rsidRDefault="00853323" w:rsidP="004F3E3B">
      <w:pPr>
        <w:autoSpaceDE w:val="0"/>
        <w:autoSpaceDN w:val="0"/>
        <w:adjustRightInd w:val="0"/>
        <w:spacing w:line="360" w:lineRule="auto"/>
        <w:rPr>
          <w:rFonts w:ascii="Verdana" w:hAnsi="Verdana" w:cstheme="minorHAnsi"/>
          <w:sz w:val="24"/>
          <w:szCs w:val="24"/>
        </w:rPr>
      </w:pPr>
    </w:p>
    <w:p w14:paraId="5485FE85" w14:textId="77777777" w:rsidR="00172EF2" w:rsidRPr="00172EF2" w:rsidRDefault="00172EF2" w:rsidP="004F3E3B">
      <w:pPr>
        <w:autoSpaceDE w:val="0"/>
        <w:autoSpaceDN w:val="0"/>
        <w:adjustRightInd w:val="0"/>
        <w:spacing w:line="360" w:lineRule="auto"/>
        <w:rPr>
          <w:rFonts w:ascii="Verdana" w:hAnsi="Verdana" w:cstheme="minorHAnsi"/>
          <w:color w:val="313131"/>
          <w:sz w:val="24"/>
          <w:szCs w:val="24"/>
        </w:rPr>
      </w:pPr>
      <w:r w:rsidRPr="00172EF2">
        <w:rPr>
          <w:rFonts w:ascii="Verdana" w:hAnsi="Verdana" w:cstheme="minorHAnsi"/>
          <w:sz w:val="24"/>
          <w:szCs w:val="24"/>
        </w:rPr>
        <w:t xml:space="preserve">Ponadto należy podkreślić, że postępowanie IZ RPO WP było zgodne z </w:t>
      </w:r>
      <w:r w:rsidRPr="00172EF2">
        <w:rPr>
          <w:rFonts w:ascii="Verdana" w:hAnsi="Verdana" w:cstheme="minorHAnsi"/>
          <w:i/>
          <w:color w:val="313131"/>
          <w:sz w:val="24"/>
          <w:szCs w:val="24"/>
        </w:rPr>
        <w:t xml:space="preserve">Komentarzem do rozporządzeń unijnych dla polityki spójności na lata </w:t>
      </w:r>
      <w:r w:rsidRPr="00172EF2">
        <w:rPr>
          <w:rFonts w:ascii="Verdana" w:hAnsi="Verdana" w:cstheme="minorHAnsi"/>
          <w:color w:val="313131"/>
          <w:sz w:val="24"/>
          <w:szCs w:val="24"/>
        </w:rPr>
        <w:t>2014-2020, opracowanym przez zespół Ministerstwa Infrastruktury i Rozwoju oraz Stałego Przedstawicielstwa RP w Brukseli:</w:t>
      </w:r>
    </w:p>
    <w:p w14:paraId="33821CB1" w14:textId="77777777" w:rsidR="00172EF2" w:rsidRPr="00172EF2" w:rsidRDefault="00172EF2" w:rsidP="004F3E3B">
      <w:pPr>
        <w:autoSpaceDE w:val="0"/>
        <w:autoSpaceDN w:val="0"/>
        <w:adjustRightInd w:val="0"/>
        <w:spacing w:line="360" w:lineRule="auto"/>
        <w:rPr>
          <w:rFonts w:ascii="Verdana" w:hAnsi="Verdana" w:cstheme="minorHAnsi"/>
          <w:i/>
          <w:color w:val="313131"/>
          <w:sz w:val="24"/>
          <w:szCs w:val="24"/>
        </w:rPr>
      </w:pPr>
      <w:r w:rsidRPr="00172EF2">
        <w:rPr>
          <w:rFonts w:ascii="Verdana" w:hAnsi="Verdana" w:cstheme="minorHAnsi"/>
          <w:i/>
          <w:color w:val="313131"/>
          <w:sz w:val="24"/>
          <w:szCs w:val="24"/>
        </w:rPr>
        <w:t xml:space="preserve">Zestawienie wydatków zawierać będzie ponadto wyszczególnienie różnic (wraz z ich wyjaśnieniem) pomiędzy wydatkami zadeklarowanymi w ramach tego zestawienia a wydatkami zadeklarowanymi w odniesieniu do tego samego roku obrachunkowego ujętymi we wnioskach o płatność złożonymi do dnia 31 lipca po roku obrachunkowym. Takie różnice mogą zachodzić na przykład wówczas, gdy instytucja certyfikująca nie jest pewna, czy wydatki wcześniej ujęte we wnioskach o płatność są rzeczywiście prawidłowe (np. wciąż trwa ocena ich zgodności z prawem) </w:t>
      </w:r>
      <w:r w:rsidRPr="00172EF2">
        <w:rPr>
          <w:rFonts w:ascii="Verdana" w:hAnsi="Verdana" w:cstheme="minorHAnsi"/>
          <w:i/>
          <w:color w:val="313131"/>
          <w:sz w:val="24"/>
          <w:szCs w:val="24"/>
        </w:rPr>
        <w:lastRenderedPageBreak/>
        <w:t xml:space="preserve">lub gdy ich ocena została zakończona i zostały one i zostały ujęte jako wycofane/odzyskane w okresie lipiec roku n do 15 lutego roku n+1, a które dotyczą zamykanego roku obrachunkowego. </w:t>
      </w:r>
      <w:r w:rsidRPr="00172EF2">
        <w:rPr>
          <w:rFonts w:ascii="Verdana" w:hAnsi="Verdana" w:cstheme="minorHAnsi"/>
          <w:b/>
          <w:i/>
          <w:color w:val="313131"/>
          <w:sz w:val="24"/>
          <w:szCs w:val="24"/>
        </w:rPr>
        <w:t>Wówczas, zgodnie z art. 137 ust. 2, może je wyłączyć z zestawienia wydatków dla danego roku obrachunkowego. Musi też w takiej sytuacji skorygować wniosek o płatność, a potem je ponownie w takim wniosku umieścić. KE zatwierdzi tylko zestawienie wydatków, jeśli wydatki nadal badane pod kątem prawidłowości i zgodności z prawem zostały wycofane. Po potwierdzeniu prawidłowości tych wydatków, instytucja certyfikująca może je ująć we wniosku o płatność przesłanym do KE w jednym z kolejnych lat obrachunkowych i wówczas zostaną one ujęte</w:t>
      </w:r>
      <w:r w:rsidRPr="00172EF2">
        <w:rPr>
          <w:rFonts w:ascii="Verdana" w:hAnsi="Verdana"/>
          <w:b/>
          <w:i/>
          <w:sz w:val="24"/>
          <w:szCs w:val="24"/>
        </w:rPr>
        <w:t xml:space="preserve"> </w:t>
      </w:r>
      <w:r w:rsidRPr="00172EF2">
        <w:rPr>
          <w:rFonts w:ascii="Verdana" w:hAnsi="Verdana" w:cstheme="minorHAnsi"/>
          <w:b/>
          <w:i/>
          <w:color w:val="313131"/>
          <w:sz w:val="24"/>
          <w:szCs w:val="24"/>
        </w:rPr>
        <w:t>w zestawieniu wydatków dla tego roku. Pozwala to na wprowadzanie do zestawienia wydatków jedynie tych wydatków, których prawidłowość jest pewna</w:t>
      </w:r>
      <w:r w:rsidRPr="00172EF2">
        <w:rPr>
          <w:rFonts w:ascii="Verdana" w:hAnsi="Verdana" w:cstheme="minorHAnsi"/>
          <w:i/>
          <w:color w:val="313131"/>
          <w:sz w:val="24"/>
          <w:szCs w:val="24"/>
        </w:rPr>
        <w:t>.</w:t>
      </w:r>
    </w:p>
    <w:p w14:paraId="21938D1E" w14:textId="77777777" w:rsidR="00172EF2" w:rsidRPr="00172EF2" w:rsidRDefault="00172EF2" w:rsidP="004F3E3B">
      <w:pPr>
        <w:autoSpaceDE w:val="0"/>
        <w:autoSpaceDN w:val="0"/>
        <w:adjustRightInd w:val="0"/>
        <w:spacing w:line="360" w:lineRule="auto"/>
        <w:rPr>
          <w:rFonts w:ascii="Verdana" w:hAnsi="Verdana" w:cstheme="minorHAnsi"/>
          <w:i/>
          <w:color w:val="313131"/>
          <w:sz w:val="24"/>
          <w:szCs w:val="24"/>
        </w:rPr>
      </w:pPr>
      <w:r w:rsidRPr="00172EF2">
        <w:rPr>
          <w:rFonts w:ascii="Verdana" w:hAnsi="Verdana" w:cstheme="minorHAnsi"/>
          <w:i/>
          <w:color w:val="313131"/>
          <w:sz w:val="24"/>
          <w:szCs w:val="24"/>
        </w:rPr>
        <w:t>(…)</w:t>
      </w:r>
    </w:p>
    <w:p w14:paraId="211C5E23" w14:textId="77777777" w:rsidR="00853323" w:rsidRDefault="00853323" w:rsidP="004F3E3B">
      <w:pPr>
        <w:autoSpaceDE w:val="0"/>
        <w:autoSpaceDN w:val="0"/>
        <w:adjustRightInd w:val="0"/>
        <w:spacing w:line="360" w:lineRule="auto"/>
        <w:rPr>
          <w:rFonts w:ascii="Verdana" w:hAnsi="Verdana" w:cstheme="minorHAnsi"/>
          <w:i/>
          <w:color w:val="313131"/>
          <w:sz w:val="24"/>
          <w:szCs w:val="24"/>
        </w:rPr>
      </w:pPr>
    </w:p>
    <w:p w14:paraId="34997112" w14:textId="77777777" w:rsidR="00172EF2" w:rsidRPr="00172EF2" w:rsidRDefault="00172EF2" w:rsidP="004F3E3B">
      <w:pPr>
        <w:autoSpaceDE w:val="0"/>
        <w:autoSpaceDN w:val="0"/>
        <w:adjustRightInd w:val="0"/>
        <w:spacing w:line="360" w:lineRule="auto"/>
        <w:rPr>
          <w:rFonts w:ascii="Verdana" w:hAnsi="Verdana" w:cstheme="minorHAnsi"/>
          <w:i/>
          <w:color w:val="313131"/>
          <w:sz w:val="24"/>
          <w:szCs w:val="24"/>
        </w:rPr>
      </w:pPr>
      <w:r w:rsidRPr="00172EF2">
        <w:rPr>
          <w:rFonts w:ascii="Verdana" w:hAnsi="Verdana" w:cstheme="minorHAnsi"/>
          <w:i/>
          <w:color w:val="313131"/>
          <w:sz w:val="24"/>
          <w:szCs w:val="24"/>
        </w:rPr>
        <w:t xml:space="preserve">Podkreślić należy, że </w:t>
      </w:r>
      <w:r w:rsidRPr="00172EF2">
        <w:rPr>
          <w:rFonts w:ascii="Verdana" w:hAnsi="Verdana" w:cstheme="minorHAnsi"/>
          <w:b/>
          <w:i/>
          <w:color w:val="313131"/>
          <w:sz w:val="24"/>
          <w:szCs w:val="24"/>
          <w:u w:val="single"/>
        </w:rPr>
        <w:t>państwa członkowskie</w:t>
      </w:r>
      <w:r w:rsidRPr="00172EF2">
        <w:rPr>
          <w:rFonts w:ascii="Verdana" w:hAnsi="Verdana" w:cstheme="minorHAnsi"/>
          <w:i/>
          <w:color w:val="313131"/>
          <w:sz w:val="24"/>
          <w:szCs w:val="24"/>
        </w:rPr>
        <w:t xml:space="preserve"> z jednej strony </w:t>
      </w:r>
      <w:r w:rsidRPr="00172EF2">
        <w:rPr>
          <w:rFonts w:ascii="Verdana" w:hAnsi="Verdana" w:cstheme="minorHAnsi"/>
          <w:b/>
          <w:i/>
          <w:color w:val="313131"/>
          <w:sz w:val="24"/>
          <w:szCs w:val="24"/>
          <w:u w:val="single"/>
        </w:rPr>
        <w:t>mogą</w:t>
      </w:r>
      <w:r w:rsidRPr="00172EF2">
        <w:rPr>
          <w:rFonts w:ascii="Verdana" w:hAnsi="Verdana" w:cstheme="minorHAnsi"/>
          <w:i/>
          <w:color w:val="313131"/>
          <w:sz w:val="24"/>
          <w:szCs w:val="24"/>
        </w:rPr>
        <w:t xml:space="preserve"> zastąpić nieprawidłowe kwoty wykryte po złożeniu zestawienia wydatków przez dokonanie odpowiednich dostosowań w zestawieniu wydatków za rok obrachunkowy, w którym wykryto nieprawidłowość, z drugiej zaś </w:t>
      </w:r>
      <w:r w:rsidRPr="00172EF2">
        <w:rPr>
          <w:rFonts w:ascii="Verdana" w:hAnsi="Verdana" w:cstheme="minorHAnsi"/>
          <w:b/>
          <w:i/>
          <w:color w:val="313131"/>
          <w:sz w:val="24"/>
          <w:szCs w:val="24"/>
          <w:u w:val="single"/>
        </w:rPr>
        <w:t>ujmować w zestawieniach wydatków dotyczących kolejnych lat obrachunkowych wydatki poniesione w roku obrachunkowym, którego dotyczy przesłane (i np. już zatwierdzone) wcześniej zestawianie</w:t>
      </w:r>
      <w:r w:rsidRPr="00172EF2">
        <w:rPr>
          <w:rFonts w:ascii="Verdana" w:hAnsi="Verdana" w:cstheme="minorHAnsi"/>
          <w:i/>
          <w:color w:val="313131"/>
          <w:sz w:val="24"/>
          <w:szCs w:val="24"/>
        </w:rPr>
        <w:t>.</w:t>
      </w:r>
    </w:p>
    <w:p w14:paraId="41778454" w14:textId="77777777" w:rsidR="00853323" w:rsidRDefault="00853323" w:rsidP="004F3E3B">
      <w:pPr>
        <w:spacing w:line="360" w:lineRule="auto"/>
        <w:rPr>
          <w:rFonts w:ascii="Verdana" w:hAnsi="Verdana"/>
          <w:sz w:val="24"/>
          <w:szCs w:val="24"/>
        </w:rPr>
      </w:pPr>
    </w:p>
    <w:p w14:paraId="7D9389B7" w14:textId="77777777" w:rsidR="00172EF2" w:rsidRPr="00172EF2" w:rsidRDefault="00172EF2" w:rsidP="004F3E3B">
      <w:pPr>
        <w:spacing w:line="360" w:lineRule="auto"/>
        <w:rPr>
          <w:rFonts w:ascii="Verdana" w:hAnsi="Verdana"/>
          <w:sz w:val="24"/>
          <w:szCs w:val="24"/>
        </w:rPr>
      </w:pPr>
      <w:r w:rsidRPr="00172EF2">
        <w:rPr>
          <w:rFonts w:ascii="Verdana" w:hAnsi="Verdana"/>
          <w:sz w:val="24"/>
          <w:szCs w:val="24"/>
        </w:rPr>
        <w:t xml:space="preserve">W dalszej kolejności IZ RPO WP wyjaśnia, że wydatki dotyczące projektu nr RPPM.10.02.01-22-0013/16, objęte wcześniejszym audytem operacji, zostały ujęte przez IC w ostatecznym wniosku o płatność okresową do KE nr RPPM.IC.00-W14/18 w ramach kolejnego roku obrachunkowego za okres od 1 lipca 2018 r. do 30 czerwca 2019 r. Wydatki te zostały przedstawione jedynie do wysokości 75% wnioskowanej przez </w:t>
      </w:r>
      <w:r w:rsidRPr="00172EF2">
        <w:rPr>
          <w:rFonts w:ascii="Verdana" w:hAnsi="Verdana"/>
          <w:sz w:val="24"/>
          <w:szCs w:val="24"/>
        </w:rPr>
        <w:lastRenderedPageBreak/>
        <w:t>beneficjenta - Fundację „Wróć” wartości wydatków kwalifikowalnych (czyli wartości pomniejszonej o równowartość ustalenia IA w ramach audytu operacji na projekcie). Jednocześnie IZ RPO WP złożyła do IA dodatkowe wyjaśnienia, poparte w szczególności stosownymi orzeczeniami sądów i innych organów, które zawierały odmienne interpretacje przepisów prawa niż ocena przyjęta przez IA w toku przeprowadzonego audytu operacji (w szczególności w odniesieniu do przychodów beneficjenta z tytułu dotacji oświatowej, która nie stanowi bieżącego finansowania organu prowadzącego placówkę oświatową, lecz stanowi finansowanie edukacji/wychowania ucznia/wychowanka). Dowody przedstawione przez IZ RPO WP w istocie potwierdzały, że poniesione przez beneficjenta wydatki są w pełni zgodne z prawem i prawidłowe, a IA nie powinna traktować poniesionych wydatków w kategorii „nieprawidłowości”. Dowody te powinny tym samym stanowić podstawę do zmiany stanowiska przez IA, a w konsekwencji do umożliwienia ponownej kwalifikacji pozostałych 25% wydatków poniesionych w ramach projektu i ich poświadczenia do KE w kolejnych latach obrachunkowych.</w:t>
      </w:r>
    </w:p>
    <w:p w14:paraId="20172AF1" w14:textId="77777777" w:rsidR="00172EF2" w:rsidRPr="00172EF2" w:rsidRDefault="00172EF2" w:rsidP="004F3E3B">
      <w:pPr>
        <w:autoSpaceDE w:val="0"/>
        <w:autoSpaceDN w:val="0"/>
        <w:adjustRightInd w:val="0"/>
        <w:spacing w:line="360" w:lineRule="auto"/>
        <w:rPr>
          <w:rFonts w:ascii="Verdana" w:hAnsi="Verdana" w:cstheme="minorHAnsi"/>
          <w:i/>
          <w:color w:val="313131"/>
          <w:sz w:val="24"/>
          <w:szCs w:val="24"/>
        </w:rPr>
      </w:pPr>
      <w:r w:rsidRPr="00172EF2">
        <w:rPr>
          <w:rFonts w:ascii="Verdana" w:hAnsi="Verdana" w:cstheme="minorHAnsi"/>
          <w:color w:val="313131"/>
          <w:sz w:val="24"/>
          <w:szCs w:val="24"/>
        </w:rPr>
        <w:t>Powyższe wyjaśnienia znajdują również swoje potwierdzenie w</w:t>
      </w:r>
      <w:r w:rsidRPr="00172EF2">
        <w:rPr>
          <w:rFonts w:ascii="Verdana" w:hAnsi="Verdana" w:cstheme="minorHAnsi"/>
          <w:i/>
          <w:color w:val="313131"/>
          <w:sz w:val="24"/>
          <w:szCs w:val="24"/>
        </w:rPr>
        <w:t xml:space="preserve"> Wytycznych KE dla państw członkowskich dotyczących kwot wycofanych, kwot odzyskanych, kwot, które mają zostać odzyskane, oraz nieściągalnych należności</w:t>
      </w:r>
      <w:r w:rsidRPr="00172EF2">
        <w:rPr>
          <w:rStyle w:val="Odwoanieprzypisudolnego"/>
          <w:rFonts w:ascii="Verdana" w:hAnsi="Verdana" w:cstheme="minorHAnsi"/>
          <w:color w:val="313131"/>
          <w:sz w:val="24"/>
          <w:szCs w:val="24"/>
        </w:rPr>
        <w:footnoteReference w:id="6"/>
      </w:r>
      <w:r w:rsidRPr="00172EF2">
        <w:rPr>
          <w:rFonts w:ascii="Verdana" w:hAnsi="Verdana" w:cstheme="minorHAnsi"/>
          <w:i/>
          <w:color w:val="313131"/>
          <w:sz w:val="24"/>
          <w:szCs w:val="24"/>
        </w:rPr>
        <w:t xml:space="preserve"> </w:t>
      </w:r>
      <w:r w:rsidRPr="00172EF2">
        <w:rPr>
          <w:rFonts w:ascii="Verdana" w:hAnsi="Verdana" w:cstheme="minorHAnsi"/>
          <w:color w:val="313131"/>
          <w:sz w:val="24"/>
          <w:szCs w:val="24"/>
        </w:rPr>
        <w:t>(dalej jako:</w:t>
      </w:r>
      <w:r w:rsidRPr="00172EF2">
        <w:rPr>
          <w:rFonts w:ascii="Verdana" w:hAnsi="Verdana" w:cstheme="minorHAnsi"/>
          <w:i/>
          <w:color w:val="313131"/>
          <w:sz w:val="24"/>
          <w:szCs w:val="24"/>
        </w:rPr>
        <w:t xml:space="preserve"> Wytyczne dotyczące kwot odzyskanych</w:t>
      </w:r>
      <w:r w:rsidRPr="00172EF2">
        <w:rPr>
          <w:rFonts w:ascii="Verdana" w:hAnsi="Verdana" w:cstheme="minorHAnsi"/>
          <w:color w:val="313131"/>
          <w:sz w:val="24"/>
          <w:szCs w:val="24"/>
        </w:rPr>
        <w:t>):</w:t>
      </w:r>
    </w:p>
    <w:p w14:paraId="33D723F6" w14:textId="77777777" w:rsidR="00172EF2" w:rsidRPr="00172EF2" w:rsidRDefault="00172EF2" w:rsidP="004F3E3B">
      <w:pPr>
        <w:autoSpaceDE w:val="0"/>
        <w:autoSpaceDN w:val="0"/>
        <w:adjustRightInd w:val="0"/>
        <w:spacing w:line="360" w:lineRule="auto"/>
        <w:rPr>
          <w:rFonts w:ascii="Verdana" w:hAnsi="Verdana" w:cstheme="minorHAnsi"/>
          <w:i/>
          <w:color w:val="313131"/>
          <w:sz w:val="24"/>
          <w:szCs w:val="24"/>
        </w:rPr>
      </w:pPr>
      <w:r w:rsidRPr="00172EF2">
        <w:rPr>
          <w:rFonts w:ascii="Verdana" w:hAnsi="Verdana" w:cstheme="minorHAnsi"/>
          <w:i/>
          <w:color w:val="313131"/>
          <w:sz w:val="24"/>
          <w:szCs w:val="24"/>
        </w:rPr>
        <w:t>Stwierdzone nieprawidłowości (tj. nieprawidłowości stwierdzone przez właściwe organy, w tym nieprawidłowości ujawnione w końcowych sprawozdaniach z kontroli lub audytu):</w:t>
      </w:r>
    </w:p>
    <w:p w14:paraId="5F8B67FC" w14:textId="77777777" w:rsidR="00172EF2" w:rsidRPr="00172EF2" w:rsidRDefault="00172EF2" w:rsidP="004F3E3B">
      <w:pPr>
        <w:autoSpaceDE w:val="0"/>
        <w:autoSpaceDN w:val="0"/>
        <w:adjustRightInd w:val="0"/>
        <w:spacing w:line="360" w:lineRule="auto"/>
        <w:rPr>
          <w:rFonts w:ascii="Verdana" w:hAnsi="Verdana" w:cstheme="minorHAnsi"/>
          <w:i/>
          <w:color w:val="313131"/>
          <w:sz w:val="24"/>
          <w:szCs w:val="24"/>
        </w:rPr>
      </w:pPr>
      <w:r w:rsidRPr="00172EF2">
        <w:rPr>
          <w:rFonts w:ascii="Verdana" w:hAnsi="Verdana" w:cstheme="minorHAnsi"/>
          <w:i/>
          <w:color w:val="313131"/>
          <w:sz w:val="24"/>
          <w:szCs w:val="24"/>
        </w:rPr>
        <w:t xml:space="preserve">1. Nieprawidłowości dotyczące wydatków poświadczonych w danym roku obrachunkowym wykryte przed złożeniem ostatecznego wniosku o płatność okresową należy albo 1) traktować jako kwoty wycofane, a zatem należy je odliczyć od wydatków zadeklarowanych w ostatecznym wniosku o płatność okresową, a następnie przedstawić w dodatku 2, albo </w:t>
      </w:r>
      <w:r w:rsidRPr="00172EF2">
        <w:rPr>
          <w:rFonts w:ascii="Verdana" w:hAnsi="Verdana" w:cstheme="minorHAnsi"/>
          <w:i/>
          <w:color w:val="313131"/>
          <w:sz w:val="24"/>
          <w:szCs w:val="24"/>
        </w:rPr>
        <w:lastRenderedPageBreak/>
        <w:t>2) odliczyć bezpośrednio od zestawienia wydatków (odzwierciedlonego w dodatku 1) i zgłosić w dodatku 8.</w:t>
      </w:r>
    </w:p>
    <w:p w14:paraId="022123AA" w14:textId="77777777" w:rsidR="00172EF2" w:rsidRPr="00172EF2" w:rsidRDefault="00172EF2" w:rsidP="004F3E3B">
      <w:pPr>
        <w:autoSpaceDE w:val="0"/>
        <w:autoSpaceDN w:val="0"/>
        <w:adjustRightInd w:val="0"/>
        <w:spacing w:line="360" w:lineRule="auto"/>
        <w:rPr>
          <w:rFonts w:ascii="Verdana" w:hAnsi="Verdana" w:cstheme="minorHAnsi"/>
          <w:i/>
          <w:color w:val="313131"/>
          <w:sz w:val="24"/>
          <w:szCs w:val="24"/>
        </w:rPr>
      </w:pPr>
      <w:r w:rsidRPr="00172EF2">
        <w:rPr>
          <w:rFonts w:ascii="Verdana" w:hAnsi="Verdana" w:cstheme="minorHAnsi"/>
          <w:i/>
          <w:color w:val="313131"/>
          <w:sz w:val="24"/>
          <w:szCs w:val="24"/>
        </w:rPr>
        <w:t>2. Nieprawidłowości dotyczące wydatków poświadczonych w danym roku obrachunkowym wykryte po złożeniu ostatecznego wniosku o płatność okresową, ale przed złożeniem zestawienia wydatków, należy odliczyć od zestawienia wydatków (tj. zmniejszenie wydatków przedstawionych w dodatku 1) i wyjaśnić w dodatku 8. Nie są konieczne dalsze działania ani w dodatku 2, ani we wnioskach o płatność okresową w kolejnym roku obrachunkowym.</w:t>
      </w:r>
    </w:p>
    <w:p w14:paraId="4C61E090" w14:textId="77777777" w:rsidR="00172EF2" w:rsidRPr="00172EF2" w:rsidRDefault="00172EF2" w:rsidP="004F3E3B">
      <w:pPr>
        <w:autoSpaceDE w:val="0"/>
        <w:autoSpaceDN w:val="0"/>
        <w:adjustRightInd w:val="0"/>
        <w:spacing w:line="360" w:lineRule="auto"/>
        <w:rPr>
          <w:rFonts w:ascii="Verdana" w:hAnsi="Verdana" w:cstheme="minorHAnsi"/>
          <w:i/>
          <w:color w:val="313131"/>
          <w:sz w:val="24"/>
          <w:szCs w:val="24"/>
        </w:rPr>
      </w:pPr>
      <w:r w:rsidRPr="00172EF2">
        <w:rPr>
          <w:rFonts w:ascii="Verdana" w:hAnsi="Verdana" w:cstheme="minorHAnsi"/>
          <w:i/>
          <w:color w:val="313131"/>
          <w:sz w:val="24"/>
          <w:szCs w:val="24"/>
        </w:rPr>
        <w:t>3. Nieprawidłowości wykryte po złożeniu zestawienia wydatków można traktować jako kwoty wycofane lub kwoty odzyskane wdrożone w kolejnym wniosku o płatność okresową oraz przedstawić w dodatku 2 w odniesieniu do roku obrachunkowego, w którym kwoty te są odliczane.</w:t>
      </w:r>
    </w:p>
    <w:p w14:paraId="61F0C9CE" w14:textId="77777777" w:rsidR="00172EF2" w:rsidRPr="00172EF2" w:rsidRDefault="00172EF2" w:rsidP="004F3E3B">
      <w:pPr>
        <w:autoSpaceDE w:val="0"/>
        <w:autoSpaceDN w:val="0"/>
        <w:adjustRightInd w:val="0"/>
        <w:spacing w:line="360" w:lineRule="auto"/>
        <w:rPr>
          <w:rFonts w:ascii="Verdana" w:hAnsi="Verdana" w:cstheme="minorHAnsi"/>
          <w:i/>
          <w:color w:val="313131"/>
          <w:sz w:val="24"/>
          <w:szCs w:val="24"/>
        </w:rPr>
      </w:pPr>
      <w:r w:rsidRPr="00172EF2">
        <w:rPr>
          <w:rFonts w:ascii="Verdana" w:hAnsi="Verdana" w:cstheme="minorHAnsi"/>
          <w:i/>
          <w:color w:val="313131"/>
          <w:sz w:val="24"/>
          <w:szCs w:val="24"/>
        </w:rPr>
        <w:t xml:space="preserve">Wszystkie powyższe korekty uważa się za ostateczne. W związku z tym odliczonych wydatków nie można ponownie wprowadzić do żadnego kolejnego wniosku o płatność składanego Komisji (ani dla bieżącego roku obrachunkowego, ani dla kolejnych lat obrachunkowych). </w:t>
      </w:r>
      <w:r w:rsidRPr="00172EF2">
        <w:rPr>
          <w:rFonts w:ascii="Verdana" w:hAnsi="Verdana" w:cstheme="minorHAnsi"/>
          <w:b/>
          <w:i/>
          <w:color w:val="313131"/>
          <w:sz w:val="24"/>
          <w:szCs w:val="24"/>
          <w:u w:val="single"/>
        </w:rPr>
        <w:t>Wyjątkowo, po podjęciu przez Trybunał (lub organ, który jest częścią systemu sądowego) decyzji kwestionującej zasadność zastosowania korekty finansowej oraz po uwzględnieniu wpływu tej decyzji na zgodność z prawem i prawidłowość przedmiotowych</w:t>
      </w:r>
      <w:r w:rsidRPr="00172EF2">
        <w:rPr>
          <w:rFonts w:ascii="Verdana" w:hAnsi="Verdana"/>
          <w:b/>
          <w:sz w:val="24"/>
          <w:szCs w:val="24"/>
          <w:u w:val="single"/>
        </w:rPr>
        <w:t xml:space="preserve"> </w:t>
      </w:r>
      <w:r w:rsidRPr="00172EF2">
        <w:rPr>
          <w:rFonts w:ascii="Verdana" w:hAnsi="Verdana" w:cstheme="minorHAnsi"/>
          <w:b/>
          <w:i/>
          <w:color w:val="313131"/>
          <w:sz w:val="24"/>
          <w:szCs w:val="24"/>
          <w:u w:val="single"/>
        </w:rPr>
        <w:t>wydatków, organy krajowe mogą podjąć decyzję o ponownym wprowadzeniu w kolejnym wniosku o płatność wcześniej odliczonych wydatków i zgłoszonych jako korekta finansowa</w:t>
      </w:r>
      <w:r w:rsidRPr="00172EF2">
        <w:rPr>
          <w:rFonts w:ascii="Verdana" w:hAnsi="Verdana" w:cstheme="minorHAnsi"/>
          <w:b/>
          <w:i/>
          <w:color w:val="313131"/>
          <w:sz w:val="24"/>
          <w:szCs w:val="24"/>
          <w:u w:val="single"/>
          <w:vertAlign w:val="superscript"/>
        </w:rPr>
        <w:t>9</w:t>
      </w:r>
      <w:r w:rsidRPr="00172EF2">
        <w:rPr>
          <w:rFonts w:ascii="Verdana" w:hAnsi="Verdana" w:cstheme="minorHAnsi"/>
          <w:i/>
          <w:color w:val="313131"/>
          <w:sz w:val="24"/>
          <w:szCs w:val="24"/>
        </w:rPr>
        <w:t>.</w:t>
      </w:r>
    </w:p>
    <w:p w14:paraId="6D7ADE57" w14:textId="77777777" w:rsidR="00172EF2" w:rsidRPr="00172EF2" w:rsidRDefault="00172EF2" w:rsidP="004F3E3B">
      <w:pPr>
        <w:autoSpaceDE w:val="0"/>
        <w:autoSpaceDN w:val="0"/>
        <w:adjustRightInd w:val="0"/>
        <w:spacing w:line="360" w:lineRule="auto"/>
        <w:rPr>
          <w:rFonts w:ascii="Verdana" w:hAnsi="Verdana" w:cstheme="minorHAnsi"/>
          <w:b/>
          <w:i/>
          <w:color w:val="313131"/>
          <w:sz w:val="24"/>
          <w:szCs w:val="24"/>
        </w:rPr>
      </w:pPr>
      <w:r w:rsidRPr="00172EF2">
        <w:rPr>
          <w:rFonts w:ascii="Verdana" w:hAnsi="Verdana" w:cstheme="minorHAnsi"/>
          <w:b/>
          <w:i/>
          <w:color w:val="313131"/>
          <w:sz w:val="24"/>
          <w:szCs w:val="24"/>
          <w:vertAlign w:val="superscript"/>
        </w:rPr>
        <w:t xml:space="preserve">9 </w:t>
      </w:r>
      <w:r w:rsidRPr="00172EF2">
        <w:rPr>
          <w:rFonts w:ascii="Verdana" w:hAnsi="Verdana" w:cstheme="minorHAnsi"/>
          <w:b/>
          <w:i/>
          <w:color w:val="313131"/>
          <w:sz w:val="24"/>
          <w:szCs w:val="24"/>
        </w:rPr>
        <w:t xml:space="preserve">Przykład: </w:t>
      </w:r>
      <w:r w:rsidRPr="00172EF2">
        <w:rPr>
          <w:rFonts w:ascii="Verdana" w:hAnsi="Verdana" w:cstheme="minorHAnsi"/>
          <w:b/>
          <w:i/>
          <w:color w:val="313131"/>
          <w:sz w:val="24"/>
          <w:szCs w:val="24"/>
          <w:u w:val="single"/>
        </w:rPr>
        <w:t>decyzja sądu krajowego przedstawiająca wykładnię krajowej zasady kwalifikowalności</w:t>
      </w:r>
      <w:r w:rsidRPr="00172EF2">
        <w:rPr>
          <w:rFonts w:ascii="Verdana" w:hAnsi="Verdana" w:cstheme="minorHAnsi"/>
          <w:b/>
          <w:i/>
          <w:color w:val="313131"/>
          <w:sz w:val="24"/>
          <w:szCs w:val="24"/>
        </w:rPr>
        <w:t xml:space="preserve"> w przypadku, w którym taka </w:t>
      </w:r>
      <w:r w:rsidRPr="00172EF2">
        <w:rPr>
          <w:rFonts w:ascii="Verdana" w:hAnsi="Verdana" w:cstheme="minorHAnsi"/>
          <w:b/>
          <w:i/>
          <w:color w:val="313131"/>
          <w:sz w:val="24"/>
          <w:szCs w:val="24"/>
          <w:u w:val="single"/>
        </w:rPr>
        <w:t>wykładnia różni się od wykładni IZ / IC / IA, a następnie prowadzi do zmiany wniosku dotyczącego kwalifikowalności danych wydatków</w:t>
      </w:r>
      <w:r w:rsidRPr="00172EF2">
        <w:rPr>
          <w:rFonts w:ascii="Verdana" w:hAnsi="Verdana" w:cstheme="minorHAnsi"/>
          <w:b/>
          <w:i/>
          <w:color w:val="313131"/>
          <w:sz w:val="24"/>
          <w:szCs w:val="24"/>
        </w:rPr>
        <w:t>.</w:t>
      </w:r>
    </w:p>
    <w:p w14:paraId="31473266" w14:textId="77777777" w:rsidR="00853323" w:rsidRDefault="00853323" w:rsidP="004F3E3B">
      <w:pPr>
        <w:autoSpaceDE w:val="0"/>
        <w:autoSpaceDN w:val="0"/>
        <w:adjustRightInd w:val="0"/>
        <w:spacing w:line="360" w:lineRule="auto"/>
        <w:rPr>
          <w:rFonts w:ascii="Verdana" w:hAnsi="Verdana" w:cstheme="minorHAnsi"/>
          <w:bCs/>
          <w:color w:val="313131"/>
          <w:sz w:val="24"/>
          <w:szCs w:val="24"/>
        </w:rPr>
      </w:pPr>
    </w:p>
    <w:p w14:paraId="1DB0AF23" w14:textId="77777777" w:rsidR="00172EF2" w:rsidRPr="00172EF2" w:rsidRDefault="00172EF2" w:rsidP="004F3E3B">
      <w:pPr>
        <w:autoSpaceDE w:val="0"/>
        <w:autoSpaceDN w:val="0"/>
        <w:adjustRightInd w:val="0"/>
        <w:spacing w:line="360" w:lineRule="auto"/>
        <w:rPr>
          <w:rFonts w:ascii="Verdana" w:hAnsi="Verdana" w:cstheme="minorHAnsi"/>
          <w:b/>
          <w:color w:val="313131"/>
          <w:sz w:val="24"/>
          <w:szCs w:val="24"/>
          <w:u w:val="single"/>
        </w:rPr>
      </w:pPr>
      <w:r w:rsidRPr="00172EF2">
        <w:rPr>
          <w:rFonts w:ascii="Verdana" w:hAnsi="Verdana" w:cstheme="minorHAnsi"/>
          <w:bCs/>
          <w:color w:val="313131"/>
          <w:sz w:val="24"/>
          <w:szCs w:val="24"/>
        </w:rPr>
        <w:t xml:space="preserve">W świetle powołanych powyżej Wytycznych dotyczących kwot odzyskanych, IZ RPO WP informuje, że do oceny, czy beneficjent – </w:t>
      </w:r>
      <w:r w:rsidRPr="00172EF2">
        <w:rPr>
          <w:rFonts w:ascii="Verdana" w:hAnsi="Verdana" w:cstheme="minorHAnsi"/>
          <w:bCs/>
          <w:color w:val="313131"/>
          <w:sz w:val="24"/>
          <w:szCs w:val="24"/>
        </w:rPr>
        <w:lastRenderedPageBreak/>
        <w:t xml:space="preserve">Fundacja „Wróć” jest podmiotem podmiotowo zobowiązanym do stosowania ustawy – </w:t>
      </w:r>
      <w:r w:rsidRPr="00172EF2">
        <w:rPr>
          <w:rFonts w:ascii="Verdana" w:hAnsi="Verdana" w:cstheme="minorHAnsi"/>
          <w:bCs/>
          <w:i/>
          <w:color w:val="313131"/>
          <w:sz w:val="24"/>
          <w:szCs w:val="24"/>
        </w:rPr>
        <w:t xml:space="preserve">Prawo zamówień publicznych </w:t>
      </w:r>
      <w:r w:rsidRPr="00172EF2">
        <w:rPr>
          <w:rFonts w:ascii="Verdana" w:hAnsi="Verdana" w:cstheme="minorHAnsi"/>
          <w:bCs/>
          <w:color w:val="313131"/>
          <w:sz w:val="24"/>
          <w:szCs w:val="24"/>
        </w:rPr>
        <w:t xml:space="preserve">(dalej jako: </w:t>
      </w:r>
      <w:r w:rsidRPr="00172EF2">
        <w:rPr>
          <w:rFonts w:ascii="Verdana" w:hAnsi="Verdana" w:cstheme="minorHAnsi"/>
          <w:bCs/>
          <w:i/>
          <w:color w:val="313131"/>
          <w:sz w:val="24"/>
          <w:szCs w:val="24"/>
        </w:rPr>
        <w:t>ustawa PZP</w:t>
      </w:r>
      <w:r w:rsidRPr="00172EF2">
        <w:rPr>
          <w:rFonts w:ascii="Verdana" w:hAnsi="Verdana" w:cstheme="minorHAnsi"/>
          <w:bCs/>
          <w:color w:val="313131"/>
          <w:sz w:val="24"/>
          <w:szCs w:val="24"/>
        </w:rPr>
        <w:t xml:space="preserve">) nie jest konieczne uzyskanie decyzji organu będącego częścią systemu sądowego w konkretnej sprawie, np. w toku postępowania sądowo-administracyjnego związanego z kontrolą legalności decyzji administracyjnej dotyczącej odzyskiwania środków w danym projekcie. Po pierwsze nie wymagają tego przepisy prawa, a po drugie nie wynika to także z treści samych wytycznych KE. W tej sytuacji do oceny, czy beneficjent był Zamawiającym w świetle ustawy PZP wystarczająca jest analiza źródeł jego przychodów i ocena ich charakterystyki, poparta stosownymi interpretacjami Urzędu Zamówień Publicznych oraz sądów. Interpretacje te bowiem zawierają odmienną wykładnię przepisów leżących u podstaw oceny kwalifikowalności wydatków od wykładni przyjętej przez IA w toku przeprowadzonego audytu operacji. W konsekwencji dostarczone przez IZ RPO WP dowody powinny skutkować zmianą wniosku IA w zakresie kwalifikowalności wydatków poniesionych w projekcie. </w:t>
      </w:r>
    </w:p>
    <w:p w14:paraId="1919082A" w14:textId="62519417" w:rsidR="00700552" w:rsidRPr="00700552" w:rsidRDefault="00700552" w:rsidP="004F3E3B">
      <w:pPr>
        <w:spacing w:line="360" w:lineRule="auto"/>
        <w:rPr>
          <w:rFonts w:ascii="Verdana" w:eastAsia="Verdana" w:hAnsi="Verdana" w:cs="Verdana"/>
          <w:sz w:val="24"/>
          <w:szCs w:val="24"/>
        </w:rPr>
      </w:pPr>
    </w:p>
    <w:sectPr w:rsidR="00700552" w:rsidRPr="00700552" w:rsidSect="00754D30">
      <w:pgSz w:w="11909" w:h="16834"/>
      <w:pgMar w:top="1440" w:right="1440" w:bottom="1440" w:left="144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CE049" w14:textId="77777777" w:rsidR="00375E8D" w:rsidRDefault="00375E8D" w:rsidP="00A84989">
      <w:pPr>
        <w:spacing w:line="240" w:lineRule="auto"/>
      </w:pPr>
      <w:r>
        <w:separator/>
      </w:r>
    </w:p>
  </w:endnote>
  <w:endnote w:type="continuationSeparator" w:id="0">
    <w:p w14:paraId="6B27702D" w14:textId="77777777" w:rsidR="00375E8D" w:rsidRDefault="00375E8D" w:rsidP="00A849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9529F" w14:textId="77777777" w:rsidR="00375E8D" w:rsidRDefault="00375E8D" w:rsidP="00A84989">
      <w:pPr>
        <w:spacing w:line="240" w:lineRule="auto"/>
      </w:pPr>
      <w:r>
        <w:separator/>
      </w:r>
    </w:p>
  </w:footnote>
  <w:footnote w:type="continuationSeparator" w:id="0">
    <w:p w14:paraId="073999C9" w14:textId="77777777" w:rsidR="00375E8D" w:rsidRDefault="00375E8D" w:rsidP="00A84989">
      <w:pPr>
        <w:spacing w:line="240" w:lineRule="auto"/>
      </w:pPr>
      <w:r>
        <w:continuationSeparator/>
      </w:r>
    </w:p>
  </w:footnote>
  <w:footnote w:id="1">
    <w:p w14:paraId="1A56D6E8" w14:textId="7B83220B" w:rsidR="00172EF2" w:rsidRDefault="00172EF2" w:rsidP="00172EF2">
      <w:pPr>
        <w:spacing w:line="360" w:lineRule="auto"/>
        <w:rPr>
          <w:rFonts w:ascii="Verdana" w:hAnsi="Verdana" w:cs="Times New Roman"/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A84989">
        <w:rPr>
          <w:rFonts w:ascii="Verdana" w:hAnsi="Verdana"/>
          <w:sz w:val="20"/>
          <w:szCs w:val="20"/>
        </w:rPr>
        <w:t>Komentarz Krzysztofa Gruszeckiego do ustawy z dnia 27 kwietnia 2001 r., Prawo ochrony Środowiska definiujący pojęcie interesu społecznego w powołaniu się na M. Wyrzykowskiego.</w:t>
      </w:r>
    </w:p>
    <w:p w14:paraId="560A6B43" w14:textId="6DF63B89" w:rsidR="00172EF2" w:rsidRDefault="00172EF2">
      <w:pPr>
        <w:pStyle w:val="Tekstprzypisudolnego"/>
      </w:pPr>
    </w:p>
  </w:footnote>
  <w:footnote w:id="2">
    <w:p w14:paraId="1E3B8B30" w14:textId="374D8C2E" w:rsidR="00172EF2" w:rsidRPr="00172EF2" w:rsidRDefault="00172EF2" w:rsidP="00172EF2">
      <w:pPr>
        <w:pStyle w:val="Tekstprzypisudolnego"/>
        <w:spacing w:line="360" w:lineRule="auto"/>
        <w:rPr>
          <w:rFonts w:ascii="Verdana" w:hAnsi="Verdana"/>
        </w:rPr>
      </w:pPr>
      <w:r w:rsidRPr="00172EF2">
        <w:rPr>
          <w:rStyle w:val="Odwoanieprzypisudolnego"/>
          <w:rFonts w:ascii="Verdana" w:hAnsi="Verdana"/>
        </w:rPr>
        <w:footnoteRef/>
      </w:r>
      <w:r w:rsidRPr="00172EF2">
        <w:rPr>
          <w:rFonts w:ascii="Verdana" w:hAnsi="Verdana"/>
        </w:rPr>
        <w:t xml:space="preserve"> Dz.</w:t>
      </w:r>
      <w:r>
        <w:rPr>
          <w:rFonts w:ascii="Verdana" w:hAnsi="Verdana"/>
        </w:rPr>
        <w:t xml:space="preserve"> </w:t>
      </w:r>
      <w:r w:rsidRPr="00172EF2">
        <w:rPr>
          <w:rFonts w:ascii="Verdana" w:hAnsi="Verdana"/>
        </w:rPr>
        <w:t>Urz. UE L 138 z 13.5.2014 r., s. 5 ze zm.</w:t>
      </w:r>
    </w:p>
  </w:footnote>
  <w:footnote w:id="3">
    <w:p w14:paraId="6D577020" w14:textId="33FE213A" w:rsidR="00172EF2" w:rsidRPr="00172EF2" w:rsidRDefault="00172EF2" w:rsidP="00172EF2">
      <w:pPr>
        <w:pStyle w:val="Tekstprzypisudolnego"/>
        <w:spacing w:line="360" w:lineRule="auto"/>
        <w:rPr>
          <w:rFonts w:ascii="Verdana" w:hAnsi="Verdana"/>
        </w:rPr>
      </w:pPr>
      <w:r w:rsidRPr="00172EF2">
        <w:rPr>
          <w:rStyle w:val="Odwoanieprzypisudolnego"/>
          <w:rFonts w:ascii="Verdana" w:hAnsi="Verdana"/>
        </w:rPr>
        <w:footnoteRef/>
      </w:r>
      <w:r w:rsidRPr="00172EF2">
        <w:rPr>
          <w:rFonts w:ascii="Verdana" w:hAnsi="Verdana"/>
        </w:rPr>
        <w:t xml:space="preserve"> Dz.</w:t>
      </w:r>
      <w:r>
        <w:rPr>
          <w:rFonts w:ascii="Verdana" w:hAnsi="Verdana"/>
        </w:rPr>
        <w:t xml:space="preserve"> </w:t>
      </w:r>
      <w:r w:rsidRPr="00172EF2">
        <w:rPr>
          <w:rFonts w:ascii="Verdana" w:hAnsi="Verdana"/>
        </w:rPr>
        <w:t>Urz. UE L 347 z 20.12.2013 r., s. 320 ze zm.</w:t>
      </w:r>
    </w:p>
  </w:footnote>
  <w:footnote w:id="4">
    <w:p w14:paraId="4E756499" w14:textId="77777777" w:rsidR="00172EF2" w:rsidRPr="00DA44F5" w:rsidRDefault="00172EF2" w:rsidP="00172EF2">
      <w:pPr>
        <w:pStyle w:val="Tekstprzypisudolnego"/>
        <w:spacing w:line="360" w:lineRule="auto"/>
        <w:rPr>
          <w:sz w:val="18"/>
          <w:szCs w:val="18"/>
        </w:rPr>
      </w:pPr>
      <w:r w:rsidRPr="00172EF2">
        <w:rPr>
          <w:rStyle w:val="Odwoanieprzypisudolnego"/>
          <w:rFonts w:ascii="Verdana" w:hAnsi="Verdana"/>
        </w:rPr>
        <w:footnoteRef/>
      </w:r>
      <w:r w:rsidRPr="00172EF2">
        <w:rPr>
          <w:rFonts w:ascii="Verdana" w:hAnsi="Verdana"/>
        </w:rPr>
        <w:t xml:space="preserve"> Roczne sprawozdanie z kontroli zgodnie z art. 127 ust. 5 lit. B) rozporządzenia Parlamentu Europejskiego i Rady (UE) nr 1303/2013, art. 7 ust. 3 oraz Załącznikiem IX rozporządzenia wykonawczego Komisji (UE) 2015/207 za okres od 1 lipca 2016 r. do 30 czerwca 2017 r. Regionalnego Programu Operacyjnego Województwa Pomorskiego na lata 2014-2020, sygn. DAS3.9011.02.2017.15.2018.JSA.</w:t>
      </w:r>
    </w:p>
  </w:footnote>
  <w:footnote w:id="5">
    <w:p w14:paraId="08A12DDB" w14:textId="77777777" w:rsidR="00172EF2" w:rsidRPr="00172EF2" w:rsidRDefault="00172EF2" w:rsidP="00172EF2">
      <w:pPr>
        <w:pStyle w:val="Tekstprzypisudolnego"/>
        <w:spacing w:line="360" w:lineRule="auto"/>
        <w:jc w:val="both"/>
        <w:rPr>
          <w:rFonts w:ascii="Verdana" w:hAnsi="Verdana"/>
        </w:rPr>
      </w:pPr>
      <w:r w:rsidRPr="00172EF2">
        <w:rPr>
          <w:rStyle w:val="Odwoanieprzypisudolnego"/>
          <w:rFonts w:ascii="Verdana" w:hAnsi="Verdana"/>
        </w:rPr>
        <w:footnoteRef/>
      </w:r>
      <w:r w:rsidRPr="00172EF2">
        <w:rPr>
          <w:rFonts w:ascii="Verdana" w:hAnsi="Verdana"/>
        </w:rPr>
        <w:t xml:space="preserve"> EGESIF_15_0018-04.</w:t>
      </w:r>
    </w:p>
  </w:footnote>
  <w:footnote w:id="6">
    <w:p w14:paraId="2A68F018" w14:textId="77777777" w:rsidR="00172EF2" w:rsidRPr="00172EF2" w:rsidRDefault="00172EF2" w:rsidP="00172EF2">
      <w:pPr>
        <w:pStyle w:val="Tekstprzypisudolnego"/>
        <w:rPr>
          <w:rFonts w:ascii="Verdana" w:hAnsi="Verdana"/>
        </w:rPr>
      </w:pPr>
      <w:r w:rsidRPr="00172EF2">
        <w:rPr>
          <w:rStyle w:val="Odwoanieprzypisudolnego"/>
          <w:rFonts w:ascii="Verdana" w:hAnsi="Verdana"/>
        </w:rPr>
        <w:footnoteRef/>
      </w:r>
      <w:r w:rsidRPr="00172EF2">
        <w:rPr>
          <w:rFonts w:ascii="Verdana" w:hAnsi="Verdana"/>
        </w:rPr>
        <w:t xml:space="preserve"> EGESIF_15_0017-04.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2F37"/>
    <w:multiLevelType w:val="multilevel"/>
    <w:tmpl w:val="2F9001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5442BA7"/>
    <w:multiLevelType w:val="hybridMultilevel"/>
    <w:tmpl w:val="D50E1C6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D50915"/>
    <w:multiLevelType w:val="multilevel"/>
    <w:tmpl w:val="2C1A60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F710379"/>
    <w:multiLevelType w:val="multilevel"/>
    <w:tmpl w:val="8AECE9C0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Theme="minorHAnsi" w:hAnsi="Verdana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D3B73DF"/>
    <w:multiLevelType w:val="hybridMultilevel"/>
    <w:tmpl w:val="D19835E0"/>
    <w:lvl w:ilvl="0" w:tplc="C778CB40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20C67"/>
    <w:multiLevelType w:val="hybridMultilevel"/>
    <w:tmpl w:val="B2CA9276"/>
    <w:lvl w:ilvl="0" w:tplc="21064490">
      <w:start w:val="1"/>
      <w:numFmt w:val="decimal"/>
      <w:lvlText w:val="%1."/>
      <w:lvlJc w:val="left"/>
      <w:pPr>
        <w:ind w:left="720" w:hanging="360"/>
      </w:pPr>
      <w:rPr>
        <w:rFonts w:eastAsia="Gulim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C7F64"/>
    <w:multiLevelType w:val="hybridMultilevel"/>
    <w:tmpl w:val="D19835E0"/>
    <w:lvl w:ilvl="0" w:tplc="C778CB40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65EE2"/>
    <w:multiLevelType w:val="multilevel"/>
    <w:tmpl w:val="86C6ED8C"/>
    <w:lvl w:ilvl="0">
      <w:start w:val="1"/>
      <w:numFmt w:val="decimal"/>
      <w:lvlText w:val="%1."/>
      <w:lvlJc w:val="left"/>
      <w:pPr>
        <w:ind w:left="514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23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54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7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9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14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3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5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74" w:hanging="360"/>
      </w:pPr>
      <w:rPr>
        <w:u w:val="none"/>
      </w:rPr>
    </w:lvl>
  </w:abstractNum>
  <w:abstractNum w:abstractNumId="8" w15:restartNumberingAfterBreak="0">
    <w:nsid w:val="3EBB5533"/>
    <w:multiLevelType w:val="hybridMultilevel"/>
    <w:tmpl w:val="252EC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9515C"/>
    <w:multiLevelType w:val="hybridMultilevel"/>
    <w:tmpl w:val="956A8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2488C"/>
    <w:multiLevelType w:val="hybridMultilevel"/>
    <w:tmpl w:val="771253E6"/>
    <w:lvl w:ilvl="0" w:tplc="D26AD46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9013EC"/>
    <w:multiLevelType w:val="multilevel"/>
    <w:tmpl w:val="86C6ED8C"/>
    <w:lvl w:ilvl="0">
      <w:start w:val="1"/>
      <w:numFmt w:val="decimal"/>
      <w:lvlText w:val="%1."/>
      <w:lvlJc w:val="left"/>
      <w:pPr>
        <w:ind w:left="514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23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54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7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9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14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3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5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74" w:hanging="360"/>
      </w:pPr>
      <w:rPr>
        <w:u w:val="none"/>
      </w:rPr>
    </w:lvl>
  </w:abstractNum>
  <w:abstractNum w:abstractNumId="12" w15:restartNumberingAfterBreak="0">
    <w:nsid w:val="5B9D61AA"/>
    <w:multiLevelType w:val="multilevel"/>
    <w:tmpl w:val="EA904F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F550401"/>
    <w:multiLevelType w:val="hybridMultilevel"/>
    <w:tmpl w:val="10C480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D3C2E"/>
    <w:multiLevelType w:val="multilevel"/>
    <w:tmpl w:val="FF2844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73B52B45"/>
    <w:multiLevelType w:val="multilevel"/>
    <w:tmpl w:val="7FAC54FE"/>
    <w:lvl w:ilvl="0">
      <w:start w:val="1"/>
      <w:numFmt w:val="decimal"/>
      <w:lvlText w:val="%1."/>
      <w:lvlJc w:val="left"/>
      <w:pPr>
        <w:ind w:left="51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3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54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7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9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14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3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5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74" w:hanging="360"/>
      </w:pPr>
      <w:rPr>
        <w:u w:val="none"/>
      </w:rPr>
    </w:lvl>
  </w:abstractNum>
  <w:num w:numId="1">
    <w:abstractNumId w:val="15"/>
  </w:num>
  <w:num w:numId="2">
    <w:abstractNumId w:val="2"/>
  </w:num>
  <w:num w:numId="3">
    <w:abstractNumId w:val="14"/>
  </w:num>
  <w:num w:numId="4">
    <w:abstractNumId w:val="0"/>
  </w:num>
  <w:num w:numId="5">
    <w:abstractNumId w:val="12"/>
  </w:num>
  <w:num w:numId="6">
    <w:abstractNumId w:val="1"/>
  </w:num>
  <w:num w:numId="7">
    <w:abstractNumId w:val="7"/>
  </w:num>
  <w:num w:numId="8">
    <w:abstractNumId w:val="11"/>
  </w:num>
  <w:num w:numId="9">
    <w:abstractNumId w:val="13"/>
  </w:num>
  <w:num w:numId="10">
    <w:abstractNumId w:val="5"/>
  </w:num>
  <w:num w:numId="11">
    <w:abstractNumId w:val="3"/>
  </w:num>
  <w:num w:numId="12">
    <w:abstractNumId w:val="10"/>
  </w:num>
  <w:num w:numId="13">
    <w:abstractNumId w:val="9"/>
  </w:num>
  <w:num w:numId="14">
    <w:abstractNumId w:val="8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40C"/>
    <w:rsid w:val="000034EF"/>
    <w:rsid w:val="0002145D"/>
    <w:rsid w:val="0008036A"/>
    <w:rsid w:val="00086F0E"/>
    <w:rsid w:val="000A0C51"/>
    <w:rsid w:val="000B1BE8"/>
    <w:rsid w:val="000C160A"/>
    <w:rsid w:val="00100829"/>
    <w:rsid w:val="00122C01"/>
    <w:rsid w:val="001373E9"/>
    <w:rsid w:val="00141B57"/>
    <w:rsid w:val="00172EF2"/>
    <w:rsid w:val="001A6F03"/>
    <w:rsid w:val="001F2B23"/>
    <w:rsid w:val="00215D8E"/>
    <w:rsid w:val="002214D1"/>
    <w:rsid w:val="00226573"/>
    <w:rsid w:val="00234A8B"/>
    <w:rsid w:val="00295B2C"/>
    <w:rsid w:val="002C2659"/>
    <w:rsid w:val="002D6797"/>
    <w:rsid w:val="002E55DA"/>
    <w:rsid w:val="003018DE"/>
    <w:rsid w:val="00330FAE"/>
    <w:rsid w:val="00375E8D"/>
    <w:rsid w:val="003A0552"/>
    <w:rsid w:val="003A27A6"/>
    <w:rsid w:val="004A3605"/>
    <w:rsid w:val="004D00FE"/>
    <w:rsid w:val="004F3E3B"/>
    <w:rsid w:val="00574A8E"/>
    <w:rsid w:val="005750CD"/>
    <w:rsid w:val="0061165D"/>
    <w:rsid w:val="006205A9"/>
    <w:rsid w:val="006427FB"/>
    <w:rsid w:val="006746C5"/>
    <w:rsid w:val="00690DF6"/>
    <w:rsid w:val="00697A43"/>
    <w:rsid w:val="00700552"/>
    <w:rsid w:val="007105AC"/>
    <w:rsid w:val="007105CA"/>
    <w:rsid w:val="00716D78"/>
    <w:rsid w:val="00754D30"/>
    <w:rsid w:val="00776C40"/>
    <w:rsid w:val="0079195C"/>
    <w:rsid w:val="007A3940"/>
    <w:rsid w:val="007D1F02"/>
    <w:rsid w:val="007E740C"/>
    <w:rsid w:val="0083520E"/>
    <w:rsid w:val="008370A0"/>
    <w:rsid w:val="00853323"/>
    <w:rsid w:val="008A64C1"/>
    <w:rsid w:val="008B3C06"/>
    <w:rsid w:val="009036F2"/>
    <w:rsid w:val="00906EE5"/>
    <w:rsid w:val="00970AD1"/>
    <w:rsid w:val="00995867"/>
    <w:rsid w:val="00A63816"/>
    <w:rsid w:val="00A84989"/>
    <w:rsid w:val="00AF1F5C"/>
    <w:rsid w:val="00B01AAC"/>
    <w:rsid w:val="00B624B7"/>
    <w:rsid w:val="00B72E0E"/>
    <w:rsid w:val="00BE4009"/>
    <w:rsid w:val="00BE461A"/>
    <w:rsid w:val="00C375F1"/>
    <w:rsid w:val="00C37A8B"/>
    <w:rsid w:val="00C5016C"/>
    <w:rsid w:val="00C65C8B"/>
    <w:rsid w:val="00C74F99"/>
    <w:rsid w:val="00CA1DDD"/>
    <w:rsid w:val="00CD1E69"/>
    <w:rsid w:val="00CE69E1"/>
    <w:rsid w:val="00CF7DBC"/>
    <w:rsid w:val="00DD3A74"/>
    <w:rsid w:val="00DE75C7"/>
    <w:rsid w:val="00ED0F4B"/>
    <w:rsid w:val="00F4556A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AB723"/>
  <w15:docId w15:val="{D9B1FFED-8749-49D1-B71D-481515F1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kapitzlist">
    <w:name w:val="List Paragraph"/>
    <w:basedOn w:val="Normalny"/>
    <w:uiPriority w:val="34"/>
    <w:qFormat/>
    <w:rsid w:val="004A3605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Default">
    <w:name w:val="Default"/>
    <w:rsid w:val="00700552"/>
    <w:pPr>
      <w:autoSpaceDE w:val="0"/>
      <w:autoSpaceDN w:val="0"/>
      <w:adjustRightInd w:val="0"/>
      <w:spacing w:line="240" w:lineRule="auto"/>
    </w:pPr>
    <w:rPr>
      <w:rFonts w:eastAsiaTheme="minorHAnsi"/>
      <w:color w:val="000000"/>
      <w:sz w:val="24"/>
      <w:szCs w:val="24"/>
      <w:lang w:val="pl-PL" w:eastAsia="en-US"/>
    </w:rPr>
  </w:style>
  <w:style w:type="character" w:styleId="Hipercze">
    <w:name w:val="Hyperlink"/>
    <w:basedOn w:val="Domylnaczcionkaakapitu"/>
    <w:uiPriority w:val="99"/>
    <w:unhideWhenUsed/>
    <w:rsid w:val="00AF1F5C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498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498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498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2EF2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2EF2"/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2EF2"/>
    <w:rPr>
      <w:vertAlign w:val="superscript"/>
    </w:rPr>
  </w:style>
  <w:style w:type="table" w:styleId="Tabela-Siatka">
    <w:name w:val="Table Grid"/>
    <w:basedOn w:val="Standardowy"/>
    <w:uiPriority w:val="39"/>
    <w:rsid w:val="00172EF2"/>
    <w:pPr>
      <w:spacing w:line="240" w:lineRule="auto"/>
    </w:pPr>
    <w:rPr>
      <w:rFonts w:asciiTheme="minorHAnsi" w:eastAsiaTheme="minorHAnsi" w:hAnsiTheme="minorHAnsi" w:cstheme="minorBidi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5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FA0D7-DB6B-4470-AF19-2B6AFCE50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2434</Words>
  <Characters>14609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 Ewa</dc:creator>
  <cp:lastModifiedBy>Gierlach Piotr</cp:lastModifiedBy>
  <cp:revision>10</cp:revision>
  <dcterms:created xsi:type="dcterms:W3CDTF">2021-09-24T15:57:00Z</dcterms:created>
  <dcterms:modified xsi:type="dcterms:W3CDTF">2021-10-08T17:08:00Z</dcterms:modified>
</cp:coreProperties>
</file>