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BA4" w:rsidRDefault="00554BA4" w:rsidP="00554BA4">
      <w:pPr>
        <w:rPr>
          <w:rFonts w:ascii="Century Gothic" w:hAnsi="Century Gothic"/>
        </w:rPr>
      </w:pPr>
    </w:p>
    <w:p w:rsidR="00C0682D" w:rsidRDefault="002F49EF" w:rsidP="00761E60">
      <w:pPr>
        <w:jc w:val="right"/>
        <w:rPr>
          <w:rFonts w:ascii="Century Gothic" w:hAnsi="Century Gothic"/>
        </w:rPr>
      </w:pPr>
    </w:p>
    <w:p w:rsidR="00C0682D" w:rsidRDefault="002F49EF" w:rsidP="00761E60">
      <w:pPr>
        <w:jc w:val="right"/>
        <w:rPr>
          <w:rFonts w:ascii="Century Gothic" w:hAnsi="Century Gothic"/>
        </w:rPr>
      </w:pPr>
    </w:p>
    <w:p w:rsidR="00761E60" w:rsidRPr="00C0682D" w:rsidRDefault="00A67657" w:rsidP="00761E60">
      <w:pPr>
        <w:jc w:val="right"/>
        <w:rPr>
          <w:rFonts w:ascii="Century Gothic" w:hAnsi="Century Gothic"/>
        </w:rPr>
      </w:pPr>
      <w:r w:rsidRPr="00C0682D">
        <w:rPr>
          <w:rFonts w:ascii="Century Gothic" w:hAnsi="Century Gothic"/>
        </w:rPr>
        <w:t xml:space="preserve">Warszawa, </w:t>
      </w:r>
      <w:r w:rsidR="00554BA4">
        <w:rPr>
          <w:rFonts w:ascii="Century Gothic" w:hAnsi="Century Gothic"/>
        </w:rPr>
        <w:t xml:space="preserve">     listopada 2020</w:t>
      </w:r>
      <w:r w:rsidRPr="00C0682D">
        <w:rPr>
          <w:rFonts w:ascii="Century Gothic" w:hAnsi="Century Gothic"/>
        </w:rPr>
        <w:t xml:space="preserve"> r.</w:t>
      </w:r>
    </w:p>
    <w:p w:rsidR="00C30622" w:rsidRPr="007D74B7" w:rsidRDefault="00A67657" w:rsidP="00C30622">
      <w:pPr>
        <w:pStyle w:val="menfont"/>
        <w:rPr>
          <w:rFonts w:ascii="Century Gothic" w:hAnsi="Century Gothic"/>
        </w:rPr>
      </w:pPr>
      <w:bookmarkStart w:id="0" w:name="ezdSprawaZnak"/>
      <w:r w:rsidRPr="007D74B7">
        <w:rPr>
          <w:rFonts w:ascii="Century Gothic" w:hAnsi="Century Gothic"/>
        </w:rPr>
        <w:t>BA-WAT.0915.2.2020</w:t>
      </w:r>
      <w:bookmarkEnd w:id="0"/>
      <w:r w:rsidRPr="007D74B7">
        <w:rPr>
          <w:rFonts w:ascii="Century Gothic" w:hAnsi="Century Gothic"/>
        </w:rPr>
        <w:t>.</w:t>
      </w:r>
      <w:r w:rsidR="00554BA4" w:rsidRPr="007D74B7">
        <w:rPr>
          <w:rFonts w:ascii="Century Gothic" w:hAnsi="Century Gothic"/>
        </w:rPr>
        <w:t>MW</w:t>
      </w:r>
    </w:p>
    <w:p w:rsidR="00DF28D0" w:rsidRDefault="002F49EF">
      <w:pPr>
        <w:pStyle w:val="menfont"/>
        <w:rPr>
          <w:rFonts w:ascii="Century Gothic" w:hAnsi="Century Gothic"/>
        </w:rPr>
      </w:pPr>
    </w:p>
    <w:p w:rsidR="007D74B7" w:rsidRDefault="007D74B7">
      <w:pPr>
        <w:pStyle w:val="menfont"/>
        <w:rPr>
          <w:rFonts w:ascii="Century Gothic" w:hAnsi="Century Gothic"/>
        </w:rPr>
      </w:pPr>
    </w:p>
    <w:p w:rsidR="007D74B7" w:rsidRPr="00C0682D" w:rsidRDefault="007D74B7">
      <w:pPr>
        <w:pStyle w:val="menfont"/>
        <w:rPr>
          <w:rFonts w:ascii="Century Gothic" w:hAnsi="Century Gothic"/>
        </w:rPr>
      </w:pPr>
    </w:p>
    <w:p w:rsidR="00D40492" w:rsidRPr="00502484" w:rsidRDefault="00D40492" w:rsidP="00D40492">
      <w:pPr>
        <w:pStyle w:val="menfont"/>
        <w:ind w:left="4956" w:right="-1" w:hanging="4956"/>
        <w:rPr>
          <w:rFonts w:ascii="Century Gothic" w:hAnsi="Century Gothic"/>
          <w:b/>
        </w:rPr>
      </w:pPr>
      <w:r w:rsidRPr="00502484">
        <w:rPr>
          <w:rFonts w:ascii="Century Gothic" w:hAnsi="Century Gothic"/>
          <w:b/>
        </w:rPr>
        <w:t xml:space="preserve">Pan </w:t>
      </w:r>
    </w:p>
    <w:p w:rsidR="00D40492" w:rsidRPr="00502484" w:rsidRDefault="00D40492" w:rsidP="00D40492">
      <w:pPr>
        <w:pStyle w:val="menfont"/>
        <w:ind w:left="4956" w:right="-1" w:hanging="4956"/>
        <w:rPr>
          <w:rFonts w:ascii="Century Gothic" w:hAnsi="Century Gothic"/>
          <w:b/>
        </w:rPr>
      </w:pPr>
      <w:r w:rsidRPr="00502484">
        <w:rPr>
          <w:rFonts w:ascii="Century Gothic" w:hAnsi="Century Gothic"/>
          <w:b/>
        </w:rPr>
        <w:t>Tomasz Madej</w:t>
      </w:r>
    </w:p>
    <w:p w:rsidR="00D40492" w:rsidRPr="00502484" w:rsidRDefault="00D40492" w:rsidP="00D40492">
      <w:pPr>
        <w:pStyle w:val="menfont"/>
        <w:ind w:left="4956" w:right="-1" w:hanging="4956"/>
        <w:rPr>
          <w:rFonts w:ascii="Century Gothic" w:hAnsi="Century Gothic"/>
          <w:b/>
        </w:rPr>
      </w:pPr>
      <w:r w:rsidRPr="00502484">
        <w:rPr>
          <w:rFonts w:ascii="Century Gothic" w:hAnsi="Century Gothic"/>
          <w:b/>
        </w:rPr>
        <w:t>Dyrektor</w:t>
      </w:r>
    </w:p>
    <w:p w:rsidR="00D40492" w:rsidRPr="00502484" w:rsidRDefault="00D40492" w:rsidP="00D40492">
      <w:pPr>
        <w:pStyle w:val="menfont"/>
        <w:ind w:left="4956" w:right="-1" w:hanging="4956"/>
        <w:rPr>
          <w:rFonts w:ascii="Century Gothic" w:hAnsi="Century Gothic"/>
          <w:b/>
        </w:rPr>
      </w:pPr>
      <w:r w:rsidRPr="00502484">
        <w:rPr>
          <w:rFonts w:ascii="Century Gothic" w:hAnsi="Century Gothic"/>
          <w:b/>
        </w:rPr>
        <w:t xml:space="preserve">Ośrodka </w:t>
      </w:r>
      <w:r w:rsidR="00CF5C41">
        <w:rPr>
          <w:rFonts w:ascii="Century Gothic" w:hAnsi="Century Gothic"/>
          <w:b/>
        </w:rPr>
        <w:t xml:space="preserve">Rozwoju </w:t>
      </w:r>
      <w:r w:rsidRPr="00502484">
        <w:rPr>
          <w:rFonts w:ascii="Century Gothic" w:hAnsi="Century Gothic"/>
          <w:b/>
        </w:rPr>
        <w:t xml:space="preserve">Edukacji </w:t>
      </w:r>
      <w:bookmarkStart w:id="1" w:name="_GoBack"/>
      <w:bookmarkEnd w:id="1"/>
    </w:p>
    <w:p w:rsidR="00D40492" w:rsidRPr="00502484" w:rsidRDefault="00D40492" w:rsidP="00D40492">
      <w:pPr>
        <w:pStyle w:val="menfont"/>
        <w:ind w:left="4956" w:right="-1" w:hanging="4956"/>
        <w:rPr>
          <w:rFonts w:ascii="Century Gothic" w:hAnsi="Century Gothic"/>
        </w:rPr>
      </w:pPr>
      <w:r w:rsidRPr="00502484">
        <w:rPr>
          <w:rFonts w:ascii="Century Gothic" w:hAnsi="Century Gothic"/>
        </w:rPr>
        <w:t>al. Ujazdowskie 28</w:t>
      </w:r>
    </w:p>
    <w:p w:rsidR="00D40492" w:rsidRPr="00502484" w:rsidRDefault="00D40492" w:rsidP="00D40492">
      <w:pPr>
        <w:pStyle w:val="menfont"/>
        <w:ind w:left="4956" w:right="-1" w:hanging="4956"/>
        <w:rPr>
          <w:rFonts w:ascii="Century Gothic" w:hAnsi="Century Gothic"/>
        </w:rPr>
      </w:pPr>
      <w:r w:rsidRPr="00502484">
        <w:rPr>
          <w:rFonts w:ascii="Century Gothic" w:hAnsi="Century Gothic"/>
        </w:rPr>
        <w:t>00-478 Warszawa</w:t>
      </w:r>
    </w:p>
    <w:p w:rsidR="00554BA4" w:rsidRDefault="00554BA4" w:rsidP="00D40492">
      <w:pPr>
        <w:pStyle w:val="menfont"/>
        <w:rPr>
          <w:rFonts w:ascii="Century Gothic" w:hAnsi="Century Gothic"/>
        </w:rPr>
      </w:pPr>
    </w:p>
    <w:p w:rsidR="007D74B7" w:rsidRPr="00502484" w:rsidRDefault="007D74B7" w:rsidP="00D40492">
      <w:pPr>
        <w:pStyle w:val="menfont"/>
        <w:rPr>
          <w:rFonts w:ascii="Century Gothic" w:hAnsi="Century Gothic"/>
        </w:rPr>
      </w:pPr>
    </w:p>
    <w:p w:rsidR="00D40492" w:rsidRPr="00502484" w:rsidRDefault="00D40492" w:rsidP="00D40492">
      <w:pPr>
        <w:pStyle w:val="menfont"/>
        <w:jc w:val="center"/>
        <w:rPr>
          <w:rFonts w:ascii="Century Gothic" w:hAnsi="Century Gothic"/>
          <w:b/>
        </w:rPr>
      </w:pPr>
    </w:p>
    <w:p w:rsidR="00D40492" w:rsidRPr="00502484" w:rsidRDefault="00D40492" w:rsidP="00D40492">
      <w:pPr>
        <w:pStyle w:val="menfont"/>
        <w:jc w:val="center"/>
        <w:rPr>
          <w:rFonts w:ascii="Century Gothic" w:hAnsi="Century Gothic"/>
          <w:b/>
        </w:rPr>
      </w:pPr>
      <w:r w:rsidRPr="00502484">
        <w:rPr>
          <w:rFonts w:ascii="Century Gothic" w:hAnsi="Century Gothic"/>
          <w:b/>
        </w:rPr>
        <w:t>WYSTAPIENIE POKONTROLNE</w:t>
      </w:r>
    </w:p>
    <w:p w:rsidR="00D40492" w:rsidRPr="00502484" w:rsidRDefault="00D40492" w:rsidP="00D40492">
      <w:pPr>
        <w:pStyle w:val="menfont"/>
        <w:jc w:val="center"/>
        <w:rPr>
          <w:rFonts w:ascii="Century Gothic" w:hAnsi="Century Gothic"/>
          <w:b/>
        </w:rPr>
      </w:pPr>
    </w:p>
    <w:p w:rsidR="007D74B7" w:rsidRPr="00502484" w:rsidRDefault="007D74B7" w:rsidP="00D40492">
      <w:pPr>
        <w:pStyle w:val="menfont"/>
        <w:rPr>
          <w:rFonts w:ascii="Century Gothic" w:hAnsi="Century Gothic"/>
        </w:rPr>
      </w:pPr>
      <w:r w:rsidRPr="007D74B7">
        <w:rPr>
          <w:rFonts w:ascii="Century Gothic" w:hAnsi="Century Gothic"/>
        </w:rPr>
        <w:t>Zgodnie z art. 47 ustawy z dnia 15 lipca 2011 r. o kontroli w administracji rządowej (Dz. U. z 2020 r., poz. 224) przekazuję niniejsze wystąpienie pokontrolne.</w:t>
      </w:r>
    </w:p>
    <w:p w:rsidR="00D40492" w:rsidRPr="00502484" w:rsidRDefault="00D40492" w:rsidP="007D74B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Na podstawie art. 6 ust. 3 pkt. 1 ustawy z dnia 15 lipca 2011 r. o kontroli w  administracji rządowej (tj. Dz. U. z 2020 r., poz. 224) Ministerstwo Edukacji Narodowej</w:t>
      </w:r>
      <w:r w:rsidRPr="00502484">
        <w:rPr>
          <w:rFonts w:ascii="Century Gothic" w:hAnsi="Century Gothic"/>
          <w:vertAlign w:val="superscript"/>
        </w:rPr>
        <w:footnoteReference w:id="1"/>
      </w:r>
      <w:r w:rsidRPr="00502484">
        <w:rPr>
          <w:rFonts w:ascii="Century Gothic" w:hAnsi="Century Gothic"/>
        </w:rPr>
        <w:t>, w dniach od 14 września do 30 października 2020 r., przeprowadziło kontrolę w Ośrodku</w:t>
      </w:r>
      <w:r w:rsidR="00C02ED6">
        <w:rPr>
          <w:rFonts w:ascii="Century Gothic" w:hAnsi="Century Gothic"/>
        </w:rPr>
        <w:t xml:space="preserve"> Rozwoju Edukacji, z siedzibą w </w:t>
      </w:r>
      <w:r w:rsidRPr="00502484">
        <w:rPr>
          <w:rFonts w:ascii="Century Gothic" w:hAnsi="Century Gothic"/>
        </w:rPr>
        <w:t>Warszawie przy Alejach Ujazdowskich 28 (dalej: „ORE” bądź „Użytkownik”), w zakresie prawidłowości administrowania i gospodarowania przez Ośrodek Rozwoju Edukacji  nieruchomością Ministerstwa Edukacji Narod</w:t>
      </w:r>
      <w:r w:rsidR="00C02ED6">
        <w:rPr>
          <w:rFonts w:ascii="Century Gothic" w:hAnsi="Century Gothic"/>
        </w:rPr>
        <w:t>owej, położoną w Sulejówku przy </w:t>
      </w:r>
      <w:r w:rsidRPr="00502484">
        <w:rPr>
          <w:rFonts w:ascii="Century Gothic" w:hAnsi="Century Gothic"/>
        </w:rPr>
        <w:t xml:space="preserve">ul.  Paderewskiego 77. Kontrola na miejscu, tj. w nieruchomości </w:t>
      </w:r>
      <w:r w:rsidRPr="00502484">
        <w:rPr>
          <w:rFonts w:ascii="Century Gothic" w:hAnsi="Century Gothic"/>
        </w:rPr>
        <w:lastRenderedPageBreak/>
        <w:t>położonej w  Sulejówku, została przeprowadzona w dniu 7 października 2020 roku.</w:t>
      </w:r>
    </w:p>
    <w:p w:rsidR="00D40492" w:rsidRPr="00502484" w:rsidRDefault="00D40492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Celem kontroli była ocena sposobu administrowania i gospodarowania nieruchomością pozostającą w trwałym zarządzie Ministerstwa Edukacji Narodowej (dalej zwane: „MEN”), a użyczoną ORE w celu realizacji zadań statutowych.</w:t>
      </w:r>
    </w:p>
    <w:p w:rsidR="00D40492" w:rsidRPr="00502484" w:rsidRDefault="00D40492" w:rsidP="00A238CA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Kontrolą objęto okres od 01 stycznia 2018 r. do 31 grudnia 2019 roku.</w:t>
      </w:r>
    </w:p>
    <w:p w:rsidR="00D40492" w:rsidRPr="00502484" w:rsidRDefault="00D40492" w:rsidP="00D40492">
      <w:pPr>
        <w:pStyle w:val="menfont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W wyniku kontroli pozyty</w:t>
      </w:r>
      <w:r w:rsidR="00C02ED6">
        <w:rPr>
          <w:rFonts w:ascii="Century Gothic" w:hAnsi="Century Gothic"/>
        </w:rPr>
        <w:t>wnie oceniono administrowanie i </w:t>
      </w:r>
      <w:r w:rsidRPr="00502484">
        <w:rPr>
          <w:rFonts w:ascii="Century Gothic" w:hAnsi="Century Gothic"/>
        </w:rPr>
        <w:t>gospodarowanie nieruchomością Ministerstwa Edukacji Narodowej przez Ośrodek Rozwoju Edu</w:t>
      </w:r>
      <w:r w:rsidR="00C02ED6">
        <w:rPr>
          <w:rFonts w:ascii="Century Gothic" w:hAnsi="Century Gothic"/>
        </w:rPr>
        <w:t>kacji położoną w Sulejówku przy </w:t>
      </w:r>
      <w:r w:rsidRPr="00502484">
        <w:rPr>
          <w:rFonts w:ascii="Century Gothic" w:hAnsi="Century Gothic"/>
        </w:rPr>
        <w:t>ul.  Paderewskiego 77.</w:t>
      </w:r>
    </w:p>
    <w:p w:rsidR="00D40492" w:rsidRPr="00502484" w:rsidRDefault="00D40492" w:rsidP="00A238CA">
      <w:pPr>
        <w:pStyle w:val="menfont"/>
        <w:spacing w:before="240"/>
        <w:jc w:val="both"/>
        <w:rPr>
          <w:rFonts w:ascii="Century Gothic" w:hAnsi="Century Gothic"/>
          <w:b/>
        </w:rPr>
      </w:pPr>
      <w:r w:rsidRPr="00502484">
        <w:rPr>
          <w:rFonts w:ascii="Century Gothic" w:hAnsi="Century Gothic"/>
          <w:b/>
        </w:rPr>
        <w:t xml:space="preserve">Stan organizacyjno-prawny nieruchomości położonej w Sulejówku przy ul. Paderewskiego 77. </w:t>
      </w:r>
    </w:p>
    <w:p w:rsidR="00D40492" w:rsidRPr="00502484" w:rsidRDefault="00D40492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 xml:space="preserve">Nieruchomość położona w Sulejówku przy ul. Paderewskiego 77, (Księga wieczysta SI1M/00064587/9) (dalej: „nieruchomość”) pozostaje w trwałym zarządzie MEN </w:t>
      </w:r>
      <w:r w:rsidRPr="00502484">
        <w:rPr>
          <w:rFonts w:ascii="Century Gothic" w:hAnsi="Century Gothic"/>
          <w:lang w:bidi="pl-PL"/>
        </w:rPr>
        <w:t>na podstawie Aktu notarialnego Repertorium A Nr 8904/60 z dnia 17 listopada 1960 r.)</w:t>
      </w:r>
      <w:r w:rsidRPr="00502484">
        <w:rPr>
          <w:rFonts w:ascii="Century Gothic" w:hAnsi="Century Gothic"/>
        </w:rPr>
        <w:t xml:space="preserve"> MEN, zgodnie z art. 43 ust 2 punkt 3) ustawy z dnia 21 sierpnia 2007 r. o gospodarce nieruchomościami (t.j. Dz.U. z 2020 r. poz. 65), użyczyło ORE nieruchomość w dniu 13 lutego 2014 r. na podstawie porozumienia o użyczeniu pomiędzy MEN a ORE (nr MEN/2014/BA/220), z mocą obowiązywania od dnia 1 stycznia 2014 r. </w:t>
      </w:r>
      <w:r w:rsidRPr="00502484">
        <w:rPr>
          <w:rFonts w:ascii="Century Gothic" w:hAnsi="Century Gothic"/>
          <w:lang w:bidi="pl-PL"/>
        </w:rPr>
        <w:t>Powyższą nieruchomość użyczono na czas nieoznaczony z przeznaczeniem na realizację celów statutowych.</w:t>
      </w:r>
      <w:r w:rsidRPr="00502484">
        <w:rPr>
          <w:rFonts w:ascii="Century Gothic" w:hAnsi="Century Gothic"/>
        </w:rPr>
        <w:t xml:space="preserve"> Zgodę na użyczenie wydał Minister Skarbu Państwa (Zgoda nr 118/Z/13 z dnia 29 października 2013 r.). W dniu 13 październi</w:t>
      </w:r>
      <w:r w:rsidR="00C02ED6">
        <w:rPr>
          <w:rFonts w:ascii="Century Gothic" w:hAnsi="Century Gothic"/>
        </w:rPr>
        <w:t>ka 2014 r. podpisano aneks nr 1 </w:t>
      </w:r>
      <w:r w:rsidRPr="00502484">
        <w:rPr>
          <w:rFonts w:ascii="Century Gothic" w:hAnsi="Century Gothic"/>
        </w:rPr>
        <w:t xml:space="preserve">do porozumienia. </w:t>
      </w:r>
      <w:r w:rsidRPr="00502484">
        <w:rPr>
          <w:rFonts w:ascii="Century Gothic" w:hAnsi="Century Gothic"/>
          <w:lang w:bidi="pl-PL"/>
        </w:rPr>
        <w:t>Zgodnie z nim dopuszczalne jest, w sytuacjach uzasadnionych, z zachowaniem zasad wynikających z przepisów</w:t>
      </w:r>
      <w:r w:rsidR="00A238CA" w:rsidRPr="00502484">
        <w:rPr>
          <w:rFonts w:ascii="Century Gothic" w:hAnsi="Century Gothic"/>
          <w:lang w:bidi="pl-PL"/>
        </w:rPr>
        <w:t xml:space="preserve"> ustawy z dnia 27 sierpnia 2009 </w:t>
      </w:r>
      <w:r w:rsidRPr="00502484">
        <w:rPr>
          <w:rFonts w:ascii="Century Gothic" w:hAnsi="Century Gothic"/>
          <w:lang w:bidi="pl-PL"/>
        </w:rPr>
        <w:t>r. o finansach publicznych, wykorzystanie nieruchomości bądź jej części na inne cele, pod warunkiem, że powyższe nie koliduje z realizacją celów statutowych jednostki.</w:t>
      </w:r>
    </w:p>
    <w:p w:rsidR="00D40492" w:rsidRPr="00502484" w:rsidRDefault="00D40492" w:rsidP="00A238CA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ORE, zgodnie treścią ww. porozumienia, zobowiązany został do realizacji czynności administracyjno-zarządczych dotyczących bieżącego administrowania, utrzymania, zarządzania i wykorzystywania nieruchomości na cele statutowe, zgodnie z przepisami ustawy z dnia 7 lipca 1994 r. Prawo budowlane (tj. (Dz.U. z 2020 r. poz. 1333) oraz przepisami ustawy z dnia 21 sierpnia 1997 r. o  gospodarce nieruchomościami</w:t>
      </w:r>
      <w:r w:rsidR="00A238CA" w:rsidRPr="00502484">
        <w:rPr>
          <w:rFonts w:ascii="Century Gothic" w:hAnsi="Century Gothic"/>
        </w:rPr>
        <w:t xml:space="preserve"> (tj. Dz.U. z 2020 r. poz. 65). </w:t>
      </w:r>
      <w:r w:rsidRPr="00502484">
        <w:rPr>
          <w:rFonts w:ascii="Century Gothic" w:hAnsi="Century Gothic"/>
        </w:rPr>
        <w:t>Nieruchomość może być wykorzystywana na inne cele tylko w uzasadnionych przypadkach i pod warunkiem, że nie koliduje to z realizacją celów statutowych.</w:t>
      </w:r>
    </w:p>
    <w:p w:rsidR="00D40492" w:rsidRPr="00502484" w:rsidRDefault="00D40492" w:rsidP="007F1E17">
      <w:pPr>
        <w:pStyle w:val="menfont"/>
        <w:spacing w:before="240"/>
        <w:jc w:val="both"/>
        <w:rPr>
          <w:rFonts w:ascii="Century Gothic" w:hAnsi="Century Gothic"/>
          <w:b/>
        </w:rPr>
      </w:pPr>
      <w:r w:rsidRPr="00502484">
        <w:rPr>
          <w:rFonts w:ascii="Century Gothic" w:hAnsi="Century Gothic"/>
          <w:b/>
        </w:rPr>
        <w:lastRenderedPageBreak/>
        <w:t>Ustalenia z kontroli.</w:t>
      </w:r>
    </w:p>
    <w:p w:rsidR="00D40492" w:rsidRPr="00502484" w:rsidRDefault="00D40492" w:rsidP="007F1E17">
      <w:pPr>
        <w:pStyle w:val="menfont"/>
        <w:numPr>
          <w:ilvl w:val="0"/>
          <w:numId w:val="1"/>
        </w:numPr>
        <w:spacing w:before="240"/>
        <w:jc w:val="both"/>
        <w:rPr>
          <w:rFonts w:ascii="Century Gothic" w:hAnsi="Century Gothic"/>
          <w:b/>
        </w:rPr>
      </w:pPr>
      <w:r w:rsidRPr="00502484">
        <w:rPr>
          <w:rFonts w:ascii="Century Gothic" w:hAnsi="Century Gothic"/>
          <w:b/>
        </w:rPr>
        <w:t>Wykorzystanie nieruchomości na cele statutowe.</w:t>
      </w:r>
    </w:p>
    <w:p w:rsidR="00D40492" w:rsidRPr="00502484" w:rsidRDefault="00D40492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W okresie objętym kontrolą nieruchomość w Sulejówku była wykorzystywana jako centrum szkoleniowe (dalej: Centrum) do realizacji działalności statutowej ORE polegającej na podejmowaniu i realizacji działań na rzecz doskonalenia systemu oświaty i podnoszenia jakości edukacji, zgodnie z polityką oświatową państwa w  obszarze kształcenia ogólnego i wychowania.</w:t>
      </w:r>
    </w:p>
    <w:p w:rsidR="00D40492" w:rsidRPr="00502484" w:rsidRDefault="00D40492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Koszty utrzymania oraz przychody związane z administrowaniem i  gospodarowaniem nieruchomością w Sulejówku przedstawia poniższa tabela (wg informacji przekazanych przez kierownictwo ORE).</w:t>
      </w:r>
    </w:p>
    <w:p w:rsidR="00D40492" w:rsidRPr="00502484" w:rsidRDefault="00D40492" w:rsidP="00D40492">
      <w:pPr>
        <w:pStyle w:val="menfont"/>
        <w:jc w:val="both"/>
        <w:rPr>
          <w:rFonts w:ascii="Century Gothic" w:hAnsi="Century Gothic"/>
        </w:rPr>
      </w:pPr>
    </w:p>
    <w:tbl>
      <w:tblPr>
        <w:tblStyle w:val="Tabela-Siatka"/>
        <w:tblW w:w="7939" w:type="dxa"/>
        <w:jc w:val="center"/>
        <w:tblInd w:w="0" w:type="dxa"/>
        <w:tblLook w:val="04A0" w:firstRow="1" w:lastRow="0" w:firstColumn="1" w:lastColumn="0" w:noHBand="0" w:noVBand="1"/>
      </w:tblPr>
      <w:tblGrid>
        <w:gridCol w:w="4112"/>
        <w:gridCol w:w="1981"/>
        <w:gridCol w:w="1846"/>
      </w:tblGrid>
      <w:tr w:rsidR="00D40492" w:rsidRPr="00502484" w:rsidTr="00D40492">
        <w:trPr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2018 r.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2019 r.</w:t>
            </w:r>
          </w:p>
        </w:tc>
      </w:tr>
      <w:tr w:rsidR="00D40492" w:rsidRPr="00502484" w:rsidTr="00D40492">
        <w:trPr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  <w:b/>
              </w:rPr>
            </w:pPr>
            <w:r w:rsidRPr="00502484">
              <w:rPr>
                <w:rFonts w:ascii="Century Gothic" w:hAnsi="Century Gothic"/>
                <w:b/>
              </w:rPr>
              <w:t>Koszty w tym: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1 024 844,55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1 116 718,77</w:t>
            </w:r>
          </w:p>
        </w:tc>
      </w:tr>
      <w:tr w:rsidR="00D40492" w:rsidRPr="00502484" w:rsidTr="00D40492">
        <w:trPr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a) koszty utrzymania (bez wynagrodzeń osobowych)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188 741,99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205 861,60</w:t>
            </w:r>
          </w:p>
        </w:tc>
      </w:tr>
      <w:tr w:rsidR="00D40492" w:rsidRPr="00502484" w:rsidTr="00D40492">
        <w:trPr>
          <w:trHeight w:val="373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b) koszty wynagrodzeń osobowych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836 102,56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910 857,17</w:t>
            </w:r>
          </w:p>
        </w:tc>
      </w:tr>
      <w:tr w:rsidR="00D40492" w:rsidRPr="00502484" w:rsidTr="00D40492">
        <w:trPr>
          <w:trHeight w:val="328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  <w:b/>
                <w:bCs/>
                <w:lang w:bidi="pl-PL"/>
              </w:rPr>
              <w:t>Wpływy z noclegów, wyżywienia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9 303,66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885,32</w:t>
            </w:r>
          </w:p>
        </w:tc>
      </w:tr>
    </w:tbl>
    <w:p w:rsidR="00D40492" w:rsidRPr="00502484" w:rsidRDefault="00D40492" w:rsidP="007D74B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W okresie objętym kontrolą w Centrum wg stanu na 31 grudnia 2018 r. zatrudnionych było 18 osób a wg stanu na 31grudnia 2019 r. 17 osób.</w:t>
      </w:r>
    </w:p>
    <w:p w:rsidR="00D40492" w:rsidRPr="00502484" w:rsidRDefault="00D40492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Baza noclegowa nieruchomości wynosi 80 łóżek w 34 pokojach wykorzystywanych jako pokoje jednoosobowe. W okresie 15.07 – 15.11.2019 r. Centrum było wyłączone z użytkowania z</w:t>
      </w:r>
      <w:r w:rsidR="007D74B7">
        <w:rPr>
          <w:rFonts w:ascii="Century Gothic" w:hAnsi="Century Gothic"/>
        </w:rPr>
        <w:t xml:space="preserve"> uwagi na </w:t>
      </w:r>
      <w:r w:rsidRPr="00502484">
        <w:rPr>
          <w:rFonts w:ascii="Century Gothic" w:hAnsi="Century Gothic"/>
        </w:rPr>
        <w:t>realizowany w obiekcie remont instalacji teletechnicznej.</w:t>
      </w:r>
    </w:p>
    <w:p w:rsidR="00D40492" w:rsidRPr="00502484" w:rsidRDefault="00D40492" w:rsidP="007F1E17">
      <w:pPr>
        <w:pStyle w:val="menfont"/>
        <w:spacing w:before="240" w:after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Dane dotyczące wykorzystania nieru</w:t>
      </w:r>
      <w:r w:rsidR="007D74B7">
        <w:rPr>
          <w:rFonts w:ascii="Century Gothic" w:hAnsi="Century Gothic"/>
        </w:rPr>
        <w:t>chomości w 2018 r. i 2019 r., w </w:t>
      </w:r>
      <w:r w:rsidRPr="00502484">
        <w:rPr>
          <w:rFonts w:ascii="Century Gothic" w:hAnsi="Century Gothic"/>
        </w:rPr>
        <w:t>związku z realizowanymi w Centrum formami doskonalenia nauczycieli przedstawia poniższa tabela (wg informacji przekazanych</w:t>
      </w:r>
      <w:r w:rsidR="007D74B7">
        <w:rPr>
          <w:rFonts w:ascii="Century Gothic" w:hAnsi="Century Gothic"/>
        </w:rPr>
        <w:t xml:space="preserve"> przez </w:t>
      </w:r>
      <w:r w:rsidRPr="00502484">
        <w:rPr>
          <w:rFonts w:ascii="Century Gothic" w:hAnsi="Century Gothic"/>
        </w:rPr>
        <w:t>kierownictwo ORE).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1839"/>
        <w:gridCol w:w="1704"/>
      </w:tblGrid>
      <w:tr w:rsidR="00D40492" w:rsidRPr="00502484" w:rsidTr="00D4049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2018 r.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2019 r.</w:t>
            </w:r>
          </w:p>
        </w:tc>
      </w:tr>
      <w:tr w:rsidR="00D40492" w:rsidRPr="00502484" w:rsidTr="00D4049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Liczba osobodni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11 349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8 118</w:t>
            </w:r>
          </w:p>
        </w:tc>
      </w:tr>
      <w:tr w:rsidR="00D40492" w:rsidRPr="00502484" w:rsidTr="00D4049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Liczba noclegów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7 036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4 188</w:t>
            </w:r>
          </w:p>
        </w:tc>
      </w:tr>
      <w:tr w:rsidR="00D40492" w:rsidRPr="00502484" w:rsidTr="00D4049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Liczba uczestników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4 532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3 292</w:t>
            </w:r>
          </w:p>
        </w:tc>
      </w:tr>
      <w:tr w:rsidR="00D40492" w:rsidRPr="00502484" w:rsidTr="00D4049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Liczba odbytych kursów/spotkań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171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0492" w:rsidRPr="00502484" w:rsidRDefault="00D40492">
            <w:pPr>
              <w:pStyle w:val="menfont"/>
              <w:jc w:val="both"/>
              <w:rPr>
                <w:rFonts w:ascii="Century Gothic" w:hAnsi="Century Gothic"/>
              </w:rPr>
            </w:pPr>
            <w:r w:rsidRPr="00502484">
              <w:rPr>
                <w:rFonts w:ascii="Century Gothic" w:hAnsi="Century Gothic"/>
              </w:rPr>
              <w:t>127</w:t>
            </w:r>
          </w:p>
        </w:tc>
      </w:tr>
    </w:tbl>
    <w:p w:rsidR="00D40492" w:rsidRPr="00502484" w:rsidRDefault="00D40492" w:rsidP="007F1E17">
      <w:pPr>
        <w:pStyle w:val="menfont"/>
        <w:spacing w:before="240" w:after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lastRenderedPageBreak/>
        <w:t>Zgodnie z przekazanymi informacjami, udostępnianie zasobów nieruchomości w Sulejówku klientom zewnętrznym jest bardzo ograniczone ze względu na konieczność zagospodarowania nieruchomości na cele statutowe. Istnieje możliwość zapewnienia odpłatnego noclegu dla uczestników szkoleń organizowanych w ramach działalności statutowej ORE, bądź osobom towarzyszącym (np. opiekun osoby niepełnosprawnej). Powyższe realizowane jest na podstawie zaakceptowanego prze</w:t>
      </w:r>
      <w:r w:rsidR="007F1E17" w:rsidRPr="00502484">
        <w:rPr>
          <w:rFonts w:ascii="Century Gothic" w:hAnsi="Century Gothic"/>
        </w:rPr>
        <w:t>z kierownictwo ORE regulaminu i </w:t>
      </w:r>
      <w:r w:rsidRPr="00502484">
        <w:rPr>
          <w:rFonts w:ascii="Century Gothic" w:hAnsi="Century Gothic"/>
        </w:rPr>
        <w:t>cennika usług. Rocznie z płatnego noclegu korzysta do 10 osób. Specyfika działalności ORE, polegająca na realizacji w Sulejówku przez cały rok różnych form doskonalenia, których terminy mogą ulegać zmianie, utrudnia skonstruowanie oferty dla klienta zewnętrznego.</w:t>
      </w:r>
    </w:p>
    <w:p w:rsidR="00D40492" w:rsidRPr="00502484" w:rsidRDefault="00D40492" w:rsidP="00D40492">
      <w:pPr>
        <w:pStyle w:val="menfont"/>
        <w:numPr>
          <w:ilvl w:val="0"/>
          <w:numId w:val="1"/>
        </w:numPr>
        <w:jc w:val="both"/>
        <w:rPr>
          <w:rFonts w:ascii="Century Gothic" w:hAnsi="Century Gothic"/>
          <w:b/>
        </w:rPr>
      </w:pPr>
      <w:r w:rsidRPr="00502484">
        <w:rPr>
          <w:rFonts w:ascii="Century Gothic" w:hAnsi="Century Gothic"/>
          <w:b/>
        </w:rPr>
        <w:t>Wypełnianie obowiązków wynikających z przepisów prawa, związanych z technicznym i budowlanym użytkowaniem nieruchomości.</w:t>
      </w:r>
    </w:p>
    <w:p w:rsidR="00D40492" w:rsidRPr="00502484" w:rsidRDefault="00D40492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W okresie objętym kontrolą użytkownik wypełniał w sposób prawidłowy obowiązki wynikające z przepisów art 61, art. 62 oraz art. 64 ustawy z dnia 7 lipca 1994 r. Prawo budowlane.</w:t>
      </w:r>
    </w:p>
    <w:p w:rsidR="00D40492" w:rsidRPr="00502484" w:rsidRDefault="00D40492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Zespół kontrolny stwierdził prawidłowe prowadzenie dokumentacji technicznej budynku, tj. książki obiektu budowlanego, oraz posiadanie protokołów z  przeglądów pięcio</w:t>
      </w:r>
      <w:r w:rsidR="007D74B7">
        <w:rPr>
          <w:rFonts w:ascii="Century Gothic" w:hAnsi="Century Gothic"/>
        </w:rPr>
        <w:t>letnich, rocznych, protokołów z </w:t>
      </w:r>
      <w:r w:rsidRPr="00502484">
        <w:rPr>
          <w:rFonts w:ascii="Century Gothic" w:hAnsi="Century Gothic"/>
        </w:rPr>
        <w:t>przeglądów okresowych instalacji elektrycznych, przewodów kominowych, instalacji gazowej, klimatyzacji, systemu p.poż, agregatu prądotwórczego, systemu Sygnalizacji Włamania i  Napadu (SSWiN).</w:t>
      </w:r>
    </w:p>
    <w:p w:rsidR="00D40492" w:rsidRPr="00502484" w:rsidRDefault="00D40492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 xml:space="preserve">Stwierdzono terminowe dokonywanie przez uprawnione podmioty przeglądów rocznych i pięcioletnich, przeglądów przewodów kominowych. </w:t>
      </w:r>
    </w:p>
    <w:p w:rsidR="00D40492" w:rsidRPr="00502484" w:rsidRDefault="00D40492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W czerwcu 2019 r. wykonano przegląd 5-letni budynku administracyjno-hotelowego i budynku gospodarczego, obejmujący również przegląd roczny.</w:t>
      </w:r>
    </w:p>
    <w:p w:rsidR="00D40492" w:rsidRPr="00502484" w:rsidRDefault="00D40492" w:rsidP="00D40492">
      <w:pPr>
        <w:pStyle w:val="menfont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 xml:space="preserve">We wrześniu 2019 r. wykonano przeglądy roczne budynku administracyjno- hotelowego i gospodarczego. </w:t>
      </w:r>
    </w:p>
    <w:p w:rsidR="00D40492" w:rsidRPr="00502484" w:rsidRDefault="00D40492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W dniu 29 listopada 2018 r. wykonano pomiary oporności uziemień instalacji odgromowej, okresowej kontroli instalacji elektrycznych, pomiarów skuteczności ochrony przeciwporażeniowej. Wszystkie pomiary wykazały sprawność badanych instalacji.</w:t>
      </w:r>
    </w:p>
    <w:p w:rsidR="00D40492" w:rsidRPr="00502484" w:rsidRDefault="00D40492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ORE zrealizował obowiązki nałożone przez Ministerstwo Edukacji Narodowej dotyczące zabezpieczenia nieruchomości. Nieruchomość została ubezpieczona:</w:t>
      </w:r>
    </w:p>
    <w:p w:rsidR="00D40492" w:rsidRPr="00502484" w:rsidRDefault="00D40492" w:rsidP="00D40492">
      <w:pPr>
        <w:pStyle w:val="menfont"/>
        <w:numPr>
          <w:ilvl w:val="0"/>
          <w:numId w:val="2"/>
        </w:numPr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lastRenderedPageBreak/>
        <w:t>od pożaru i innych zdarzeń losowych,</w:t>
      </w:r>
    </w:p>
    <w:p w:rsidR="00D40492" w:rsidRPr="00502484" w:rsidRDefault="00D40492" w:rsidP="00D40492">
      <w:pPr>
        <w:pStyle w:val="menfont"/>
        <w:numPr>
          <w:ilvl w:val="0"/>
          <w:numId w:val="2"/>
        </w:numPr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od kradzieży z włamaniem i rabunku,</w:t>
      </w:r>
    </w:p>
    <w:p w:rsidR="00D40492" w:rsidRPr="00502484" w:rsidRDefault="00D40492" w:rsidP="00D40492">
      <w:pPr>
        <w:pStyle w:val="menfont"/>
        <w:numPr>
          <w:ilvl w:val="0"/>
          <w:numId w:val="2"/>
        </w:numPr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od odpowiedzialności cywilnej.</w:t>
      </w:r>
    </w:p>
    <w:p w:rsidR="00D40492" w:rsidRPr="00502484" w:rsidRDefault="00D40492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Użytkownik zapewnia fizyczną ochronę nieruchomości poprzez zatrudnienie 4 osób na stanowiskach dozorców oraz zlecenie firmie ochroniarskiej SOLID, (umowa nr MOP/10162/15/WAR z dnia 28 grudnia 2015 r.) usługi monitorowania sygnałów lokalnego systemu alarmowego oraz podejmowania interwencji w  obiekcie.</w:t>
      </w:r>
    </w:p>
    <w:p w:rsidR="00D40492" w:rsidRPr="00502484" w:rsidRDefault="00D40492" w:rsidP="007F1E17">
      <w:pPr>
        <w:pStyle w:val="menfont"/>
        <w:numPr>
          <w:ilvl w:val="0"/>
          <w:numId w:val="1"/>
        </w:numPr>
        <w:spacing w:before="240"/>
        <w:jc w:val="both"/>
        <w:rPr>
          <w:rFonts w:ascii="Century Gothic" w:hAnsi="Century Gothic"/>
          <w:b/>
        </w:rPr>
      </w:pPr>
      <w:r w:rsidRPr="00502484">
        <w:rPr>
          <w:rFonts w:ascii="Century Gothic" w:hAnsi="Century Gothic"/>
          <w:b/>
        </w:rPr>
        <w:t>Wypełnianie obowiązków finansowych w zakresie opłat publiczno-prawnych związanych z bieżącym użytkowaniem nieruchomości.</w:t>
      </w:r>
    </w:p>
    <w:p w:rsidR="00D40492" w:rsidRPr="00502484" w:rsidRDefault="00D40492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W okresie objętym kontrolą użytkownik nieruchomości realizował obowiązki publicznoprawne względem Skarbu Państwa oraz jednostki samorządu terytorialnego. Powyższe było realizowane poprzez:</w:t>
      </w:r>
    </w:p>
    <w:p w:rsidR="00D40492" w:rsidRPr="00502484" w:rsidRDefault="00D40492" w:rsidP="00D40492">
      <w:pPr>
        <w:pStyle w:val="menfont"/>
        <w:numPr>
          <w:ilvl w:val="0"/>
          <w:numId w:val="3"/>
        </w:numPr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składanie deklaracji na podatek od nieruchomości;</w:t>
      </w:r>
    </w:p>
    <w:p w:rsidR="00D40492" w:rsidRPr="00502484" w:rsidRDefault="00D40492" w:rsidP="00D40492">
      <w:pPr>
        <w:pStyle w:val="menfont"/>
        <w:numPr>
          <w:ilvl w:val="0"/>
          <w:numId w:val="3"/>
        </w:numPr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składanie do Urzędu Marszałkowskiego Województwa Mazowieckiego corocznych zbiorczych zestawień w zakresie korzystania ze środowiska oraz regulowanie opłaty z tego tytułu;</w:t>
      </w:r>
    </w:p>
    <w:p w:rsidR="00D40492" w:rsidRPr="00502484" w:rsidRDefault="00D40492" w:rsidP="00D40492">
      <w:pPr>
        <w:pStyle w:val="menfont"/>
        <w:numPr>
          <w:ilvl w:val="0"/>
          <w:numId w:val="3"/>
        </w:numPr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regulowanie opłat abonamentowych za wykorzystywane odbiorniki TV i  radioodbiorniki</w:t>
      </w:r>
      <w:r w:rsidR="007D74B7">
        <w:rPr>
          <w:rFonts w:ascii="Century Gothic" w:hAnsi="Century Gothic"/>
        </w:rPr>
        <w:t>. Na podstawie zapisów ustawy o </w:t>
      </w:r>
      <w:r w:rsidRPr="00502484">
        <w:rPr>
          <w:rFonts w:ascii="Century Gothic" w:hAnsi="Century Gothic"/>
        </w:rPr>
        <w:t>opłatach abonamentowych Ośrodek wnosił corocznie jednorazową opłatę abonamentową za korzystanie ze wszystkich odbiorników TV i  radioodbiorników znajdujących się w  użytkowanych obiektach. Zgodni</w:t>
      </w:r>
      <w:r w:rsidR="007D74B7">
        <w:rPr>
          <w:rFonts w:ascii="Century Gothic" w:hAnsi="Century Gothic"/>
        </w:rPr>
        <w:t>e z art.2 ust. 2 pkt w ustawy z </w:t>
      </w:r>
      <w:r w:rsidRPr="00502484">
        <w:rPr>
          <w:rFonts w:ascii="Century Gothic" w:hAnsi="Century Gothic"/>
        </w:rPr>
        <w:t>dnia 21 kwietnia 2005 r. o opłata</w:t>
      </w:r>
      <w:r w:rsidR="007D74B7">
        <w:rPr>
          <w:rFonts w:ascii="Century Gothic" w:hAnsi="Century Gothic"/>
        </w:rPr>
        <w:t>ch abonamentowych (tj. (Dz.U. z </w:t>
      </w:r>
      <w:r w:rsidRPr="00502484">
        <w:rPr>
          <w:rFonts w:ascii="Century Gothic" w:hAnsi="Century Gothic"/>
        </w:rPr>
        <w:t>2020 r. poz. 1689) ORE, jako publiczna jednostka organizacyjna systemu oświaty, niezależnie od ilo</w:t>
      </w:r>
      <w:r w:rsidR="007D74B7">
        <w:rPr>
          <w:rFonts w:ascii="Century Gothic" w:hAnsi="Century Gothic"/>
        </w:rPr>
        <w:t>ści użytkowanych odbiorników, z </w:t>
      </w:r>
      <w:r w:rsidRPr="00502484">
        <w:rPr>
          <w:rFonts w:ascii="Century Gothic" w:hAnsi="Century Gothic"/>
        </w:rPr>
        <w:t>uwagi na przysługującą ulgę uiszcza tylko jedną opłatę abonamentową.</w:t>
      </w:r>
    </w:p>
    <w:p w:rsidR="00D40492" w:rsidRPr="00502484" w:rsidRDefault="00D40492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 xml:space="preserve">Zespół kontrolny w okresie objętym kontrolą nie stwierdził obowiązku realizacji innych niż powyższe opłat </w:t>
      </w:r>
      <w:r w:rsidR="007D74B7">
        <w:rPr>
          <w:rFonts w:ascii="Century Gothic" w:hAnsi="Century Gothic"/>
        </w:rPr>
        <w:t>publiczno-prawnych związanych z </w:t>
      </w:r>
      <w:r w:rsidRPr="00502484">
        <w:rPr>
          <w:rFonts w:ascii="Century Gothic" w:hAnsi="Century Gothic"/>
        </w:rPr>
        <w:t>bieżącym użytkowaniem nieruchomości.</w:t>
      </w:r>
    </w:p>
    <w:p w:rsidR="007D74B7" w:rsidRDefault="00D40492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Nie było również wniosków bądź skarg dotyczących pomijania bądź nieuwzględniania przez administratora nieruchomości oczekiwań indywidualnych użytkowników w zakresie gospodarowania nieruchomościami, mogących skutkować wykluczeniem poszczególnych grup bądź osób (np. osób niepełnosprawnych).</w:t>
      </w:r>
    </w:p>
    <w:p w:rsidR="007D74B7" w:rsidRDefault="007D74B7" w:rsidP="007F1E17">
      <w:pPr>
        <w:pStyle w:val="menfont"/>
        <w:spacing w:before="240"/>
        <w:jc w:val="both"/>
        <w:rPr>
          <w:rFonts w:ascii="Century Gothic" w:hAnsi="Century Gothic"/>
        </w:rPr>
      </w:pPr>
    </w:p>
    <w:p w:rsidR="007D74B7" w:rsidRPr="00502484" w:rsidRDefault="007D74B7" w:rsidP="007F1E17">
      <w:pPr>
        <w:pStyle w:val="menfont"/>
        <w:spacing w:before="240"/>
        <w:jc w:val="both"/>
        <w:rPr>
          <w:rFonts w:ascii="Century Gothic" w:hAnsi="Century Gothic"/>
        </w:rPr>
      </w:pPr>
    </w:p>
    <w:p w:rsidR="00D40492" w:rsidRPr="00502484" w:rsidRDefault="00D40492" w:rsidP="007F1E17">
      <w:pPr>
        <w:pStyle w:val="menfont"/>
        <w:numPr>
          <w:ilvl w:val="0"/>
          <w:numId w:val="1"/>
        </w:numPr>
        <w:spacing w:before="240"/>
        <w:jc w:val="both"/>
        <w:rPr>
          <w:rFonts w:ascii="Century Gothic" w:hAnsi="Century Gothic"/>
          <w:b/>
        </w:rPr>
      </w:pPr>
      <w:r w:rsidRPr="00502484">
        <w:rPr>
          <w:rFonts w:ascii="Century Gothic" w:hAnsi="Century Gothic"/>
          <w:b/>
        </w:rPr>
        <w:lastRenderedPageBreak/>
        <w:t>Obszar obrotu żywnością.</w:t>
      </w:r>
    </w:p>
    <w:p w:rsidR="00D40492" w:rsidRPr="00502484" w:rsidRDefault="00D40492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Zespół kontrolujący nie stwierdził n</w:t>
      </w:r>
      <w:r w:rsidR="007D74B7">
        <w:rPr>
          <w:rFonts w:ascii="Century Gothic" w:hAnsi="Century Gothic"/>
        </w:rPr>
        <w:t>ieprawidłowości bądź uchybień w </w:t>
      </w:r>
      <w:r w:rsidRPr="00502484">
        <w:rPr>
          <w:rFonts w:ascii="Century Gothic" w:hAnsi="Century Gothic"/>
        </w:rPr>
        <w:t>obszarze pracy pracowników ORE przy obrocie żywnością. Pracownicy zatrudnieni przy wydawaniu posiłków posiadali określone przepisami ustawy z dnia 5 grudnia 2008 r. o zapobieganiu oraz zwa</w:t>
      </w:r>
      <w:r w:rsidR="007D74B7">
        <w:rPr>
          <w:rFonts w:ascii="Century Gothic" w:hAnsi="Century Gothic"/>
        </w:rPr>
        <w:t>lczaniu zakażeń i </w:t>
      </w:r>
      <w:r w:rsidRPr="00502484">
        <w:rPr>
          <w:rFonts w:ascii="Century Gothic" w:hAnsi="Century Gothic"/>
        </w:rPr>
        <w:t xml:space="preserve">chorób zakaźnych u ludzi (tj. </w:t>
      </w:r>
      <w:r w:rsidR="00554BA4" w:rsidRPr="00502484">
        <w:rPr>
          <w:rFonts w:ascii="Century Gothic" w:hAnsi="Century Gothic"/>
        </w:rPr>
        <w:t> </w:t>
      </w:r>
      <w:r w:rsidRPr="00502484">
        <w:rPr>
          <w:rFonts w:ascii="Century Gothic" w:hAnsi="Century Gothic"/>
        </w:rPr>
        <w:t>Dz.U. z 2020 r. poz. 1845) orzeczenia lekarskie dla celów sanitarno-epidemiologicznych o  braku przeciwws</w:t>
      </w:r>
      <w:r w:rsidR="007D74B7">
        <w:rPr>
          <w:rFonts w:ascii="Century Gothic" w:hAnsi="Century Gothic"/>
        </w:rPr>
        <w:t>kazań do </w:t>
      </w:r>
      <w:r w:rsidR="007F1E17" w:rsidRPr="00502484">
        <w:rPr>
          <w:rFonts w:ascii="Century Gothic" w:hAnsi="Century Gothic"/>
        </w:rPr>
        <w:t>wykonywania prac, przy </w:t>
      </w:r>
      <w:r w:rsidRPr="00502484">
        <w:rPr>
          <w:rFonts w:ascii="Century Gothic" w:hAnsi="Century Gothic"/>
        </w:rPr>
        <w:t>wykonywaniu których istnieje możliwość przeniesienia zakażenia na inne osoby. (</w:t>
      </w:r>
    </w:p>
    <w:p w:rsidR="00D40492" w:rsidRPr="00502484" w:rsidRDefault="00D40492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Jednostka wprowadziła procedury systemu HACCP (Hazard Analysis and Critical Control Points, polskie tłum. Analiza Zagrożeń i Krytyczne Punkty Kontroli). Od 1  stycznia 2006 r. wszyst</w:t>
      </w:r>
      <w:r w:rsidR="007D74B7">
        <w:rPr>
          <w:rFonts w:ascii="Century Gothic" w:hAnsi="Century Gothic"/>
        </w:rPr>
        <w:t>kie podmioty, które produkują i </w:t>
      </w:r>
      <w:r w:rsidRPr="00502484">
        <w:rPr>
          <w:rFonts w:ascii="Century Gothic" w:hAnsi="Century Gothic"/>
        </w:rPr>
        <w:t>wprowadzają żywność do obrotu mają obowiązek stosowania procedur wynikających z  systemu HACCP. Obowiązek posiadania wdrożonego systemu HACCP reguluje usta</w:t>
      </w:r>
      <w:r w:rsidR="007D74B7">
        <w:rPr>
          <w:rFonts w:ascii="Century Gothic" w:hAnsi="Century Gothic"/>
        </w:rPr>
        <w:t>wa z dnia 25 sierpnia 2006 r. o </w:t>
      </w:r>
      <w:r w:rsidRPr="00502484">
        <w:rPr>
          <w:rFonts w:ascii="Century Gothic" w:hAnsi="Century Gothic"/>
        </w:rPr>
        <w:t>Bezpieczeństwie żywności i żywienia (t.j. Dz.U. z 2019 r. poz. 1252), która odwołuje się min. do przepisów:</w:t>
      </w:r>
    </w:p>
    <w:p w:rsidR="00D40492" w:rsidRPr="00502484" w:rsidRDefault="00D40492" w:rsidP="00D40492">
      <w:pPr>
        <w:pStyle w:val="menfont"/>
        <w:numPr>
          <w:ilvl w:val="0"/>
          <w:numId w:val="4"/>
        </w:numPr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Rozporządzenia (WE) nr 178/2002 Parlamentu Europejskiego,</w:t>
      </w:r>
    </w:p>
    <w:p w:rsidR="00D40492" w:rsidRPr="00502484" w:rsidRDefault="00D40492" w:rsidP="00D40492">
      <w:pPr>
        <w:pStyle w:val="menfont"/>
        <w:numPr>
          <w:ilvl w:val="0"/>
          <w:numId w:val="4"/>
        </w:numPr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Rozporządzenia (WE) nr 852/2004 Parlamentu Europejskiego.</w:t>
      </w:r>
    </w:p>
    <w:p w:rsidR="00D40492" w:rsidRPr="00502484" w:rsidRDefault="00D40492" w:rsidP="00D40492">
      <w:pPr>
        <w:pStyle w:val="menfont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Zgodnie z art. 3 ust. 3 pkt. 41 ww. ustawy, System HACCP określa procedury postępowania mające na celu zapewnienie bezpieczeństwa żywności przez identyfikację i oszacowanie skali zagrożeń z punktu widzenia wymagań zdrowotnych żywności oraz ryzyka wystąpienia zagrożeń podczas przebiegu wszystkich etapów produkcji i obrotu żywnością. System ten ma również na celu określenie metod eliminacji lub ograniczania zagrożeń oraz ustalenie działań korygujących.</w:t>
      </w:r>
    </w:p>
    <w:p w:rsidR="00D40492" w:rsidRPr="00502484" w:rsidRDefault="00D40492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Ww. system polega na samokontroli na określonych kolejnych etapach produkcji żywności. W zakresie procedur systemu HACCP w centrum szkoleniowym w  Sulejówku realizowany jest:</w:t>
      </w:r>
    </w:p>
    <w:p w:rsidR="00D40492" w:rsidRPr="00502484" w:rsidRDefault="00D40492" w:rsidP="00D40492">
      <w:pPr>
        <w:pStyle w:val="menfont"/>
        <w:numPr>
          <w:ilvl w:val="0"/>
          <w:numId w:val="5"/>
        </w:numPr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System GHP (Good Hygienic Practice), tzw. dobra praktyka higieniczna, polegająca na systematycznym planie higieny uwzględniającym codzienne i okresowe czynności związane z  dezynfekcją i dezynsekcją pomieszczeń kuchennych. Wszelkie czynności odnotowywane są w   specjalnie przygotowywanych arkuszach.</w:t>
      </w:r>
    </w:p>
    <w:p w:rsidR="00DF28D0" w:rsidRPr="00502484" w:rsidRDefault="00D40492" w:rsidP="007F1E17">
      <w:pPr>
        <w:pStyle w:val="menfont"/>
        <w:numPr>
          <w:ilvl w:val="0"/>
          <w:numId w:val="5"/>
        </w:numPr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Monitoring zagrożeń, poprzez prowadzenie kart odbioru surowców od dostawców oraz przy</w:t>
      </w:r>
      <w:r w:rsidR="007D74B7">
        <w:rPr>
          <w:rFonts w:ascii="Century Gothic" w:hAnsi="Century Gothic"/>
        </w:rPr>
        <w:t>gotowywanie i przechowywanie, w </w:t>
      </w:r>
      <w:r w:rsidRPr="00502484">
        <w:rPr>
          <w:rFonts w:ascii="Century Gothic" w:hAnsi="Century Gothic"/>
        </w:rPr>
        <w:t>specjalnym urządzeniu chłodniczym, próbek kontrolnych wykonywanych posiłków.</w:t>
      </w:r>
    </w:p>
    <w:p w:rsidR="002A150F" w:rsidRPr="00502484" w:rsidRDefault="002A150F" w:rsidP="002A150F">
      <w:pPr>
        <w:pStyle w:val="menfont"/>
        <w:numPr>
          <w:ilvl w:val="0"/>
          <w:numId w:val="7"/>
        </w:numPr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Monitoring szkodników z zastosowaniem specjalistycznych lamp owadobójczych oraz pułapek na owady biegające.</w:t>
      </w:r>
    </w:p>
    <w:p w:rsidR="002A150F" w:rsidRPr="00502484" w:rsidRDefault="002A150F" w:rsidP="002A150F">
      <w:pPr>
        <w:pStyle w:val="menfont"/>
        <w:numPr>
          <w:ilvl w:val="0"/>
          <w:numId w:val="7"/>
        </w:numPr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lastRenderedPageBreak/>
        <w:t>Przeszkolenie personelu w zakresie zagrożeń dla bezpieczeństwa żywności oraz w zakresie m</w:t>
      </w:r>
      <w:r w:rsidR="007D74B7">
        <w:rPr>
          <w:rFonts w:ascii="Century Gothic" w:hAnsi="Century Gothic"/>
        </w:rPr>
        <w:t>onitoringu owadów biegających i </w:t>
      </w:r>
      <w:r w:rsidRPr="00502484">
        <w:rPr>
          <w:rFonts w:ascii="Century Gothic" w:hAnsi="Century Gothic"/>
        </w:rPr>
        <w:t>latających.</w:t>
      </w:r>
    </w:p>
    <w:p w:rsidR="002A150F" w:rsidRPr="00502484" w:rsidRDefault="002A150F" w:rsidP="002A150F">
      <w:pPr>
        <w:pStyle w:val="menfont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Ponadto, co kwartał, na podstawie umowy serwisowej, firma zewnętrzna, dokonywała okresowych kontroli wprowadzonych procedur systemu HACCP.</w:t>
      </w:r>
    </w:p>
    <w:p w:rsidR="002A150F" w:rsidRPr="00502484" w:rsidRDefault="002A150F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Podczas kontroli nie stwierdzono nieprawidłowości.</w:t>
      </w:r>
    </w:p>
    <w:p w:rsidR="00DF28D0" w:rsidRPr="00502484" w:rsidRDefault="002A150F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Wystąpienie pokontrolne sporządzono w dwóch jednobrzmiących egzemplarzach</w:t>
      </w:r>
      <w:r w:rsidR="007F1E17" w:rsidRPr="00502484">
        <w:rPr>
          <w:rFonts w:ascii="Century Gothic" w:hAnsi="Century Gothic"/>
        </w:rPr>
        <w:t>.</w:t>
      </w:r>
    </w:p>
    <w:p w:rsidR="007F1E17" w:rsidRPr="00502484" w:rsidRDefault="007F1E17" w:rsidP="007F1E17">
      <w:pPr>
        <w:pStyle w:val="menfont"/>
        <w:spacing w:before="240"/>
        <w:jc w:val="both"/>
        <w:rPr>
          <w:rFonts w:ascii="Century Gothic" w:hAnsi="Century Gothic"/>
        </w:rPr>
      </w:pPr>
      <w:r w:rsidRPr="00502484">
        <w:rPr>
          <w:rFonts w:ascii="Century Gothic" w:hAnsi="Century Gothic"/>
        </w:rPr>
        <w:t>Od wystąpienia pokontrolnego nie przysługują środki odwoławcze.</w:t>
      </w:r>
    </w:p>
    <w:sectPr w:rsidR="007F1E17" w:rsidRPr="00502484" w:rsidSect="001C2408">
      <w:footerReference w:type="default" r:id="rId7"/>
      <w:headerReference w:type="first" r:id="rId8"/>
      <w:footerReference w:type="first" r:id="rId9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F16" w:rsidRDefault="00E80F16">
      <w:r>
        <w:separator/>
      </w:r>
    </w:p>
  </w:endnote>
  <w:endnote w:type="continuationSeparator" w:id="0">
    <w:p w:rsidR="00E80F16" w:rsidRDefault="00E80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E46BE96-7255-4C01-8577-FB2E2B67A183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2" w:fontKey="{3BD631C7-3FE0-4CDB-ABAD-B70EA0AB3B74}"/>
    <w:embedBold r:id="rId3" w:fontKey="{8A6B32EB-8FF5-4E51-9C2C-1A72F5AEA77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8E89C9C4-2E5D-4919-A75E-FB5C8A7818A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D559E0BD-C777-4C5D-AE5F-19A19DBA14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3631515"/>
      <w:docPartObj>
        <w:docPartGallery w:val="Page Numbers (Bottom of Page)"/>
        <w:docPartUnique/>
      </w:docPartObj>
    </w:sdtPr>
    <w:sdtEndPr/>
    <w:sdtContent>
      <w:p w:rsidR="007D74B7" w:rsidRDefault="007D74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9EF">
          <w:rPr>
            <w:noProof/>
          </w:rPr>
          <w:t>7</w:t>
        </w:r>
        <w:r>
          <w:fldChar w:fldCharType="end"/>
        </w:r>
      </w:p>
    </w:sdtContent>
  </w:sdt>
  <w:p w:rsidR="00DF28D0" w:rsidRDefault="002F49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7099748"/>
      <w:docPartObj>
        <w:docPartGallery w:val="Page Numbers (Bottom of Page)"/>
        <w:docPartUnique/>
      </w:docPartObj>
    </w:sdtPr>
    <w:sdtEndPr/>
    <w:sdtContent>
      <w:p w:rsidR="00502484" w:rsidRDefault="005024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9EF">
          <w:rPr>
            <w:noProof/>
          </w:rPr>
          <w:t>1</w:t>
        </w:r>
        <w:r>
          <w:fldChar w:fldCharType="end"/>
        </w:r>
      </w:p>
    </w:sdtContent>
  </w:sdt>
  <w:p w:rsidR="00DF28D0" w:rsidRDefault="002F49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F16" w:rsidRDefault="00E80F16">
      <w:r>
        <w:separator/>
      </w:r>
    </w:p>
  </w:footnote>
  <w:footnote w:type="continuationSeparator" w:id="0">
    <w:p w:rsidR="00E80F16" w:rsidRDefault="00E80F16">
      <w:r>
        <w:continuationSeparator/>
      </w:r>
    </w:p>
  </w:footnote>
  <w:footnote w:id="1">
    <w:p w:rsidR="00D40492" w:rsidRPr="00C02ED6" w:rsidRDefault="00D40492" w:rsidP="00D40492">
      <w:pPr>
        <w:pStyle w:val="Tekstprzypisudolnego"/>
        <w:rPr>
          <w:rFonts w:ascii="Century Gothic" w:hAnsi="Century Gothic"/>
        </w:rPr>
      </w:pPr>
      <w:r>
        <w:rPr>
          <w:rStyle w:val="Odwoanieprzypisudolnego"/>
        </w:rPr>
        <w:footnoteRef/>
      </w:r>
      <w:r>
        <w:t xml:space="preserve"> </w:t>
      </w:r>
      <w:r w:rsidRPr="00C02ED6">
        <w:rPr>
          <w:rFonts w:ascii="Century Gothic" w:hAnsi="Century Gothic"/>
        </w:rPr>
        <w:t>Zespół kontrolny:</w:t>
      </w:r>
    </w:p>
    <w:p w:rsidR="00D40492" w:rsidRPr="00C02ED6" w:rsidRDefault="00D40492" w:rsidP="00D40492">
      <w:pPr>
        <w:pStyle w:val="Tekstprzypisudolnego"/>
        <w:numPr>
          <w:ilvl w:val="0"/>
          <w:numId w:val="6"/>
        </w:numPr>
        <w:ind w:left="426"/>
        <w:jc w:val="both"/>
        <w:rPr>
          <w:rFonts w:ascii="Century Gothic" w:hAnsi="Century Gothic"/>
        </w:rPr>
      </w:pPr>
      <w:r w:rsidRPr="00C02ED6">
        <w:rPr>
          <w:rFonts w:ascii="Century Gothic" w:hAnsi="Century Gothic"/>
        </w:rPr>
        <w:t>Maciej Wilczyński, naczelnik Wydziału Obsługi Administracyjno-Technicznej, upoważnienie nr 22/2020 z 14.09.2020 r. – kierownik zespołu kontrolnego;</w:t>
      </w:r>
    </w:p>
    <w:p w:rsidR="00D40492" w:rsidRPr="00C02ED6" w:rsidRDefault="00D40492" w:rsidP="00D40492">
      <w:pPr>
        <w:pStyle w:val="Tekstprzypisudolnego"/>
        <w:numPr>
          <w:ilvl w:val="0"/>
          <w:numId w:val="6"/>
        </w:numPr>
        <w:ind w:left="426"/>
        <w:jc w:val="both"/>
        <w:rPr>
          <w:rFonts w:ascii="Century Gothic" w:hAnsi="Century Gothic"/>
          <w:sz w:val="18"/>
          <w:szCs w:val="18"/>
        </w:rPr>
      </w:pPr>
      <w:r w:rsidRPr="00C02ED6">
        <w:rPr>
          <w:rFonts w:ascii="Century Gothic" w:hAnsi="Century Gothic"/>
        </w:rPr>
        <w:t>Zdzisław Kaczmarek – ekspert w Wydziale Obsługi Administracyjno-Technicznej, upoważnienie nr 23/2020 z 14.09.2020 r. – członek zespołu kontrolnego.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CE2" w:rsidRPr="00C51C98" w:rsidRDefault="00A67657" w:rsidP="004B4496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I NAUKI</w:t>
    </w:r>
  </w:p>
  <w:p w:rsidR="00082207" w:rsidRPr="00933CE2" w:rsidRDefault="00A67657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5772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D38B7"/>
    <w:multiLevelType w:val="hybridMultilevel"/>
    <w:tmpl w:val="0FBC0D80"/>
    <w:lvl w:ilvl="0" w:tplc="B2D64688">
      <w:start w:val="1"/>
      <w:numFmt w:val="bullet"/>
      <w:lvlText w:val="-"/>
      <w:lvlJc w:val="left"/>
      <w:pPr>
        <w:ind w:left="578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C1D60BF"/>
    <w:multiLevelType w:val="hybridMultilevel"/>
    <w:tmpl w:val="547A5556"/>
    <w:lvl w:ilvl="0" w:tplc="9FDE7210">
      <w:start w:val="1"/>
      <w:numFmt w:val="decimal"/>
      <w:lvlText w:val="%1)"/>
      <w:lvlJc w:val="left"/>
      <w:pPr>
        <w:ind w:left="720" w:hanging="360"/>
      </w:pPr>
      <w:rPr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72DBD"/>
    <w:multiLevelType w:val="hybridMultilevel"/>
    <w:tmpl w:val="C44888C2"/>
    <w:lvl w:ilvl="0" w:tplc="B2D646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A445B"/>
    <w:multiLevelType w:val="hybridMultilevel"/>
    <w:tmpl w:val="44864E46"/>
    <w:lvl w:ilvl="0" w:tplc="B2D646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C0325"/>
    <w:multiLevelType w:val="hybridMultilevel"/>
    <w:tmpl w:val="C150CADE"/>
    <w:lvl w:ilvl="0" w:tplc="B2D646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D1966"/>
    <w:multiLevelType w:val="hybridMultilevel"/>
    <w:tmpl w:val="B22A9942"/>
    <w:lvl w:ilvl="0" w:tplc="C85AA1D4">
      <w:start w:val="1"/>
      <w:numFmt w:val="decimal"/>
      <w:lvlText w:val="%1.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TrueTypeFonts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D9"/>
    <w:rsid w:val="000A7B5B"/>
    <w:rsid w:val="000D42D9"/>
    <w:rsid w:val="002334A3"/>
    <w:rsid w:val="002559E6"/>
    <w:rsid w:val="002A150F"/>
    <w:rsid w:val="002B2430"/>
    <w:rsid w:val="002F49EF"/>
    <w:rsid w:val="00502484"/>
    <w:rsid w:val="00554BA4"/>
    <w:rsid w:val="007D74B7"/>
    <w:rsid w:val="007F1E17"/>
    <w:rsid w:val="00916273"/>
    <w:rsid w:val="009E5F72"/>
    <w:rsid w:val="00A238CA"/>
    <w:rsid w:val="00A67657"/>
    <w:rsid w:val="00A96CEA"/>
    <w:rsid w:val="00C02ED6"/>
    <w:rsid w:val="00CA31E5"/>
    <w:rsid w:val="00CF5C41"/>
    <w:rsid w:val="00D40492"/>
    <w:rsid w:val="00E46AB1"/>
    <w:rsid w:val="00E8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5B7386F"/>
  <w15:docId w15:val="{C106AE90-58EB-466E-9EBE-E953966BB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semiHidden/>
    <w:unhideWhenUsed/>
    <w:rsid w:val="00D404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40492"/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D40492"/>
    <w:rPr>
      <w:vertAlign w:val="superscript"/>
    </w:rPr>
  </w:style>
  <w:style w:type="table" w:styleId="Tabela-Siatka">
    <w:name w:val="Table Grid"/>
    <w:basedOn w:val="Standardowy"/>
    <w:rsid w:val="00D4049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unhideWhenUsed/>
    <w:rsid w:val="002A15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A15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4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1562</Words>
  <Characters>10403</Characters>
  <Application>Microsoft Office Word</Application>
  <DocSecurity>0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Lisek Aleksandra</cp:lastModifiedBy>
  <cp:revision>2</cp:revision>
  <cp:lastPrinted>2020-11-16T10:27:00Z</cp:lastPrinted>
  <dcterms:created xsi:type="dcterms:W3CDTF">2020-11-27T15:15:00Z</dcterms:created>
  <dcterms:modified xsi:type="dcterms:W3CDTF">2020-11-27T15:15:00Z</dcterms:modified>
</cp:coreProperties>
</file>