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47424" w14:textId="2C456A71" w:rsidR="007E740C" w:rsidRPr="006C05E6" w:rsidRDefault="0008036A" w:rsidP="00FD32DE">
      <w:pPr>
        <w:spacing w:before="120" w:line="360" w:lineRule="auto"/>
        <w:jc w:val="center"/>
        <w:rPr>
          <w:rFonts w:ascii="Verdana" w:eastAsia="Verdana" w:hAnsi="Verdana" w:cs="Verdana"/>
          <w:b/>
          <w:sz w:val="24"/>
          <w:szCs w:val="24"/>
        </w:rPr>
      </w:pPr>
      <w:r w:rsidRPr="006C05E6">
        <w:rPr>
          <w:rFonts w:ascii="Verdana" w:eastAsia="Verdana" w:hAnsi="Verdana" w:cs="Verdana"/>
          <w:b/>
          <w:sz w:val="24"/>
          <w:szCs w:val="24"/>
        </w:rPr>
        <w:t xml:space="preserve">Uchwała nr </w:t>
      </w:r>
      <w:r w:rsidR="008D15FB">
        <w:rPr>
          <w:rFonts w:ascii="Verdana" w:eastAsia="Verdana" w:hAnsi="Verdana" w:cs="Verdana"/>
          <w:b/>
          <w:sz w:val="24"/>
          <w:szCs w:val="24"/>
        </w:rPr>
        <w:t>207</w:t>
      </w:r>
      <w:r w:rsidRPr="006C05E6">
        <w:rPr>
          <w:rFonts w:ascii="Verdana" w:eastAsia="Verdana" w:hAnsi="Verdana" w:cs="Verdana"/>
          <w:b/>
          <w:sz w:val="24"/>
          <w:szCs w:val="24"/>
        </w:rPr>
        <w:br/>
        <w:t>Rady Działalności Pożytku Publicznego</w:t>
      </w:r>
      <w:r w:rsidRPr="006C05E6">
        <w:rPr>
          <w:rFonts w:ascii="Verdana" w:eastAsia="Verdana" w:hAnsi="Verdana" w:cs="Verdana"/>
          <w:b/>
          <w:sz w:val="24"/>
          <w:szCs w:val="24"/>
        </w:rPr>
        <w:br/>
        <w:t xml:space="preserve">z dnia </w:t>
      </w:r>
      <w:r w:rsidR="008D15FB">
        <w:rPr>
          <w:rFonts w:ascii="Verdana" w:eastAsia="Verdana" w:hAnsi="Verdana" w:cs="Verdana"/>
          <w:b/>
          <w:sz w:val="24"/>
          <w:szCs w:val="24"/>
        </w:rPr>
        <w:t>17 września</w:t>
      </w:r>
      <w:bookmarkStart w:id="0" w:name="_GoBack"/>
      <w:bookmarkEnd w:id="0"/>
      <w:r w:rsidRPr="006C05E6">
        <w:rPr>
          <w:rFonts w:ascii="Verdana" w:eastAsia="Verdana" w:hAnsi="Verdana" w:cs="Verdana"/>
          <w:b/>
          <w:sz w:val="24"/>
          <w:szCs w:val="24"/>
        </w:rPr>
        <w:t xml:space="preserve"> 2021 r. </w:t>
      </w:r>
      <w:r w:rsidRPr="006C05E6">
        <w:rPr>
          <w:rFonts w:ascii="Verdana" w:eastAsia="Verdana" w:hAnsi="Verdana" w:cs="Verdana"/>
          <w:b/>
          <w:sz w:val="24"/>
          <w:szCs w:val="24"/>
        </w:rPr>
        <w:br/>
        <w:t>w sprawie projektu Programu Pomoc Techniczna dla Funduszy Europejskich na lata 2021-2027</w:t>
      </w:r>
    </w:p>
    <w:p w14:paraId="13FE33A8" w14:textId="1A1062A4" w:rsidR="003A27A6" w:rsidRPr="006C05E6" w:rsidRDefault="003A27A6" w:rsidP="00FD32DE">
      <w:pPr>
        <w:spacing w:before="120" w:line="360" w:lineRule="auto"/>
        <w:rPr>
          <w:rFonts w:ascii="Verdana" w:eastAsia="Verdana" w:hAnsi="Verdana" w:cs="Verdana"/>
          <w:b/>
          <w:sz w:val="24"/>
          <w:szCs w:val="24"/>
        </w:rPr>
      </w:pPr>
    </w:p>
    <w:p w14:paraId="23C4D9E1" w14:textId="432EDFB8" w:rsidR="007E740C" w:rsidRPr="006C05E6" w:rsidRDefault="0008036A" w:rsidP="00FD32DE">
      <w:pPr>
        <w:spacing w:before="120" w:line="360" w:lineRule="auto"/>
        <w:rPr>
          <w:rFonts w:ascii="Verdana" w:eastAsia="Verdana" w:hAnsi="Verdana" w:cs="Verdana"/>
          <w:sz w:val="24"/>
          <w:szCs w:val="24"/>
        </w:rPr>
      </w:pPr>
      <w:r w:rsidRPr="006C05E6">
        <w:rPr>
          <w:rFonts w:ascii="Verdana" w:eastAsia="Verdana" w:hAnsi="Verdana" w:cs="Verdana"/>
          <w:sz w:val="24"/>
          <w:szCs w:val="24"/>
        </w:rPr>
        <w:t>Na podstawie § 10 rozporządzenia Przewodniczącego Komitetu do spraw Pożytku Publicznego z dnia 24 października 2018 r. w sprawie Rady Działa</w:t>
      </w:r>
      <w:r w:rsidR="0079195C" w:rsidRPr="006C05E6">
        <w:rPr>
          <w:rFonts w:ascii="Verdana" w:eastAsia="Verdana" w:hAnsi="Verdana" w:cs="Verdana"/>
          <w:sz w:val="24"/>
          <w:szCs w:val="24"/>
        </w:rPr>
        <w:t xml:space="preserve">lności Pożytku Publicznego (Dz. U. poz. </w:t>
      </w:r>
      <w:r w:rsidRPr="006C05E6">
        <w:rPr>
          <w:rFonts w:ascii="Verdana" w:eastAsia="Verdana" w:hAnsi="Verdana" w:cs="Verdana"/>
          <w:sz w:val="24"/>
          <w:szCs w:val="24"/>
        </w:rPr>
        <w:t>2052) oraz art. 35 ust. 2</w:t>
      </w:r>
      <w:r w:rsidR="0079195C" w:rsidRPr="006C05E6">
        <w:rPr>
          <w:rFonts w:ascii="Verdana" w:eastAsia="Verdana" w:hAnsi="Verdana" w:cs="Verdana"/>
          <w:sz w:val="24"/>
          <w:szCs w:val="24"/>
        </w:rPr>
        <w:t xml:space="preserve"> ustawy z dnia</w:t>
      </w:r>
      <w:r w:rsidR="00DE75C7" w:rsidRPr="006C05E6">
        <w:rPr>
          <w:rFonts w:ascii="Verdana" w:eastAsia="Verdana" w:hAnsi="Verdana" w:cs="Verdana"/>
          <w:sz w:val="24"/>
          <w:szCs w:val="24"/>
        </w:rPr>
        <w:t xml:space="preserve"> 24 kwietnia 2003</w:t>
      </w:r>
      <w:r w:rsidR="006205A9" w:rsidRPr="006C05E6">
        <w:rPr>
          <w:rFonts w:ascii="Verdana" w:eastAsia="Verdana" w:hAnsi="Verdana" w:cs="Verdana"/>
          <w:sz w:val="24"/>
          <w:szCs w:val="24"/>
        </w:rPr>
        <w:t xml:space="preserve"> </w:t>
      </w:r>
      <w:r w:rsidRPr="006C05E6">
        <w:rPr>
          <w:rFonts w:ascii="Verdana" w:eastAsia="Verdana" w:hAnsi="Verdana" w:cs="Verdana"/>
          <w:sz w:val="24"/>
          <w:szCs w:val="24"/>
        </w:rPr>
        <w:t>r. o działalności pożytku publiczn</w:t>
      </w:r>
      <w:r w:rsidR="00CF7DBC" w:rsidRPr="006C05E6">
        <w:rPr>
          <w:rFonts w:ascii="Verdana" w:eastAsia="Verdana" w:hAnsi="Verdana" w:cs="Verdana"/>
          <w:sz w:val="24"/>
          <w:szCs w:val="24"/>
        </w:rPr>
        <w:t>ego i o wolontariacie (Dz. </w:t>
      </w:r>
      <w:r w:rsidR="0079195C" w:rsidRPr="006C05E6">
        <w:rPr>
          <w:rFonts w:ascii="Verdana" w:eastAsia="Verdana" w:hAnsi="Verdana" w:cs="Verdana"/>
          <w:sz w:val="24"/>
          <w:szCs w:val="24"/>
        </w:rPr>
        <w:t>U.</w:t>
      </w:r>
      <w:r w:rsidR="00CF7DBC" w:rsidRPr="006C05E6">
        <w:rPr>
          <w:rFonts w:ascii="Verdana" w:eastAsia="Verdana" w:hAnsi="Verdana" w:cs="Verdana"/>
          <w:sz w:val="24"/>
          <w:szCs w:val="24"/>
        </w:rPr>
        <w:t> </w:t>
      </w:r>
      <w:r w:rsidR="0079195C" w:rsidRPr="006C05E6">
        <w:rPr>
          <w:rFonts w:ascii="Verdana" w:eastAsia="Verdana" w:hAnsi="Verdana" w:cs="Verdana"/>
          <w:sz w:val="24"/>
          <w:szCs w:val="24"/>
        </w:rPr>
        <w:t>z</w:t>
      </w:r>
      <w:r w:rsidR="00DE75C7" w:rsidRPr="006C05E6">
        <w:rPr>
          <w:rFonts w:ascii="Verdana" w:eastAsia="Verdana" w:hAnsi="Verdana" w:cs="Verdana"/>
          <w:sz w:val="24"/>
          <w:szCs w:val="24"/>
        </w:rPr>
        <w:t> </w:t>
      </w:r>
      <w:r w:rsidR="0079195C" w:rsidRPr="006C05E6">
        <w:rPr>
          <w:rFonts w:ascii="Verdana" w:eastAsia="Verdana" w:hAnsi="Verdana" w:cs="Verdana"/>
          <w:sz w:val="24"/>
          <w:szCs w:val="24"/>
        </w:rPr>
        <w:t>2020 r. poz. </w:t>
      </w:r>
      <w:r w:rsidRPr="006C05E6">
        <w:rPr>
          <w:rFonts w:ascii="Verdana" w:eastAsia="Verdana" w:hAnsi="Verdana" w:cs="Verdana"/>
          <w:sz w:val="24"/>
          <w:szCs w:val="24"/>
        </w:rPr>
        <w:t>1057), uchwala się stanowisko Rady Dzi</w:t>
      </w:r>
      <w:r w:rsidR="0079195C" w:rsidRPr="006C05E6">
        <w:rPr>
          <w:rFonts w:ascii="Verdana" w:eastAsia="Verdana" w:hAnsi="Verdana" w:cs="Verdana"/>
          <w:sz w:val="24"/>
          <w:szCs w:val="24"/>
        </w:rPr>
        <w:t>ałalności Pożytku Publicznego w </w:t>
      </w:r>
      <w:r w:rsidRPr="006C05E6">
        <w:rPr>
          <w:rFonts w:ascii="Verdana" w:eastAsia="Verdana" w:hAnsi="Verdana" w:cs="Verdana"/>
          <w:sz w:val="24"/>
          <w:szCs w:val="24"/>
        </w:rPr>
        <w:t>sprawie projektu Programu Pomoc Techniczna dla Funduszy Europejskich na lata 2021-2027.</w:t>
      </w:r>
    </w:p>
    <w:p w14:paraId="32AAEC38" w14:textId="77777777" w:rsidR="007E740C" w:rsidRPr="006C05E6" w:rsidRDefault="0008036A" w:rsidP="00FD32DE">
      <w:pPr>
        <w:spacing w:before="360" w:line="360" w:lineRule="auto"/>
        <w:jc w:val="center"/>
        <w:rPr>
          <w:rFonts w:ascii="Verdana" w:eastAsia="Verdana" w:hAnsi="Verdana" w:cs="Verdana"/>
          <w:b/>
          <w:sz w:val="24"/>
          <w:szCs w:val="24"/>
        </w:rPr>
      </w:pPr>
      <w:r w:rsidRPr="006C05E6">
        <w:rPr>
          <w:rFonts w:ascii="Verdana" w:eastAsia="Verdana" w:hAnsi="Verdana" w:cs="Verdana"/>
          <w:b/>
          <w:sz w:val="24"/>
          <w:szCs w:val="24"/>
        </w:rPr>
        <w:t>§ 1</w:t>
      </w:r>
    </w:p>
    <w:p w14:paraId="41B1C1C5" w14:textId="19022155" w:rsidR="00FD32DE" w:rsidRPr="006C05E6" w:rsidRDefault="0008036A" w:rsidP="006D45AE">
      <w:pPr>
        <w:numPr>
          <w:ilvl w:val="0"/>
          <w:numId w:val="1"/>
        </w:numPr>
        <w:spacing w:before="120" w:line="360" w:lineRule="auto"/>
        <w:ind w:left="566" w:hanging="566"/>
        <w:rPr>
          <w:rFonts w:ascii="Verdana" w:eastAsia="Verdana" w:hAnsi="Verdana" w:cs="Verdana"/>
          <w:sz w:val="24"/>
          <w:szCs w:val="24"/>
        </w:rPr>
      </w:pPr>
      <w:bookmarkStart w:id="1" w:name="_30j0zll" w:colFirst="0" w:colLast="0"/>
      <w:bookmarkEnd w:id="1"/>
      <w:r w:rsidRPr="006C05E6">
        <w:rPr>
          <w:rFonts w:ascii="Verdana" w:eastAsia="Verdana" w:hAnsi="Verdana" w:cs="Verdana"/>
          <w:sz w:val="24"/>
          <w:szCs w:val="24"/>
        </w:rPr>
        <w:t xml:space="preserve">Rada Działalności Pożytku Publicznego, zwana dalej „Radą”, </w:t>
      </w:r>
      <w:r w:rsidR="00FD32DE" w:rsidRPr="006C05E6">
        <w:rPr>
          <w:rFonts w:ascii="Verdana" w:eastAsia="Verdana" w:hAnsi="Verdana" w:cs="Verdana"/>
          <w:sz w:val="24"/>
          <w:szCs w:val="24"/>
        </w:rPr>
        <w:t>pozytywnie opiniuje projekt Programu Pomoc Techniczna dla Funduszy Europejskich na lata 2021-2027, zwanego dalej „Programem”.</w:t>
      </w:r>
    </w:p>
    <w:p w14:paraId="6234E919" w14:textId="701862F6" w:rsidR="007E740C" w:rsidRPr="006C05E6" w:rsidRDefault="00FD32DE" w:rsidP="006D45AE">
      <w:pPr>
        <w:numPr>
          <w:ilvl w:val="0"/>
          <w:numId w:val="1"/>
        </w:numPr>
        <w:spacing w:before="120" w:line="360" w:lineRule="auto"/>
        <w:ind w:left="566" w:hanging="566"/>
        <w:rPr>
          <w:rFonts w:ascii="Verdana" w:eastAsia="Verdana" w:hAnsi="Verdana" w:cs="Verdana"/>
          <w:sz w:val="24"/>
          <w:szCs w:val="24"/>
        </w:rPr>
      </w:pPr>
      <w:r w:rsidRPr="006C05E6">
        <w:rPr>
          <w:rFonts w:ascii="Verdana" w:eastAsia="Verdana" w:hAnsi="Verdana" w:cs="Verdana"/>
          <w:sz w:val="24"/>
          <w:szCs w:val="24"/>
        </w:rPr>
        <w:t>Rada z zadowoleniem przyj</w:t>
      </w:r>
      <w:r w:rsidR="006C05E6">
        <w:rPr>
          <w:rFonts w:ascii="Verdana" w:eastAsia="Verdana" w:hAnsi="Verdana" w:cs="Verdana"/>
          <w:sz w:val="24"/>
          <w:szCs w:val="24"/>
        </w:rPr>
        <w:t>muje</w:t>
      </w:r>
      <w:r w:rsidRPr="006C05E6">
        <w:rPr>
          <w:rFonts w:ascii="Verdana" w:eastAsia="Verdana" w:hAnsi="Verdana" w:cs="Verdana"/>
          <w:sz w:val="24"/>
          <w:szCs w:val="24"/>
        </w:rPr>
        <w:t xml:space="preserve"> odpowiedź Ministerstwa Funduszy i Polityki Regionalnej na uchwałę Rady nr 180 z 20 kwietnia 2021 r., poprzedzoną konstruktywną dyskusją z przedstawicielkami Ministerstwa na posiedzeniu Zespołu ds. Funduszy. </w:t>
      </w:r>
    </w:p>
    <w:p w14:paraId="2E499FFB" w14:textId="45B51C68" w:rsidR="00FD32DE" w:rsidRPr="006C05E6" w:rsidRDefault="00FD32DE" w:rsidP="00FD32DE">
      <w:pPr>
        <w:spacing w:before="360" w:line="360" w:lineRule="auto"/>
        <w:jc w:val="center"/>
        <w:rPr>
          <w:rFonts w:ascii="Verdana" w:eastAsia="Verdana" w:hAnsi="Verdana" w:cs="Verdana"/>
          <w:b/>
          <w:sz w:val="24"/>
          <w:szCs w:val="24"/>
        </w:rPr>
      </w:pPr>
      <w:r w:rsidRPr="006C05E6">
        <w:rPr>
          <w:rFonts w:ascii="Verdana" w:eastAsia="Verdana" w:hAnsi="Verdana" w:cs="Verdana"/>
          <w:b/>
          <w:sz w:val="24"/>
          <w:szCs w:val="24"/>
        </w:rPr>
        <w:t>§ 2</w:t>
      </w:r>
    </w:p>
    <w:p w14:paraId="598B3EAB" w14:textId="2D8EE8FD" w:rsidR="00FD32DE" w:rsidRPr="006C05E6" w:rsidRDefault="00FD32DE" w:rsidP="006D45AE">
      <w:pPr>
        <w:numPr>
          <w:ilvl w:val="0"/>
          <w:numId w:val="8"/>
        </w:numPr>
        <w:spacing w:before="120" w:line="360" w:lineRule="auto"/>
        <w:ind w:left="567" w:hanging="567"/>
        <w:rPr>
          <w:rFonts w:ascii="Verdana" w:eastAsia="Verdana" w:hAnsi="Verdana" w:cs="Verdana"/>
          <w:sz w:val="24"/>
          <w:szCs w:val="24"/>
        </w:rPr>
      </w:pPr>
      <w:r w:rsidRPr="006C05E6">
        <w:rPr>
          <w:rFonts w:ascii="Verdana" w:eastAsia="Verdana" w:hAnsi="Verdana" w:cs="Verdana"/>
          <w:sz w:val="24"/>
          <w:szCs w:val="24"/>
        </w:rPr>
        <w:t>Ze względu na stosunkowo niewielki udział społeczeństwa obyw</w:t>
      </w:r>
      <w:r w:rsidR="007774CC" w:rsidRPr="006C05E6">
        <w:rPr>
          <w:rFonts w:ascii="Verdana" w:eastAsia="Verdana" w:hAnsi="Verdana" w:cs="Verdana"/>
          <w:sz w:val="24"/>
          <w:szCs w:val="24"/>
        </w:rPr>
        <w:t>atelskiego wśród beneficjentów Pomocy T</w:t>
      </w:r>
      <w:r w:rsidRPr="006C05E6">
        <w:rPr>
          <w:rFonts w:ascii="Verdana" w:eastAsia="Verdana" w:hAnsi="Verdana" w:cs="Verdana"/>
          <w:sz w:val="24"/>
          <w:szCs w:val="24"/>
        </w:rPr>
        <w:t xml:space="preserve">echnicznej w obecnej perspektywie – Rada stoi na stanowisku, że należy podkreślić </w:t>
      </w:r>
      <w:r w:rsidR="006D45AE" w:rsidRPr="006C05E6">
        <w:rPr>
          <w:rFonts w:ascii="Verdana" w:eastAsia="Verdana" w:hAnsi="Verdana" w:cs="Verdana"/>
          <w:sz w:val="24"/>
          <w:szCs w:val="24"/>
        </w:rPr>
        <w:t xml:space="preserve">w Programie angażowanie partnerów reprezentujących społeczeństwo obywatelskie, w tym organizacji pozarządowych, do działań w Programie, zwłaszcza w Priorytecie 2 </w:t>
      </w:r>
      <w:r w:rsidR="006D45AE" w:rsidRPr="006C05E6">
        <w:rPr>
          <w:rFonts w:ascii="Verdana" w:eastAsia="Verdana" w:hAnsi="Verdana" w:cs="Verdana"/>
          <w:sz w:val="24"/>
          <w:szCs w:val="24"/>
        </w:rPr>
        <w:lastRenderedPageBreak/>
        <w:t xml:space="preserve">„Skuteczni beneficjenci” (a nie </w:t>
      </w:r>
      <w:r w:rsidR="007774CC" w:rsidRPr="006C05E6">
        <w:rPr>
          <w:rFonts w:ascii="Verdana" w:eastAsia="Verdana" w:hAnsi="Verdana" w:cs="Verdana"/>
          <w:sz w:val="24"/>
          <w:szCs w:val="24"/>
        </w:rPr>
        <w:t xml:space="preserve">przede wszystkim </w:t>
      </w:r>
      <w:r w:rsidR="006D45AE" w:rsidRPr="006C05E6">
        <w:rPr>
          <w:rFonts w:ascii="Verdana" w:eastAsia="Verdana" w:hAnsi="Verdana" w:cs="Verdana"/>
          <w:sz w:val="24"/>
          <w:szCs w:val="24"/>
        </w:rPr>
        <w:t>w Priorytecie 3 „Skuteczna komunikacja”).</w:t>
      </w:r>
    </w:p>
    <w:p w14:paraId="23CCDC95" w14:textId="36FD82DC" w:rsidR="006D45AE" w:rsidRPr="006C05E6" w:rsidRDefault="006D45AE" w:rsidP="006D45AE">
      <w:pPr>
        <w:numPr>
          <w:ilvl w:val="0"/>
          <w:numId w:val="8"/>
        </w:numPr>
        <w:spacing w:before="120" w:line="360" w:lineRule="auto"/>
        <w:ind w:left="567" w:hanging="567"/>
        <w:rPr>
          <w:rFonts w:ascii="Verdana" w:eastAsia="Verdana" w:hAnsi="Verdana" w:cs="Verdana"/>
          <w:sz w:val="24"/>
          <w:szCs w:val="24"/>
        </w:rPr>
      </w:pPr>
      <w:r w:rsidRPr="006C05E6">
        <w:rPr>
          <w:rFonts w:ascii="Verdana" w:eastAsia="Verdana" w:hAnsi="Verdana" w:cs="Verdana"/>
          <w:sz w:val="24"/>
          <w:szCs w:val="24"/>
        </w:rPr>
        <w:t xml:space="preserve">W tym celu – oprócz odpowiednich zapisów w Programie – na etapie jego realizacji należy zapewnić odpowiednie działania, w tym informacyjne, które nie pozwolą na </w:t>
      </w:r>
      <w:proofErr w:type="spellStart"/>
      <w:r w:rsidRPr="006C05E6">
        <w:rPr>
          <w:rFonts w:ascii="Verdana" w:eastAsia="Verdana" w:hAnsi="Verdana" w:cs="Verdana"/>
          <w:sz w:val="24"/>
          <w:szCs w:val="24"/>
        </w:rPr>
        <w:t>niedoreprezentację</w:t>
      </w:r>
      <w:proofErr w:type="spellEnd"/>
      <w:r w:rsidRPr="006C05E6">
        <w:rPr>
          <w:rFonts w:ascii="Verdana" w:eastAsia="Verdana" w:hAnsi="Verdana" w:cs="Verdana"/>
          <w:sz w:val="24"/>
          <w:szCs w:val="24"/>
        </w:rPr>
        <w:t xml:space="preserve"> podmiotów społeczeństwa obywatelskiego, w tym organizacji pozarządowych, wśród beneficjentów Programu.</w:t>
      </w:r>
    </w:p>
    <w:p w14:paraId="5CB3D78B" w14:textId="1103DAC2" w:rsidR="006D45AE" w:rsidRPr="006C05E6" w:rsidRDefault="006D45AE" w:rsidP="006D45AE">
      <w:pPr>
        <w:spacing w:before="360" w:line="360" w:lineRule="auto"/>
        <w:jc w:val="center"/>
        <w:rPr>
          <w:rFonts w:ascii="Verdana" w:eastAsia="Verdana" w:hAnsi="Verdana" w:cs="Verdana"/>
          <w:b/>
          <w:sz w:val="24"/>
          <w:szCs w:val="24"/>
        </w:rPr>
      </w:pPr>
      <w:r w:rsidRPr="006C05E6">
        <w:rPr>
          <w:rFonts w:ascii="Verdana" w:eastAsia="Verdana" w:hAnsi="Verdana" w:cs="Verdana"/>
          <w:b/>
          <w:sz w:val="24"/>
          <w:szCs w:val="24"/>
        </w:rPr>
        <w:t>§ 3</w:t>
      </w:r>
    </w:p>
    <w:p w14:paraId="5BEBF135" w14:textId="3D410F72" w:rsidR="006D45AE" w:rsidRPr="006C05E6" w:rsidRDefault="006D45AE" w:rsidP="006D45AE">
      <w:pPr>
        <w:spacing w:before="120" w:line="360" w:lineRule="auto"/>
        <w:rPr>
          <w:rFonts w:ascii="Verdana" w:eastAsia="Verdana" w:hAnsi="Verdana" w:cs="Verdana"/>
          <w:sz w:val="24"/>
          <w:szCs w:val="24"/>
        </w:rPr>
      </w:pPr>
      <w:r w:rsidRPr="006C05E6">
        <w:rPr>
          <w:rFonts w:ascii="Verdana" w:eastAsia="Verdana" w:hAnsi="Verdana" w:cs="Verdana"/>
          <w:sz w:val="24"/>
          <w:szCs w:val="24"/>
        </w:rPr>
        <w:t>W odpowiedzi na zmiany w projekcie Programu Rada zgłasza poniższe uwagi.</w:t>
      </w:r>
    </w:p>
    <w:p w14:paraId="43121FD7" w14:textId="1478CBC7" w:rsidR="007774CC" w:rsidRPr="006C05E6" w:rsidRDefault="007774CC" w:rsidP="006D45AE">
      <w:pPr>
        <w:numPr>
          <w:ilvl w:val="1"/>
          <w:numId w:val="7"/>
        </w:numPr>
        <w:spacing w:line="360" w:lineRule="auto"/>
        <w:ind w:left="567" w:hanging="567"/>
        <w:rPr>
          <w:rFonts w:ascii="Verdana" w:eastAsia="Verdana" w:hAnsi="Verdana" w:cs="Verdana"/>
          <w:sz w:val="24"/>
          <w:szCs w:val="24"/>
        </w:rPr>
      </w:pPr>
      <w:r w:rsidRPr="006C05E6">
        <w:rPr>
          <w:rFonts w:ascii="Verdana" w:eastAsia="Verdana" w:hAnsi="Verdana" w:cs="Verdana"/>
          <w:sz w:val="24"/>
          <w:szCs w:val="24"/>
        </w:rPr>
        <w:t>Wzorem regulacji dla EFS+ Rada postuluje, żeby wszystkie programy (niezależnie od funduszu finansującego), w tym Program Pomoc Techniczna, przewidywały określoną alokację (1 %) przeznaczoną na budowanie i rozwój potencjału organizacji społeczeństwa obywatelskiego. Rada jest przekonana, że skoro analogiczne rozwiązanie zostało wdrożone w przypadku podatku od osób fizycznych, to uda się je wdrożyć w programach dla Funduszy Europejskich – z korzyścią dla Polski, społeczeństwa i finansów publicznych.</w:t>
      </w:r>
    </w:p>
    <w:p w14:paraId="7828F288" w14:textId="392E7861" w:rsidR="006D45AE" w:rsidRPr="006C05E6" w:rsidRDefault="006D45AE" w:rsidP="006D45AE">
      <w:pPr>
        <w:numPr>
          <w:ilvl w:val="1"/>
          <w:numId w:val="7"/>
        </w:numPr>
        <w:spacing w:line="360" w:lineRule="auto"/>
        <w:ind w:left="567" w:hanging="567"/>
        <w:rPr>
          <w:rFonts w:ascii="Verdana" w:eastAsia="Verdana" w:hAnsi="Verdana" w:cs="Verdana"/>
          <w:sz w:val="24"/>
          <w:szCs w:val="24"/>
        </w:rPr>
      </w:pPr>
      <w:r w:rsidRPr="006C05E6">
        <w:rPr>
          <w:rFonts w:ascii="Verdana" w:eastAsia="Verdana" w:hAnsi="Verdana" w:cs="Verdana"/>
          <w:sz w:val="24"/>
          <w:szCs w:val="24"/>
        </w:rPr>
        <w:t xml:space="preserve">W wielu miejscach Programu pojęcia „dotacje” i „partnerstwo” w kontekście </w:t>
      </w:r>
      <w:r w:rsidR="00107413" w:rsidRPr="006C05E6">
        <w:rPr>
          <w:rFonts w:ascii="Verdana" w:eastAsia="Verdana" w:hAnsi="Verdana" w:cs="Verdana"/>
          <w:sz w:val="24"/>
          <w:szCs w:val="24"/>
        </w:rPr>
        <w:t>partnerów spoza organizacji zostało zastąpione pojęciem „współpraca”. Z odpowiedzi na uwagi wynika, że to ostatnie pojęcie zawiera w sobie zawieranie partnerstw i udzielania dotacji. Jednak nie jest to konsekwentnie ujęte w Programie, gdyż w niektórych miejscach współpraca i partnerstwo występują obok siebie jako odrębne formy (na przykład str. 17 „rozwijanie współpracy i partnerstwa”). Wskazuje to, że partnerstwo nie jest formą współpracy. Rada wnosi o określenie form współpracy (lub definicję tego pojęcia) ze wskazaniem przykładowych form, co najmniej jako partnerstw i udzielania dotacji.</w:t>
      </w:r>
    </w:p>
    <w:p w14:paraId="4ED8E3B8" w14:textId="77777777" w:rsidR="007774CC" w:rsidRPr="006C05E6" w:rsidRDefault="007774CC" w:rsidP="007774CC">
      <w:pPr>
        <w:numPr>
          <w:ilvl w:val="1"/>
          <w:numId w:val="7"/>
        </w:numPr>
        <w:spacing w:line="360" w:lineRule="auto"/>
        <w:ind w:left="567" w:hanging="567"/>
        <w:rPr>
          <w:rFonts w:ascii="Verdana" w:eastAsia="Verdana" w:hAnsi="Verdana" w:cs="Verdana"/>
          <w:sz w:val="24"/>
          <w:szCs w:val="24"/>
        </w:rPr>
      </w:pPr>
      <w:r w:rsidRPr="006C05E6">
        <w:rPr>
          <w:rFonts w:ascii="Verdana" w:eastAsia="Verdana" w:hAnsi="Verdana" w:cs="Verdana"/>
          <w:sz w:val="24"/>
          <w:szCs w:val="24"/>
        </w:rPr>
        <w:t>Rada wnosi o dopisanie w Priorytecie 3 dla działań dotyczących systemów internetowych funduszy europejskich wymogu dostępności cyfrowej tak samo jak zostało to uwzględnione w Priorytecie 1.</w:t>
      </w:r>
    </w:p>
    <w:p w14:paraId="3C6ED045" w14:textId="021861AE" w:rsidR="00DE75C7" w:rsidRPr="006C05E6" w:rsidRDefault="007774CC" w:rsidP="007774CC">
      <w:pPr>
        <w:numPr>
          <w:ilvl w:val="1"/>
          <w:numId w:val="7"/>
        </w:numPr>
        <w:spacing w:line="360" w:lineRule="auto"/>
        <w:ind w:left="567" w:hanging="567"/>
        <w:rPr>
          <w:rFonts w:ascii="Verdana" w:eastAsia="Verdana" w:hAnsi="Verdana" w:cs="Verdana"/>
          <w:sz w:val="24"/>
          <w:szCs w:val="24"/>
        </w:rPr>
      </w:pPr>
      <w:r w:rsidRPr="006C05E6">
        <w:rPr>
          <w:rFonts w:ascii="Verdana" w:eastAsia="Verdana" w:hAnsi="Verdana" w:cs="Verdana"/>
          <w:color w:val="222222"/>
          <w:sz w:val="24"/>
          <w:szCs w:val="24"/>
        </w:rPr>
        <w:lastRenderedPageBreak/>
        <w:t>Priorytet 2, interwencja 2 „Wsparcie wdrażania instrumentów rozwoju terytorialnego” kładzie nacisk na wzmacnianie potencjału rozwojowego miast. Tymczasem polityka spójności wskazywałaby na potrzebę rozwoju potencjału terenów wiejskich (który statystycznie jest niższy od potencjału miast). Należy uzupełnić opis interwencji o przedsięwzięcia skierowane do terenów wiejskich oraz podkreślić wagę rozwoju obszarów wiejskich.</w:t>
      </w:r>
      <w:bookmarkStart w:id="2" w:name="_j5a5ju6r3yo4" w:colFirst="0" w:colLast="0"/>
      <w:bookmarkStart w:id="3" w:name="_mxzlh8wi1xuv" w:colFirst="0" w:colLast="0"/>
      <w:bookmarkEnd w:id="2"/>
      <w:bookmarkEnd w:id="3"/>
    </w:p>
    <w:p w14:paraId="0238B7EB" w14:textId="3CD61D09" w:rsidR="007E740C" w:rsidRPr="006C05E6" w:rsidRDefault="007774CC" w:rsidP="007774CC">
      <w:pPr>
        <w:spacing w:before="360" w:line="360" w:lineRule="auto"/>
        <w:jc w:val="center"/>
        <w:rPr>
          <w:rFonts w:ascii="Verdana" w:eastAsia="Verdana" w:hAnsi="Verdana" w:cs="Verdana"/>
          <w:sz w:val="24"/>
          <w:szCs w:val="24"/>
        </w:rPr>
      </w:pPr>
      <w:r w:rsidRPr="006C05E6">
        <w:rPr>
          <w:rFonts w:ascii="Verdana" w:eastAsia="Verdana" w:hAnsi="Verdana" w:cs="Verdana"/>
          <w:b/>
          <w:sz w:val="24"/>
          <w:szCs w:val="24"/>
        </w:rPr>
        <w:t>§ 4</w:t>
      </w:r>
    </w:p>
    <w:p w14:paraId="05AD181C" w14:textId="77777777" w:rsidR="004A3605" w:rsidRPr="006C05E6" w:rsidRDefault="004A3605" w:rsidP="00FD32DE">
      <w:pPr>
        <w:spacing w:line="360" w:lineRule="auto"/>
        <w:rPr>
          <w:rFonts w:ascii="Verdana" w:hAnsi="Verdana"/>
          <w:sz w:val="24"/>
          <w:szCs w:val="24"/>
        </w:rPr>
      </w:pPr>
      <w:r w:rsidRPr="006C05E6">
        <w:rPr>
          <w:rFonts w:ascii="Verdana" w:hAnsi="Verdana"/>
          <w:sz w:val="24"/>
          <w:szCs w:val="24"/>
        </w:rPr>
        <w:t>Rada wnosi o przekazanie niniejszej uchwały:</w:t>
      </w:r>
    </w:p>
    <w:p w14:paraId="5C82AB5C" w14:textId="2FF1E6DC" w:rsidR="004A3605" w:rsidRPr="006C05E6" w:rsidRDefault="004A3605" w:rsidP="007774CC">
      <w:pPr>
        <w:numPr>
          <w:ilvl w:val="1"/>
          <w:numId w:val="10"/>
        </w:numPr>
        <w:spacing w:line="360" w:lineRule="auto"/>
        <w:ind w:left="567" w:hanging="567"/>
        <w:rPr>
          <w:rFonts w:ascii="Verdana" w:eastAsia="Verdana" w:hAnsi="Verdana" w:cs="Verdana"/>
          <w:color w:val="222222"/>
          <w:sz w:val="24"/>
          <w:szCs w:val="24"/>
        </w:rPr>
      </w:pPr>
      <w:r w:rsidRPr="006C05E6">
        <w:rPr>
          <w:rFonts w:ascii="Verdana" w:eastAsia="Verdana" w:hAnsi="Verdana" w:cs="Verdana"/>
          <w:color w:val="222222"/>
          <w:sz w:val="24"/>
          <w:szCs w:val="24"/>
        </w:rPr>
        <w:t>Prezesowi</w:t>
      </w:r>
      <w:r w:rsidRPr="006C05E6">
        <w:rPr>
          <w:rFonts w:ascii="Verdana" w:hAnsi="Verdana"/>
        </w:rPr>
        <w:t xml:space="preserve"> </w:t>
      </w:r>
      <w:r w:rsidR="007774CC" w:rsidRPr="006C05E6">
        <w:rPr>
          <w:rFonts w:ascii="Verdana" w:eastAsia="Verdana" w:hAnsi="Verdana" w:cs="Verdana"/>
          <w:color w:val="222222"/>
          <w:sz w:val="24"/>
          <w:szCs w:val="24"/>
        </w:rPr>
        <w:t>Rady Ministrów;</w:t>
      </w:r>
    </w:p>
    <w:p w14:paraId="1BF4C350" w14:textId="77777777" w:rsidR="004A3605" w:rsidRPr="006C05E6" w:rsidRDefault="004A3605" w:rsidP="007774CC">
      <w:pPr>
        <w:numPr>
          <w:ilvl w:val="1"/>
          <w:numId w:val="10"/>
        </w:numPr>
        <w:spacing w:line="360" w:lineRule="auto"/>
        <w:ind w:left="567" w:hanging="567"/>
        <w:rPr>
          <w:rFonts w:ascii="Verdana" w:eastAsia="Verdana" w:hAnsi="Verdana" w:cs="Verdana"/>
          <w:color w:val="222222"/>
          <w:sz w:val="24"/>
          <w:szCs w:val="24"/>
        </w:rPr>
      </w:pPr>
      <w:r w:rsidRPr="006C05E6">
        <w:rPr>
          <w:rFonts w:ascii="Verdana" w:eastAsia="Verdana" w:hAnsi="Verdana" w:cs="Verdana"/>
          <w:color w:val="222222"/>
          <w:sz w:val="24"/>
          <w:szCs w:val="24"/>
        </w:rPr>
        <w:t>Ministrowi Finansów, Funduszy i Polityki Regionalnej;</w:t>
      </w:r>
    </w:p>
    <w:p w14:paraId="17F59434" w14:textId="77777777" w:rsidR="004A3605" w:rsidRPr="006C05E6" w:rsidRDefault="004A3605" w:rsidP="007774CC">
      <w:pPr>
        <w:numPr>
          <w:ilvl w:val="1"/>
          <w:numId w:val="10"/>
        </w:numPr>
        <w:spacing w:line="360" w:lineRule="auto"/>
        <w:ind w:left="567" w:hanging="567"/>
        <w:rPr>
          <w:rFonts w:ascii="Verdana" w:eastAsia="Verdana" w:hAnsi="Verdana" w:cs="Verdana"/>
          <w:color w:val="222222"/>
          <w:sz w:val="24"/>
          <w:szCs w:val="24"/>
        </w:rPr>
      </w:pPr>
      <w:r w:rsidRPr="006C05E6">
        <w:rPr>
          <w:rFonts w:ascii="Verdana" w:eastAsia="Verdana" w:hAnsi="Verdana" w:cs="Verdana"/>
          <w:color w:val="222222"/>
          <w:sz w:val="24"/>
          <w:szCs w:val="24"/>
        </w:rPr>
        <w:t xml:space="preserve">Komisji Europejskiej oraz Przedstawicielstwu Komisji Europejskiej </w:t>
      </w:r>
      <w:r w:rsidRPr="006C05E6">
        <w:rPr>
          <w:rFonts w:ascii="Verdana" w:eastAsia="Verdana" w:hAnsi="Verdana" w:cs="Verdana"/>
          <w:color w:val="222222"/>
          <w:sz w:val="24"/>
          <w:szCs w:val="24"/>
        </w:rPr>
        <w:br/>
        <w:t>w Polsce;</w:t>
      </w:r>
    </w:p>
    <w:p w14:paraId="434354F3" w14:textId="77777777" w:rsidR="004A3605" w:rsidRPr="006C05E6" w:rsidRDefault="004A3605" w:rsidP="007774CC">
      <w:pPr>
        <w:numPr>
          <w:ilvl w:val="1"/>
          <w:numId w:val="10"/>
        </w:numPr>
        <w:spacing w:line="360" w:lineRule="auto"/>
        <w:ind w:left="567" w:hanging="567"/>
        <w:rPr>
          <w:rFonts w:ascii="Verdana" w:eastAsia="Verdana" w:hAnsi="Verdana" w:cs="Verdana"/>
          <w:color w:val="222222"/>
          <w:sz w:val="24"/>
          <w:szCs w:val="24"/>
        </w:rPr>
      </w:pPr>
      <w:r w:rsidRPr="006C05E6">
        <w:rPr>
          <w:rFonts w:ascii="Verdana" w:eastAsia="Verdana" w:hAnsi="Verdana" w:cs="Verdana"/>
          <w:color w:val="222222"/>
          <w:sz w:val="24"/>
          <w:szCs w:val="24"/>
        </w:rPr>
        <w:t>Przewodniczącemu Podkomitetu ds. Realizacji Rozwoju Partnerstwa;</w:t>
      </w:r>
    </w:p>
    <w:p w14:paraId="7081129B" w14:textId="77777777" w:rsidR="006205A9" w:rsidRPr="006C05E6" w:rsidRDefault="004A3605" w:rsidP="007774CC">
      <w:pPr>
        <w:numPr>
          <w:ilvl w:val="1"/>
          <w:numId w:val="10"/>
        </w:numPr>
        <w:spacing w:line="360" w:lineRule="auto"/>
        <w:ind w:left="567" w:hanging="567"/>
        <w:rPr>
          <w:rFonts w:ascii="Verdana" w:eastAsia="Verdana" w:hAnsi="Verdana" w:cs="Verdana"/>
          <w:color w:val="222222"/>
          <w:sz w:val="24"/>
          <w:szCs w:val="24"/>
        </w:rPr>
      </w:pPr>
      <w:r w:rsidRPr="006C05E6">
        <w:rPr>
          <w:rFonts w:ascii="Verdana" w:eastAsia="Verdana" w:hAnsi="Verdana" w:cs="Verdana"/>
          <w:color w:val="222222"/>
          <w:sz w:val="24"/>
          <w:szCs w:val="24"/>
        </w:rPr>
        <w:t>polskim członkom Euro</w:t>
      </w:r>
      <w:r w:rsidR="006205A9" w:rsidRPr="006C05E6">
        <w:rPr>
          <w:rFonts w:ascii="Verdana" w:eastAsia="Verdana" w:hAnsi="Verdana" w:cs="Verdana"/>
          <w:color w:val="222222"/>
          <w:sz w:val="24"/>
          <w:szCs w:val="24"/>
        </w:rPr>
        <w:t>pejskiego Komitetu Ekonomiczno-</w:t>
      </w:r>
      <w:r w:rsidRPr="006C05E6">
        <w:rPr>
          <w:rFonts w:ascii="Verdana" w:eastAsia="Verdana" w:hAnsi="Verdana" w:cs="Verdana"/>
          <w:color w:val="222222"/>
          <w:sz w:val="24"/>
          <w:szCs w:val="24"/>
        </w:rPr>
        <w:t>Społecznego;</w:t>
      </w:r>
    </w:p>
    <w:p w14:paraId="0EACF778" w14:textId="7955ED64" w:rsidR="004A3605" w:rsidRPr="006C05E6" w:rsidRDefault="004A3605" w:rsidP="007774CC">
      <w:pPr>
        <w:numPr>
          <w:ilvl w:val="1"/>
          <w:numId w:val="10"/>
        </w:numPr>
        <w:spacing w:line="360" w:lineRule="auto"/>
        <w:ind w:left="567" w:hanging="567"/>
        <w:rPr>
          <w:rFonts w:ascii="Verdana" w:eastAsia="Verdana" w:hAnsi="Verdana" w:cs="Verdana"/>
          <w:color w:val="222222"/>
          <w:sz w:val="24"/>
          <w:szCs w:val="24"/>
        </w:rPr>
      </w:pPr>
      <w:r w:rsidRPr="006C05E6">
        <w:rPr>
          <w:rFonts w:ascii="Verdana" w:eastAsia="Verdana" w:hAnsi="Verdana" w:cs="Verdana"/>
          <w:color w:val="222222"/>
          <w:sz w:val="24"/>
          <w:szCs w:val="24"/>
        </w:rPr>
        <w:t>Komitetowi Umowy Partnerstwa oraz Podkomitetowi ds. rozwoju partnerstwa.</w:t>
      </w:r>
    </w:p>
    <w:p w14:paraId="3004D929" w14:textId="252DFEBF" w:rsidR="004A3605" w:rsidRPr="006C05E6" w:rsidRDefault="006C05E6" w:rsidP="006C05E6">
      <w:pPr>
        <w:spacing w:before="360" w:line="360" w:lineRule="auto"/>
        <w:jc w:val="center"/>
        <w:rPr>
          <w:rFonts w:ascii="Verdana" w:eastAsia="Verdana" w:hAnsi="Verdana" w:cs="Verdana"/>
          <w:sz w:val="24"/>
          <w:szCs w:val="24"/>
        </w:rPr>
      </w:pPr>
      <w:r>
        <w:rPr>
          <w:rFonts w:ascii="Verdana" w:eastAsia="Verdana" w:hAnsi="Verdana" w:cs="Verdana"/>
          <w:b/>
          <w:sz w:val="24"/>
          <w:szCs w:val="24"/>
        </w:rPr>
        <w:t>§ 5</w:t>
      </w:r>
    </w:p>
    <w:p w14:paraId="462403BF" w14:textId="621C695F" w:rsidR="006C05E6" w:rsidRDefault="0008036A" w:rsidP="00FD32DE">
      <w:pPr>
        <w:spacing w:line="360" w:lineRule="auto"/>
        <w:jc w:val="both"/>
        <w:rPr>
          <w:rFonts w:ascii="Verdana" w:eastAsia="Verdana" w:hAnsi="Verdana" w:cs="Verdana"/>
          <w:sz w:val="24"/>
          <w:szCs w:val="24"/>
        </w:rPr>
      </w:pPr>
      <w:r w:rsidRPr="006C05E6">
        <w:rPr>
          <w:rFonts w:ascii="Verdana" w:eastAsia="Verdana" w:hAnsi="Verdana" w:cs="Verdana"/>
          <w:sz w:val="24"/>
          <w:szCs w:val="24"/>
        </w:rPr>
        <w:t>Uchwała wchodzi w życie z dniem podjęcia.</w:t>
      </w:r>
    </w:p>
    <w:p w14:paraId="4AF11D2A" w14:textId="77777777" w:rsidR="006C05E6" w:rsidRDefault="006C05E6" w:rsidP="00FD32DE">
      <w:pPr>
        <w:spacing w:line="360" w:lineRule="auto"/>
        <w:jc w:val="both"/>
        <w:rPr>
          <w:rFonts w:ascii="Verdana" w:eastAsia="Verdana" w:hAnsi="Verdana" w:cs="Verdana"/>
          <w:sz w:val="24"/>
          <w:szCs w:val="24"/>
        </w:rPr>
      </w:pPr>
    </w:p>
    <w:sectPr w:rsidR="006C05E6" w:rsidSect="006C05E6">
      <w:footerReference w:type="default" r:id="rId7"/>
      <w:pgSz w:w="11909" w:h="16834"/>
      <w:pgMar w:top="1440" w:right="1080" w:bottom="1440" w:left="1080"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72B3D" w14:textId="77777777" w:rsidR="00340B4C" w:rsidRDefault="00340B4C" w:rsidP="007774CC">
      <w:pPr>
        <w:spacing w:line="240" w:lineRule="auto"/>
      </w:pPr>
      <w:r>
        <w:separator/>
      </w:r>
    </w:p>
  </w:endnote>
  <w:endnote w:type="continuationSeparator" w:id="0">
    <w:p w14:paraId="69A45D42" w14:textId="77777777" w:rsidR="00340B4C" w:rsidRDefault="00340B4C" w:rsidP="007774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24"/>
      </w:rPr>
      <w:id w:val="-1116977611"/>
      <w:docPartObj>
        <w:docPartGallery w:val="Page Numbers (Bottom of Page)"/>
        <w:docPartUnique/>
      </w:docPartObj>
    </w:sdtPr>
    <w:sdtEndPr/>
    <w:sdtContent>
      <w:p w14:paraId="31272A17" w14:textId="77C74597" w:rsidR="006C05E6" w:rsidRPr="006C05E6" w:rsidRDefault="006C05E6" w:rsidP="006C05E6">
        <w:pPr>
          <w:pStyle w:val="Stopka"/>
          <w:jc w:val="right"/>
          <w:rPr>
            <w:rFonts w:ascii="Verdana" w:hAnsi="Verdana"/>
            <w:sz w:val="24"/>
          </w:rPr>
        </w:pPr>
        <w:r w:rsidRPr="006C05E6">
          <w:rPr>
            <w:rFonts w:ascii="Verdana" w:hAnsi="Verdana"/>
            <w:sz w:val="24"/>
          </w:rPr>
          <w:fldChar w:fldCharType="begin"/>
        </w:r>
        <w:r w:rsidRPr="006C05E6">
          <w:rPr>
            <w:rFonts w:ascii="Verdana" w:hAnsi="Verdana"/>
            <w:sz w:val="24"/>
          </w:rPr>
          <w:instrText>PAGE   \* MERGEFORMAT</w:instrText>
        </w:r>
        <w:r w:rsidRPr="006C05E6">
          <w:rPr>
            <w:rFonts w:ascii="Verdana" w:hAnsi="Verdana"/>
            <w:sz w:val="24"/>
          </w:rPr>
          <w:fldChar w:fldCharType="separate"/>
        </w:r>
        <w:r w:rsidR="008D15FB" w:rsidRPr="008D15FB">
          <w:rPr>
            <w:rFonts w:ascii="Verdana" w:hAnsi="Verdana"/>
            <w:noProof/>
            <w:sz w:val="24"/>
            <w:lang w:val="pl-PL"/>
          </w:rPr>
          <w:t>2</w:t>
        </w:r>
        <w:r w:rsidRPr="006C05E6">
          <w:rPr>
            <w:rFonts w:ascii="Verdana" w:hAnsi="Verdana"/>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57215" w14:textId="77777777" w:rsidR="00340B4C" w:rsidRDefault="00340B4C" w:rsidP="007774CC">
      <w:pPr>
        <w:spacing w:line="240" w:lineRule="auto"/>
      </w:pPr>
      <w:r>
        <w:separator/>
      </w:r>
    </w:p>
  </w:footnote>
  <w:footnote w:type="continuationSeparator" w:id="0">
    <w:p w14:paraId="2B9C2F4F" w14:textId="77777777" w:rsidR="00340B4C" w:rsidRDefault="00340B4C" w:rsidP="007774C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2F37"/>
    <w:multiLevelType w:val="multilevel"/>
    <w:tmpl w:val="2F9001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5442BA7"/>
    <w:multiLevelType w:val="hybridMultilevel"/>
    <w:tmpl w:val="D50E1C6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B8342A6"/>
    <w:multiLevelType w:val="multilevel"/>
    <w:tmpl w:val="7FAC54FE"/>
    <w:lvl w:ilvl="0">
      <w:start w:val="1"/>
      <w:numFmt w:val="decimal"/>
      <w:lvlText w:val="%1."/>
      <w:lvlJc w:val="left"/>
      <w:pPr>
        <w:ind w:left="514" w:hanging="360"/>
      </w:pPr>
      <w:rPr>
        <w:u w:val="none"/>
      </w:rPr>
    </w:lvl>
    <w:lvl w:ilvl="1">
      <w:start w:val="1"/>
      <w:numFmt w:val="lowerLetter"/>
      <w:lvlText w:val="%2."/>
      <w:lvlJc w:val="left"/>
      <w:pPr>
        <w:ind w:left="1234" w:hanging="360"/>
      </w:pPr>
      <w:rPr>
        <w:u w:val="none"/>
      </w:rPr>
    </w:lvl>
    <w:lvl w:ilvl="2">
      <w:start w:val="1"/>
      <w:numFmt w:val="lowerRoman"/>
      <w:lvlText w:val="%3."/>
      <w:lvlJc w:val="right"/>
      <w:pPr>
        <w:ind w:left="1954" w:hanging="360"/>
      </w:pPr>
      <w:rPr>
        <w:u w:val="none"/>
      </w:rPr>
    </w:lvl>
    <w:lvl w:ilvl="3">
      <w:start w:val="1"/>
      <w:numFmt w:val="decimal"/>
      <w:lvlText w:val="%4."/>
      <w:lvlJc w:val="left"/>
      <w:pPr>
        <w:ind w:left="2674" w:hanging="360"/>
      </w:pPr>
      <w:rPr>
        <w:u w:val="none"/>
      </w:rPr>
    </w:lvl>
    <w:lvl w:ilvl="4">
      <w:start w:val="1"/>
      <w:numFmt w:val="lowerLetter"/>
      <w:lvlText w:val="%5."/>
      <w:lvlJc w:val="left"/>
      <w:pPr>
        <w:ind w:left="3394" w:hanging="360"/>
      </w:pPr>
      <w:rPr>
        <w:u w:val="none"/>
      </w:rPr>
    </w:lvl>
    <w:lvl w:ilvl="5">
      <w:start w:val="1"/>
      <w:numFmt w:val="lowerRoman"/>
      <w:lvlText w:val="%6."/>
      <w:lvlJc w:val="right"/>
      <w:pPr>
        <w:ind w:left="4114" w:hanging="360"/>
      </w:pPr>
      <w:rPr>
        <w:u w:val="none"/>
      </w:rPr>
    </w:lvl>
    <w:lvl w:ilvl="6">
      <w:start w:val="1"/>
      <w:numFmt w:val="decimal"/>
      <w:lvlText w:val="%7."/>
      <w:lvlJc w:val="left"/>
      <w:pPr>
        <w:ind w:left="4834" w:hanging="360"/>
      </w:pPr>
      <w:rPr>
        <w:u w:val="none"/>
      </w:rPr>
    </w:lvl>
    <w:lvl w:ilvl="7">
      <w:start w:val="1"/>
      <w:numFmt w:val="lowerLetter"/>
      <w:lvlText w:val="%8."/>
      <w:lvlJc w:val="left"/>
      <w:pPr>
        <w:ind w:left="5554" w:hanging="360"/>
      </w:pPr>
      <w:rPr>
        <w:u w:val="none"/>
      </w:rPr>
    </w:lvl>
    <w:lvl w:ilvl="8">
      <w:start w:val="1"/>
      <w:numFmt w:val="lowerRoman"/>
      <w:lvlText w:val="%9."/>
      <w:lvlJc w:val="right"/>
      <w:pPr>
        <w:ind w:left="6274" w:hanging="360"/>
      </w:pPr>
      <w:rPr>
        <w:u w:val="none"/>
      </w:rPr>
    </w:lvl>
  </w:abstractNum>
  <w:abstractNum w:abstractNumId="3" w15:restartNumberingAfterBreak="0">
    <w:nsid w:val="0BD50915"/>
    <w:multiLevelType w:val="multilevel"/>
    <w:tmpl w:val="2C1A60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7865EE2"/>
    <w:multiLevelType w:val="multilevel"/>
    <w:tmpl w:val="86C6ED8C"/>
    <w:lvl w:ilvl="0">
      <w:start w:val="1"/>
      <w:numFmt w:val="decimal"/>
      <w:lvlText w:val="%1."/>
      <w:lvlJc w:val="left"/>
      <w:pPr>
        <w:ind w:left="514" w:hanging="360"/>
      </w:pPr>
      <w:rPr>
        <w:u w:val="none"/>
      </w:rPr>
    </w:lvl>
    <w:lvl w:ilvl="1">
      <w:start w:val="1"/>
      <w:numFmt w:val="lowerLetter"/>
      <w:lvlText w:val="%2)"/>
      <w:lvlJc w:val="left"/>
      <w:pPr>
        <w:ind w:left="1234" w:hanging="360"/>
      </w:pPr>
      <w:rPr>
        <w:u w:val="none"/>
      </w:rPr>
    </w:lvl>
    <w:lvl w:ilvl="2">
      <w:start w:val="1"/>
      <w:numFmt w:val="lowerRoman"/>
      <w:lvlText w:val="%3."/>
      <w:lvlJc w:val="right"/>
      <w:pPr>
        <w:ind w:left="1954" w:hanging="360"/>
      </w:pPr>
      <w:rPr>
        <w:u w:val="none"/>
      </w:rPr>
    </w:lvl>
    <w:lvl w:ilvl="3">
      <w:start w:val="1"/>
      <w:numFmt w:val="decimal"/>
      <w:lvlText w:val="%4."/>
      <w:lvlJc w:val="left"/>
      <w:pPr>
        <w:ind w:left="2674" w:hanging="360"/>
      </w:pPr>
      <w:rPr>
        <w:u w:val="none"/>
      </w:rPr>
    </w:lvl>
    <w:lvl w:ilvl="4">
      <w:start w:val="1"/>
      <w:numFmt w:val="lowerLetter"/>
      <w:lvlText w:val="%5."/>
      <w:lvlJc w:val="left"/>
      <w:pPr>
        <w:ind w:left="3394" w:hanging="360"/>
      </w:pPr>
      <w:rPr>
        <w:u w:val="none"/>
      </w:rPr>
    </w:lvl>
    <w:lvl w:ilvl="5">
      <w:start w:val="1"/>
      <w:numFmt w:val="lowerRoman"/>
      <w:lvlText w:val="%6."/>
      <w:lvlJc w:val="right"/>
      <w:pPr>
        <w:ind w:left="4114" w:hanging="360"/>
      </w:pPr>
      <w:rPr>
        <w:u w:val="none"/>
      </w:rPr>
    </w:lvl>
    <w:lvl w:ilvl="6">
      <w:start w:val="1"/>
      <w:numFmt w:val="decimal"/>
      <w:lvlText w:val="%7."/>
      <w:lvlJc w:val="left"/>
      <w:pPr>
        <w:ind w:left="4834" w:hanging="360"/>
      </w:pPr>
      <w:rPr>
        <w:u w:val="none"/>
      </w:rPr>
    </w:lvl>
    <w:lvl w:ilvl="7">
      <w:start w:val="1"/>
      <w:numFmt w:val="lowerLetter"/>
      <w:lvlText w:val="%8."/>
      <w:lvlJc w:val="left"/>
      <w:pPr>
        <w:ind w:left="5554" w:hanging="360"/>
      </w:pPr>
      <w:rPr>
        <w:u w:val="none"/>
      </w:rPr>
    </w:lvl>
    <w:lvl w:ilvl="8">
      <w:start w:val="1"/>
      <w:numFmt w:val="lowerRoman"/>
      <w:lvlText w:val="%9."/>
      <w:lvlJc w:val="right"/>
      <w:pPr>
        <w:ind w:left="6274" w:hanging="360"/>
      </w:pPr>
      <w:rPr>
        <w:u w:val="none"/>
      </w:rPr>
    </w:lvl>
  </w:abstractNum>
  <w:abstractNum w:abstractNumId="5" w15:restartNumberingAfterBreak="0">
    <w:nsid w:val="5B9D61AA"/>
    <w:multiLevelType w:val="multilevel"/>
    <w:tmpl w:val="EA904F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43D3C2E"/>
    <w:multiLevelType w:val="multilevel"/>
    <w:tmpl w:val="FF2844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E9C1647"/>
    <w:multiLevelType w:val="multilevel"/>
    <w:tmpl w:val="7FAC54FE"/>
    <w:lvl w:ilvl="0">
      <w:start w:val="1"/>
      <w:numFmt w:val="decimal"/>
      <w:lvlText w:val="%1."/>
      <w:lvlJc w:val="left"/>
      <w:pPr>
        <w:ind w:left="514" w:hanging="360"/>
      </w:pPr>
      <w:rPr>
        <w:u w:val="none"/>
      </w:rPr>
    </w:lvl>
    <w:lvl w:ilvl="1">
      <w:start w:val="1"/>
      <w:numFmt w:val="lowerLetter"/>
      <w:lvlText w:val="%2."/>
      <w:lvlJc w:val="left"/>
      <w:pPr>
        <w:ind w:left="1234" w:hanging="360"/>
      </w:pPr>
      <w:rPr>
        <w:u w:val="none"/>
      </w:rPr>
    </w:lvl>
    <w:lvl w:ilvl="2">
      <w:start w:val="1"/>
      <w:numFmt w:val="lowerRoman"/>
      <w:lvlText w:val="%3."/>
      <w:lvlJc w:val="right"/>
      <w:pPr>
        <w:ind w:left="1954" w:hanging="360"/>
      </w:pPr>
      <w:rPr>
        <w:u w:val="none"/>
      </w:rPr>
    </w:lvl>
    <w:lvl w:ilvl="3">
      <w:start w:val="1"/>
      <w:numFmt w:val="decimal"/>
      <w:lvlText w:val="%4."/>
      <w:lvlJc w:val="left"/>
      <w:pPr>
        <w:ind w:left="2674" w:hanging="360"/>
      </w:pPr>
      <w:rPr>
        <w:u w:val="none"/>
      </w:rPr>
    </w:lvl>
    <w:lvl w:ilvl="4">
      <w:start w:val="1"/>
      <w:numFmt w:val="lowerLetter"/>
      <w:lvlText w:val="%5."/>
      <w:lvlJc w:val="left"/>
      <w:pPr>
        <w:ind w:left="3394" w:hanging="360"/>
      </w:pPr>
      <w:rPr>
        <w:u w:val="none"/>
      </w:rPr>
    </w:lvl>
    <w:lvl w:ilvl="5">
      <w:start w:val="1"/>
      <w:numFmt w:val="lowerRoman"/>
      <w:lvlText w:val="%6."/>
      <w:lvlJc w:val="right"/>
      <w:pPr>
        <w:ind w:left="4114" w:hanging="360"/>
      </w:pPr>
      <w:rPr>
        <w:u w:val="none"/>
      </w:rPr>
    </w:lvl>
    <w:lvl w:ilvl="6">
      <w:start w:val="1"/>
      <w:numFmt w:val="decimal"/>
      <w:lvlText w:val="%7."/>
      <w:lvlJc w:val="left"/>
      <w:pPr>
        <w:ind w:left="4834" w:hanging="360"/>
      </w:pPr>
      <w:rPr>
        <w:u w:val="none"/>
      </w:rPr>
    </w:lvl>
    <w:lvl w:ilvl="7">
      <w:start w:val="1"/>
      <w:numFmt w:val="lowerLetter"/>
      <w:lvlText w:val="%8."/>
      <w:lvlJc w:val="left"/>
      <w:pPr>
        <w:ind w:left="5554" w:hanging="360"/>
      </w:pPr>
      <w:rPr>
        <w:u w:val="none"/>
      </w:rPr>
    </w:lvl>
    <w:lvl w:ilvl="8">
      <w:start w:val="1"/>
      <w:numFmt w:val="lowerRoman"/>
      <w:lvlText w:val="%9."/>
      <w:lvlJc w:val="right"/>
      <w:pPr>
        <w:ind w:left="6274" w:hanging="360"/>
      </w:pPr>
      <w:rPr>
        <w:u w:val="none"/>
      </w:rPr>
    </w:lvl>
  </w:abstractNum>
  <w:abstractNum w:abstractNumId="8" w15:restartNumberingAfterBreak="0">
    <w:nsid w:val="73B52B45"/>
    <w:multiLevelType w:val="multilevel"/>
    <w:tmpl w:val="7FAC54FE"/>
    <w:lvl w:ilvl="0">
      <w:start w:val="1"/>
      <w:numFmt w:val="decimal"/>
      <w:lvlText w:val="%1."/>
      <w:lvlJc w:val="left"/>
      <w:pPr>
        <w:ind w:left="514" w:hanging="360"/>
      </w:pPr>
      <w:rPr>
        <w:u w:val="none"/>
      </w:rPr>
    </w:lvl>
    <w:lvl w:ilvl="1">
      <w:start w:val="1"/>
      <w:numFmt w:val="lowerLetter"/>
      <w:lvlText w:val="%2."/>
      <w:lvlJc w:val="left"/>
      <w:pPr>
        <w:ind w:left="1234" w:hanging="360"/>
      </w:pPr>
      <w:rPr>
        <w:u w:val="none"/>
      </w:rPr>
    </w:lvl>
    <w:lvl w:ilvl="2">
      <w:start w:val="1"/>
      <w:numFmt w:val="lowerRoman"/>
      <w:lvlText w:val="%3."/>
      <w:lvlJc w:val="right"/>
      <w:pPr>
        <w:ind w:left="1954" w:hanging="360"/>
      </w:pPr>
      <w:rPr>
        <w:u w:val="none"/>
      </w:rPr>
    </w:lvl>
    <w:lvl w:ilvl="3">
      <w:start w:val="1"/>
      <w:numFmt w:val="decimal"/>
      <w:lvlText w:val="%4."/>
      <w:lvlJc w:val="left"/>
      <w:pPr>
        <w:ind w:left="2674" w:hanging="360"/>
      </w:pPr>
      <w:rPr>
        <w:u w:val="none"/>
      </w:rPr>
    </w:lvl>
    <w:lvl w:ilvl="4">
      <w:start w:val="1"/>
      <w:numFmt w:val="lowerLetter"/>
      <w:lvlText w:val="%5."/>
      <w:lvlJc w:val="left"/>
      <w:pPr>
        <w:ind w:left="3394" w:hanging="360"/>
      </w:pPr>
      <w:rPr>
        <w:u w:val="none"/>
      </w:rPr>
    </w:lvl>
    <w:lvl w:ilvl="5">
      <w:start w:val="1"/>
      <w:numFmt w:val="lowerRoman"/>
      <w:lvlText w:val="%6."/>
      <w:lvlJc w:val="right"/>
      <w:pPr>
        <w:ind w:left="4114" w:hanging="360"/>
      </w:pPr>
      <w:rPr>
        <w:u w:val="none"/>
      </w:rPr>
    </w:lvl>
    <w:lvl w:ilvl="6">
      <w:start w:val="1"/>
      <w:numFmt w:val="decimal"/>
      <w:lvlText w:val="%7."/>
      <w:lvlJc w:val="left"/>
      <w:pPr>
        <w:ind w:left="4834" w:hanging="360"/>
      </w:pPr>
      <w:rPr>
        <w:u w:val="none"/>
      </w:rPr>
    </w:lvl>
    <w:lvl w:ilvl="7">
      <w:start w:val="1"/>
      <w:numFmt w:val="lowerLetter"/>
      <w:lvlText w:val="%8."/>
      <w:lvlJc w:val="left"/>
      <w:pPr>
        <w:ind w:left="5554" w:hanging="360"/>
      </w:pPr>
      <w:rPr>
        <w:u w:val="none"/>
      </w:rPr>
    </w:lvl>
    <w:lvl w:ilvl="8">
      <w:start w:val="1"/>
      <w:numFmt w:val="lowerRoman"/>
      <w:lvlText w:val="%9."/>
      <w:lvlJc w:val="right"/>
      <w:pPr>
        <w:ind w:left="6274" w:hanging="360"/>
      </w:pPr>
      <w:rPr>
        <w:u w:val="none"/>
      </w:rPr>
    </w:lvl>
  </w:abstractNum>
  <w:abstractNum w:abstractNumId="9" w15:restartNumberingAfterBreak="0">
    <w:nsid w:val="7D2301B3"/>
    <w:multiLevelType w:val="multilevel"/>
    <w:tmpl w:val="86C6ED8C"/>
    <w:lvl w:ilvl="0">
      <w:start w:val="1"/>
      <w:numFmt w:val="decimal"/>
      <w:lvlText w:val="%1."/>
      <w:lvlJc w:val="left"/>
      <w:pPr>
        <w:ind w:left="514" w:hanging="360"/>
      </w:pPr>
      <w:rPr>
        <w:u w:val="none"/>
      </w:rPr>
    </w:lvl>
    <w:lvl w:ilvl="1">
      <w:start w:val="1"/>
      <w:numFmt w:val="lowerLetter"/>
      <w:lvlText w:val="%2)"/>
      <w:lvlJc w:val="left"/>
      <w:pPr>
        <w:ind w:left="1234" w:hanging="360"/>
      </w:pPr>
      <w:rPr>
        <w:u w:val="none"/>
      </w:rPr>
    </w:lvl>
    <w:lvl w:ilvl="2">
      <w:start w:val="1"/>
      <w:numFmt w:val="lowerRoman"/>
      <w:lvlText w:val="%3."/>
      <w:lvlJc w:val="right"/>
      <w:pPr>
        <w:ind w:left="1954" w:hanging="360"/>
      </w:pPr>
      <w:rPr>
        <w:u w:val="none"/>
      </w:rPr>
    </w:lvl>
    <w:lvl w:ilvl="3">
      <w:start w:val="1"/>
      <w:numFmt w:val="decimal"/>
      <w:lvlText w:val="%4."/>
      <w:lvlJc w:val="left"/>
      <w:pPr>
        <w:ind w:left="2674" w:hanging="360"/>
      </w:pPr>
      <w:rPr>
        <w:u w:val="none"/>
      </w:rPr>
    </w:lvl>
    <w:lvl w:ilvl="4">
      <w:start w:val="1"/>
      <w:numFmt w:val="lowerLetter"/>
      <w:lvlText w:val="%5."/>
      <w:lvlJc w:val="left"/>
      <w:pPr>
        <w:ind w:left="3394" w:hanging="360"/>
      </w:pPr>
      <w:rPr>
        <w:u w:val="none"/>
      </w:rPr>
    </w:lvl>
    <w:lvl w:ilvl="5">
      <w:start w:val="1"/>
      <w:numFmt w:val="lowerRoman"/>
      <w:lvlText w:val="%6."/>
      <w:lvlJc w:val="right"/>
      <w:pPr>
        <w:ind w:left="4114" w:hanging="360"/>
      </w:pPr>
      <w:rPr>
        <w:u w:val="none"/>
      </w:rPr>
    </w:lvl>
    <w:lvl w:ilvl="6">
      <w:start w:val="1"/>
      <w:numFmt w:val="decimal"/>
      <w:lvlText w:val="%7."/>
      <w:lvlJc w:val="left"/>
      <w:pPr>
        <w:ind w:left="4834" w:hanging="360"/>
      </w:pPr>
      <w:rPr>
        <w:u w:val="none"/>
      </w:rPr>
    </w:lvl>
    <w:lvl w:ilvl="7">
      <w:start w:val="1"/>
      <w:numFmt w:val="lowerLetter"/>
      <w:lvlText w:val="%8."/>
      <w:lvlJc w:val="left"/>
      <w:pPr>
        <w:ind w:left="5554" w:hanging="360"/>
      </w:pPr>
      <w:rPr>
        <w:u w:val="none"/>
      </w:rPr>
    </w:lvl>
    <w:lvl w:ilvl="8">
      <w:start w:val="1"/>
      <w:numFmt w:val="lowerRoman"/>
      <w:lvlText w:val="%9."/>
      <w:lvlJc w:val="right"/>
      <w:pPr>
        <w:ind w:left="6274" w:hanging="360"/>
      </w:pPr>
      <w:rPr>
        <w:u w:val="none"/>
      </w:rPr>
    </w:lvl>
  </w:abstractNum>
  <w:num w:numId="1">
    <w:abstractNumId w:val="8"/>
  </w:num>
  <w:num w:numId="2">
    <w:abstractNumId w:val="3"/>
  </w:num>
  <w:num w:numId="3">
    <w:abstractNumId w:val="6"/>
  </w:num>
  <w:num w:numId="4">
    <w:abstractNumId w:val="0"/>
  </w:num>
  <w:num w:numId="5">
    <w:abstractNumId w:val="5"/>
  </w:num>
  <w:num w:numId="6">
    <w:abstractNumId w:val="1"/>
  </w:num>
  <w:num w:numId="7">
    <w:abstractNumId w:val="4"/>
  </w:num>
  <w:num w:numId="8">
    <w:abstractNumId w:val="2"/>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40C"/>
    <w:rsid w:val="000034EF"/>
    <w:rsid w:val="00003953"/>
    <w:rsid w:val="0002145D"/>
    <w:rsid w:val="0008036A"/>
    <w:rsid w:val="000B1BE8"/>
    <w:rsid w:val="00107413"/>
    <w:rsid w:val="0019420D"/>
    <w:rsid w:val="001A6F03"/>
    <w:rsid w:val="001D064D"/>
    <w:rsid w:val="00215D8E"/>
    <w:rsid w:val="00340B4C"/>
    <w:rsid w:val="0034475E"/>
    <w:rsid w:val="003A27A6"/>
    <w:rsid w:val="004A3605"/>
    <w:rsid w:val="0061165D"/>
    <w:rsid w:val="006205A9"/>
    <w:rsid w:val="006C05E6"/>
    <w:rsid w:val="006D45AE"/>
    <w:rsid w:val="007774CC"/>
    <w:rsid w:val="0079195C"/>
    <w:rsid w:val="007A3940"/>
    <w:rsid w:val="007E740C"/>
    <w:rsid w:val="008370A0"/>
    <w:rsid w:val="008D15FB"/>
    <w:rsid w:val="00BE4009"/>
    <w:rsid w:val="00CF7DBC"/>
    <w:rsid w:val="00DE75C7"/>
    <w:rsid w:val="00E713A2"/>
    <w:rsid w:val="00FD32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AB723"/>
  <w15:docId w15:val="{B4328772-2096-4AFA-BE62-84BFD90C9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00" w:after="120"/>
      <w:outlineLvl w:val="0"/>
    </w:pPr>
    <w:rPr>
      <w:sz w:val="40"/>
      <w:szCs w:val="40"/>
    </w:rPr>
  </w:style>
  <w:style w:type="paragraph" w:styleId="Nagwek2">
    <w:name w:val="heading 2"/>
    <w:basedOn w:val="Normalny"/>
    <w:next w:val="Normalny"/>
    <w:pPr>
      <w:keepNext/>
      <w:keepLines/>
      <w:spacing w:before="360" w:after="120"/>
      <w:outlineLvl w:val="1"/>
    </w:pPr>
    <w:rPr>
      <w:sz w:val="32"/>
      <w:szCs w:val="32"/>
    </w:rPr>
  </w:style>
  <w:style w:type="paragraph" w:styleId="Nagwek3">
    <w:name w:val="heading 3"/>
    <w:basedOn w:val="Normalny"/>
    <w:next w:val="Normalny"/>
    <w:pPr>
      <w:keepNext/>
      <w:keepLines/>
      <w:spacing w:before="320" w:after="80"/>
      <w:outlineLvl w:val="2"/>
    </w:pPr>
    <w:rPr>
      <w:color w:val="434343"/>
      <w:sz w:val="28"/>
      <w:szCs w:val="28"/>
    </w:rPr>
  </w:style>
  <w:style w:type="paragraph" w:styleId="Nagwek4">
    <w:name w:val="heading 4"/>
    <w:basedOn w:val="Normalny"/>
    <w:next w:val="Normalny"/>
    <w:pPr>
      <w:keepNext/>
      <w:keepLines/>
      <w:spacing w:before="280" w:after="80"/>
      <w:outlineLvl w:val="3"/>
    </w:pPr>
    <w:rPr>
      <w:color w:val="666666"/>
      <w:sz w:val="24"/>
      <w:szCs w:val="24"/>
    </w:rPr>
  </w:style>
  <w:style w:type="paragraph" w:styleId="Nagwek5">
    <w:name w:val="heading 5"/>
    <w:basedOn w:val="Normalny"/>
    <w:next w:val="Normalny"/>
    <w:pPr>
      <w:keepNext/>
      <w:keepLines/>
      <w:spacing w:before="240" w:after="80"/>
      <w:outlineLvl w:val="4"/>
    </w:pPr>
    <w:rPr>
      <w:color w:val="666666"/>
    </w:rPr>
  </w:style>
  <w:style w:type="paragraph" w:styleId="Nagwek6">
    <w:name w:val="heading 6"/>
    <w:basedOn w:val="Normalny"/>
    <w:next w:val="Normalny"/>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after="60"/>
    </w:pPr>
    <w:rPr>
      <w:sz w:val="52"/>
      <w:szCs w:val="52"/>
    </w:rPr>
  </w:style>
  <w:style w:type="paragraph" w:styleId="Podtytu">
    <w:name w:val="Subtitle"/>
    <w:basedOn w:val="Normalny"/>
    <w:next w:val="Normalny"/>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Akapitzlist">
    <w:name w:val="List Paragraph"/>
    <w:basedOn w:val="Normalny"/>
    <w:uiPriority w:val="99"/>
    <w:qFormat/>
    <w:rsid w:val="004A3605"/>
    <w:pPr>
      <w:spacing w:line="240" w:lineRule="auto"/>
      <w:ind w:left="720"/>
      <w:contextualSpacing/>
    </w:pPr>
    <w:rPr>
      <w:rFonts w:ascii="Times New Roman" w:eastAsia="Times New Roman" w:hAnsi="Times New Roman" w:cs="Times New Roman"/>
      <w:sz w:val="24"/>
      <w:szCs w:val="24"/>
      <w:lang w:val="pl-PL"/>
    </w:rPr>
  </w:style>
  <w:style w:type="paragraph" w:styleId="Nagwek">
    <w:name w:val="header"/>
    <w:basedOn w:val="Normalny"/>
    <w:link w:val="NagwekZnak"/>
    <w:uiPriority w:val="99"/>
    <w:unhideWhenUsed/>
    <w:rsid w:val="007774CC"/>
    <w:pPr>
      <w:tabs>
        <w:tab w:val="center" w:pos="4536"/>
        <w:tab w:val="right" w:pos="9072"/>
      </w:tabs>
      <w:spacing w:line="240" w:lineRule="auto"/>
    </w:pPr>
  </w:style>
  <w:style w:type="character" w:customStyle="1" w:styleId="NagwekZnak">
    <w:name w:val="Nagłówek Znak"/>
    <w:basedOn w:val="Domylnaczcionkaakapitu"/>
    <w:link w:val="Nagwek"/>
    <w:uiPriority w:val="99"/>
    <w:rsid w:val="007774CC"/>
  </w:style>
  <w:style w:type="paragraph" w:styleId="Stopka">
    <w:name w:val="footer"/>
    <w:basedOn w:val="Normalny"/>
    <w:link w:val="StopkaZnak"/>
    <w:uiPriority w:val="99"/>
    <w:unhideWhenUsed/>
    <w:rsid w:val="007774CC"/>
    <w:pPr>
      <w:tabs>
        <w:tab w:val="center" w:pos="4536"/>
        <w:tab w:val="right" w:pos="9072"/>
      </w:tabs>
      <w:spacing w:line="240" w:lineRule="auto"/>
    </w:pPr>
  </w:style>
  <w:style w:type="character" w:customStyle="1" w:styleId="StopkaZnak">
    <w:name w:val="Stopka Znak"/>
    <w:basedOn w:val="Domylnaczcionkaakapitu"/>
    <w:link w:val="Stopka"/>
    <w:uiPriority w:val="99"/>
    <w:rsid w:val="00777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587</Words>
  <Characters>3526</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Lange Ewa</dc:creator>
  <cp:lastModifiedBy>Dembowska Ilona</cp:lastModifiedBy>
  <cp:revision>4</cp:revision>
  <dcterms:created xsi:type="dcterms:W3CDTF">2021-09-01T06:48:00Z</dcterms:created>
  <dcterms:modified xsi:type="dcterms:W3CDTF">2021-09-17T10:19:00Z</dcterms:modified>
</cp:coreProperties>
</file>