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89D58" w14:textId="2250E30A" w:rsidR="005018B7" w:rsidRPr="00B25B83" w:rsidRDefault="006B6AB1" w:rsidP="00383BFF">
      <w:pPr>
        <w:jc w:val="center"/>
        <w:rPr>
          <w:rFonts w:ascii="Verdana" w:eastAsia="Gulim" w:hAnsi="Verdana" w:cs="Times New Roman"/>
          <w:szCs w:val="24"/>
          <w:lang w:eastAsia="pl-PL"/>
        </w:rPr>
      </w:pPr>
      <w:r w:rsidRPr="00B25B83">
        <w:rPr>
          <w:rFonts w:ascii="Verdana" w:eastAsia="Gulim" w:hAnsi="Verdana" w:cs="Times New Roman"/>
          <w:b/>
          <w:bCs/>
          <w:szCs w:val="24"/>
          <w:lang w:eastAsia="pl-PL"/>
        </w:rPr>
        <w:t>Uchwała nr</w:t>
      </w:r>
      <w:r w:rsidR="00CC559E">
        <w:rPr>
          <w:rFonts w:ascii="Verdana" w:eastAsia="Gulim" w:hAnsi="Verdana" w:cs="Times New Roman"/>
          <w:b/>
          <w:bCs/>
          <w:szCs w:val="24"/>
          <w:lang w:eastAsia="pl-PL"/>
        </w:rPr>
        <w:t xml:space="preserve"> 218</w:t>
      </w:r>
    </w:p>
    <w:p w14:paraId="12691BF4" w14:textId="77777777" w:rsidR="005018B7" w:rsidRPr="00B25B83" w:rsidRDefault="005018B7" w:rsidP="00383BFF">
      <w:pPr>
        <w:jc w:val="center"/>
        <w:rPr>
          <w:rFonts w:ascii="Verdana" w:eastAsia="Gulim" w:hAnsi="Verdana" w:cs="Times New Roman"/>
          <w:szCs w:val="24"/>
          <w:lang w:eastAsia="pl-PL"/>
        </w:rPr>
      </w:pPr>
      <w:r w:rsidRPr="00B25B83">
        <w:rPr>
          <w:rFonts w:ascii="Verdana" w:eastAsia="Gulim" w:hAnsi="Verdana" w:cs="Times New Roman"/>
          <w:b/>
          <w:bCs/>
          <w:szCs w:val="24"/>
          <w:lang w:eastAsia="pl-PL"/>
        </w:rPr>
        <w:t>Rady Działalności Pożytku Publicznego</w:t>
      </w:r>
    </w:p>
    <w:p w14:paraId="65621117" w14:textId="1189771F" w:rsidR="005018B7" w:rsidRPr="00B25B83" w:rsidRDefault="000D0488" w:rsidP="00383BFF">
      <w:pPr>
        <w:jc w:val="center"/>
        <w:rPr>
          <w:rFonts w:ascii="Verdana" w:eastAsia="Gulim" w:hAnsi="Verdana" w:cs="Times New Roman"/>
          <w:szCs w:val="24"/>
          <w:lang w:eastAsia="pl-PL"/>
        </w:rPr>
      </w:pPr>
      <w:r w:rsidRPr="00B25B83">
        <w:rPr>
          <w:rFonts w:ascii="Verdana" w:eastAsia="Gulim" w:hAnsi="Verdana" w:cs="Times New Roman"/>
          <w:b/>
          <w:bCs/>
          <w:szCs w:val="24"/>
          <w:lang w:eastAsia="pl-PL"/>
        </w:rPr>
        <w:t xml:space="preserve">z dnia </w:t>
      </w:r>
      <w:r w:rsidR="00CC559E">
        <w:rPr>
          <w:rFonts w:ascii="Verdana" w:eastAsia="Verdana" w:hAnsi="Verdana"/>
          <w:b/>
          <w:bCs/>
        </w:rPr>
        <w:t>8 października</w:t>
      </w:r>
      <w:r w:rsidR="004F32E0" w:rsidRPr="00B25B83">
        <w:rPr>
          <w:rFonts w:ascii="Verdana" w:eastAsia="Gulim" w:hAnsi="Verdana" w:cs="Times New Roman"/>
          <w:b/>
          <w:bCs/>
          <w:szCs w:val="24"/>
          <w:lang w:eastAsia="pl-PL"/>
        </w:rPr>
        <w:t xml:space="preserve"> 2021 r.</w:t>
      </w:r>
    </w:p>
    <w:p w14:paraId="7E369B0F" w14:textId="61AB972F" w:rsidR="0090747A" w:rsidRPr="00B25B83" w:rsidRDefault="005018B7" w:rsidP="00383BFF">
      <w:pPr>
        <w:jc w:val="center"/>
        <w:rPr>
          <w:rFonts w:ascii="Verdana" w:eastAsia="Gulim" w:hAnsi="Verdana" w:cs="Times New Roman"/>
          <w:b/>
          <w:bCs/>
          <w:szCs w:val="24"/>
          <w:lang w:eastAsia="pl-PL"/>
        </w:rPr>
      </w:pPr>
      <w:r w:rsidRPr="00B25B83">
        <w:rPr>
          <w:rFonts w:ascii="Verdana" w:eastAsia="Gulim" w:hAnsi="Verdana" w:cs="Times New Roman"/>
          <w:b/>
          <w:bCs/>
          <w:szCs w:val="24"/>
          <w:lang w:eastAsia="pl-PL"/>
        </w:rPr>
        <w:t>w sprawie</w:t>
      </w:r>
      <w:r w:rsidR="00295124" w:rsidRPr="00B25B83">
        <w:rPr>
          <w:rFonts w:ascii="Verdana" w:eastAsia="Gulim" w:hAnsi="Verdana" w:cs="Times New Roman"/>
          <w:b/>
          <w:bCs/>
          <w:szCs w:val="24"/>
          <w:lang w:eastAsia="pl-PL"/>
        </w:rPr>
        <w:t xml:space="preserve"> </w:t>
      </w:r>
      <w:r w:rsidR="00E76EE1" w:rsidRPr="00B25B83">
        <w:rPr>
          <w:rFonts w:ascii="Verdana" w:eastAsia="Gulim" w:hAnsi="Verdana" w:cs="Times New Roman"/>
          <w:b/>
          <w:bCs/>
          <w:szCs w:val="24"/>
          <w:lang w:eastAsia="pl-PL"/>
        </w:rPr>
        <w:t xml:space="preserve">roli organizacji obywatelskich w projekcie ustawy </w:t>
      </w:r>
      <w:r w:rsidR="00CC559E">
        <w:rPr>
          <w:rFonts w:ascii="Verdana" w:eastAsia="Gulim" w:hAnsi="Verdana" w:cs="Times New Roman"/>
          <w:b/>
          <w:bCs/>
          <w:szCs w:val="24"/>
          <w:lang w:eastAsia="pl-PL"/>
        </w:rPr>
        <w:br/>
      </w:r>
      <w:bookmarkStart w:id="0" w:name="_GoBack"/>
      <w:bookmarkEnd w:id="0"/>
      <w:r w:rsidR="00E76EE1" w:rsidRPr="00B25B83">
        <w:rPr>
          <w:rFonts w:ascii="Verdana" w:eastAsia="Gulim" w:hAnsi="Verdana" w:cs="Times New Roman"/>
          <w:b/>
          <w:bCs/>
          <w:szCs w:val="24"/>
          <w:lang w:eastAsia="pl-PL"/>
        </w:rPr>
        <w:t>o zasadach realizacji zadań finansowanych ze środków europejskich w perspektywie finansowej 2021-2027</w:t>
      </w:r>
    </w:p>
    <w:p w14:paraId="40B495DD" w14:textId="664E6437" w:rsidR="007A214E" w:rsidRPr="00B25B83" w:rsidRDefault="007A214E" w:rsidP="00383BFF">
      <w:pPr>
        <w:jc w:val="left"/>
        <w:rPr>
          <w:rFonts w:ascii="Verdana" w:eastAsia="Gulim" w:hAnsi="Verdana" w:cs="Times New Roman"/>
          <w:szCs w:val="24"/>
          <w:lang w:eastAsia="pl-PL"/>
        </w:rPr>
      </w:pPr>
    </w:p>
    <w:p w14:paraId="4DA3AD20" w14:textId="18B084BA" w:rsidR="00C369E0" w:rsidRPr="00B25B83" w:rsidRDefault="00C369E0" w:rsidP="00383BFF">
      <w:pPr>
        <w:jc w:val="left"/>
        <w:rPr>
          <w:rFonts w:ascii="Verdana" w:eastAsia="Gulim" w:hAnsi="Verdana" w:cs="Times New Roman"/>
          <w:szCs w:val="24"/>
          <w:lang w:eastAsia="pl-PL"/>
        </w:rPr>
      </w:pPr>
    </w:p>
    <w:p w14:paraId="15597517" w14:textId="68676F0A" w:rsidR="00017BFE" w:rsidRPr="00B25B83" w:rsidRDefault="00C32ABD" w:rsidP="00B25B83">
      <w:pPr>
        <w:jc w:val="left"/>
        <w:rPr>
          <w:rFonts w:ascii="Verdana" w:eastAsia="Times New Roman" w:hAnsi="Verdana" w:cs="Times New Roman"/>
          <w:bCs/>
          <w:szCs w:val="24"/>
          <w:lang w:eastAsia="pl-PL"/>
        </w:rPr>
      </w:pPr>
      <w:r w:rsidRPr="00B25B83">
        <w:rPr>
          <w:rFonts w:ascii="Verdana" w:eastAsia="Gulim" w:hAnsi="Verdana" w:cs="Times New Roman"/>
          <w:szCs w:val="24"/>
          <w:lang w:eastAsia="pl-PL"/>
        </w:rPr>
        <w:t>Na podstawie § 10 rozporządzenia Przewodniczącego Komitetu do spraw Pożytku Publicznego z dnia 24 października 2018 r. w sprawie Rady Działalności P</w:t>
      </w:r>
      <w:r w:rsidR="00446E19" w:rsidRPr="00B25B83">
        <w:rPr>
          <w:rFonts w:ascii="Verdana" w:eastAsia="Gulim" w:hAnsi="Verdana" w:cs="Times New Roman"/>
          <w:szCs w:val="24"/>
          <w:lang w:eastAsia="pl-PL"/>
        </w:rPr>
        <w:t>ożytku Publicznego (Dz. U. poz. </w:t>
      </w:r>
      <w:r w:rsidRPr="00B25B83">
        <w:rPr>
          <w:rFonts w:ascii="Verdana" w:eastAsia="Gulim" w:hAnsi="Verdana" w:cs="Times New Roman"/>
          <w:szCs w:val="24"/>
          <w:lang w:eastAsia="pl-PL"/>
        </w:rPr>
        <w:t xml:space="preserve">2052) oraz art. 35 ust. 2 ustawy z dnia 24 kwietnia 2003 r. o działalności pożytku publicznego i o wolontariacie (Dz. U. z 2020 r. poz. 1057), </w:t>
      </w:r>
      <w:r w:rsidR="002D5ECC" w:rsidRPr="00B25B83">
        <w:rPr>
          <w:rFonts w:ascii="Verdana" w:eastAsia="Times New Roman" w:hAnsi="Verdana" w:cs="Times New Roman"/>
          <w:szCs w:val="24"/>
          <w:lang w:eastAsia="pl-PL"/>
        </w:rPr>
        <w:t xml:space="preserve">uchwala się stanowisko Rady Działalności Pożytku Publicznego </w:t>
      </w:r>
      <w:r w:rsidR="008002A9" w:rsidRPr="00B25B83">
        <w:rPr>
          <w:rFonts w:ascii="Verdana" w:eastAsia="Times New Roman" w:hAnsi="Verdana" w:cs="Times New Roman"/>
          <w:bCs/>
          <w:szCs w:val="24"/>
          <w:lang w:eastAsia="pl-PL"/>
        </w:rPr>
        <w:t>w sprawie roli organizacji obywatelskich w projekcie ustawy o zasadach realizacji zadań finansowanych ze środków europejskich w perspektywie finansowej 2021-2027</w:t>
      </w:r>
      <w:r w:rsidR="004F32E0" w:rsidRPr="00B25B83">
        <w:rPr>
          <w:rFonts w:ascii="Verdana" w:eastAsia="Times New Roman" w:hAnsi="Verdana" w:cs="Times New Roman"/>
          <w:bCs/>
          <w:szCs w:val="24"/>
          <w:lang w:eastAsia="pl-PL"/>
        </w:rPr>
        <w:t>.</w:t>
      </w:r>
    </w:p>
    <w:p w14:paraId="33597167" w14:textId="77777777" w:rsidR="00C369E0" w:rsidRPr="00B25B83" w:rsidRDefault="00C369E0" w:rsidP="00383BFF">
      <w:pPr>
        <w:jc w:val="left"/>
        <w:rPr>
          <w:rFonts w:ascii="Verdana" w:eastAsia="Times New Roman" w:hAnsi="Verdana" w:cs="Times New Roman"/>
          <w:bCs/>
          <w:szCs w:val="24"/>
          <w:lang w:eastAsia="pl-PL"/>
        </w:rPr>
      </w:pPr>
    </w:p>
    <w:p w14:paraId="327DA1AF" w14:textId="77777777" w:rsidR="00A218BB" w:rsidRPr="00B25B83" w:rsidRDefault="00A218BB" w:rsidP="00383BFF">
      <w:pPr>
        <w:jc w:val="left"/>
        <w:rPr>
          <w:rFonts w:ascii="Verdana" w:eastAsia="Gulim" w:hAnsi="Verdana" w:cs="Times New Roman"/>
          <w:b/>
          <w:szCs w:val="24"/>
          <w:lang w:eastAsia="pl-PL"/>
        </w:rPr>
      </w:pPr>
    </w:p>
    <w:p w14:paraId="463EB72B" w14:textId="6F05D764" w:rsidR="008465F1" w:rsidRPr="00B25B83" w:rsidRDefault="005018B7" w:rsidP="00527C42">
      <w:pPr>
        <w:jc w:val="center"/>
        <w:rPr>
          <w:rFonts w:ascii="Verdana" w:eastAsia="Gulim" w:hAnsi="Verdana" w:cs="Times New Roman"/>
          <w:b/>
          <w:szCs w:val="24"/>
          <w:lang w:eastAsia="pl-PL"/>
        </w:rPr>
      </w:pPr>
      <w:r w:rsidRPr="00B25B83">
        <w:rPr>
          <w:rFonts w:ascii="Verdana" w:eastAsia="Gulim" w:hAnsi="Verdana" w:cs="Times New Roman"/>
          <w:b/>
          <w:szCs w:val="24"/>
          <w:lang w:eastAsia="pl-PL"/>
        </w:rPr>
        <w:t>§ 1</w:t>
      </w:r>
    </w:p>
    <w:p w14:paraId="4EDCEA08" w14:textId="6E20E260" w:rsidR="00A9370D" w:rsidRPr="00B25B83" w:rsidRDefault="008002A9" w:rsidP="00B25B83">
      <w:pPr>
        <w:spacing w:before="240"/>
        <w:jc w:val="left"/>
        <w:rPr>
          <w:rFonts w:ascii="Verdana" w:eastAsia="Gulim" w:hAnsi="Verdana" w:cs="Times New Roman"/>
          <w:szCs w:val="24"/>
          <w:lang w:eastAsia="pl-PL"/>
        </w:rPr>
      </w:pPr>
      <w:r w:rsidRPr="00B25B83">
        <w:rPr>
          <w:rFonts w:ascii="Verdana" w:eastAsia="Gulim" w:hAnsi="Verdana" w:cs="Times New Roman"/>
          <w:szCs w:val="24"/>
          <w:lang w:eastAsia="pl-PL"/>
        </w:rPr>
        <w:t xml:space="preserve">Rada Działalności Pożytku Publicznego analizując propozycje zapisów projektu ustawy o zasadach realizacji zadań finansowanych ze środków europejskich w perspektywie finansowej 2021-2027 odnoszące się do roli organizacji obywatelskich zwraca uwagę, </w:t>
      </w:r>
      <w:r w:rsidR="00554FC0" w:rsidRPr="00B25B83">
        <w:rPr>
          <w:rFonts w:ascii="Verdana" w:eastAsia="Gulim" w:hAnsi="Verdana" w:cs="Times New Roman"/>
          <w:szCs w:val="24"/>
          <w:lang w:eastAsia="pl-PL"/>
        </w:rPr>
        <w:t xml:space="preserve">iż </w:t>
      </w:r>
      <w:r w:rsidRPr="00B25B83">
        <w:rPr>
          <w:rFonts w:ascii="Verdana" w:eastAsia="Gulim" w:hAnsi="Verdana" w:cs="Times New Roman"/>
          <w:szCs w:val="24"/>
          <w:lang w:eastAsia="pl-PL"/>
        </w:rPr>
        <w:t xml:space="preserve">przedstawione </w:t>
      </w:r>
      <w:r w:rsidR="00554FC0" w:rsidRPr="00B25B83">
        <w:rPr>
          <w:rFonts w:ascii="Verdana" w:eastAsia="Gulim" w:hAnsi="Verdana" w:cs="Times New Roman"/>
          <w:szCs w:val="24"/>
          <w:lang w:eastAsia="pl-PL"/>
        </w:rPr>
        <w:t xml:space="preserve"> zapisy nie są zgodne z Rozporządzeniem Delegowanym Komisji (UE) NR 240/2014 z dnia 7 stycznia 2014 r. w sprawie europejskiego kodeksu postępowania w zakresie partnerstwa w ramach europejskich funduszy strukturalnych i inwestycyjnych</w:t>
      </w:r>
      <w:r w:rsidR="00080E93" w:rsidRPr="00B25B83">
        <w:rPr>
          <w:rFonts w:ascii="Verdana" w:eastAsia="Gulim" w:hAnsi="Verdana" w:cs="Times New Roman"/>
          <w:szCs w:val="24"/>
          <w:lang w:eastAsia="pl-PL"/>
        </w:rPr>
        <w:t xml:space="preserve">. </w:t>
      </w:r>
      <w:r w:rsidR="00554FC0" w:rsidRPr="00B25B83">
        <w:rPr>
          <w:rFonts w:ascii="Verdana" w:eastAsia="Gulim" w:hAnsi="Verdana" w:cs="Times New Roman"/>
          <w:szCs w:val="24"/>
          <w:lang w:eastAsia="pl-PL"/>
        </w:rPr>
        <w:t>Rozporządzenie wskazuje, w art. 4 że określając właściwych partnerów na potrzeby programów</w:t>
      </w:r>
      <w:r w:rsidR="00D55957" w:rsidRPr="00B25B83">
        <w:rPr>
          <w:rFonts w:ascii="Verdana" w:eastAsia="Gulim" w:hAnsi="Verdana" w:cs="Times New Roman"/>
          <w:szCs w:val="24"/>
          <w:lang w:eastAsia="pl-PL"/>
        </w:rPr>
        <w:t xml:space="preserve"> systematyka wygląda </w:t>
      </w:r>
      <w:r w:rsidR="00080E93" w:rsidRPr="00B25B83">
        <w:rPr>
          <w:rFonts w:ascii="Verdana" w:eastAsia="Gulim" w:hAnsi="Verdana" w:cs="Times New Roman"/>
          <w:szCs w:val="24"/>
          <w:lang w:eastAsia="pl-PL"/>
        </w:rPr>
        <w:t xml:space="preserve">zupełnie </w:t>
      </w:r>
      <w:r w:rsidR="00D55957" w:rsidRPr="00B25B83">
        <w:rPr>
          <w:rFonts w:ascii="Verdana" w:eastAsia="Gulim" w:hAnsi="Verdana" w:cs="Times New Roman"/>
          <w:szCs w:val="24"/>
          <w:lang w:eastAsia="pl-PL"/>
        </w:rPr>
        <w:t>inaczej</w:t>
      </w:r>
      <w:r w:rsidR="00E16953" w:rsidRPr="00B25B83">
        <w:rPr>
          <w:rFonts w:ascii="Verdana" w:eastAsia="Gulim" w:hAnsi="Verdana" w:cs="Times New Roman"/>
          <w:szCs w:val="24"/>
          <w:lang w:eastAsia="pl-PL"/>
        </w:rPr>
        <w:t xml:space="preserve">: </w:t>
      </w:r>
      <w:r w:rsidR="00554FC0" w:rsidRPr="00B25B83">
        <w:rPr>
          <w:rFonts w:ascii="Verdana" w:eastAsia="Gulim" w:hAnsi="Verdana" w:cs="Times New Roman"/>
          <w:szCs w:val="24"/>
          <w:lang w:eastAsia="pl-PL"/>
        </w:rPr>
        <w:t xml:space="preserve"> </w:t>
      </w:r>
    </w:p>
    <w:p w14:paraId="0C0B157E" w14:textId="736F1DFA" w:rsidR="00D55957" w:rsidRPr="00B25B83" w:rsidRDefault="008F2466" w:rsidP="00B25B83">
      <w:pPr>
        <w:pStyle w:val="Akapitzlist"/>
        <w:numPr>
          <w:ilvl w:val="0"/>
          <w:numId w:val="5"/>
        </w:numPr>
        <w:jc w:val="left"/>
        <w:rPr>
          <w:rFonts w:ascii="Verdana" w:eastAsia="Gulim" w:hAnsi="Verdana" w:cs="Times New Roman"/>
          <w:szCs w:val="24"/>
          <w:lang w:eastAsia="pl-PL"/>
        </w:rPr>
      </w:pPr>
      <w:r w:rsidRPr="00B25B83">
        <w:rPr>
          <w:rFonts w:ascii="Verdana" w:eastAsia="Gulim" w:hAnsi="Verdana" w:cs="Times New Roman"/>
          <w:szCs w:val="24"/>
          <w:lang w:eastAsia="pl-PL"/>
        </w:rPr>
        <w:t>p</w:t>
      </w:r>
      <w:r w:rsidR="00D55957" w:rsidRPr="00B25B83">
        <w:rPr>
          <w:rFonts w:ascii="Verdana" w:eastAsia="Gulim" w:hAnsi="Verdana" w:cs="Times New Roman"/>
          <w:szCs w:val="24"/>
          <w:lang w:eastAsia="pl-PL"/>
        </w:rPr>
        <w:t xml:space="preserve">ierwsza grupa obejmuje przedstawicieli szeroko rozumianych władz publicznych krajowych, regionalnych i lokalnych, oraz krajowych lub </w:t>
      </w:r>
      <w:r w:rsidR="00D55957" w:rsidRPr="00B25B83">
        <w:rPr>
          <w:rFonts w:ascii="Verdana" w:eastAsia="Gulim" w:hAnsi="Verdana" w:cs="Times New Roman"/>
          <w:szCs w:val="24"/>
          <w:lang w:eastAsia="pl-PL"/>
        </w:rPr>
        <w:lastRenderedPageBreak/>
        <w:t>regionalnych przedstawicieli instytucji szkolnictwa wyższego i organizacji badawczych i szkoleniowych;</w:t>
      </w:r>
    </w:p>
    <w:p w14:paraId="20443B6C" w14:textId="081BB8BF" w:rsidR="00554FC0" w:rsidRPr="00B25B83" w:rsidRDefault="008F2466" w:rsidP="00B25B83">
      <w:pPr>
        <w:pStyle w:val="Akapitzlist"/>
        <w:numPr>
          <w:ilvl w:val="0"/>
          <w:numId w:val="5"/>
        </w:numPr>
        <w:jc w:val="left"/>
        <w:rPr>
          <w:rFonts w:ascii="Verdana" w:eastAsia="Gulim" w:hAnsi="Verdana" w:cs="Times New Roman"/>
          <w:szCs w:val="24"/>
          <w:lang w:eastAsia="pl-PL"/>
        </w:rPr>
      </w:pPr>
      <w:r w:rsidRPr="00B25B83">
        <w:rPr>
          <w:rFonts w:ascii="Verdana" w:eastAsia="Gulim" w:hAnsi="Verdana" w:cs="Times New Roman"/>
          <w:szCs w:val="24"/>
          <w:lang w:eastAsia="pl-PL"/>
        </w:rPr>
        <w:t>d</w:t>
      </w:r>
      <w:r w:rsidR="00D55957" w:rsidRPr="00B25B83">
        <w:rPr>
          <w:rFonts w:ascii="Verdana" w:eastAsia="Gulim" w:hAnsi="Verdana" w:cs="Times New Roman"/>
          <w:szCs w:val="24"/>
          <w:lang w:eastAsia="pl-PL"/>
        </w:rPr>
        <w:t xml:space="preserve">ruga grupa obejmuje </w:t>
      </w:r>
      <w:r w:rsidR="00554FC0" w:rsidRPr="00B25B83">
        <w:rPr>
          <w:rFonts w:ascii="Verdana" w:eastAsia="Gulim" w:hAnsi="Verdana" w:cs="Times New Roman"/>
          <w:szCs w:val="24"/>
          <w:lang w:eastAsia="pl-PL"/>
        </w:rPr>
        <w:t>partnerów społecznoekonomicznych, w tym:</w:t>
      </w:r>
      <w:r w:rsidR="00D55957" w:rsidRPr="00B25B83">
        <w:rPr>
          <w:rFonts w:ascii="Verdana" w:eastAsia="Gulim" w:hAnsi="Verdana" w:cs="Times New Roman"/>
          <w:szCs w:val="24"/>
          <w:lang w:eastAsia="pl-PL"/>
        </w:rPr>
        <w:t xml:space="preserve"> przedstawicieli partnerów społecznych, oraz </w:t>
      </w:r>
      <w:r w:rsidR="00554FC0" w:rsidRPr="00B25B83">
        <w:rPr>
          <w:rFonts w:ascii="Verdana" w:eastAsia="Gulim" w:hAnsi="Verdana" w:cs="Times New Roman"/>
          <w:szCs w:val="24"/>
          <w:lang w:eastAsia="pl-PL"/>
        </w:rPr>
        <w:t xml:space="preserve">krajowych lub regionalnych izb handlowych i stowarzyszeń przedsiębiorców, wraz z przedstawicielami </w:t>
      </w:r>
      <w:r w:rsidR="00D55957" w:rsidRPr="00B25B83">
        <w:rPr>
          <w:rFonts w:ascii="Verdana" w:eastAsia="Gulim" w:hAnsi="Verdana" w:cs="Times New Roman"/>
          <w:szCs w:val="24"/>
          <w:lang w:eastAsia="pl-PL"/>
        </w:rPr>
        <w:t>ekonomii</w:t>
      </w:r>
      <w:r w:rsidR="00554FC0" w:rsidRPr="00B25B83">
        <w:rPr>
          <w:rFonts w:ascii="Verdana" w:eastAsia="Gulim" w:hAnsi="Verdana" w:cs="Times New Roman"/>
          <w:szCs w:val="24"/>
          <w:lang w:eastAsia="pl-PL"/>
        </w:rPr>
        <w:t xml:space="preserve"> społecznej;</w:t>
      </w:r>
    </w:p>
    <w:p w14:paraId="74A85DFF" w14:textId="3141AB28" w:rsidR="00554FC0" w:rsidRPr="00B25B83" w:rsidRDefault="008F2466" w:rsidP="00B25B83">
      <w:pPr>
        <w:pStyle w:val="Akapitzlist"/>
        <w:numPr>
          <w:ilvl w:val="0"/>
          <w:numId w:val="5"/>
        </w:numPr>
        <w:jc w:val="left"/>
        <w:rPr>
          <w:rFonts w:ascii="Verdana" w:eastAsia="Gulim" w:hAnsi="Verdana" w:cs="Times New Roman"/>
          <w:szCs w:val="24"/>
          <w:lang w:eastAsia="pl-PL"/>
        </w:rPr>
      </w:pPr>
      <w:r w:rsidRPr="00B25B83">
        <w:rPr>
          <w:rFonts w:ascii="Verdana" w:eastAsia="Gulim" w:hAnsi="Verdana" w:cs="Times New Roman"/>
          <w:szCs w:val="24"/>
          <w:lang w:eastAsia="pl-PL"/>
        </w:rPr>
        <w:t>t</w:t>
      </w:r>
      <w:r w:rsidR="00D55957" w:rsidRPr="00B25B83">
        <w:rPr>
          <w:rFonts w:ascii="Verdana" w:eastAsia="Gulim" w:hAnsi="Verdana" w:cs="Times New Roman"/>
          <w:szCs w:val="24"/>
          <w:lang w:eastAsia="pl-PL"/>
        </w:rPr>
        <w:t>rzecia grupa obejmuje podmioty</w:t>
      </w:r>
      <w:r w:rsidR="00554FC0" w:rsidRPr="00B25B83">
        <w:rPr>
          <w:rFonts w:ascii="Verdana" w:eastAsia="Gulim" w:hAnsi="Verdana" w:cs="Times New Roman"/>
          <w:szCs w:val="24"/>
          <w:lang w:eastAsia="pl-PL"/>
        </w:rPr>
        <w:t xml:space="preserve"> reprezentujących społeczeństwo obywatelskie, takich jak partnerzy działający na rzecz ochrony środowiska, organizacje pozarządowe, a także podmiotów odpowiedzialnych za promowanie włączenia społecznego, równouprawnienia płci oraz niedyskryminacji, </w:t>
      </w:r>
      <w:r w:rsidR="00D55957" w:rsidRPr="00B25B83">
        <w:rPr>
          <w:rFonts w:ascii="Verdana" w:eastAsia="Gulim" w:hAnsi="Verdana" w:cs="Times New Roman"/>
          <w:szCs w:val="24"/>
          <w:lang w:eastAsia="pl-PL"/>
        </w:rPr>
        <w:t xml:space="preserve">jak również </w:t>
      </w:r>
      <w:r w:rsidR="00554FC0" w:rsidRPr="00B25B83">
        <w:rPr>
          <w:rFonts w:ascii="Verdana" w:eastAsia="Gulim" w:hAnsi="Verdana" w:cs="Times New Roman"/>
          <w:szCs w:val="24"/>
          <w:lang w:eastAsia="pl-PL"/>
        </w:rPr>
        <w:t>podmiotów reprezentu</w:t>
      </w:r>
      <w:r w:rsidR="00D55957" w:rsidRPr="00B25B83">
        <w:rPr>
          <w:rFonts w:ascii="Verdana" w:eastAsia="Gulim" w:hAnsi="Verdana" w:cs="Times New Roman"/>
          <w:szCs w:val="24"/>
          <w:lang w:eastAsia="pl-PL"/>
        </w:rPr>
        <w:t>jących lokalne grupy działania.</w:t>
      </w:r>
    </w:p>
    <w:p w14:paraId="3F4FFE0A" w14:textId="77777777" w:rsidR="00A218BB" w:rsidRPr="00B25B83" w:rsidRDefault="00A218BB" w:rsidP="00B25B83">
      <w:pPr>
        <w:pStyle w:val="Akapitzlist"/>
        <w:ind w:left="360"/>
        <w:jc w:val="left"/>
        <w:rPr>
          <w:rFonts w:ascii="Verdana" w:eastAsia="Gulim" w:hAnsi="Verdana" w:cs="Times New Roman"/>
          <w:szCs w:val="24"/>
          <w:lang w:eastAsia="pl-PL"/>
        </w:rPr>
      </w:pPr>
    </w:p>
    <w:p w14:paraId="426BAADA" w14:textId="7239BF1A" w:rsidR="008002A9" w:rsidRPr="00B25B83" w:rsidRDefault="008002A9" w:rsidP="00B25B83">
      <w:pPr>
        <w:jc w:val="left"/>
        <w:rPr>
          <w:rFonts w:ascii="Verdana" w:eastAsia="Gulim" w:hAnsi="Verdana" w:cs="Times New Roman"/>
          <w:szCs w:val="24"/>
          <w:lang w:eastAsia="pl-PL"/>
        </w:rPr>
      </w:pPr>
      <w:r w:rsidRPr="00B25B83">
        <w:rPr>
          <w:rFonts w:ascii="Verdana" w:eastAsia="Gulim" w:hAnsi="Verdana" w:cs="Times New Roman"/>
          <w:szCs w:val="24"/>
          <w:lang w:eastAsia="pl-PL"/>
        </w:rPr>
        <w:t>Zdaniem Rady, zapisy</w:t>
      </w:r>
      <w:r w:rsidR="00080E93" w:rsidRPr="00B25B83">
        <w:rPr>
          <w:rFonts w:ascii="Verdana" w:eastAsia="Gulim" w:hAnsi="Verdana" w:cs="Times New Roman"/>
          <w:szCs w:val="24"/>
          <w:lang w:eastAsia="pl-PL"/>
        </w:rPr>
        <w:t xml:space="preserve"> art. </w:t>
      </w:r>
      <w:r w:rsidRPr="00B25B83">
        <w:rPr>
          <w:rFonts w:ascii="Verdana" w:eastAsia="Gulim" w:hAnsi="Verdana" w:cs="Times New Roman"/>
          <w:szCs w:val="24"/>
          <w:lang w:eastAsia="pl-PL"/>
        </w:rPr>
        <w:t>8 ust. 4</w:t>
      </w:r>
      <w:r w:rsidR="00080E93" w:rsidRPr="00B25B83">
        <w:rPr>
          <w:rFonts w:ascii="Verdana" w:eastAsia="Gulim" w:hAnsi="Verdana" w:cs="Times New Roman"/>
          <w:szCs w:val="24"/>
          <w:lang w:eastAsia="pl-PL"/>
        </w:rPr>
        <w:t xml:space="preserve"> Rozporządzenia Parlamentu Europejskiego i Rady </w:t>
      </w:r>
      <w:r w:rsidRPr="00B25B83">
        <w:rPr>
          <w:rFonts w:ascii="Verdana" w:eastAsia="Gulim" w:hAnsi="Verdana" w:cs="Times New Roman"/>
          <w:szCs w:val="24"/>
          <w:lang w:eastAsia="pl-PL"/>
        </w:rPr>
        <w:t>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wprost odwołują się do rozporządzenia delegowanego w realizacji zasady partnerstwa.</w:t>
      </w:r>
    </w:p>
    <w:p w14:paraId="2C654F18" w14:textId="77777777" w:rsidR="00317AD1" w:rsidRPr="00B25B83" w:rsidRDefault="00317AD1" w:rsidP="00B25B83">
      <w:pPr>
        <w:jc w:val="left"/>
        <w:rPr>
          <w:rFonts w:ascii="Verdana" w:eastAsia="Gulim" w:hAnsi="Verdana" w:cs="Times New Roman"/>
          <w:szCs w:val="24"/>
          <w:lang w:eastAsia="pl-PL"/>
        </w:rPr>
      </w:pPr>
    </w:p>
    <w:p w14:paraId="707C7911" w14:textId="4E251150" w:rsidR="008002A9" w:rsidRPr="00B25B83" w:rsidRDefault="008002A9" w:rsidP="00B25B83">
      <w:pPr>
        <w:jc w:val="left"/>
        <w:rPr>
          <w:rFonts w:ascii="Verdana" w:eastAsia="Gulim" w:hAnsi="Verdana" w:cs="Times New Roman"/>
          <w:b/>
          <w:bCs/>
          <w:szCs w:val="24"/>
          <w:lang w:eastAsia="pl-PL"/>
        </w:rPr>
      </w:pPr>
      <w:r w:rsidRPr="00B25B83">
        <w:rPr>
          <w:rFonts w:ascii="Verdana" w:eastAsia="Gulim" w:hAnsi="Verdana" w:cs="Times New Roman"/>
          <w:b/>
          <w:bCs/>
          <w:szCs w:val="24"/>
          <w:lang w:eastAsia="pl-PL"/>
        </w:rPr>
        <w:t>Minimalnym wymogiem oczekiwanym przez Radę Działalności Pożytku Publicznego jest dodanie w art. 17 ust. 1 wskazującego, iż przedstawiciele podmiotów, o których mowa w ust. 1</w:t>
      </w:r>
      <w:r w:rsidR="00BD0D11" w:rsidRPr="00B25B83">
        <w:rPr>
          <w:rFonts w:ascii="Verdana" w:eastAsia="Gulim" w:hAnsi="Verdana" w:cs="Times New Roman"/>
          <w:b/>
          <w:bCs/>
          <w:szCs w:val="24"/>
          <w:lang w:eastAsia="pl-PL"/>
        </w:rPr>
        <w:t xml:space="preserve"> stanowią co najmniej połowę członków Komitetu. </w:t>
      </w:r>
    </w:p>
    <w:p w14:paraId="19C9458D" w14:textId="22D94E32" w:rsidR="00317AD1" w:rsidRPr="00B25B83" w:rsidRDefault="00317AD1" w:rsidP="00383BFF">
      <w:pPr>
        <w:jc w:val="left"/>
        <w:rPr>
          <w:rFonts w:ascii="Verdana" w:eastAsia="Gulim" w:hAnsi="Verdana" w:cs="Times New Roman"/>
          <w:b/>
          <w:szCs w:val="24"/>
          <w:lang w:eastAsia="pl-PL"/>
        </w:rPr>
      </w:pPr>
    </w:p>
    <w:p w14:paraId="0599A41E" w14:textId="45980EEE" w:rsidR="00317AD1" w:rsidRPr="00B25B83" w:rsidRDefault="00317AD1" w:rsidP="00383BFF">
      <w:pPr>
        <w:jc w:val="left"/>
        <w:rPr>
          <w:rFonts w:ascii="Verdana" w:eastAsia="Gulim" w:hAnsi="Verdana" w:cs="Times New Roman"/>
          <w:b/>
          <w:szCs w:val="24"/>
          <w:lang w:eastAsia="pl-PL"/>
        </w:rPr>
      </w:pPr>
    </w:p>
    <w:p w14:paraId="5FE08C43" w14:textId="77777777" w:rsidR="00B25B83" w:rsidRDefault="00B25B83" w:rsidP="00527C42">
      <w:pPr>
        <w:jc w:val="center"/>
        <w:rPr>
          <w:rFonts w:ascii="Verdana" w:eastAsia="Gulim" w:hAnsi="Verdana" w:cs="Times New Roman"/>
          <w:b/>
          <w:szCs w:val="24"/>
          <w:lang w:eastAsia="pl-PL"/>
        </w:rPr>
      </w:pPr>
    </w:p>
    <w:p w14:paraId="5ACC978C" w14:textId="77777777" w:rsidR="00B25B83" w:rsidRDefault="00B25B83" w:rsidP="00527C42">
      <w:pPr>
        <w:jc w:val="center"/>
        <w:rPr>
          <w:rFonts w:ascii="Verdana" w:eastAsia="Gulim" w:hAnsi="Verdana" w:cs="Times New Roman"/>
          <w:b/>
          <w:szCs w:val="24"/>
          <w:lang w:eastAsia="pl-PL"/>
        </w:rPr>
      </w:pPr>
    </w:p>
    <w:p w14:paraId="438B6FF4" w14:textId="4471BF81" w:rsidR="00317AD1" w:rsidRPr="00B25B83" w:rsidRDefault="00317AD1" w:rsidP="00527C42">
      <w:pPr>
        <w:jc w:val="center"/>
        <w:rPr>
          <w:rFonts w:ascii="Verdana" w:eastAsia="Gulim" w:hAnsi="Verdana" w:cs="Times New Roman"/>
          <w:b/>
          <w:szCs w:val="24"/>
          <w:lang w:eastAsia="pl-PL"/>
        </w:rPr>
      </w:pPr>
      <w:r w:rsidRPr="00B25B83">
        <w:rPr>
          <w:rFonts w:ascii="Verdana" w:eastAsia="Gulim" w:hAnsi="Verdana" w:cs="Times New Roman"/>
          <w:b/>
          <w:szCs w:val="24"/>
          <w:lang w:eastAsia="pl-PL"/>
        </w:rPr>
        <w:lastRenderedPageBreak/>
        <w:t>§ 2</w:t>
      </w:r>
    </w:p>
    <w:p w14:paraId="79AAD6BC" w14:textId="77777777" w:rsidR="00317AD1" w:rsidRPr="00B25B83" w:rsidRDefault="00317AD1" w:rsidP="00B25B83">
      <w:pPr>
        <w:jc w:val="left"/>
        <w:rPr>
          <w:rFonts w:ascii="Verdana" w:eastAsia="Gulim" w:hAnsi="Verdana" w:cs="Times New Roman"/>
          <w:bCs/>
          <w:szCs w:val="24"/>
          <w:lang w:eastAsia="pl-PL"/>
        </w:rPr>
      </w:pPr>
      <w:r w:rsidRPr="00B25B83">
        <w:rPr>
          <w:rFonts w:ascii="Verdana" w:eastAsia="Gulim" w:hAnsi="Verdana" w:cs="Times New Roman"/>
          <w:bCs/>
          <w:szCs w:val="24"/>
          <w:lang w:eastAsia="pl-PL"/>
        </w:rPr>
        <w:t xml:space="preserve">W zakresie udziału partnerów w komitetach monitorujących ustawa odwołuje się do art. 8 ust. 1 rozporządzenia ogólnego. Natomiast ten przepis w odniesieniu do podmiotów reprezentujących społeczeństwo obywatelskie zawiera katalog otwarty obszarów, w których mogą działać partnerzy. Z art. 8 ust. 1 wynika, że to państwo członkowskie określa te obszary. Efektywnie może to zmierzać do zrobienia tego zgodnie z minimum z rozporządzenia ogólnego. Postulujemy, aby dodać także dostępność na poziomie ustawy jako obszar adresowany przez podmioty reprezentujące społeczeństwo obywatelskie. </w:t>
      </w:r>
    </w:p>
    <w:p w14:paraId="29FCD1B3" w14:textId="77777777" w:rsidR="00317AD1" w:rsidRPr="00B25B83" w:rsidRDefault="00317AD1" w:rsidP="00B25B83">
      <w:pPr>
        <w:jc w:val="left"/>
        <w:rPr>
          <w:rFonts w:ascii="Verdana" w:eastAsia="Gulim" w:hAnsi="Verdana" w:cs="Times New Roman"/>
          <w:bCs/>
          <w:szCs w:val="24"/>
          <w:lang w:eastAsia="pl-PL"/>
        </w:rPr>
      </w:pPr>
    </w:p>
    <w:p w14:paraId="3827EBD6" w14:textId="66FE4190" w:rsidR="00BD0D11" w:rsidRPr="00B25B83" w:rsidRDefault="00317AD1" w:rsidP="00B25B83">
      <w:pPr>
        <w:jc w:val="left"/>
        <w:rPr>
          <w:rFonts w:ascii="Verdana" w:eastAsia="Gulim" w:hAnsi="Verdana" w:cs="Times New Roman"/>
          <w:b/>
          <w:szCs w:val="24"/>
          <w:lang w:eastAsia="pl-PL"/>
        </w:rPr>
      </w:pPr>
      <w:r w:rsidRPr="00B25B83">
        <w:rPr>
          <w:rFonts w:ascii="Verdana" w:eastAsia="Gulim" w:hAnsi="Verdana" w:cs="Times New Roman"/>
          <w:bCs/>
          <w:szCs w:val="24"/>
          <w:lang w:eastAsia="pl-PL"/>
        </w:rPr>
        <w:t>Parytet przy określaniu członków i członkiń oraz ich zastępczyń i zastępców - dobra praktyka pozarządowa przy wyborze członków i członkiń do KM w poprzedniej perspektywie.</w:t>
      </w:r>
    </w:p>
    <w:p w14:paraId="43261CFC" w14:textId="2832CA10" w:rsidR="00317AD1" w:rsidRPr="00B25B83" w:rsidRDefault="00317AD1" w:rsidP="00383BFF">
      <w:pPr>
        <w:jc w:val="left"/>
        <w:rPr>
          <w:rFonts w:ascii="Verdana" w:eastAsia="Gulim" w:hAnsi="Verdana" w:cs="Times New Roman"/>
          <w:b/>
          <w:szCs w:val="24"/>
          <w:lang w:eastAsia="pl-PL"/>
        </w:rPr>
      </w:pPr>
    </w:p>
    <w:p w14:paraId="0AC8545D" w14:textId="5E4F84C4" w:rsidR="00317AD1" w:rsidRPr="00B25B83" w:rsidRDefault="00317AD1" w:rsidP="00527C42">
      <w:pPr>
        <w:jc w:val="center"/>
        <w:rPr>
          <w:rFonts w:ascii="Verdana" w:eastAsia="Gulim" w:hAnsi="Verdana" w:cs="Times New Roman"/>
          <w:b/>
          <w:szCs w:val="24"/>
          <w:lang w:eastAsia="pl-PL"/>
        </w:rPr>
      </w:pPr>
      <w:r w:rsidRPr="00B25B83">
        <w:rPr>
          <w:rFonts w:ascii="Verdana" w:eastAsia="Gulim" w:hAnsi="Verdana" w:cs="Times New Roman"/>
          <w:b/>
          <w:szCs w:val="24"/>
          <w:lang w:eastAsia="pl-PL"/>
        </w:rPr>
        <w:t>§ 3</w:t>
      </w:r>
    </w:p>
    <w:p w14:paraId="0B6E2FE9" w14:textId="062DA27D" w:rsidR="002C46E9" w:rsidRPr="00B25B83" w:rsidRDefault="00BD0D11" w:rsidP="00B25B83">
      <w:pPr>
        <w:pStyle w:val="Akapitzlist"/>
        <w:numPr>
          <w:ilvl w:val="0"/>
          <w:numId w:val="7"/>
        </w:numPr>
        <w:jc w:val="left"/>
        <w:rPr>
          <w:rFonts w:ascii="Verdana" w:eastAsia="Gulim" w:hAnsi="Verdana" w:cs="Times New Roman"/>
          <w:szCs w:val="24"/>
          <w:lang w:eastAsia="pl-PL"/>
        </w:rPr>
      </w:pPr>
      <w:r w:rsidRPr="00B25B83">
        <w:rPr>
          <w:rFonts w:ascii="Verdana" w:eastAsia="Gulim" w:hAnsi="Verdana" w:cs="Times New Roman"/>
          <w:szCs w:val="24"/>
          <w:lang w:eastAsia="pl-PL"/>
        </w:rPr>
        <w:t>Rada Działalności Pożytku Publicznego z satysfakcją przyjmuje uzgodnienie służebnej roli rad działalności pożytku publicznego jako organizatora procesu wyboru reprezentantów organizacji obywatelskich. Dlatego też niepokój mogą budzić propozycje władczej roli gremiów zapisane w art. 108 (zmiany ustawy o zasadach polityki rozwoju) odnoszące się do Komitet Monitorujący do spraw planu rozwojowego, (14lk.).</w:t>
      </w:r>
    </w:p>
    <w:p w14:paraId="1FBF5ADF" w14:textId="1C983ACC" w:rsidR="00BD0D11" w:rsidRPr="00B25B83" w:rsidRDefault="00BD0D11" w:rsidP="00B25B83">
      <w:pPr>
        <w:pStyle w:val="Akapitzlist"/>
        <w:numPr>
          <w:ilvl w:val="0"/>
          <w:numId w:val="7"/>
        </w:numPr>
        <w:jc w:val="left"/>
        <w:rPr>
          <w:rFonts w:ascii="Verdana" w:eastAsia="Gulim" w:hAnsi="Verdana" w:cs="Times New Roman"/>
          <w:szCs w:val="24"/>
          <w:lang w:eastAsia="pl-PL"/>
        </w:rPr>
      </w:pPr>
      <w:r w:rsidRPr="00B25B83">
        <w:rPr>
          <w:rFonts w:ascii="Verdana" w:eastAsia="Gulim" w:hAnsi="Verdana" w:cs="Times New Roman"/>
          <w:szCs w:val="24"/>
          <w:lang w:eastAsia="pl-PL"/>
        </w:rPr>
        <w:t>Rada zdecydowanie się sprzeciwia propozycji by gremia, które nie są formalnymi przedstawicielstwami sektora obywatelskiego zgłaszały samodzielnie przedstawicieli organizacji. Zdaniem Rady powinien być zachowany mechanizm organizowania procesu wyboru</w:t>
      </w:r>
      <w:r w:rsidR="00C56E66" w:rsidRPr="00B25B83">
        <w:rPr>
          <w:rFonts w:ascii="Verdana" w:eastAsia="Gulim" w:hAnsi="Verdana" w:cs="Times New Roman"/>
          <w:szCs w:val="24"/>
          <w:lang w:eastAsia="pl-PL"/>
        </w:rPr>
        <w:t>,</w:t>
      </w:r>
      <w:r w:rsidRPr="00B25B83">
        <w:rPr>
          <w:rFonts w:ascii="Verdana" w:eastAsia="Gulim" w:hAnsi="Verdana" w:cs="Times New Roman"/>
          <w:szCs w:val="24"/>
          <w:lang w:eastAsia="pl-PL"/>
        </w:rPr>
        <w:t xml:space="preserve"> a nie bezpośredniego wskazywania.</w:t>
      </w:r>
    </w:p>
    <w:p w14:paraId="50021435" w14:textId="77777777" w:rsidR="00C56E66" w:rsidRPr="00B25B83" w:rsidRDefault="00C56E66" w:rsidP="00383BFF">
      <w:pPr>
        <w:jc w:val="left"/>
        <w:rPr>
          <w:rFonts w:ascii="Verdana" w:eastAsia="Gulim" w:hAnsi="Verdana" w:cs="Times New Roman"/>
          <w:b/>
          <w:szCs w:val="24"/>
          <w:lang w:eastAsia="pl-PL"/>
        </w:rPr>
      </w:pPr>
    </w:p>
    <w:p w14:paraId="17146500" w14:textId="4CE41C14" w:rsidR="00C56E66" w:rsidRPr="00B25B83" w:rsidRDefault="00C56E66" w:rsidP="00527C42">
      <w:pPr>
        <w:jc w:val="center"/>
        <w:rPr>
          <w:rFonts w:ascii="Verdana" w:eastAsia="Gulim" w:hAnsi="Verdana" w:cs="Times New Roman"/>
          <w:b/>
          <w:szCs w:val="24"/>
          <w:lang w:eastAsia="pl-PL"/>
        </w:rPr>
      </w:pPr>
      <w:r w:rsidRPr="00B25B83">
        <w:rPr>
          <w:rFonts w:ascii="Verdana" w:eastAsia="Gulim" w:hAnsi="Verdana" w:cs="Times New Roman"/>
          <w:b/>
          <w:szCs w:val="24"/>
          <w:lang w:eastAsia="pl-PL"/>
        </w:rPr>
        <w:t xml:space="preserve">§ </w:t>
      </w:r>
      <w:r w:rsidR="004B62A0" w:rsidRPr="00B25B83">
        <w:rPr>
          <w:rFonts w:ascii="Verdana" w:eastAsia="Gulim" w:hAnsi="Verdana" w:cs="Times New Roman"/>
          <w:b/>
          <w:szCs w:val="24"/>
          <w:lang w:eastAsia="pl-PL"/>
        </w:rPr>
        <w:t>4</w:t>
      </w:r>
    </w:p>
    <w:p w14:paraId="3D0B2155" w14:textId="30CEEFFA" w:rsidR="00C56E66" w:rsidRPr="00B25B83" w:rsidRDefault="00A218BB" w:rsidP="00B25B83">
      <w:pPr>
        <w:jc w:val="left"/>
        <w:rPr>
          <w:rFonts w:ascii="Verdana" w:eastAsia="Gulim" w:hAnsi="Verdana" w:cs="Times New Roman"/>
          <w:bCs/>
          <w:szCs w:val="24"/>
          <w:lang w:eastAsia="pl-PL"/>
        </w:rPr>
      </w:pPr>
      <w:r w:rsidRPr="00B25B83">
        <w:rPr>
          <w:rFonts w:ascii="Verdana" w:eastAsia="Gulim" w:hAnsi="Verdana" w:cs="Times New Roman"/>
          <w:bCs/>
          <w:szCs w:val="24"/>
          <w:lang w:eastAsia="pl-PL"/>
        </w:rPr>
        <w:t>Rada r</w:t>
      </w:r>
      <w:r w:rsidR="00C56E66" w:rsidRPr="00B25B83">
        <w:rPr>
          <w:rFonts w:ascii="Verdana" w:eastAsia="Gulim" w:hAnsi="Verdana" w:cs="Times New Roman"/>
          <w:bCs/>
          <w:szCs w:val="24"/>
          <w:lang w:eastAsia="pl-PL"/>
        </w:rPr>
        <w:t xml:space="preserve">ekomenduje kierunkowe propozycje zmian w </w:t>
      </w:r>
      <w:r w:rsidRPr="00B25B83">
        <w:rPr>
          <w:rFonts w:ascii="Verdana" w:eastAsia="Gulim" w:hAnsi="Verdana" w:cs="Times New Roman"/>
          <w:bCs/>
          <w:szCs w:val="24"/>
          <w:lang w:eastAsia="pl-PL"/>
        </w:rPr>
        <w:t>mechanizmie</w:t>
      </w:r>
      <w:r w:rsidR="00C56E66" w:rsidRPr="00B25B83">
        <w:rPr>
          <w:rFonts w:ascii="Verdana" w:eastAsia="Gulim" w:hAnsi="Verdana" w:cs="Times New Roman"/>
          <w:bCs/>
          <w:szCs w:val="24"/>
          <w:lang w:eastAsia="pl-PL"/>
        </w:rPr>
        <w:t xml:space="preserve"> dochodzenia zwrotu środków, który w obecnym kształcie pozbawiają </w:t>
      </w:r>
      <w:r w:rsidR="00C56E66" w:rsidRPr="00B25B83">
        <w:rPr>
          <w:rFonts w:ascii="Verdana" w:eastAsia="Gulim" w:hAnsi="Verdana" w:cs="Times New Roman"/>
          <w:bCs/>
          <w:szCs w:val="24"/>
          <w:lang w:eastAsia="pl-PL"/>
        </w:rPr>
        <w:lastRenderedPageBreak/>
        <w:t>praktycznie większość organizacji realnej możliwości poddawania ocenie sądu zasadności tzw. decyzji zwrotowych z art. 207 ust. 9 Ustawy o finansach publicznych.</w:t>
      </w:r>
    </w:p>
    <w:p w14:paraId="00765230" w14:textId="3307B6BA" w:rsidR="00C56E66" w:rsidRPr="00B25B83" w:rsidRDefault="00C56E66" w:rsidP="00B25B83">
      <w:pPr>
        <w:pStyle w:val="Akapitzlist"/>
        <w:numPr>
          <w:ilvl w:val="0"/>
          <w:numId w:val="10"/>
        </w:numPr>
        <w:ind w:left="426"/>
        <w:jc w:val="left"/>
        <w:rPr>
          <w:rFonts w:ascii="Verdana" w:eastAsia="Gulim" w:hAnsi="Verdana" w:cs="Times New Roman"/>
          <w:bCs/>
          <w:szCs w:val="24"/>
          <w:lang w:eastAsia="pl-PL"/>
        </w:rPr>
      </w:pPr>
      <w:r w:rsidRPr="00B25B83">
        <w:rPr>
          <w:rFonts w:ascii="Verdana" w:eastAsia="Gulim" w:hAnsi="Verdana" w:cs="Times New Roman"/>
          <w:bCs/>
          <w:szCs w:val="24"/>
          <w:lang w:eastAsia="pl-PL"/>
        </w:rPr>
        <w:t>Postuluje się wprowadzenie w konsultowanej ustawie wdrożeniowej lub w art. 207 normy materialnoprawnej, która byłaby przesłanką służącą uznaniu zasadności wstrzymania wykonania ostatecznej decyzji zwrotowej, w przypadku jej zaskarżenia do sądu administracyjnego. Przesłanka powinna mieć wymiar pozytywny, dotyczyć głównie lub tylko organizacji prowadzących działalność pożytku publicznego, i w przypadku jej spełnienia stanowić dla właściwego organu poważny argument przy dokonywaniu uznaniowej oceny zasadności wniosku organizacji o wstrzymanie wykonalności decyzji w związku ze złożoną skargą do sądu administracyjnego.</w:t>
      </w:r>
    </w:p>
    <w:p w14:paraId="6B33533B" w14:textId="562DE719" w:rsidR="00523106" w:rsidRPr="00B25B83" w:rsidRDefault="00C56E66" w:rsidP="00B25B83">
      <w:pPr>
        <w:pStyle w:val="Akapitzlist"/>
        <w:numPr>
          <w:ilvl w:val="0"/>
          <w:numId w:val="10"/>
        </w:numPr>
        <w:ind w:left="426"/>
        <w:jc w:val="left"/>
        <w:rPr>
          <w:rFonts w:ascii="Verdana" w:eastAsia="Gulim" w:hAnsi="Verdana" w:cs="Times New Roman"/>
          <w:bCs/>
          <w:szCs w:val="24"/>
          <w:lang w:eastAsia="pl-PL"/>
        </w:rPr>
      </w:pPr>
      <w:r w:rsidRPr="00B25B83">
        <w:rPr>
          <w:rFonts w:ascii="Verdana" w:eastAsia="Gulim" w:hAnsi="Verdana" w:cs="Times New Roman"/>
          <w:bCs/>
          <w:szCs w:val="24"/>
          <w:lang w:eastAsia="pl-PL"/>
        </w:rPr>
        <w:t xml:space="preserve">Postuluje się wprowadzenie ograniczenia "automatyzmu" stosowania </w:t>
      </w:r>
      <w:proofErr w:type="spellStart"/>
      <w:r w:rsidRPr="00B25B83">
        <w:rPr>
          <w:rFonts w:ascii="Verdana" w:eastAsia="Gulim" w:hAnsi="Verdana" w:cs="Times New Roman"/>
          <w:bCs/>
          <w:szCs w:val="24"/>
          <w:lang w:eastAsia="pl-PL"/>
        </w:rPr>
        <w:t>materialno</w:t>
      </w:r>
      <w:proofErr w:type="spellEnd"/>
      <w:r w:rsidRPr="00B25B83">
        <w:rPr>
          <w:rFonts w:ascii="Verdana" w:eastAsia="Gulim" w:hAnsi="Verdana" w:cs="Times New Roman"/>
          <w:bCs/>
          <w:szCs w:val="24"/>
          <w:lang w:eastAsia="pl-PL"/>
        </w:rPr>
        <w:t xml:space="preserve"> administracyjnej sankcji z art. 207 ust. 4 </w:t>
      </w:r>
      <w:proofErr w:type="spellStart"/>
      <w:r w:rsidRPr="00B25B83">
        <w:rPr>
          <w:rFonts w:ascii="Verdana" w:eastAsia="Gulim" w:hAnsi="Verdana" w:cs="Times New Roman"/>
          <w:bCs/>
          <w:szCs w:val="24"/>
          <w:lang w:eastAsia="pl-PL"/>
        </w:rPr>
        <w:t>UoFP</w:t>
      </w:r>
      <w:proofErr w:type="spellEnd"/>
      <w:r w:rsidRPr="00B25B83">
        <w:rPr>
          <w:rFonts w:ascii="Verdana" w:eastAsia="Gulim" w:hAnsi="Verdana" w:cs="Times New Roman"/>
          <w:bCs/>
          <w:szCs w:val="24"/>
          <w:lang w:eastAsia="pl-PL"/>
        </w:rPr>
        <w:t xml:space="preserve"> w przypadku określonym w pkt 3 tego przepisu (wpis na listę podmiotów objętych zakazem korzystania ze środków unijnych). </w:t>
      </w:r>
    </w:p>
    <w:p w14:paraId="4CD0D9F1" w14:textId="7D2A71FB" w:rsidR="00C56E66" w:rsidRPr="00B25B83" w:rsidRDefault="00C56E66" w:rsidP="00B25B83">
      <w:pPr>
        <w:pStyle w:val="Akapitzlist"/>
        <w:ind w:left="426"/>
        <w:jc w:val="left"/>
        <w:rPr>
          <w:rFonts w:ascii="Verdana" w:eastAsia="Gulim" w:hAnsi="Verdana" w:cs="Times New Roman"/>
          <w:bCs/>
          <w:szCs w:val="24"/>
          <w:lang w:eastAsia="pl-PL"/>
        </w:rPr>
      </w:pPr>
      <w:r w:rsidRPr="00B25B83">
        <w:rPr>
          <w:rFonts w:ascii="Verdana" w:eastAsia="Gulim" w:hAnsi="Verdana" w:cs="Times New Roman"/>
          <w:bCs/>
          <w:szCs w:val="24"/>
          <w:lang w:eastAsia="pl-PL"/>
        </w:rPr>
        <w:t xml:space="preserve">Jednym z pożądanych rozwiązań byłaby konkretna interwencja legislacyjna, wprowadzająca w np. art. 207 wyraźną normę pozwalającą wstrzymać wykonalność tej sankcji, w przypadku złożenia skargi do sądu administracyjnego. Mogłoby to być objęte tymi samymi przesłankami co wstrzymanie wykonalności decyzji. Aktualnie nie jest to możliwe, gdyż omawiana sankcja nie jest objęta pojęciem wykonalności decyzji, a jest samodzielnymi instrumentem materialnoprawnym. Bardziej pożądanym rozwiązaniem byłoby objęcie organizacji pozarządowych prowadzących działalność pożytku publicznego, z możliwymi dodatkowymi warunkami, wyłączeniem ze stosowania sankcji z ust. 4, które już istnieje w ust. 7. Warto podkreślić, że wyłączenie to obejmuje szereg grup podmiotów wprost z możliwości objęcia sankcją z ust. 4, i są wśród nich również organizacje w zakresie PO PŻ (por. art. 134b ust. 2 </w:t>
      </w:r>
      <w:proofErr w:type="spellStart"/>
      <w:r w:rsidRPr="00B25B83">
        <w:rPr>
          <w:rFonts w:ascii="Verdana" w:eastAsia="Gulim" w:hAnsi="Verdana" w:cs="Times New Roman"/>
          <w:bCs/>
          <w:szCs w:val="24"/>
          <w:lang w:eastAsia="pl-PL"/>
        </w:rPr>
        <w:t>pk</w:t>
      </w:r>
      <w:proofErr w:type="spellEnd"/>
      <w:r w:rsidRPr="00B25B83">
        <w:rPr>
          <w:rFonts w:ascii="Verdana" w:eastAsia="Gulim" w:hAnsi="Verdana" w:cs="Times New Roman"/>
          <w:bCs/>
          <w:szCs w:val="24"/>
          <w:lang w:eastAsia="pl-PL"/>
        </w:rPr>
        <w:t xml:space="preserve"> 2 ustawy o pomocy społecznej w zw. z ww. art. 207 ust. 7 i ust. 4). </w:t>
      </w:r>
    </w:p>
    <w:p w14:paraId="4715D576" w14:textId="631BC366" w:rsidR="00C56E66" w:rsidRPr="00B25B83" w:rsidRDefault="00C56E66" w:rsidP="00B25B83">
      <w:pPr>
        <w:pStyle w:val="Akapitzlist"/>
        <w:numPr>
          <w:ilvl w:val="0"/>
          <w:numId w:val="10"/>
        </w:numPr>
        <w:ind w:left="426"/>
        <w:jc w:val="left"/>
        <w:rPr>
          <w:rFonts w:ascii="Verdana" w:eastAsia="Gulim" w:hAnsi="Verdana" w:cs="Times New Roman"/>
          <w:bCs/>
          <w:szCs w:val="24"/>
          <w:lang w:eastAsia="pl-PL"/>
        </w:rPr>
      </w:pPr>
      <w:r w:rsidRPr="00B25B83">
        <w:rPr>
          <w:rFonts w:ascii="Verdana" w:eastAsia="Gulim" w:hAnsi="Verdana" w:cs="Times New Roman"/>
          <w:bCs/>
          <w:szCs w:val="24"/>
          <w:lang w:eastAsia="pl-PL"/>
        </w:rPr>
        <w:lastRenderedPageBreak/>
        <w:t>Postuluje się przesądzenie możliwości korzystania i trybu z drogi sądowej od rozstrzygnięć instytucji realizujących środki europejskie, które dokonywane są przed zatwierdzeniem wniosku o płatność. W takich sytuacjach w przypadku pomniejszenia wartości wydatków ujętych we wniosku o płatność, oraz ujemnym rozstrzygnięciu zastrzeżeń, powinna być ustawowo jasno zastrzeżona możliwość poddania takich rozstrzygnięć weryfikacji sądowo</w:t>
      </w:r>
      <w:r w:rsidR="004F32E0" w:rsidRPr="00B25B83">
        <w:rPr>
          <w:rFonts w:ascii="Verdana" w:eastAsia="Gulim" w:hAnsi="Verdana" w:cs="Times New Roman"/>
          <w:bCs/>
          <w:szCs w:val="24"/>
          <w:lang w:eastAsia="pl-PL"/>
        </w:rPr>
        <w:t>-</w:t>
      </w:r>
      <w:r w:rsidRPr="00B25B83">
        <w:rPr>
          <w:rFonts w:ascii="Verdana" w:eastAsia="Gulim" w:hAnsi="Verdana" w:cs="Times New Roman"/>
          <w:bCs/>
          <w:szCs w:val="24"/>
          <w:lang w:eastAsia="pl-PL"/>
        </w:rPr>
        <w:t>administracyjnej lub przesądzenie konieczności powództwa cywilnego przeciwko Skarbowi Państwa.</w:t>
      </w:r>
    </w:p>
    <w:p w14:paraId="5182B978" w14:textId="77777777" w:rsidR="004B62A0" w:rsidRPr="00B25B83" w:rsidRDefault="004B62A0" w:rsidP="00383BFF">
      <w:pPr>
        <w:jc w:val="left"/>
        <w:rPr>
          <w:rFonts w:ascii="Verdana" w:eastAsia="Gulim" w:hAnsi="Verdana" w:cs="Times New Roman"/>
          <w:b/>
          <w:szCs w:val="24"/>
          <w:lang w:eastAsia="pl-PL"/>
        </w:rPr>
      </w:pPr>
    </w:p>
    <w:p w14:paraId="795545DE" w14:textId="769D2401" w:rsidR="004B62A0" w:rsidRPr="00B25B83" w:rsidRDefault="00B25B83" w:rsidP="00527C42">
      <w:pPr>
        <w:jc w:val="center"/>
        <w:rPr>
          <w:rFonts w:ascii="Verdana" w:eastAsia="Gulim" w:hAnsi="Verdana" w:cs="Times New Roman"/>
          <w:b/>
          <w:szCs w:val="24"/>
          <w:lang w:eastAsia="pl-PL"/>
        </w:rPr>
      </w:pPr>
      <w:r>
        <w:rPr>
          <w:rFonts w:ascii="Verdana" w:eastAsia="Gulim" w:hAnsi="Verdana" w:cs="Times New Roman"/>
          <w:b/>
          <w:szCs w:val="24"/>
          <w:lang w:eastAsia="pl-PL"/>
        </w:rPr>
        <w:t>§ 5</w:t>
      </w:r>
    </w:p>
    <w:p w14:paraId="32C4D11E" w14:textId="5508342B" w:rsidR="000C408D" w:rsidRPr="00B25B83" w:rsidRDefault="000C408D" w:rsidP="00B25B83">
      <w:pPr>
        <w:pStyle w:val="Akapitzlist"/>
        <w:numPr>
          <w:ilvl w:val="0"/>
          <w:numId w:val="11"/>
        </w:numPr>
        <w:jc w:val="left"/>
        <w:rPr>
          <w:rFonts w:ascii="Verdana" w:eastAsia="Gulim" w:hAnsi="Verdana" w:cs="Times New Roman"/>
          <w:bCs/>
          <w:szCs w:val="24"/>
          <w:lang w:eastAsia="pl-PL"/>
        </w:rPr>
      </w:pPr>
      <w:r w:rsidRPr="00B25B83">
        <w:rPr>
          <w:rFonts w:ascii="Verdana" w:eastAsia="Gulim" w:hAnsi="Verdana" w:cs="Times New Roman"/>
          <w:bCs/>
          <w:szCs w:val="24"/>
          <w:lang w:eastAsia="pl-PL"/>
        </w:rPr>
        <w:t xml:space="preserve">W Wytycznych równościowych (projektowanych „Wytycznych w zakresie realizacji zasady równości szans i niedyskryminacji, w tym dostępności dla osób z niepełnosprawnościami oraz zasady równości szans kobiet i mężczyzn w ramach funduszy unijnych na lata 2014-2020”) należy wyodrębnić zasadę dostępności od zasady równości szans i niedyskryminacji. Będzie to zgodne z Konwencji o prawach osób z niepełnosprawnościami. W art. 3 (Zasady ogólne) Konwencji dostępność (lit. f) jest odrębną zasadą od równości szans (lit. e). </w:t>
      </w:r>
    </w:p>
    <w:p w14:paraId="1A531841" w14:textId="706E606B" w:rsidR="000C408D" w:rsidRPr="00B25B83" w:rsidRDefault="000C408D" w:rsidP="00B25B83">
      <w:pPr>
        <w:pStyle w:val="Akapitzlist"/>
        <w:numPr>
          <w:ilvl w:val="0"/>
          <w:numId w:val="11"/>
        </w:numPr>
        <w:jc w:val="left"/>
        <w:rPr>
          <w:rFonts w:ascii="Verdana" w:eastAsia="Gulim" w:hAnsi="Verdana" w:cs="Times New Roman"/>
          <w:bCs/>
          <w:szCs w:val="24"/>
          <w:lang w:eastAsia="pl-PL"/>
        </w:rPr>
      </w:pPr>
      <w:r w:rsidRPr="00B25B83">
        <w:rPr>
          <w:rFonts w:ascii="Verdana" w:eastAsia="Gulim" w:hAnsi="Verdana" w:cs="Times New Roman"/>
          <w:bCs/>
          <w:szCs w:val="24"/>
          <w:lang w:eastAsia="pl-PL"/>
        </w:rPr>
        <w:t xml:space="preserve">Art. 24 (Kontrola i nieprawidłowości) ust. 1 odwołuje się do kontroli zgodności z zasadami. Tym bardziej trzeba wskazać dostępność jako zasadę horyzontalną. </w:t>
      </w:r>
    </w:p>
    <w:p w14:paraId="0F39CBBE" w14:textId="1F72D9BE" w:rsidR="000C408D" w:rsidRPr="00B25B83" w:rsidRDefault="005473F3" w:rsidP="00B25B83">
      <w:pPr>
        <w:pStyle w:val="Akapitzlist"/>
        <w:numPr>
          <w:ilvl w:val="0"/>
          <w:numId w:val="11"/>
        </w:numPr>
        <w:jc w:val="left"/>
        <w:rPr>
          <w:rFonts w:ascii="Verdana" w:eastAsia="Gulim" w:hAnsi="Verdana" w:cs="Times New Roman"/>
          <w:bCs/>
          <w:szCs w:val="24"/>
          <w:lang w:eastAsia="pl-PL"/>
        </w:rPr>
      </w:pPr>
      <w:r w:rsidRPr="00B25B83">
        <w:rPr>
          <w:rFonts w:ascii="Verdana" w:eastAsia="Gulim" w:hAnsi="Verdana" w:cs="Times New Roman"/>
          <w:bCs/>
          <w:szCs w:val="24"/>
          <w:lang w:eastAsia="pl-PL"/>
        </w:rPr>
        <w:t>Rada wzywa do wprowadzenia k</w:t>
      </w:r>
      <w:r w:rsidR="000C408D" w:rsidRPr="00B25B83">
        <w:rPr>
          <w:rFonts w:ascii="Verdana" w:eastAsia="Gulim" w:hAnsi="Verdana" w:cs="Times New Roman"/>
          <w:bCs/>
          <w:szCs w:val="24"/>
          <w:lang w:eastAsia="pl-PL"/>
        </w:rPr>
        <w:t>orekt finansow</w:t>
      </w:r>
      <w:r w:rsidRPr="00B25B83">
        <w:rPr>
          <w:rFonts w:ascii="Verdana" w:eastAsia="Gulim" w:hAnsi="Verdana" w:cs="Times New Roman"/>
          <w:bCs/>
          <w:szCs w:val="24"/>
          <w:lang w:eastAsia="pl-PL"/>
        </w:rPr>
        <w:t>ych</w:t>
      </w:r>
      <w:r w:rsidR="000C408D" w:rsidRPr="00B25B83">
        <w:rPr>
          <w:rFonts w:ascii="Verdana" w:eastAsia="Gulim" w:hAnsi="Verdana" w:cs="Times New Roman"/>
          <w:bCs/>
          <w:szCs w:val="24"/>
          <w:lang w:eastAsia="pl-PL"/>
        </w:rPr>
        <w:t xml:space="preserve"> także z powodu nieprzestrzegania zasady dostępności oraz nieprzestrzegania zasady </w:t>
      </w:r>
      <w:proofErr w:type="spellStart"/>
      <w:r w:rsidR="000C408D" w:rsidRPr="00B25B83">
        <w:rPr>
          <w:rFonts w:ascii="Verdana" w:eastAsia="Gulim" w:hAnsi="Verdana" w:cs="Times New Roman"/>
          <w:bCs/>
          <w:szCs w:val="24"/>
          <w:lang w:eastAsia="pl-PL"/>
        </w:rPr>
        <w:t>deinstytucjonalizacji</w:t>
      </w:r>
      <w:proofErr w:type="spellEnd"/>
      <w:r w:rsidR="000C408D" w:rsidRPr="00B25B83">
        <w:rPr>
          <w:rFonts w:ascii="Verdana" w:eastAsia="Gulim" w:hAnsi="Verdana" w:cs="Times New Roman"/>
          <w:bCs/>
          <w:szCs w:val="24"/>
          <w:lang w:eastAsia="pl-PL"/>
        </w:rPr>
        <w:t>.</w:t>
      </w:r>
    </w:p>
    <w:p w14:paraId="1F1A1C41" w14:textId="77777777" w:rsidR="000C408D" w:rsidRPr="00B25B83" w:rsidRDefault="000C408D" w:rsidP="00383BFF">
      <w:pPr>
        <w:pStyle w:val="Akapitzlist"/>
        <w:jc w:val="left"/>
        <w:rPr>
          <w:rFonts w:ascii="Verdana" w:eastAsia="Gulim" w:hAnsi="Verdana" w:cs="Times New Roman"/>
          <w:bCs/>
          <w:szCs w:val="24"/>
          <w:lang w:eastAsia="pl-PL"/>
        </w:rPr>
      </w:pPr>
    </w:p>
    <w:p w14:paraId="73E7815D" w14:textId="549BA8D6" w:rsidR="000C408D" w:rsidRPr="00B25B83" w:rsidRDefault="00B25B83" w:rsidP="00527C42">
      <w:pPr>
        <w:jc w:val="center"/>
        <w:rPr>
          <w:rFonts w:ascii="Verdana" w:eastAsia="Gulim" w:hAnsi="Verdana" w:cs="Times New Roman"/>
          <w:b/>
          <w:szCs w:val="24"/>
          <w:lang w:eastAsia="pl-PL"/>
        </w:rPr>
      </w:pPr>
      <w:r>
        <w:rPr>
          <w:rFonts w:ascii="Verdana" w:eastAsia="Gulim" w:hAnsi="Verdana" w:cs="Times New Roman"/>
          <w:b/>
          <w:szCs w:val="24"/>
          <w:lang w:eastAsia="pl-PL"/>
        </w:rPr>
        <w:t>§ 6</w:t>
      </w:r>
    </w:p>
    <w:p w14:paraId="3281C427" w14:textId="2F24802F" w:rsidR="00B11468" w:rsidRPr="00B25B83" w:rsidRDefault="00B11468" w:rsidP="00B25B83">
      <w:pPr>
        <w:pStyle w:val="Akapitzlist"/>
        <w:numPr>
          <w:ilvl w:val="0"/>
          <w:numId w:val="12"/>
        </w:numPr>
        <w:jc w:val="left"/>
        <w:rPr>
          <w:rFonts w:ascii="Verdana" w:eastAsia="Gulim" w:hAnsi="Verdana" w:cs="Times New Roman"/>
          <w:bCs/>
          <w:szCs w:val="24"/>
          <w:lang w:eastAsia="pl-PL"/>
        </w:rPr>
      </w:pPr>
      <w:r w:rsidRPr="00B25B83">
        <w:rPr>
          <w:rFonts w:ascii="Verdana" w:eastAsia="Gulim" w:hAnsi="Verdana" w:cs="Times New Roman"/>
          <w:bCs/>
          <w:szCs w:val="24"/>
          <w:lang w:eastAsia="pl-PL"/>
        </w:rPr>
        <w:t>Rada zwraca uwagę, że dotychczasowe zasady zabezpieczania prawidłowej realizacji projektów dofinansowanych głównie z EFS, stwarzają duże trudności dla większych organizacji pozarządowych, które realizują kilka dużych projektów w jednym okresie programowania.</w:t>
      </w:r>
      <w:r w:rsidR="00383BFF" w:rsidRPr="00B25B83">
        <w:rPr>
          <w:rFonts w:ascii="Verdana" w:eastAsia="Gulim" w:hAnsi="Verdana" w:cs="Times New Roman"/>
          <w:bCs/>
          <w:szCs w:val="24"/>
          <w:lang w:eastAsia="pl-PL"/>
        </w:rPr>
        <w:t xml:space="preserve"> Realizacja projektu/projektów p</w:t>
      </w:r>
      <w:r w:rsidRPr="00B25B83">
        <w:rPr>
          <w:rFonts w:ascii="Verdana" w:eastAsia="Gulim" w:hAnsi="Verdana" w:cs="Times New Roman"/>
          <w:bCs/>
          <w:szCs w:val="24"/>
          <w:lang w:eastAsia="pl-PL"/>
        </w:rPr>
        <w:t xml:space="preserve">owyżej </w:t>
      </w:r>
      <w:r w:rsidR="00383BFF" w:rsidRPr="00B25B83">
        <w:rPr>
          <w:rFonts w:ascii="Verdana" w:eastAsia="Gulim" w:hAnsi="Verdana" w:cs="Times New Roman"/>
          <w:bCs/>
          <w:szCs w:val="24"/>
          <w:lang w:eastAsia="pl-PL"/>
        </w:rPr>
        <w:t xml:space="preserve">wartości </w:t>
      </w:r>
      <w:r w:rsidRPr="00B25B83">
        <w:rPr>
          <w:rFonts w:ascii="Verdana" w:eastAsia="Gulim" w:hAnsi="Verdana" w:cs="Times New Roman"/>
          <w:bCs/>
          <w:szCs w:val="24"/>
          <w:lang w:eastAsia="pl-PL"/>
        </w:rPr>
        <w:t xml:space="preserve">10 </w:t>
      </w:r>
      <w:r w:rsidRPr="00B25B83">
        <w:rPr>
          <w:rFonts w:ascii="Verdana" w:eastAsia="Gulim" w:hAnsi="Verdana" w:cs="Times New Roman"/>
          <w:bCs/>
          <w:szCs w:val="24"/>
          <w:lang w:eastAsia="pl-PL"/>
        </w:rPr>
        <w:lastRenderedPageBreak/>
        <w:t xml:space="preserve">mln dofinansowań łącznie powoduje wymóg (w/g obecnej ustawy) innego zabezpieczenia </w:t>
      </w:r>
      <w:proofErr w:type="spellStart"/>
      <w:r w:rsidRPr="00B25B83">
        <w:rPr>
          <w:rFonts w:ascii="Verdana" w:eastAsia="Gulim" w:hAnsi="Verdana" w:cs="Times New Roman"/>
          <w:bCs/>
          <w:szCs w:val="24"/>
          <w:lang w:eastAsia="pl-PL"/>
        </w:rPr>
        <w:t>np</w:t>
      </w:r>
      <w:proofErr w:type="spellEnd"/>
      <w:r w:rsidRPr="00B25B83">
        <w:rPr>
          <w:rFonts w:ascii="Verdana" w:eastAsia="Gulim" w:hAnsi="Verdana" w:cs="Times New Roman"/>
          <w:bCs/>
          <w:szCs w:val="24"/>
          <w:lang w:eastAsia="pl-PL"/>
        </w:rPr>
        <w:t xml:space="preserve"> poręczenia </w:t>
      </w:r>
      <w:proofErr w:type="spellStart"/>
      <w:r w:rsidRPr="00B25B83">
        <w:rPr>
          <w:rFonts w:ascii="Verdana" w:eastAsia="Gulim" w:hAnsi="Verdana" w:cs="Times New Roman"/>
          <w:bCs/>
          <w:szCs w:val="24"/>
          <w:lang w:eastAsia="pl-PL"/>
        </w:rPr>
        <w:t>jst</w:t>
      </w:r>
      <w:proofErr w:type="spellEnd"/>
      <w:r w:rsidRPr="00B25B83">
        <w:rPr>
          <w:rFonts w:ascii="Verdana" w:eastAsia="Gulim" w:hAnsi="Verdana" w:cs="Times New Roman"/>
          <w:bCs/>
          <w:szCs w:val="24"/>
          <w:lang w:eastAsia="pl-PL"/>
        </w:rPr>
        <w:t xml:space="preserve"> lub gwarancji bankowej,</w:t>
      </w:r>
      <w:r w:rsidR="00383BFF" w:rsidRPr="00B25B83">
        <w:rPr>
          <w:rFonts w:ascii="Verdana" w:eastAsia="Gulim" w:hAnsi="Verdana" w:cs="Times New Roman"/>
          <w:bCs/>
          <w:szCs w:val="24"/>
          <w:lang w:eastAsia="pl-PL"/>
        </w:rPr>
        <w:t xml:space="preserve"> </w:t>
      </w:r>
      <w:r w:rsidRPr="00B25B83">
        <w:rPr>
          <w:rFonts w:ascii="Verdana" w:eastAsia="Gulim" w:hAnsi="Verdana" w:cs="Times New Roman"/>
          <w:bCs/>
          <w:szCs w:val="24"/>
          <w:lang w:eastAsia="pl-PL"/>
        </w:rPr>
        <w:t xml:space="preserve">które są bardzo trudne do uzyskania przez </w:t>
      </w:r>
      <w:proofErr w:type="spellStart"/>
      <w:r w:rsidRPr="00B25B83">
        <w:rPr>
          <w:rFonts w:ascii="Verdana" w:eastAsia="Gulim" w:hAnsi="Verdana" w:cs="Times New Roman"/>
          <w:bCs/>
          <w:szCs w:val="24"/>
          <w:lang w:eastAsia="pl-PL"/>
        </w:rPr>
        <w:t>NGOsy</w:t>
      </w:r>
      <w:proofErr w:type="spellEnd"/>
      <w:r w:rsidRPr="00B25B83">
        <w:rPr>
          <w:rFonts w:ascii="Verdana" w:eastAsia="Gulim" w:hAnsi="Verdana" w:cs="Times New Roman"/>
          <w:bCs/>
          <w:szCs w:val="24"/>
          <w:lang w:eastAsia="pl-PL"/>
        </w:rPr>
        <w:t>. Gwarancja bankowa musi mieć pokrycie w stałych przychodach organizacji i dodatkowo pochłania ok 50% kosztów</w:t>
      </w:r>
      <w:r w:rsidR="00383BFF" w:rsidRPr="00B25B83">
        <w:rPr>
          <w:rFonts w:ascii="Verdana" w:eastAsia="Gulim" w:hAnsi="Verdana" w:cs="Times New Roman"/>
          <w:bCs/>
          <w:szCs w:val="24"/>
          <w:lang w:eastAsia="pl-PL"/>
        </w:rPr>
        <w:t xml:space="preserve"> </w:t>
      </w:r>
      <w:r w:rsidRPr="00B25B83">
        <w:rPr>
          <w:rFonts w:ascii="Verdana" w:eastAsia="Gulim" w:hAnsi="Verdana" w:cs="Times New Roman"/>
          <w:bCs/>
          <w:szCs w:val="24"/>
          <w:lang w:eastAsia="pl-PL"/>
        </w:rPr>
        <w:t>pośrednich, gdyż instytucje finansowe chcą na tym dobrze zarobić.</w:t>
      </w:r>
    </w:p>
    <w:p w14:paraId="33B76E95" w14:textId="7745BD3B" w:rsidR="000C408D" w:rsidRPr="00B25B83" w:rsidRDefault="00B11468" w:rsidP="00B25B83">
      <w:pPr>
        <w:pStyle w:val="Akapitzlist"/>
        <w:numPr>
          <w:ilvl w:val="0"/>
          <w:numId w:val="12"/>
        </w:numPr>
        <w:jc w:val="left"/>
        <w:rPr>
          <w:rFonts w:ascii="Verdana" w:eastAsia="Gulim" w:hAnsi="Verdana" w:cs="Times New Roman"/>
          <w:bCs/>
          <w:szCs w:val="24"/>
          <w:lang w:eastAsia="pl-PL"/>
        </w:rPr>
      </w:pPr>
      <w:r w:rsidRPr="00B25B83">
        <w:rPr>
          <w:rFonts w:ascii="Verdana" w:eastAsia="Gulim" w:hAnsi="Verdana" w:cs="Times New Roman"/>
          <w:bCs/>
          <w:szCs w:val="24"/>
          <w:lang w:eastAsia="pl-PL"/>
        </w:rPr>
        <w:t>Rada wnioskuje, aby w nowej ustawie wprowadzającej Fundusze UE poszerzyć katalog dostępnych zabezpieczeń, oraz aby wprowadzić wyraźny zapis, że rozliczenie</w:t>
      </w:r>
      <w:r w:rsidR="00383BFF" w:rsidRPr="00B25B83">
        <w:rPr>
          <w:rFonts w:ascii="Verdana" w:eastAsia="Gulim" w:hAnsi="Verdana" w:cs="Times New Roman"/>
          <w:bCs/>
          <w:szCs w:val="24"/>
          <w:lang w:eastAsia="pl-PL"/>
        </w:rPr>
        <w:t xml:space="preserve"> </w:t>
      </w:r>
      <w:r w:rsidRPr="00B25B83">
        <w:rPr>
          <w:rFonts w:ascii="Verdana" w:eastAsia="Gulim" w:hAnsi="Verdana" w:cs="Times New Roman"/>
          <w:bCs/>
          <w:szCs w:val="24"/>
          <w:lang w:eastAsia="pl-PL"/>
        </w:rPr>
        <w:t>w kolejnych wnioskach o płatność części udzielonej dotacji nie powoduje konieczności wnoszenia zabezpieczenia na tę część dotacji, lecz tylko na środki nie sprawdzone</w:t>
      </w:r>
      <w:r w:rsidR="00383BFF" w:rsidRPr="00B25B83">
        <w:rPr>
          <w:rFonts w:ascii="Verdana" w:eastAsia="Gulim" w:hAnsi="Verdana" w:cs="Times New Roman"/>
          <w:bCs/>
          <w:szCs w:val="24"/>
          <w:lang w:eastAsia="pl-PL"/>
        </w:rPr>
        <w:t xml:space="preserve"> </w:t>
      </w:r>
      <w:r w:rsidRPr="00B25B83">
        <w:rPr>
          <w:rFonts w:ascii="Verdana" w:eastAsia="Gulim" w:hAnsi="Verdana" w:cs="Times New Roman"/>
          <w:bCs/>
          <w:szCs w:val="24"/>
          <w:lang w:eastAsia="pl-PL"/>
        </w:rPr>
        <w:t>pod względem poprawności wydatkowania.</w:t>
      </w:r>
    </w:p>
    <w:p w14:paraId="497986B4" w14:textId="77777777" w:rsidR="00383BFF" w:rsidRPr="00B25B83" w:rsidRDefault="00383BFF" w:rsidP="00383BFF">
      <w:pPr>
        <w:pStyle w:val="Akapitzlist"/>
        <w:jc w:val="left"/>
        <w:rPr>
          <w:rFonts w:ascii="Verdana" w:eastAsia="Gulim" w:hAnsi="Verdana" w:cs="Times New Roman"/>
          <w:bCs/>
          <w:szCs w:val="24"/>
          <w:lang w:eastAsia="pl-PL"/>
        </w:rPr>
      </w:pPr>
    </w:p>
    <w:p w14:paraId="2BA4566E" w14:textId="4F548114" w:rsidR="00B11468" w:rsidRPr="00B25B83" w:rsidRDefault="00B25B83" w:rsidP="00527C42">
      <w:pPr>
        <w:jc w:val="center"/>
        <w:rPr>
          <w:rFonts w:ascii="Verdana" w:eastAsia="Gulim" w:hAnsi="Verdana" w:cs="Times New Roman"/>
          <w:b/>
          <w:szCs w:val="24"/>
          <w:lang w:eastAsia="pl-PL"/>
        </w:rPr>
      </w:pPr>
      <w:r>
        <w:rPr>
          <w:rFonts w:ascii="Verdana" w:eastAsia="Gulim" w:hAnsi="Verdana" w:cs="Times New Roman"/>
          <w:b/>
          <w:szCs w:val="24"/>
          <w:lang w:eastAsia="pl-PL"/>
        </w:rPr>
        <w:t>§ 7</w:t>
      </w:r>
    </w:p>
    <w:p w14:paraId="5A9472E8" w14:textId="77777777" w:rsidR="00B11468" w:rsidRPr="00B25B83" w:rsidRDefault="00B11468" w:rsidP="00B25B83">
      <w:pPr>
        <w:jc w:val="left"/>
        <w:rPr>
          <w:rFonts w:ascii="Verdana" w:eastAsia="Gulim" w:hAnsi="Verdana" w:cs="Times New Roman"/>
          <w:bCs/>
          <w:szCs w:val="24"/>
          <w:lang w:eastAsia="pl-PL"/>
        </w:rPr>
      </w:pPr>
      <w:r w:rsidRPr="00B25B83">
        <w:rPr>
          <w:rFonts w:ascii="Verdana" w:eastAsia="Gulim" w:hAnsi="Verdana" w:cs="Times New Roman"/>
          <w:bCs/>
          <w:szCs w:val="24"/>
          <w:lang w:eastAsia="pl-PL"/>
        </w:rPr>
        <w:t>Rada wnosi o przekazanie niniejszej uchwały:</w:t>
      </w:r>
    </w:p>
    <w:p w14:paraId="0C0909EC" w14:textId="77777777" w:rsidR="00B11468" w:rsidRPr="00B25B83" w:rsidRDefault="00B11468" w:rsidP="00B25B83">
      <w:pPr>
        <w:jc w:val="left"/>
        <w:rPr>
          <w:rFonts w:ascii="Verdana" w:eastAsia="Gulim" w:hAnsi="Verdana" w:cs="Times New Roman"/>
          <w:bCs/>
          <w:szCs w:val="24"/>
          <w:lang w:eastAsia="pl-PL"/>
        </w:rPr>
      </w:pPr>
      <w:r w:rsidRPr="00B25B83">
        <w:rPr>
          <w:rFonts w:ascii="Verdana" w:eastAsia="Gulim" w:hAnsi="Verdana" w:cs="Times New Roman"/>
          <w:bCs/>
          <w:szCs w:val="24"/>
          <w:lang w:eastAsia="pl-PL"/>
        </w:rPr>
        <w:t>a)</w:t>
      </w:r>
      <w:r w:rsidRPr="00B25B83">
        <w:rPr>
          <w:rFonts w:ascii="Verdana" w:eastAsia="Gulim" w:hAnsi="Verdana" w:cs="Times New Roman"/>
          <w:bCs/>
          <w:szCs w:val="24"/>
          <w:lang w:eastAsia="pl-PL"/>
        </w:rPr>
        <w:tab/>
        <w:t>Prezesowi Rady Ministrów;</w:t>
      </w:r>
    </w:p>
    <w:p w14:paraId="51CE5BD4" w14:textId="77777777" w:rsidR="00B11468" w:rsidRPr="00B25B83" w:rsidRDefault="00B11468" w:rsidP="00B25B83">
      <w:pPr>
        <w:jc w:val="left"/>
        <w:rPr>
          <w:rFonts w:ascii="Verdana" w:eastAsia="Gulim" w:hAnsi="Verdana" w:cs="Times New Roman"/>
          <w:bCs/>
          <w:szCs w:val="24"/>
          <w:lang w:eastAsia="pl-PL"/>
        </w:rPr>
      </w:pPr>
      <w:r w:rsidRPr="00B25B83">
        <w:rPr>
          <w:rFonts w:ascii="Verdana" w:eastAsia="Gulim" w:hAnsi="Verdana" w:cs="Times New Roman"/>
          <w:bCs/>
          <w:szCs w:val="24"/>
          <w:lang w:eastAsia="pl-PL"/>
        </w:rPr>
        <w:t>b)</w:t>
      </w:r>
      <w:r w:rsidRPr="00B25B83">
        <w:rPr>
          <w:rFonts w:ascii="Verdana" w:eastAsia="Gulim" w:hAnsi="Verdana" w:cs="Times New Roman"/>
          <w:bCs/>
          <w:szCs w:val="24"/>
          <w:lang w:eastAsia="pl-PL"/>
        </w:rPr>
        <w:tab/>
        <w:t>Ministrowi Finansów, Funduszy i Polityki Regionalnej;</w:t>
      </w:r>
    </w:p>
    <w:p w14:paraId="15672113" w14:textId="585B3A69" w:rsidR="00B11468" w:rsidRPr="00B25B83" w:rsidRDefault="00B11468" w:rsidP="00B25B83">
      <w:pPr>
        <w:jc w:val="left"/>
        <w:rPr>
          <w:rFonts w:ascii="Verdana" w:eastAsia="Gulim" w:hAnsi="Verdana" w:cs="Times New Roman"/>
          <w:bCs/>
          <w:szCs w:val="24"/>
          <w:lang w:eastAsia="pl-PL"/>
        </w:rPr>
      </w:pPr>
      <w:r w:rsidRPr="00B25B83">
        <w:rPr>
          <w:rFonts w:ascii="Verdana" w:eastAsia="Gulim" w:hAnsi="Verdana" w:cs="Times New Roman"/>
          <w:bCs/>
          <w:szCs w:val="24"/>
          <w:lang w:eastAsia="pl-PL"/>
        </w:rPr>
        <w:t>c)</w:t>
      </w:r>
      <w:r w:rsidRPr="00B25B83">
        <w:rPr>
          <w:rFonts w:ascii="Verdana" w:eastAsia="Gulim" w:hAnsi="Verdana" w:cs="Times New Roman"/>
          <w:bCs/>
          <w:szCs w:val="24"/>
          <w:lang w:eastAsia="pl-PL"/>
        </w:rPr>
        <w:tab/>
        <w:t>Komisji Europejskiej</w:t>
      </w:r>
      <w:r w:rsidR="00383BFF" w:rsidRPr="00B25B83">
        <w:rPr>
          <w:rFonts w:ascii="Verdana" w:eastAsia="Gulim" w:hAnsi="Verdana" w:cs="Times New Roman"/>
          <w:bCs/>
          <w:szCs w:val="24"/>
          <w:lang w:eastAsia="pl-PL"/>
        </w:rPr>
        <w:t>;</w:t>
      </w:r>
    </w:p>
    <w:p w14:paraId="306C99DD" w14:textId="77777777" w:rsidR="00B11468" w:rsidRPr="00B25B83" w:rsidRDefault="00B11468" w:rsidP="00B25B83">
      <w:pPr>
        <w:jc w:val="left"/>
        <w:rPr>
          <w:rFonts w:ascii="Verdana" w:eastAsia="Gulim" w:hAnsi="Verdana" w:cs="Times New Roman"/>
          <w:bCs/>
          <w:szCs w:val="24"/>
          <w:lang w:eastAsia="pl-PL"/>
        </w:rPr>
      </w:pPr>
      <w:r w:rsidRPr="00B25B83">
        <w:rPr>
          <w:rFonts w:ascii="Verdana" w:eastAsia="Gulim" w:hAnsi="Verdana" w:cs="Times New Roman"/>
          <w:bCs/>
          <w:szCs w:val="24"/>
          <w:lang w:eastAsia="pl-PL"/>
        </w:rPr>
        <w:t>d)</w:t>
      </w:r>
      <w:r w:rsidRPr="00B25B83">
        <w:rPr>
          <w:rFonts w:ascii="Verdana" w:eastAsia="Gulim" w:hAnsi="Verdana" w:cs="Times New Roman"/>
          <w:bCs/>
          <w:szCs w:val="24"/>
          <w:lang w:eastAsia="pl-PL"/>
        </w:rPr>
        <w:tab/>
        <w:t>Przewodniczącemu Podkomitetu ds. Realizacji Rozwoju Partnerstwa;</w:t>
      </w:r>
    </w:p>
    <w:p w14:paraId="51578375" w14:textId="77777777" w:rsidR="00B11468" w:rsidRPr="00B25B83" w:rsidRDefault="00B11468" w:rsidP="00B25B83">
      <w:pPr>
        <w:jc w:val="left"/>
        <w:rPr>
          <w:rFonts w:ascii="Verdana" w:eastAsia="Gulim" w:hAnsi="Verdana" w:cs="Times New Roman"/>
          <w:bCs/>
          <w:szCs w:val="24"/>
          <w:lang w:eastAsia="pl-PL"/>
        </w:rPr>
      </w:pPr>
      <w:r w:rsidRPr="00B25B83">
        <w:rPr>
          <w:rFonts w:ascii="Verdana" w:eastAsia="Gulim" w:hAnsi="Verdana" w:cs="Times New Roman"/>
          <w:bCs/>
          <w:szCs w:val="24"/>
          <w:lang w:eastAsia="pl-PL"/>
        </w:rPr>
        <w:t>e)</w:t>
      </w:r>
      <w:r w:rsidRPr="00B25B83">
        <w:rPr>
          <w:rFonts w:ascii="Verdana" w:eastAsia="Gulim" w:hAnsi="Verdana" w:cs="Times New Roman"/>
          <w:bCs/>
          <w:szCs w:val="24"/>
          <w:lang w:eastAsia="pl-PL"/>
        </w:rPr>
        <w:tab/>
        <w:t>polskim członkom Europejskiego Komitetu Ekonomiczno-Społecznego;</w:t>
      </w:r>
    </w:p>
    <w:p w14:paraId="255B06FB" w14:textId="77777777" w:rsidR="00B11468" w:rsidRPr="00B25B83" w:rsidRDefault="00B11468" w:rsidP="00B25B83">
      <w:pPr>
        <w:jc w:val="left"/>
        <w:rPr>
          <w:rFonts w:ascii="Verdana" w:eastAsia="Gulim" w:hAnsi="Verdana" w:cs="Times New Roman"/>
          <w:bCs/>
          <w:szCs w:val="24"/>
          <w:lang w:eastAsia="pl-PL"/>
        </w:rPr>
      </w:pPr>
      <w:r w:rsidRPr="00B25B83">
        <w:rPr>
          <w:rFonts w:ascii="Verdana" w:eastAsia="Gulim" w:hAnsi="Verdana" w:cs="Times New Roman"/>
          <w:bCs/>
          <w:szCs w:val="24"/>
          <w:lang w:eastAsia="pl-PL"/>
        </w:rPr>
        <w:t>f)</w:t>
      </w:r>
      <w:r w:rsidRPr="00B25B83">
        <w:rPr>
          <w:rFonts w:ascii="Verdana" w:eastAsia="Gulim" w:hAnsi="Verdana" w:cs="Times New Roman"/>
          <w:bCs/>
          <w:szCs w:val="24"/>
          <w:lang w:eastAsia="pl-PL"/>
        </w:rPr>
        <w:tab/>
        <w:t>Komitetowi Umowy Partnerstwa oraz Podkomitetowi ds. rozwoju partnerstwa.</w:t>
      </w:r>
    </w:p>
    <w:p w14:paraId="6588E2B5" w14:textId="77777777" w:rsidR="00B11468" w:rsidRPr="00B25B83" w:rsidRDefault="00B11468" w:rsidP="00383BFF">
      <w:pPr>
        <w:jc w:val="left"/>
        <w:rPr>
          <w:rFonts w:ascii="Verdana" w:eastAsia="Gulim" w:hAnsi="Verdana" w:cs="Times New Roman"/>
          <w:bCs/>
          <w:szCs w:val="24"/>
          <w:lang w:eastAsia="pl-PL"/>
        </w:rPr>
      </w:pPr>
    </w:p>
    <w:p w14:paraId="30279F1B" w14:textId="508FA232" w:rsidR="00B11468" w:rsidRPr="00B25B83" w:rsidRDefault="00B25B83" w:rsidP="00527C42">
      <w:pPr>
        <w:jc w:val="center"/>
        <w:rPr>
          <w:rFonts w:ascii="Verdana" w:eastAsia="Gulim" w:hAnsi="Verdana" w:cs="Times New Roman"/>
          <w:b/>
          <w:szCs w:val="24"/>
          <w:lang w:eastAsia="pl-PL"/>
        </w:rPr>
      </w:pPr>
      <w:r>
        <w:rPr>
          <w:rFonts w:ascii="Verdana" w:eastAsia="Gulim" w:hAnsi="Verdana" w:cs="Times New Roman"/>
          <w:b/>
          <w:szCs w:val="24"/>
          <w:lang w:eastAsia="pl-PL"/>
        </w:rPr>
        <w:t>§ 8</w:t>
      </w:r>
    </w:p>
    <w:p w14:paraId="3749FA30" w14:textId="7B0F9311" w:rsidR="000C408D" w:rsidRPr="00B25B83" w:rsidRDefault="00B11468" w:rsidP="00B25B83">
      <w:pPr>
        <w:jc w:val="left"/>
        <w:rPr>
          <w:rFonts w:ascii="Verdana" w:eastAsia="Gulim" w:hAnsi="Verdana" w:cs="Times New Roman"/>
          <w:bCs/>
          <w:szCs w:val="24"/>
          <w:lang w:eastAsia="pl-PL"/>
        </w:rPr>
      </w:pPr>
      <w:r w:rsidRPr="00B25B83">
        <w:rPr>
          <w:rFonts w:ascii="Verdana" w:eastAsia="Gulim" w:hAnsi="Verdana" w:cs="Times New Roman"/>
          <w:bCs/>
          <w:szCs w:val="24"/>
          <w:lang w:eastAsia="pl-PL"/>
        </w:rPr>
        <w:t>Uchwała wchodzi w życie z dniem podjęcia.</w:t>
      </w:r>
    </w:p>
    <w:p w14:paraId="579C9C94" w14:textId="77777777" w:rsidR="004B62A0" w:rsidRPr="00B25B83" w:rsidRDefault="004B62A0" w:rsidP="004F32E0">
      <w:pPr>
        <w:rPr>
          <w:rFonts w:ascii="Verdana" w:eastAsia="Gulim" w:hAnsi="Verdana" w:cs="Times New Roman"/>
          <w:bCs/>
          <w:szCs w:val="24"/>
          <w:lang w:eastAsia="pl-PL"/>
        </w:rPr>
      </w:pPr>
    </w:p>
    <w:sectPr w:rsidR="004B62A0" w:rsidRPr="00B25B83" w:rsidSect="007A6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C1E"/>
    <w:multiLevelType w:val="hybridMultilevel"/>
    <w:tmpl w:val="CBB20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9E52D0"/>
    <w:multiLevelType w:val="hybridMultilevel"/>
    <w:tmpl w:val="82E0506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5657CB"/>
    <w:multiLevelType w:val="hybridMultilevel"/>
    <w:tmpl w:val="63705AE4"/>
    <w:lvl w:ilvl="0" w:tplc="B6CE7B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8C50ED"/>
    <w:multiLevelType w:val="hybridMultilevel"/>
    <w:tmpl w:val="0526F7B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3C0A8F"/>
    <w:multiLevelType w:val="hybridMultilevel"/>
    <w:tmpl w:val="9DF06B62"/>
    <w:lvl w:ilvl="0" w:tplc="BC3CFD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C56AAC"/>
    <w:multiLevelType w:val="hybridMultilevel"/>
    <w:tmpl w:val="4FA8603E"/>
    <w:lvl w:ilvl="0" w:tplc="179E67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5223E2"/>
    <w:multiLevelType w:val="hybridMultilevel"/>
    <w:tmpl w:val="A9EC4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4D624E"/>
    <w:multiLevelType w:val="hybridMultilevel"/>
    <w:tmpl w:val="212E49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2516A1"/>
    <w:multiLevelType w:val="hybridMultilevel"/>
    <w:tmpl w:val="B082E2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C102CB2"/>
    <w:multiLevelType w:val="hybridMultilevel"/>
    <w:tmpl w:val="C1BE37B4"/>
    <w:lvl w:ilvl="0" w:tplc="0415000F">
      <w:start w:val="1"/>
      <w:numFmt w:val="decimal"/>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0" w15:restartNumberingAfterBreak="0">
    <w:nsid w:val="667D183D"/>
    <w:multiLevelType w:val="hybridMultilevel"/>
    <w:tmpl w:val="4AAE87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412A77"/>
    <w:multiLevelType w:val="hybridMultilevel"/>
    <w:tmpl w:val="A6800F6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10"/>
  </w:num>
  <w:num w:numId="2">
    <w:abstractNumId w:val="1"/>
  </w:num>
  <w:num w:numId="3">
    <w:abstractNumId w:val="7"/>
  </w:num>
  <w:num w:numId="4">
    <w:abstractNumId w:val="9"/>
  </w:num>
  <w:num w:numId="5">
    <w:abstractNumId w:val="8"/>
  </w:num>
  <w:num w:numId="6">
    <w:abstractNumId w:val="4"/>
  </w:num>
  <w:num w:numId="7">
    <w:abstractNumId w:val="6"/>
  </w:num>
  <w:num w:numId="8">
    <w:abstractNumId w:val="3"/>
  </w:num>
  <w:num w:numId="9">
    <w:abstractNumId w:val="11"/>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B7"/>
    <w:rsid w:val="00017BFE"/>
    <w:rsid w:val="00064628"/>
    <w:rsid w:val="00074B36"/>
    <w:rsid w:val="00080E93"/>
    <w:rsid w:val="0008330D"/>
    <w:rsid w:val="000C408D"/>
    <w:rsid w:val="000D0488"/>
    <w:rsid w:val="000F267F"/>
    <w:rsid w:val="001129FA"/>
    <w:rsid w:val="00142E21"/>
    <w:rsid w:val="00166EDF"/>
    <w:rsid w:val="00195054"/>
    <w:rsid w:val="001F60BB"/>
    <w:rsid w:val="00214FBB"/>
    <w:rsid w:val="0025682F"/>
    <w:rsid w:val="00263955"/>
    <w:rsid w:val="00295124"/>
    <w:rsid w:val="002C282B"/>
    <w:rsid w:val="002C46E9"/>
    <w:rsid w:val="002C50F2"/>
    <w:rsid w:val="002D3E13"/>
    <w:rsid w:val="002D5ECC"/>
    <w:rsid w:val="00317AD1"/>
    <w:rsid w:val="00332565"/>
    <w:rsid w:val="00345D97"/>
    <w:rsid w:val="00383BFF"/>
    <w:rsid w:val="00446E19"/>
    <w:rsid w:val="004B62A0"/>
    <w:rsid w:val="004F32E0"/>
    <w:rsid w:val="004F3D4A"/>
    <w:rsid w:val="005018B7"/>
    <w:rsid w:val="00512937"/>
    <w:rsid w:val="00522B00"/>
    <w:rsid w:val="00523106"/>
    <w:rsid w:val="005270BE"/>
    <w:rsid w:val="00527C42"/>
    <w:rsid w:val="005473F3"/>
    <w:rsid w:val="00554FC0"/>
    <w:rsid w:val="00582F8C"/>
    <w:rsid w:val="00610CD2"/>
    <w:rsid w:val="00653A46"/>
    <w:rsid w:val="006821E9"/>
    <w:rsid w:val="00690C16"/>
    <w:rsid w:val="006A4289"/>
    <w:rsid w:val="006B6AB1"/>
    <w:rsid w:val="006F0B09"/>
    <w:rsid w:val="007141CE"/>
    <w:rsid w:val="007304D1"/>
    <w:rsid w:val="00753F14"/>
    <w:rsid w:val="0078516C"/>
    <w:rsid w:val="007A214E"/>
    <w:rsid w:val="007A6F22"/>
    <w:rsid w:val="008002A9"/>
    <w:rsid w:val="00841576"/>
    <w:rsid w:val="008465F1"/>
    <w:rsid w:val="008628B7"/>
    <w:rsid w:val="008E3FA2"/>
    <w:rsid w:val="008F2466"/>
    <w:rsid w:val="0090747A"/>
    <w:rsid w:val="0091447B"/>
    <w:rsid w:val="00A218BB"/>
    <w:rsid w:val="00A46FB4"/>
    <w:rsid w:val="00A708B5"/>
    <w:rsid w:val="00A9370D"/>
    <w:rsid w:val="00A94889"/>
    <w:rsid w:val="00AD06D4"/>
    <w:rsid w:val="00B11468"/>
    <w:rsid w:val="00B1764C"/>
    <w:rsid w:val="00B25B83"/>
    <w:rsid w:val="00B75739"/>
    <w:rsid w:val="00B960AF"/>
    <w:rsid w:val="00BC7AD5"/>
    <w:rsid w:val="00BD0D11"/>
    <w:rsid w:val="00BD27B9"/>
    <w:rsid w:val="00C31064"/>
    <w:rsid w:val="00C32ABD"/>
    <w:rsid w:val="00C369E0"/>
    <w:rsid w:val="00C56E66"/>
    <w:rsid w:val="00CA1BFA"/>
    <w:rsid w:val="00CB3418"/>
    <w:rsid w:val="00CC559E"/>
    <w:rsid w:val="00CF12E1"/>
    <w:rsid w:val="00CF1CD8"/>
    <w:rsid w:val="00D55957"/>
    <w:rsid w:val="00D87A28"/>
    <w:rsid w:val="00DB15DC"/>
    <w:rsid w:val="00E122D0"/>
    <w:rsid w:val="00E16953"/>
    <w:rsid w:val="00E23000"/>
    <w:rsid w:val="00E76EE1"/>
    <w:rsid w:val="00F1299C"/>
    <w:rsid w:val="00F731D2"/>
    <w:rsid w:val="00F95229"/>
    <w:rsid w:val="00FE7BC3"/>
    <w:rsid w:val="00FF7A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5B71"/>
  <w15:docId w15:val="{3830BBF4-318D-4E88-8D90-F0A06953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18B7"/>
    <w:pPr>
      <w:spacing w:after="0" w:line="360" w:lineRule="auto"/>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267F"/>
    <w:pPr>
      <w:ind w:left="720"/>
      <w:contextualSpacing/>
    </w:pPr>
  </w:style>
  <w:style w:type="paragraph" w:styleId="Tekstdymka">
    <w:name w:val="Balloon Text"/>
    <w:basedOn w:val="Normalny"/>
    <w:link w:val="TekstdymkaZnak"/>
    <w:uiPriority w:val="99"/>
    <w:semiHidden/>
    <w:unhideWhenUsed/>
    <w:rsid w:val="00E76EE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6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23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8870D-EFF6-492E-A63C-85EB009F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1357</Words>
  <Characters>8146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Wodzyńska Joanna</dc:creator>
  <cp:lastModifiedBy>Gierlach Piotr</cp:lastModifiedBy>
  <cp:revision>8</cp:revision>
  <cp:lastPrinted>2021-09-27T08:32:00Z</cp:lastPrinted>
  <dcterms:created xsi:type="dcterms:W3CDTF">2021-09-30T05:53:00Z</dcterms:created>
  <dcterms:modified xsi:type="dcterms:W3CDTF">2021-10-08T17:13:00Z</dcterms:modified>
</cp:coreProperties>
</file>