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31128A">
        <w:t>0</w:t>
      </w:r>
      <w:r w:rsidR="00C06D0C">
        <w:t>7</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maksymalnie </w:t>
      </w:r>
      <w:r w:rsidR="007667B6">
        <w:rPr>
          <w:rFonts w:ascii="Times New Roman" w:eastAsia="Times New Roman" w:hAnsi="Times New Roman" w:cs="Times New Roman"/>
          <w:sz w:val="24"/>
          <w:szCs w:val="24"/>
          <w:lang w:eastAsia="pl-PL"/>
        </w:rPr>
        <w:t>jedną ofertę</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Cel z</w:t>
      </w:r>
      <w:r w:rsidR="00D12BC0">
        <w:rPr>
          <w:rFonts w:ascii="Times New Roman" w:hAnsi="Times New Roman" w:cs="Times New Roman"/>
          <w:color w:val="000000" w:themeColor="text1"/>
          <w:sz w:val="24"/>
          <w:szCs w:val="24"/>
          <w:shd w:val="clear" w:color="auto" w:fill="FFFFFF"/>
        </w:rPr>
        <w:t>a</w:t>
      </w:r>
      <w:r w:rsidR="00AC5EAB" w:rsidRPr="0028520E">
        <w:rPr>
          <w:rFonts w:ascii="Times New Roman" w:hAnsi="Times New Roman" w:cs="Times New Roman"/>
          <w:color w:val="000000" w:themeColor="text1"/>
          <w:sz w:val="24"/>
          <w:szCs w:val="24"/>
          <w:shd w:val="clear" w:color="auto" w:fill="FFFFFF"/>
        </w:rPr>
        <w:t xml:space="preserve">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osiągalny, realny i określon</w:t>
      </w:r>
      <w:r w:rsidR="000F1084">
        <w:rPr>
          <w:rFonts w:ascii="Times New Roman" w:eastAsia="Times New Roman" w:hAnsi="Times New Roman" w:cs="Times New Roman"/>
          <w:color w:val="000000" w:themeColor="text1"/>
          <w:sz w:val="24"/>
          <w:szCs w:val="24"/>
          <w:lang w:eastAsia="pl-PL"/>
        </w:rPr>
        <w:t>y</w:t>
      </w:r>
      <w:r w:rsidR="00AC5EAB" w:rsidRPr="0028520E">
        <w:rPr>
          <w:rFonts w:ascii="Times New Roman" w:eastAsia="Times New Roman" w:hAnsi="Times New Roman" w:cs="Times New Roman"/>
          <w:color w:val="000000" w:themeColor="text1"/>
          <w:sz w:val="24"/>
          <w:szCs w:val="24"/>
          <w:lang w:eastAsia="pl-PL"/>
        </w:rPr>
        <w:t xml:space="preserv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realne 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00516DB4">
        <w:rPr>
          <w:rFonts w:ascii="Times New Roman" w:eastAsia="Times New Roman" w:hAnsi="Times New Roman" w:cs="Times New Roman"/>
          <w:sz w:val="24"/>
          <w:szCs w:val="24"/>
          <w:lang w:eastAsia="pl-PL"/>
        </w:rPr>
        <w:t>(Dz.U. z 2023 r. poz. 1440</w:t>
      </w:r>
      <w:r w:rsidRPr="00B40595">
        <w:rPr>
          <w:rFonts w:ascii="Times New Roman" w:eastAsia="Times New Roman" w:hAnsi="Times New Roman" w:cs="Times New Roman"/>
          <w:sz w:val="24"/>
          <w:szCs w:val="24"/>
          <w:lang w:eastAsia="pl-PL"/>
        </w:rPr>
        <w:t>);</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wydrukowany i podpisany przez osoby upoważnione do składania oświadczeń woli w imieniu oferenta oryginał oferty, o którym mowa w rozdziale III pkt 17 niniejszego Regulaminu, a w przypadku gdy oferent usuwał uchybienia formalne także oryginał oferty z usuniętymi uchybieniami formalnymi, o którym mowa w rozdziale 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w sprawie określenia innych znaków używanych 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 </w:t>
      </w:r>
      <w:r w:rsidRPr="00B40595">
        <w:rPr>
          <w:rFonts w:ascii="Times New Roman" w:eastAsia="Times New Roman" w:hAnsi="Times New Roman" w:cs="Times New Roman"/>
          <w:sz w:val="24"/>
          <w:szCs w:val="24"/>
          <w:lang w:eastAsia="pl-PL"/>
        </w:rPr>
        <w:t xml:space="preserve">sytuacji, kiedy </w:t>
      </w:r>
      <w:r w:rsidRPr="00B40595">
        <w:rPr>
          <w:rFonts w:ascii="Times New Roman" w:hAnsi="Times New Roman" w:cs="Times New Roman"/>
          <w:sz w:val="24"/>
          <w:szCs w:val="24"/>
        </w:rPr>
        <w:t>zadanie publiczne zostało s</w:t>
      </w:r>
      <w:r w:rsidR="00CD0A1B">
        <w:rPr>
          <w:rFonts w:ascii="Times New Roman" w:hAnsi="Times New Roman" w:cs="Times New Roman"/>
          <w:sz w:val="24"/>
          <w:szCs w:val="24"/>
        </w:rPr>
        <w:t xml:space="preserve">finansowane lub dofinansowane w </w:t>
      </w:r>
      <w:r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2114CF">
        <w:rPr>
          <w:rFonts w:ascii="Times New Roman" w:hAnsi="Times New Roman" w:cs="Times New Roman"/>
          <w:i/>
          <w:sz w:val="24"/>
          <w:szCs w:val="24"/>
        </w:rPr>
        <w:t>o </w:t>
      </w:r>
      <w:r w:rsidRPr="00B40595">
        <w:rPr>
          <w:rFonts w:ascii="Times New Roman" w:hAnsi="Times New Roman" w:cs="Times New Roman"/>
          <w:i/>
          <w:sz w:val="24"/>
          <w:szCs w:val="24"/>
        </w:rPr>
        <w:t>finansach publicznych</w:t>
      </w:r>
      <w:r w:rsidR="00063F55">
        <w:rPr>
          <w:rFonts w:ascii="Times New Roman" w:hAnsi="Times New Roman" w:cs="Times New Roman"/>
          <w:sz w:val="24"/>
          <w:szCs w:val="24"/>
        </w:rPr>
        <w:t xml:space="preserve"> (Dz.U. z 2023 r. poz. 1270, z </w:t>
      </w:r>
      <w:r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DE1626">
        <w:rPr>
          <w:rFonts w:ascii="Times New Roman" w:hAnsi="Times New Roman" w:cs="Times New Roman"/>
          <w:sz w:val="24"/>
          <w:szCs w:val="24"/>
        </w:rPr>
        <w:t>ądzenia Rady Ministrów z dnia 7 </w:t>
      </w:r>
      <w:r w:rsidRPr="00B40595">
        <w:rPr>
          <w:rFonts w:ascii="Times New Roman" w:hAnsi="Times New Roman" w:cs="Times New Roman"/>
          <w:sz w:val="24"/>
          <w:szCs w:val="24"/>
        </w:rPr>
        <w:t xml:space="preserve">maja </w:t>
      </w:r>
      <w:r w:rsidR="0028520E">
        <w:rPr>
          <w:rFonts w:ascii="Times New Roman" w:hAnsi="Times New Roman" w:cs="Times New Roman"/>
          <w:sz w:val="24"/>
          <w:szCs w:val="24"/>
        </w:rPr>
        <w:br/>
      </w:r>
      <w:r w:rsidRPr="00B40595">
        <w:rPr>
          <w:rFonts w:ascii="Times New Roman" w:hAnsi="Times New Roman" w:cs="Times New Roman"/>
          <w:sz w:val="24"/>
          <w:szCs w:val="24"/>
        </w:rPr>
        <w:t>2021 r.</w:t>
      </w:r>
      <w:r w:rsidRPr="00B40595">
        <w:rPr>
          <w:rFonts w:ascii="Times New Roman" w:hAnsi="Times New Roman" w:cs="Times New Roman"/>
          <w:i/>
          <w:iCs/>
          <w:sz w:val="24"/>
          <w:szCs w:val="24"/>
        </w:rPr>
        <w:t xml:space="preserve"> w sprawie określenia działań informacyjnych podejmowanych przez podmioty re</w:t>
      </w:r>
      <w:r w:rsidR="002114CF">
        <w:rPr>
          <w:rFonts w:ascii="Times New Roman" w:hAnsi="Times New Roman" w:cs="Times New Roman"/>
          <w:i/>
          <w:iCs/>
          <w:sz w:val="24"/>
          <w:szCs w:val="24"/>
        </w:rPr>
        <w:t xml:space="preserve">alizujące zadania finansowane i </w:t>
      </w:r>
      <w:r w:rsidRPr="00B40595">
        <w:rPr>
          <w:rFonts w:ascii="Times New Roman" w:hAnsi="Times New Roman" w:cs="Times New Roman"/>
          <w:i/>
          <w:iCs/>
          <w:sz w:val="24"/>
          <w:szCs w:val="24"/>
        </w:rPr>
        <w:t xml:space="preserve">dofinansowane z budżetu państwa lub </w:t>
      </w:r>
      <w:r w:rsidR="002114CF">
        <w:rPr>
          <w:rFonts w:ascii="Times New Roman" w:hAnsi="Times New Roman" w:cs="Times New Roman"/>
          <w:i/>
          <w:iCs/>
          <w:sz w:val="24"/>
          <w:szCs w:val="24"/>
        </w:rPr>
        <w:t xml:space="preserve">z </w:t>
      </w:r>
      <w:r w:rsidRPr="00B40595">
        <w:rPr>
          <w:rFonts w:ascii="Times New Roman" w:hAnsi="Times New Roman" w:cs="Times New Roman"/>
          <w:i/>
          <w:iCs/>
          <w:sz w:val="24"/>
          <w:szCs w:val="24"/>
        </w:rPr>
        <w:t>państwowych funduszy celowych</w:t>
      </w:r>
      <w:r w:rsidRPr="00B40595">
        <w:rPr>
          <w:rFonts w:ascii="Times New Roman" w:hAnsi="Times New Roman" w:cs="Times New Roman"/>
          <w:sz w:val="24"/>
          <w:szCs w:val="24"/>
        </w:rPr>
        <w:t xml:space="preserve"> (Dz. U. poz. 953, z późn. zm.), w sposób określony w tym rozporządzeniu.</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podziałem 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 wskazane w rozdziale VII pkt 1</w:t>
      </w:r>
      <w:r w:rsidR="00873FC7">
        <w:rPr>
          <w:rFonts w:ascii="Times New Roman" w:eastAsia="Times New Roman" w:hAnsi="Times New Roman" w:cs="Times New Roman"/>
          <w:sz w:val="24"/>
          <w:szCs w:val="24"/>
          <w:lang w:eastAsia="pl-PL"/>
        </w:rPr>
        <w:t>1</w:t>
      </w:r>
      <w:r w:rsidRPr="00B37937">
        <w:rPr>
          <w:rFonts w:ascii="Times New Roman" w:eastAsia="Times New Roman" w:hAnsi="Times New Roman" w:cs="Times New Roman"/>
          <w:sz w:val="24"/>
          <w:szCs w:val="24"/>
          <w:lang w:eastAsia="pl-PL"/>
        </w:rPr>
        <w:t xml:space="preserve"> i 1</w:t>
      </w:r>
      <w:r w:rsidR="00873FC7">
        <w:rPr>
          <w:rFonts w:ascii="Times New Roman" w:eastAsia="Times New Roman" w:hAnsi="Times New Roman" w:cs="Times New Roman"/>
          <w:sz w:val="24"/>
          <w:szCs w:val="24"/>
          <w:lang w:eastAsia="pl-PL"/>
        </w:rPr>
        <w:t>2</w:t>
      </w:r>
      <w:bookmarkStart w:id="0" w:name="_GoBack"/>
      <w:bookmarkEnd w:id="0"/>
      <w:r w:rsidRPr="00B37937">
        <w:rPr>
          <w:rFonts w:ascii="Times New Roman" w:eastAsia="Times New Roman" w:hAnsi="Times New Roman" w:cs="Times New Roman"/>
          <w:sz w:val="24"/>
          <w:szCs w:val="24"/>
          <w:lang w:eastAsia="pl-PL"/>
        </w:rPr>
        <w:t xml:space="preserve">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 xml:space="preserve">koszty zakupu środków trwałych (podlegających amortyzacji) w rozumieniu </w:t>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w:t>
      </w:r>
      <w:r w:rsidRPr="00E35247">
        <w:rPr>
          <w:rFonts w:ascii="Times New Roman" w:eastAsia="Times New Roman" w:hAnsi="Times New Roman" w:cs="Times New Roman"/>
          <w:sz w:val="24"/>
          <w:szCs w:val="24"/>
          <w:lang w:eastAsia="pl-PL"/>
        </w:rPr>
        <w:lastRenderedPageBreak/>
        <w:t>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 szczególności art. 106e, 106i, 106m). Nazwa towaru lub usługi oraz miara/ilość (liczba) dostarczonych towarów oraz zakres wykonanych usług powinna umożliwiać jednoznaczną identyfikację nabytego towaru lub usługi i pozwalać na powiązanie towaru lub usług 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DF5516"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DF5516"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DF5516"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DF5516"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DF551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16" w:rsidRDefault="00DF5516" w:rsidP="0054677C">
      <w:pPr>
        <w:spacing w:after="0" w:line="240" w:lineRule="auto"/>
      </w:pPr>
      <w:r>
        <w:separator/>
      </w:r>
    </w:p>
  </w:endnote>
  <w:endnote w:type="continuationSeparator" w:id="0">
    <w:p w:rsidR="00DF5516" w:rsidRDefault="00DF5516"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3FC7">
      <w:rPr>
        <w:rStyle w:val="Numerstrony"/>
        <w:noProof/>
      </w:rPr>
      <w:t>14</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16" w:rsidRDefault="00DF5516" w:rsidP="0054677C">
      <w:pPr>
        <w:spacing w:after="0" w:line="240" w:lineRule="auto"/>
      </w:pPr>
      <w:r>
        <w:separator/>
      </w:r>
    </w:p>
  </w:footnote>
  <w:footnote w:type="continuationSeparator" w:id="0">
    <w:p w:rsidR="00DF5516" w:rsidRDefault="00DF5516"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0F1084"/>
    <w:rsid w:val="001040DC"/>
    <w:rsid w:val="0014642F"/>
    <w:rsid w:val="00176976"/>
    <w:rsid w:val="001E340B"/>
    <w:rsid w:val="002114CF"/>
    <w:rsid w:val="00275345"/>
    <w:rsid w:val="0028520E"/>
    <w:rsid w:val="002D3AF7"/>
    <w:rsid w:val="002D3D37"/>
    <w:rsid w:val="002E4AF3"/>
    <w:rsid w:val="00306579"/>
    <w:rsid w:val="003069BA"/>
    <w:rsid w:val="0031128A"/>
    <w:rsid w:val="00331A5C"/>
    <w:rsid w:val="00350EAA"/>
    <w:rsid w:val="00390070"/>
    <w:rsid w:val="003D5D83"/>
    <w:rsid w:val="00400C3C"/>
    <w:rsid w:val="004050AB"/>
    <w:rsid w:val="004A29F4"/>
    <w:rsid w:val="004B6D4A"/>
    <w:rsid w:val="00516DB4"/>
    <w:rsid w:val="0054677C"/>
    <w:rsid w:val="00561E49"/>
    <w:rsid w:val="005D60F8"/>
    <w:rsid w:val="005E2559"/>
    <w:rsid w:val="006B3C67"/>
    <w:rsid w:val="006D1475"/>
    <w:rsid w:val="006E1510"/>
    <w:rsid w:val="006F47C4"/>
    <w:rsid w:val="0071744D"/>
    <w:rsid w:val="00732991"/>
    <w:rsid w:val="00756A02"/>
    <w:rsid w:val="0076336D"/>
    <w:rsid w:val="007667B6"/>
    <w:rsid w:val="00777E09"/>
    <w:rsid w:val="007D46D3"/>
    <w:rsid w:val="007D702B"/>
    <w:rsid w:val="007F543A"/>
    <w:rsid w:val="008261F6"/>
    <w:rsid w:val="00873FC7"/>
    <w:rsid w:val="00881663"/>
    <w:rsid w:val="008A5027"/>
    <w:rsid w:val="008E4289"/>
    <w:rsid w:val="00901E76"/>
    <w:rsid w:val="00916534"/>
    <w:rsid w:val="00940DE6"/>
    <w:rsid w:val="009D2E22"/>
    <w:rsid w:val="009D78BB"/>
    <w:rsid w:val="00A06E9D"/>
    <w:rsid w:val="00A17D13"/>
    <w:rsid w:val="00A50B93"/>
    <w:rsid w:val="00A604FB"/>
    <w:rsid w:val="00AA619E"/>
    <w:rsid w:val="00AC5EAB"/>
    <w:rsid w:val="00B027FA"/>
    <w:rsid w:val="00B37937"/>
    <w:rsid w:val="00B40138"/>
    <w:rsid w:val="00B40595"/>
    <w:rsid w:val="00B45841"/>
    <w:rsid w:val="00B51391"/>
    <w:rsid w:val="00B703D0"/>
    <w:rsid w:val="00B84FE3"/>
    <w:rsid w:val="00BA7ED6"/>
    <w:rsid w:val="00BB7F62"/>
    <w:rsid w:val="00BC50C9"/>
    <w:rsid w:val="00BE5EAF"/>
    <w:rsid w:val="00C06D0C"/>
    <w:rsid w:val="00C64BBE"/>
    <w:rsid w:val="00C9373B"/>
    <w:rsid w:val="00C95E2B"/>
    <w:rsid w:val="00CB61CB"/>
    <w:rsid w:val="00CD0A1B"/>
    <w:rsid w:val="00CE6587"/>
    <w:rsid w:val="00D12BC0"/>
    <w:rsid w:val="00DE1626"/>
    <w:rsid w:val="00DF5516"/>
    <w:rsid w:val="00E35247"/>
    <w:rsid w:val="00E5239B"/>
    <w:rsid w:val="00E564BA"/>
    <w:rsid w:val="00E71428"/>
    <w:rsid w:val="00E967D3"/>
    <w:rsid w:val="00EA70B7"/>
    <w:rsid w:val="00EC2CDB"/>
    <w:rsid w:val="00EC6F7C"/>
    <w:rsid w:val="00ED1997"/>
    <w:rsid w:val="00F15BA1"/>
    <w:rsid w:val="00F25AEC"/>
    <w:rsid w:val="00F32BFE"/>
    <w:rsid w:val="00F3640F"/>
    <w:rsid w:val="00F824BF"/>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62BB"/>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E1936"/>
    <w:rsid w:val="002F3D9B"/>
    <w:rsid w:val="00484276"/>
    <w:rsid w:val="004A0103"/>
    <w:rsid w:val="005468FA"/>
    <w:rsid w:val="005A5AE0"/>
    <w:rsid w:val="005F0F31"/>
    <w:rsid w:val="006855B2"/>
    <w:rsid w:val="006D44DD"/>
    <w:rsid w:val="006D798C"/>
    <w:rsid w:val="0074742C"/>
    <w:rsid w:val="00771694"/>
    <w:rsid w:val="0077462D"/>
    <w:rsid w:val="00892A11"/>
    <w:rsid w:val="008C632F"/>
    <w:rsid w:val="00BE2D54"/>
    <w:rsid w:val="00EB73D8"/>
    <w:rsid w:val="00FE1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4E8FD2D9-29C0-4D2F-8C6E-FC78546EB7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10127</Words>
  <Characters>60766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18</cp:revision>
  <cp:lastPrinted>2024-01-30T06:24:00Z</cp:lastPrinted>
  <dcterms:created xsi:type="dcterms:W3CDTF">2024-01-29T13:03:00Z</dcterms:created>
  <dcterms:modified xsi:type="dcterms:W3CDTF">2024-04-04T07:56:00Z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