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465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73C2C">
        <w:rPr>
          <w:rFonts w:asciiTheme="minorHAnsi" w:hAnsiTheme="minorHAnsi" w:cstheme="minorHAnsi"/>
          <w:bCs/>
          <w:sz w:val="24"/>
          <w:szCs w:val="24"/>
        </w:rPr>
        <w:t>5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73C2C" w:rsidRDefault="00673C2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673C2C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DOOŚ-WDŚZOO.420.5.2020.EW.MW.mro.33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73C2C" w:rsidRPr="00673C2C" w:rsidRDefault="00673C2C" w:rsidP="00673C2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 w związku z art. 74 ust. 3 ustawy z dnia 3 października 2008 r. o udostępnianiu informacji o środowisku i jego ochronie, udziale społeczeństwa w ochronie środowiska oraz o ocenach oddziaływania na środowisko (Dz. U. z 2022 r. poz. 1029, ze zm.), zawiadamiam strony postępowania, że Generalny Dyrektor Ochrony Środowiska decyzją z 5 lipca 2022 r., znak: DOOŚ-WDŚZOO.420.5.2020.mro.32, utrzymał w mocy decyzję GDOŚ z 25 lutego 2022 r., znak: DOOŚ-WDŚZOO.420.5.2020.EW/MW.26, umarzającą w całości wznowione postępowanie w sprawie zakończonej decyzją Regionalnego Dyrektora Ochrony Środowiska w Białymstoku z 3 sierpnia 2017 r., znak: WOOŚ-II.4231.1.2015.DK, o środowiskowych uwarunkowaniach dla prze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dsięwzięcia pn.: Budowa międzys</w:t>
      </w:r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>ystemowego gazociągu stanowiącego połączenie systemów przesyłowych Rzeczypospolitej Polski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ej i Republiki Litewskiej wraz z</w:t>
      </w:r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jego obsługi — gazociąg </w:t>
      </w:r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>Rembelszczyzna</w:t>
      </w:r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Granica RP.</w:t>
      </w:r>
    </w:p>
    <w:p w:rsidR="00673C2C" w:rsidRPr="00673C2C" w:rsidRDefault="00673C2C" w:rsidP="00673C2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Uczonych od następnego dnia po dniu, w którym upubliczniono zawiadomienie.</w:t>
      </w:r>
    </w:p>
    <w:p w:rsidR="00673C2C" w:rsidRPr="00673C2C" w:rsidRDefault="00673C2C" w:rsidP="00673C2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Białymstoku lub w sposób wskazany w art. 49b § 1 Kpa.</w:t>
      </w:r>
    </w:p>
    <w:p w:rsidR="004F0335" w:rsidRDefault="00673C2C" w:rsidP="00673C2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116AE5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673C2C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673C2C" w:rsidRDefault="00673C2C" w:rsidP="00673C2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73C2C" w:rsidRPr="00673C2C" w:rsidRDefault="00673C2C" w:rsidP="00673C2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73C2C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673C2C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673C2C" w:rsidRPr="00673C2C" w:rsidRDefault="00673C2C" w:rsidP="00673C2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73C2C">
        <w:rPr>
          <w:rFonts w:asciiTheme="minorHAnsi" w:hAnsiTheme="minorHAnsi" w:cstheme="minorHAnsi"/>
          <w:bCs/>
        </w:rPr>
        <w:t xml:space="preserve">Art. 49b § 1 Kpa W przypadku zawiadomienia strony zgodnie z art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673C2C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673C2C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673C2C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673C2C" w:rsidP="00673C2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73C2C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05" w:rsidRDefault="00B15505">
      <w:pPr>
        <w:spacing w:after="0" w:line="240" w:lineRule="auto"/>
      </w:pPr>
      <w:r>
        <w:separator/>
      </w:r>
    </w:p>
  </w:endnote>
  <w:endnote w:type="continuationSeparator" w:id="0">
    <w:p w:rsidR="00B15505" w:rsidRDefault="00B1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73C2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1550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05" w:rsidRDefault="00B15505">
      <w:pPr>
        <w:spacing w:after="0" w:line="240" w:lineRule="auto"/>
      </w:pPr>
      <w:r>
        <w:separator/>
      </w:r>
    </w:p>
  </w:footnote>
  <w:footnote w:type="continuationSeparator" w:id="0">
    <w:p w:rsidR="00B15505" w:rsidRDefault="00B1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1550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1550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1550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673C2C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15505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A9A5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F311-84F1-4C76-98B2-CB39B6B2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2023-07-11T07:58:00Z</dcterms:created>
  <dcterms:modified xsi:type="dcterms:W3CDTF">2023-07-11T07:58:00Z</dcterms:modified>
</cp:coreProperties>
</file>