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6EFB2" w14:textId="77777777" w:rsidR="009955A8" w:rsidRDefault="009955A8">
      <w:pPr>
        <w:rPr>
          <w:rFonts w:ascii="Arial" w:hAnsi="Arial" w:cs="Arial"/>
          <w:b/>
        </w:rPr>
      </w:pPr>
      <w:bookmarkStart w:id="0" w:name="_GoBack"/>
      <w:bookmarkEnd w:id="0"/>
    </w:p>
    <w:p w14:paraId="0747C3DF" w14:textId="77777777" w:rsidR="008B5F95" w:rsidRDefault="008B5F95">
      <w:pPr>
        <w:rPr>
          <w:rFonts w:ascii="Arial" w:hAnsi="Arial" w:cs="Arial"/>
          <w:b/>
        </w:rPr>
      </w:pPr>
    </w:p>
    <w:p w14:paraId="67320260" w14:textId="77777777" w:rsidR="008B5F95" w:rsidRDefault="008B5F95">
      <w:pPr>
        <w:rPr>
          <w:rFonts w:ascii="Arial" w:hAnsi="Arial" w:cs="Arial"/>
          <w:b/>
        </w:rPr>
      </w:pPr>
    </w:p>
    <w:p w14:paraId="0491F7D8" w14:textId="77777777" w:rsidR="008B5F95" w:rsidRDefault="008B5F95">
      <w:pPr>
        <w:rPr>
          <w:rFonts w:ascii="Arial" w:hAnsi="Arial" w:cs="Arial"/>
          <w:b/>
        </w:rPr>
      </w:pPr>
    </w:p>
    <w:p w14:paraId="6EDDBA36" w14:textId="77777777" w:rsidR="008B5F95" w:rsidRDefault="008B5F95">
      <w:pPr>
        <w:rPr>
          <w:rFonts w:ascii="Arial" w:hAnsi="Arial" w:cs="Arial"/>
          <w:b/>
        </w:rPr>
      </w:pPr>
    </w:p>
    <w:p w14:paraId="4B3D91EB" w14:textId="77777777" w:rsidR="008B5F95" w:rsidRDefault="008B5F95">
      <w:pPr>
        <w:rPr>
          <w:rFonts w:ascii="Arial" w:hAnsi="Arial" w:cs="Arial"/>
          <w:b/>
        </w:rPr>
      </w:pPr>
    </w:p>
    <w:p w14:paraId="1413B838" w14:textId="77777777" w:rsidR="008B5F95" w:rsidRDefault="008B5F95">
      <w:pPr>
        <w:rPr>
          <w:rFonts w:ascii="Arial" w:hAnsi="Arial" w:cs="Arial"/>
          <w:b/>
        </w:rPr>
      </w:pPr>
    </w:p>
    <w:p w14:paraId="538EF9A2" w14:textId="77777777" w:rsidR="008B5F95" w:rsidRDefault="008B5F95">
      <w:pPr>
        <w:rPr>
          <w:rFonts w:ascii="Arial" w:hAnsi="Arial" w:cs="Arial"/>
          <w:b/>
        </w:rPr>
      </w:pPr>
    </w:p>
    <w:p w14:paraId="2F0BAC05" w14:textId="77777777" w:rsidR="008B5F95" w:rsidRDefault="008B5F95">
      <w:pPr>
        <w:rPr>
          <w:rFonts w:ascii="Arial" w:hAnsi="Arial" w:cs="Arial"/>
          <w:b/>
        </w:rPr>
      </w:pPr>
    </w:p>
    <w:p w14:paraId="6DD3126E" w14:textId="77777777" w:rsidR="008B5F95" w:rsidRDefault="008B5F95">
      <w:pPr>
        <w:rPr>
          <w:rFonts w:ascii="Arial" w:hAnsi="Arial" w:cs="Arial"/>
          <w:b/>
        </w:rPr>
      </w:pPr>
    </w:p>
    <w:p w14:paraId="55770543" w14:textId="77777777" w:rsidR="008B5F95" w:rsidRDefault="008B5F95">
      <w:pPr>
        <w:rPr>
          <w:rFonts w:ascii="Arial" w:hAnsi="Arial" w:cs="Arial"/>
          <w:b/>
        </w:rPr>
      </w:pPr>
    </w:p>
    <w:p w14:paraId="5211CC8E" w14:textId="77777777" w:rsidR="008B5F95" w:rsidRDefault="008B5F95">
      <w:pPr>
        <w:rPr>
          <w:rFonts w:ascii="Arial" w:hAnsi="Arial" w:cs="Arial"/>
          <w:b/>
        </w:rPr>
      </w:pPr>
    </w:p>
    <w:p w14:paraId="0FE14F09" w14:textId="77777777" w:rsidR="008B5F95" w:rsidRDefault="008B5F95">
      <w:pPr>
        <w:rPr>
          <w:rFonts w:ascii="Arial" w:hAnsi="Arial" w:cs="Arial"/>
          <w:b/>
        </w:rPr>
      </w:pPr>
    </w:p>
    <w:p w14:paraId="51A1D1E1" w14:textId="77777777" w:rsidR="008B5F95" w:rsidRDefault="008B5F95">
      <w:pPr>
        <w:rPr>
          <w:rFonts w:ascii="Arial" w:hAnsi="Arial" w:cs="Arial"/>
          <w:b/>
        </w:rPr>
      </w:pPr>
    </w:p>
    <w:p w14:paraId="47FD74C3" w14:textId="77777777" w:rsidR="008B5F95" w:rsidRDefault="008B5F95">
      <w:pPr>
        <w:rPr>
          <w:rFonts w:ascii="Arial" w:hAnsi="Arial" w:cs="Arial"/>
          <w:b/>
        </w:rPr>
      </w:pPr>
    </w:p>
    <w:p w14:paraId="61753661" w14:textId="77777777" w:rsidR="008B5F95" w:rsidRDefault="008B5F95">
      <w:pPr>
        <w:rPr>
          <w:rFonts w:ascii="Arial" w:hAnsi="Arial" w:cs="Arial"/>
          <w:b/>
        </w:rPr>
      </w:pPr>
    </w:p>
    <w:p w14:paraId="68B40366" w14:textId="77777777" w:rsidR="008B5F95" w:rsidRDefault="008B5F95">
      <w:pPr>
        <w:rPr>
          <w:rFonts w:ascii="Arial" w:hAnsi="Arial" w:cs="Arial"/>
          <w:b/>
          <w:sz w:val="28"/>
          <w:szCs w:val="28"/>
        </w:rPr>
      </w:pPr>
    </w:p>
    <w:p w14:paraId="5CF349ED" w14:textId="08CD0A40" w:rsidR="008B5F95" w:rsidRDefault="008B5F95">
      <w:pPr>
        <w:rPr>
          <w:rFonts w:ascii="Arial" w:hAnsi="Arial" w:cs="Arial"/>
          <w:b/>
          <w:sz w:val="28"/>
          <w:szCs w:val="28"/>
        </w:rPr>
      </w:pPr>
    </w:p>
    <w:p w14:paraId="5B048A25" w14:textId="77777777" w:rsidR="001822AA" w:rsidRDefault="00E03AEA">
      <w:pPr>
        <w:spacing w:line="360" w:lineRule="auto"/>
        <w:jc w:val="center"/>
        <w:rPr>
          <w:rFonts w:ascii="Arial" w:hAnsi="Arial" w:cs="Arial"/>
          <w:b/>
          <w:sz w:val="28"/>
          <w:szCs w:val="28"/>
        </w:rPr>
      </w:pPr>
      <w:r>
        <w:rPr>
          <w:rFonts w:ascii="Arial" w:hAnsi="Arial" w:cs="Arial"/>
          <w:b/>
          <w:sz w:val="28"/>
          <w:szCs w:val="28"/>
        </w:rPr>
        <w:t xml:space="preserve">SPRAWOZDANIE Z </w:t>
      </w:r>
      <w:r w:rsidR="00EE66A3">
        <w:rPr>
          <w:rFonts w:ascii="Arial" w:hAnsi="Arial" w:cs="Arial"/>
          <w:b/>
          <w:sz w:val="28"/>
          <w:szCs w:val="28"/>
        </w:rPr>
        <w:t xml:space="preserve">REALIZACJI W 2023 r. </w:t>
      </w:r>
    </w:p>
    <w:p w14:paraId="3C429747" w14:textId="6557EC8E" w:rsidR="008B5F95" w:rsidRDefault="00923F0D">
      <w:pPr>
        <w:spacing w:line="360" w:lineRule="auto"/>
        <w:jc w:val="center"/>
        <w:rPr>
          <w:rFonts w:ascii="Arial" w:hAnsi="Arial" w:cs="Arial"/>
          <w:b/>
          <w:sz w:val="28"/>
          <w:szCs w:val="28"/>
        </w:rPr>
      </w:pPr>
      <w:r>
        <w:rPr>
          <w:rFonts w:ascii="Arial" w:hAnsi="Arial" w:cs="Arial"/>
          <w:b/>
          <w:sz w:val="28"/>
          <w:szCs w:val="28"/>
        </w:rPr>
        <w:t>KRAJOW</w:t>
      </w:r>
      <w:r w:rsidR="00E03AEA">
        <w:rPr>
          <w:rFonts w:ascii="Arial" w:hAnsi="Arial" w:cs="Arial"/>
          <w:b/>
          <w:sz w:val="28"/>
          <w:szCs w:val="28"/>
        </w:rPr>
        <w:t>EGO</w:t>
      </w:r>
      <w:r>
        <w:rPr>
          <w:rFonts w:ascii="Arial" w:hAnsi="Arial" w:cs="Arial"/>
          <w:b/>
          <w:sz w:val="28"/>
          <w:szCs w:val="28"/>
        </w:rPr>
        <w:t xml:space="preserve"> PLAN</w:t>
      </w:r>
      <w:r w:rsidR="00EE66A3">
        <w:rPr>
          <w:rFonts w:ascii="Arial" w:hAnsi="Arial" w:cs="Arial"/>
          <w:b/>
          <w:sz w:val="28"/>
          <w:szCs w:val="28"/>
        </w:rPr>
        <w:t>U</w:t>
      </w:r>
      <w:r>
        <w:rPr>
          <w:rFonts w:ascii="Arial" w:hAnsi="Arial" w:cs="Arial"/>
          <w:b/>
          <w:sz w:val="28"/>
          <w:szCs w:val="28"/>
        </w:rPr>
        <w:t xml:space="preserve"> DZIAŁANIA NA RZECZ OGRANICZENIA RYZYKA ZWIĄZANEGO ZE STOSOWANIEM ŚRODKÓW OCHRONY ROŚLIN NA LATA 20</w:t>
      </w:r>
      <w:r w:rsidR="00C27BF4">
        <w:rPr>
          <w:rFonts w:ascii="Arial" w:hAnsi="Arial" w:cs="Arial"/>
          <w:b/>
          <w:sz w:val="28"/>
          <w:szCs w:val="28"/>
        </w:rPr>
        <w:t>23</w:t>
      </w:r>
      <w:r>
        <w:rPr>
          <w:rFonts w:ascii="Arial" w:hAnsi="Arial" w:cs="Arial"/>
          <w:b/>
          <w:sz w:val="28"/>
          <w:szCs w:val="28"/>
        </w:rPr>
        <w:t>–202</w:t>
      </w:r>
      <w:r w:rsidR="001E613E">
        <w:rPr>
          <w:rFonts w:ascii="Arial" w:hAnsi="Arial" w:cs="Arial"/>
          <w:b/>
          <w:sz w:val="28"/>
          <w:szCs w:val="28"/>
        </w:rPr>
        <w:t>7</w:t>
      </w:r>
      <w:r w:rsidR="000855C0">
        <w:rPr>
          <w:rFonts w:ascii="Arial" w:hAnsi="Arial" w:cs="Arial"/>
          <w:b/>
          <w:sz w:val="28"/>
          <w:szCs w:val="28"/>
        </w:rPr>
        <w:t xml:space="preserve"> </w:t>
      </w:r>
    </w:p>
    <w:p w14:paraId="61B2508A" w14:textId="77777777" w:rsidR="008B5F95" w:rsidRDefault="008B5F95">
      <w:pPr>
        <w:jc w:val="center"/>
        <w:rPr>
          <w:rFonts w:ascii="Arial" w:hAnsi="Arial" w:cs="Arial"/>
          <w:b/>
        </w:rPr>
      </w:pPr>
    </w:p>
    <w:p w14:paraId="10C89E7E" w14:textId="77777777" w:rsidR="008B5F95" w:rsidRDefault="008B5F95">
      <w:pPr>
        <w:jc w:val="center"/>
        <w:rPr>
          <w:rFonts w:ascii="Arial" w:hAnsi="Arial" w:cs="Arial"/>
          <w:b/>
        </w:rPr>
      </w:pPr>
    </w:p>
    <w:p w14:paraId="7B7511E0" w14:textId="77777777" w:rsidR="008B5F95" w:rsidRDefault="008B5F95">
      <w:pPr>
        <w:rPr>
          <w:rFonts w:ascii="Arial" w:hAnsi="Arial" w:cs="Arial"/>
          <w:b/>
        </w:rPr>
      </w:pPr>
    </w:p>
    <w:p w14:paraId="553BB0DD" w14:textId="77777777" w:rsidR="008B5F95" w:rsidRDefault="008B5F95">
      <w:pPr>
        <w:rPr>
          <w:rFonts w:ascii="Arial" w:hAnsi="Arial" w:cs="Arial"/>
          <w:b/>
        </w:rPr>
      </w:pPr>
    </w:p>
    <w:p w14:paraId="6DFCFD1A" w14:textId="77777777" w:rsidR="008B5F95" w:rsidRDefault="008B5F95">
      <w:pPr>
        <w:rPr>
          <w:rFonts w:ascii="Arial" w:hAnsi="Arial" w:cs="Arial"/>
          <w:b/>
        </w:rPr>
      </w:pPr>
    </w:p>
    <w:p w14:paraId="1D86C117" w14:textId="77777777" w:rsidR="008B5F95" w:rsidRDefault="008B5F95">
      <w:pPr>
        <w:rPr>
          <w:rFonts w:ascii="Arial" w:hAnsi="Arial" w:cs="Arial"/>
          <w:b/>
        </w:rPr>
      </w:pPr>
    </w:p>
    <w:p w14:paraId="55AA3F89" w14:textId="77777777" w:rsidR="008B5F95" w:rsidRDefault="008B5F95">
      <w:pPr>
        <w:rPr>
          <w:rFonts w:ascii="Arial" w:hAnsi="Arial" w:cs="Arial"/>
          <w:b/>
        </w:rPr>
      </w:pPr>
    </w:p>
    <w:p w14:paraId="7F543CBD" w14:textId="77777777" w:rsidR="008B5F95" w:rsidRDefault="008B5F95">
      <w:pPr>
        <w:rPr>
          <w:rFonts w:ascii="Arial" w:hAnsi="Arial" w:cs="Arial"/>
          <w:b/>
        </w:rPr>
      </w:pPr>
    </w:p>
    <w:p w14:paraId="5DAB13EC" w14:textId="77777777" w:rsidR="008B5F95" w:rsidRDefault="008B5F95">
      <w:pPr>
        <w:rPr>
          <w:rFonts w:ascii="Arial" w:hAnsi="Arial" w:cs="Arial"/>
          <w:b/>
        </w:rPr>
      </w:pPr>
    </w:p>
    <w:p w14:paraId="072828EB" w14:textId="77777777" w:rsidR="008B5F95" w:rsidRDefault="008B5F95">
      <w:pPr>
        <w:rPr>
          <w:rFonts w:ascii="Arial" w:hAnsi="Arial" w:cs="Arial"/>
          <w:b/>
        </w:rPr>
      </w:pPr>
    </w:p>
    <w:p w14:paraId="2AB66D3B" w14:textId="77777777" w:rsidR="008B5F95" w:rsidRDefault="008B5F95">
      <w:pPr>
        <w:rPr>
          <w:rFonts w:ascii="Arial" w:hAnsi="Arial" w:cs="Arial"/>
          <w:b/>
        </w:rPr>
      </w:pPr>
    </w:p>
    <w:p w14:paraId="33892A34" w14:textId="77777777" w:rsidR="008B5F95" w:rsidRDefault="008B5F95">
      <w:pPr>
        <w:rPr>
          <w:rFonts w:ascii="Arial" w:hAnsi="Arial" w:cs="Arial"/>
          <w:b/>
        </w:rPr>
      </w:pPr>
    </w:p>
    <w:p w14:paraId="3024E874" w14:textId="77777777" w:rsidR="008B5F95" w:rsidRDefault="008B5F95">
      <w:pPr>
        <w:rPr>
          <w:rFonts w:ascii="Arial" w:hAnsi="Arial" w:cs="Arial"/>
          <w:b/>
        </w:rPr>
      </w:pPr>
    </w:p>
    <w:p w14:paraId="12F682A2" w14:textId="77777777" w:rsidR="008B5F95" w:rsidRDefault="008B5F95">
      <w:pPr>
        <w:rPr>
          <w:rFonts w:ascii="Arial" w:hAnsi="Arial" w:cs="Arial"/>
          <w:b/>
        </w:rPr>
      </w:pPr>
    </w:p>
    <w:p w14:paraId="15FE4830" w14:textId="77777777" w:rsidR="008B5F95" w:rsidRDefault="008B5F95">
      <w:pPr>
        <w:rPr>
          <w:rFonts w:ascii="Arial" w:hAnsi="Arial" w:cs="Arial"/>
          <w:b/>
        </w:rPr>
      </w:pPr>
    </w:p>
    <w:p w14:paraId="572409EA" w14:textId="77777777" w:rsidR="008B5F95" w:rsidRDefault="008B5F95">
      <w:pPr>
        <w:rPr>
          <w:rFonts w:ascii="Arial" w:hAnsi="Arial" w:cs="Arial"/>
          <w:b/>
        </w:rPr>
      </w:pPr>
    </w:p>
    <w:p w14:paraId="1C9D43DB" w14:textId="77777777" w:rsidR="008B5F95" w:rsidRDefault="008B5F95">
      <w:pPr>
        <w:rPr>
          <w:rFonts w:ascii="Arial" w:hAnsi="Arial" w:cs="Arial"/>
          <w:b/>
        </w:rPr>
      </w:pPr>
    </w:p>
    <w:p w14:paraId="5840E6F9" w14:textId="77777777" w:rsidR="008B5F95" w:rsidRDefault="008B5F95">
      <w:pPr>
        <w:rPr>
          <w:rFonts w:ascii="Arial" w:hAnsi="Arial" w:cs="Arial"/>
          <w:b/>
        </w:rPr>
      </w:pPr>
    </w:p>
    <w:p w14:paraId="4CE9C40F" w14:textId="77777777" w:rsidR="008B5F95" w:rsidRDefault="008B5F95">
      <w:pPr>
        <w:rPr>
          <w:rFonts w:ascii="Arial" w:hAnsi="Arial" w:cs="Arial"/>
          <w:b/>
        </w:rPr>
      </w:pPr>
    </w:p>
    <w:p w14:paraId="3F1358FA" w14:textId="77777777" w:rsidR="008B5F95" w:rsidRDefault="008B5F95">
      <w:pPr>
        <w:rPr>
          <w:rFonts w:ascii="Arial" w:hAnsi="Arial" w:cs="Arial"/>
          <w:b/>
        </w:rPr>
      </w:pPr>
    </w:p>
    <w:p w14:paraId="64494D61" w14:textId="77777777" w:rsidR="008B5F95" w:rsidRDefault="008B5F95">
      <w:pPr>
        <w:rPr>
          <w:rFonts w:ascii="Arial" w:hAnsi="Arial" w:cs="Arial"/>
          <w:b/>
        </w:rPr>
      </w:pPr>
    </w:p>
    <w:p w14:paraId="6B2A64EB" w14:textId="77777777" w:rsidR="008B5F95" w:rsidRDefault="008B5F95">
      <w:pPr>
        <w:rPr>
          <w:rFonts w:ascii="Arial" w:hAnsi="Arial" w:cs="Arial"/>
          <w:b/>
        </w:rPr>
      </w:pPr>
    </w:p>
    <w:p w14:paraId="546E6DAD" w14:textId="77777777" w:rsidR="008B5F95" w:rsidRDefault="008B5F95">
      <w:pPr>
        <w:rPr>
          <w:rFonts w:ascii="Arial" w:hAnsi="Arial" w:cs="Arial"/>
          <w:b/>
        </w:rPr>
      </w:pPr>
    </w:p>
    <w:p w14:paraId="2B726BAD" w14:textId="77777777" w:rsidR="008B5F95" w:rsidRDefault="008B5F95">
      <w:pPr>
        <w:rPr>
          <w:rFonts w:ascii="Arial" w:hAnsi="Arial" w:cs="Arial"/>
          <w:b/>
        </w:rPr>
      </w:pPr>
    </w:p>
    <w:p w14:paraId="2398CC92" w14:textId="77777777" w:rsidR="008B5F95" w:rsidRDefault="008B5F95">
      <w:pPr>
        <w:rPr>
          <w:rFonts w:ascii="Arial" w:hAnsi="Arial" w:cs="Arial"/>
          <w:b/>
        </w:rPr>
      </w:pPr>
    </w:p>
    <w:p w14:paraId="37ECBA7B" w14:textId="77777777" w:rsidR="008B5F95" w:rsidRDefault="008B5F95">
      <w:pPr>
        <w:rPr>
          <w:rFonts w:ascii="Arial" w:hAnsi="Arial" w:cs="Arial"/>
          <w:b/>
        </w:rPr>
      </w:pPr>
    </w:p>
    <w:p w14:paraId="0FBAD86E" w14:textId="77777777" w:rsidR="008B5F95" w:rsidRDefault="008B5F95">
      <w:pPr>
        <w:rPr>
          <w:rFonts w:ascii="Arial" w:hAnsi="Arial" w:cs="Arial"/>
          <w:b/>
        </w:rPr>
      </w:pPr>
    </w:p>
    <w:p w14:paraId="36F47201" w14:textId="77777777" w:rsidR="008A4004" w:rsidRDefault="008A4004">
      <w:pPr>
        <w:rPr>
          <w:rFonts w:ascii="Arial" w:hAnsi="Arial" w:cs="Arial"/>
          <w:b/>
        </w:rPr>
      </w:pPr>
    </w:p>
    <w:p w14:paraId="5424B790" w14:textId="77777777" w:rsidR="00DA5CD5" w:rsidRDefault="00DA5CD5">
      <w:pPr>
        <w:rPr>
          <w:rFonts w:ascii="Arial" w:hAnsi="Arial" w:cs="Arial"/>
          <w:b/>
        </w:rPr>
      </w:pPr>
    </w:p>
    <w:p w14:paraId="3B257926" w14:textId="77777777" w:rsidR="008B5F95" w:rsidRDefault="008B5F95">
      <w:pPr>
        <w:rPr>
          <w:rFonts w:ascii="Arial" w:hAnsi="Arial" w:cs="Arial"/>
          <w:b/>
        </w:rPr>
      </w:pPr>
    </w:p>
    <w:p w14:paraId="27A56A8B" w14:textId="7C96FBC1" w:rsidR="008B5F95" w:rsidRDefault="000D3744">
      <w:pPr>
        <w:rPr>
          <w:rFonts w:ascii="Arial" w:hAnsi="Arial" w:cs="Arial"/>
          <w:b/>
        </w:rPr>
      </w:pPr>
      <w:r>
        <w:rPr>
          <w:rFonts w:ascii="Arial" w:hAnsi="Arial" w:cs="Arial"/>
          <w:b/>
        </w:rPr>
        <w:t xml:space="preserve">Warszawa, </w:t>
      </w:r>
      <w:r w:rsidR="0072078C">
        <w:rPr>
          <w:rFonts w:ascii="Arial" w:hAnsi="Arial" w:cs="Arial"/>
          <w:b/>
        </w:rPr>
        <w:t xml:space="preserve">Grudzień 2024 r. </w:t>
      </w:r>
    </w:p>
    <w:p w14:paraId="07CA6D46" w14:textId="77777777" w:rsidR="00AD61DA" w:rsidRDefault="00AD61DA">
      <w:pPr>
        <w:rPr>
          <w:rFonts w:ascii="Arial" w:hAnsi="Arial" w:cs="Arial"/>
          <w:b/>
        </w:rPr>
      </w:pPr>
    </w:p>
    <w:p w14:paraId="6C643996" w14:textId="03670857" w:rsidR="00D24D37" w:rsidRDefault="00D24D37">
      <w:pPr>
        <w:rPr>
          <w:rFonts w:ascii="Arial" w:hAnsi="Arial" w:cs="Arial"/>
          <w:b/>
        </w:rPr>
      </w:pPr>
      <w:r>
        <w:rPr>
          <w:rFonts w:ascii="Arial" w:hAnsi="Arial" w:cs="Arial"/>
          <w:b/>
        </w:rPr>
        <w:t xml:space="preserve">Departament Hodowli i Ochrony Roślin </w:t>
      </w:r>
      <w:r w:rsidR="00AD61DA">
        <w:rPr>
          <w:rFonts w:ascii="Arial" w:hAnsi="Arial" w:cs="Arial"/>
          <w:b/>
        </w:rPr>
        <w:t>w Ministerstwie Rolnictwa i Rozwoju Wsi</w:t>
      </w:r>
    </w:p>
    <w:p w14:paraId="0FF511C5" w14:textId="77777777" w:rsidR="008B5F95" w:rsidRDefault="00923F0D">
      <w:pPr>
        <w:rPr>
          <w:rFonts w:ascii="Arial" w:hAnsi="Arial" w:cs="Arial"/>
          <w:b/>
        </w:rPr>
      </w:pPr>
      <w:r>
        <w:rPr>
          <w:rFonts w:ascii="Arial" w:hAnsi="Arial" w:cs="Arial"/>
          <w:b/>
        </w:rPr>
        <w:lastRenderedPageBreak/>
        <w:t>SPIS TREŚCI</w:t>
      </w:r>
    </w:p>
    <w:p w14:paraId="47B759AE" w14:textId="77777777" w:rsidR="008B5F95" w:rsidRDefault="008B5F95">
      <w:pPr>
        <w:jc w:val="center"/>
        <w:rPr>
          <w:rFonts w:ascii="Arial" w:hAnsi="Arial" w:cs="Arial"/>
          <w:b/>
          <w:sz w:val="16"/>
        </w:rPr>
      </w:pPr>
    </w:p>
    <w:sdt>
      <w:sdtPr>
        <w:id w:val="-307548770"/>
        <w:docPartObj>
          <w:docPartGallery w:val="Table of Contents"/>
          <w:docPartUnique/>
        </w:docPartObj>
      </w:sdtPr>
      <w:sdtEndPr/>
      <w:sdtContent>
        <w:p w14:paraId="1B4BDF89" w14:textId="5C2646C0" w:rsidR="00576E93" w:rsidRDefault="00923F0D">
          <w:pPr>
            <w:pStyle w:val="Spistreci1"/>
            <w:rPr>
              <w:rFonts w:asciiTheme="minorHAnsi" w:eastAsiaTheme="minorEastAsia" w:hAnsiTheme="minorHAnsi" w:cstheme="minorBidi"/>
              <w:b w:val="0"/>
              <w:bCs w:val="0"/>
              <w:caps w:val="0"/>
              <w:noProof/>
              <w:kern w:val="2"/>
              <w:sz w:val="24"/>
              <w:szCs w:val="24"/>
              <w14:ligatures w14:val="standardContextual"/>
            </w:rPr>
          </w:pPr>
          <w:r>
            <w:fldChar w:fldCharType="begin"/>
          </w:r>
          <w:r>
            <w:rPr>
              <w:rStyle w:val="czeindeksu"/>
              <w:webHidden/>
            </w:rPr>
            <w:instrText>TOC \z \o "1-5" \u \h</w:instrText>
          </w:r>
          <w:r>
            <w:rPr>
              <w:rStyle w:val="czeindeksu"/>
            </w:rPr>
            <w:fldChar w:fldCharType="separate"/>
          </w:r>
          <w:hyperlink w:anchor="_Toc193716380" w:history="1">
            <w:r w:rsidR="00576E93" w:rsidRPr="00C822F2">
              <w:rPr>
                <w:rStyle w:val="Hipercze"/>
                <w:noProof/>
              </w:rPr>
              <w:t>I.</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Wprowadzenie</w:t>
            </w:r>
            <w:r w:rsidR="00576E93">
              <w:rPr>
                <w:noProof/>
                <w:webHidden/>
              </w:rPr>
              <w:tab/>
            </w:r>
            <w:r w:rsidR="00576E93">
              <w:rPr>
                <w:noProof/>
                <w:webHidden/>
              </w:rPr>
              <w:fldChar w:fldCharType="begin"/>
            </w:r>
            <w:r w:rsidR="00576E93">
              <w:rPr>
                <w:noProof/>
                <w:webHidden/>
              </w:rPr>
              <w:instrText xml:space="preserve"> PAGEREF _Toc193716380 \h </w:instrText>
            </w:r>
            <w:r w:rsidR="00576E93">
              <w:rPr>
                <w:noProof/>
                <w:webHidden/>
              </w:rPr>
            </w:r>
            <w:r w:rsidR="00576E93">
              <w:rPr>
                <w:noProof/>
                <w:webHidden/>
              </w:rPr>
              <w:fldChar w:fldCharType="separate"/>
            </w:r>
            <w:r w:rsidR="00895FE0">
              <w:rPr>
                <w:noProof/>
                <w:webHidden/>
              </w:rPr>
              <w:t>4</w:t>
            </w:r>
            <w:r w:rsidR="00576E93">
              <w:rPr>
                <w:noProof/>
                <w:webHidden/>
              </w:rPr>
              <w:fldChar w:fldCharType="end"/>
            </w:r>
          </w:hyperlink>
        </w:p>
        <w:p w14:paraId="48CB5AB8" w14:textId="30088A36"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81" w:history="1">
            <w:r w:rsidR="00576E93" w:rsidRPr="00C822F2">
              <w:rPr>
                <w:rStyle w:val="Hipercze"/>
                <w:noProof/>
              </w:rPr>
              <w:t>II.</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Cele i działania na rzecz ograniczenia ryzyka związanego ze stosowaniem środków ochrony roślin na lata 2023–2027</w:t>
            </w:r>
            <w:r w:rsidR="00576E93">
              <w:rPr>
                <w:noProof/>
                <w:webHidden/>
              </w:rPr>
              <w:tab/>
            </w:r>
            <w:r w:rsidR="00576E93">
              <w:rPr>
                <w:noProof/>
                <w:webHidden/>
              </w:rPr>
              <w:fldChar w:fldCharType="begin"/>
            </w:r>
            <w:r w:rsidR="00576E93">
              <w:rPr>
                <w:noProof/>
                <w:webHidden/>
              </w:rPr>
              <w:instrText xml:space="preserve"> PAGEREF _Toc193716381 \h </w:instrText>
            </w:r>
            <w:r w:rsidR="00576E93">
              <w:rPr>
                <w:noProof/>
                <w:webHidden/>
              </w:rPr>
            </w:r>
            <w:r w:rsidR="00576E93">
              <w:rPr>
                <w:noProof/>
                <w:webHidden/>
              </w:rPr>
              <w:fldChar w:fldCharType="separate"/>
            </w:r>
            <w:r w:rsidR="00895FE0">
              <w:rPr>
                <w:noProof/>
                <w:webHidden/>
              </w:rPr>
              <w:t>5</w:t>
            </w:r>
            <w:r w:rsidR="00576E93">
              <w:rPr>
                <w:noProof/>
                <w:webHidden/>
              </w:rPr>
              <w:fldChar w:fldCharType="end"/>
            </w:r>
          </w:hyperlink>
        </w:p>
        <w:p w14:paraId="3C64176A" w14:textId="03E8F14A"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82" w:history="1">
            <w:r w:rsidR="00576E93" w:rsidRPr="00C822F2">
              <w:rPr>
                <w:rStyle w:val="Hipercze"/>
                <w:noProof/>
              </w:rPr>
              <w:t>1.</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1. Szkolenia w zakresie środków ochrony roślin</w:t>
            </w:r>
            <w:r w:rsidR="00576E93">
              <w:rPr>
                <w:noProof/>
                <w:webHidden/>
              </w:rPr>
              <w:tab/>
            </w:r>
            <w:r w:rsidR="00576E93">
              <w:rPr>
                <w:noProof/>
                <w:webHidden/>
              </w:rPr>
              <w:fldChar w:fldCharType="begin"/>
            </w:r>
            <w:r w:rsidR="00576E93">
              <w:rPr>
                <w:noProof/>
                <w:webHidden/>
              </w:rPr>
              <w:instrText xml:space="preserve"> PAGEREF _Toc193716382 \h </w:instrText>
            </w:r>
            <w:r w:rsidR="00576E93">
              <w:rPr>
                <w:noProof/>
                <w:webHidden/>
              </w:rPr>
            </w:r>
            <w:r w:rsidR="00576E93">
              <w:rPr>
                <w:noProof/>
                <w:webHidden/>
              </w:rPr>
              <w:fldChar w:fldCharType="separate"/>
            </w:r>
            <w:r w:rsidR="00895FE0">
              <w:rPr>
                <w:noProof/>
                <w:webHidden/>
              </w:rPr>
              <w:t>6</w:t>
            </w:r>
            <w:r w:rsidR="00576E93">
              <w:rPr>
                <w:noProof/>
                <w:webHidden/>
              </w:rPr>
              <w:fldChar w:fldCharType="end"/>
            </w:r>
          </w:hyperlink>
        </w:p>
        <w:p w14:paraId="66E31DCA" w14:textId="55427975"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83" w:history="1">
            <w:r w:rsidR="00576E93" w:rsidRPr="00C822F2">
              <w:rPr>
                <w:rStyle w:val="Hipercze"/>
                <w:noProof/>
              </w:rPr>
              <w:t>2.</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2. Ograniczanie ryzyka związanego ze zbywaniem środków ochrony roślin</w:t>
            </w:r>
            <w:r w:rsidR="00576E93">
              <w:rPr>
                <w:noProof/>
                <w:webHidden/>
              </w:rPr>
              <w:tab/>
            </w:r>
            <w:r w:rsidR="00576E93">
              <w:rPr>
                <w:noProof/>
                <w:webHidden/>
              </w:rPr>
              <w:fldChar w:fldCharType="begin"/>
            </w:r>
            <w:r w:rsidR="00576E93">
              <w:rPr>
                <w:noProof/>
                <w:webHidden/>
              </w:rPr>
              <w:instrText xml:space="preserve"> PAGEREF _Toc193716383 \h </w:instrText>
            </w:r>
            <w:r w:rsidR="00576E93">
              <w:rPr>
                <w:noProof/>
                <w:webHidden/>
              </w:rPr>
            </w:r>
            <w:r w:rsidR="00576E93">
              <w:rPr>
                <w:noProof/>
                <w:webHidden/>
              </w:rPr>
              <w:fldChar w:fldCharType="separate"/>
            </w:r>
            <w:r w:rsidR="00895FE0">
              <w:rPr>
                <w:noProof/>
                <w:webHidden/>
              </w:rPr>
              <w:t>8</w:t>
            </w:r>
            <w:r w:rsidR="00576E93">
              <w:rPr>
                <w:noProof/>
                <w:webHidden/>
              </w:rPr>
              <w:fldChar w:fldCharType="end"/>
            </w:r>
          </w:hyperlink>
        </w:p>
        <w:p w14:paraId="31FAB7E2" w14:textId="41F3AB20"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84" w:history="1">
            <w:r w:rsidR="00576E93" w:rsidRPr="00C822F2">
              <w:rPr>
                <w:rStyle w:val="Hipercze"/>
                <w:noProof/>
              </w:rPr>
              <w:t>3.</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3. Upowszechnianie w społeczeństwie wiedzy o środkach ochrony roślin</w:t>
            </w:r>
            <w:r w:rsidR="00576E93">
              <w:rPr>
                <w:noProof/>
                <w:webHidden/>
              </w:rPr>
              <w:tab/>
            </w:r>
            <w:r w:rsidR="00576E93">
              <w:rPr>
                <w:noProof/>
                <w:webHidden/>
              </w:rPr>
              <w:fldChar w:fldCharType="begin"/>
            </w:r>
            <w:r w:rsidR="00576E93">
              <w:rPr>
                <w:noProof/>
                <w:webHidden/>
              </w:rPr>
              <w:instrText xml:space="preserve"> PAGEREF _Toc193716384 \h </w:instrText>
            </w:r>
            <w:r w:rsidR="00576E93">
              <w:rPr>
                <w:noProof/>
                <w:webHidden/>
              </w:rPr>
            </w:r>
            <w:r w:rsidR="00576E93">
              <w:rPr>
                <w:noProof/>
                <w:webHidden/>
              </w:rPr>
              <w:fldChar w:fldCharType="separate"/>
            </w:r>
            <w:r w:rsidR="00895FE0">
              <w:rPr>
                <w:noProof/>
                <w:webHidden/>
              </w:rPr>
              <w:t>10</w:t>
            </w:r>
            <w:r w:rsidR="00576E93">
              <w:rPr>
                <w:noProof/>
                <w:webHidden/>
              </w:rPr>
              <w:fldChar w:fldCharType="end"/>
            </w:r>
          </w:hyperlink>
        </w:p>
        <w:p w14:paraId="7A6D2959" w14:textId="51B8595A"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385" w:history="1">
            <w:r w:rsidR="00576E93" w:rsidRPr="00C822F2">
              <w:rPr>
                <w:rStyle w:val="Hipercze"/>
                <w:noProof/>
              </w:rPr>
              <w:t>Zadanie 1. Promowanie dobrych praktyk bezpiecznego stosowania środków ochrony roślin</w:t>
            </w:r>
            <w:r w:rsidR="00576E93">
              <w:rPr>
                <w:noProof/>
                <w:webHidden/>
              </w:rPr>
              <w:tab/>
            </w:r>
            <w:r w:rsidR="00576E93">
              <w:rPr>
                <w:noProof/>
                <w:webHidden/>
              </w:rPr>
              <w:fldChar w:fldCharType="begin"/>
            </w:r>
            <w:r w:rsidR="00576E93">
              <w:rPr>
                <w:noProof/>
                <w:webHidden/>
              </w:rPr>
              <w:instrText xml:space="preserve"> PAGEREF _Toc193716385 \h </w:instrText>
            </w:r>
            <w:r w:rsidR="00576E93">
              <w:rPr>
                <w:noProof/>
                <w:webHidden/>
              </w:rPr>
            </w:r>
            <w:r w:rsidR="00576E93">
              <w:rPr>
                <w:noProof/>
                <w:webHidden/>
              </w:rPr>
              <w:fldChar w:fldCharType="separate"/>
            </w:r>
            <w:r w:rsidR="00895FE0">
              <w:rPr>
                <w:noProof/>
                <w:webHidden/>
              </w:rPr>
              <w:t>11</w:t>
            </w:r>
            <w:r w:rsidR="00576E93">
              <w:rPr>
                <w:noProof/>
                <w:webHidden/>
              </w:rPr>
              <w:fldChar w:fldCharType="end"/>
            </w:r>
          </w:hyperlink>
        </w:p>
        <w:p w14:paraId="48D829C7" w14:textId="052ECC5D"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386" w:history="1">
            <w:r w:rsidR="00576E93" w:rsidRPr="00C822F2">
              <w:rPr>
                <w:rStyle w:val="Hipercze"/>
                <w:noProof/>
              </w:rPr>
              <w:t>Zadanie 2. Gromadzenie informacji o zatruciach ludzi środkami ochrony roślin</w:t>
            </w:r>
            <w:r w:rsidR="00576E93">
              <w:rPr>
                <w:noProof/>
                <w:webHidden/>
              </w:rPr>
              <w:tab/>
            </w:r>
            <w:r w:rsidR="00576E93">
              <w:rPr>
                <w:noProof/>
                <w:webHidden/>
              </w:rPr>
              <w:fldChar w:fldCharType="begin"/>
            </w:r>
            <w:r w:rsidR="00576E93">
              <w:rPr>
                <w:noProof/>
                <w:webHidden/>
              </w:rPr>
              <w:instrText xml:space="preserve"> PAGEREF _Toc193716386 \h </w:instrText>
            </w:r>
            <w:r w:rsidR="00576E93">
              <w:rPr>
                <w:noProof/>
                <w:webHidden/>
              </w:rPr>
            </w:r>
            <w:r w:rsidR="00576E93">
              <w:rPr>
                <w:noProof/>
                <w:webHidden/>
              </w:rPr>
              <w:fldChar w:fldCharType="separate"/>
            </w:r>
            <w:r w:rsidR="00895FE0">
              <w:rPr>
                <w:noProof/>
                <w:webHidden/>
              </w:rPr>
              <w:t>11</w:t>
            </w:r>
            <w:r w:rsidR="00576E93">
              <w:rPr>
                <w:noProof/>
                <w:webHidden/>
              </w:rPr>
              <w:fldChar w:fldCharType="end"/>
            </w:r>
          </w:hyperlink>
        </w:p>
        <w:p w14:paraId="27C7873E" w14:textId="379E5E0D"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87" w:history="1">
            <w:r w:rsidR="00576E93" w:rsidRPr="00C822F2">
              <w:rPr>
                <w:rStyle w:val="Hipercze"/>
                <w:noProof/>
              </w:rPr>
              <w:t>4.</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4. Zapewnienie sprawności technicznej sprzętu przeznaczonego do stosowania środków ochrony roślin</w:t>
            </w:r>
            <w:r w:rsidR="00576E93">
              <w:rPr>
                <w:noProof/>
                <w:webHidden/>
              </w:rPr>
              <w:tab/>
            </w:r>
            <w:r w:rsidR="00576E93">
              <w:rPr>
                <w:noProof/>
                <w:webHidden/>
              </w:rPr>
              <w:fldChar w:fldCharType="begin"/>
            </w:r>
            <w:r w:rsidR="00576E93">
              <w:rPr>
                <w:noProof/>
                <w:webHidden/>
              </w:rPr>
              <w:instrText xml:space="preserve"> PAGEREF _Toc193716387 \h </w:instrText>
            </w:r>
            <w:r w:rsidR="00576E93">
              <w:rPr>
                <w:noProof/>
                <w:webHidden/>
              </w:rPr>
            </w:r>
            <w:r w:rsidR="00576E93">
              <w:rPr>
                <w:noProof/>
                <w:webHidden/>
              </w:rPr>
              <w:fldChar w:fldCharType="separate"/>
            </w:r>
            <w:r w:rsidR="00895FE0">
              <w:rPr>
                <w:noProof/>
                <w:webHidden/>
              </w:rPr>
              <w:t>12</w:t>
            </w:r>
            <w:r w:rsidR="00576E93">
              <w:rPr>
                <w:noProof/>
                <w:webHidden/>
              </w:rPr>
              <w:fldChar w:fldCharType="end"/>
            </w:r>
          </w:hyperlink>
        </w:p>
        <w:p w14:paraId="2C9C2819" w14:textId="593ADEFC"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88" w:history="1">
            <w:r w:rsidR="00576E93" w:rsidRPr="00C822F2">
              <w:rPr>
                <w:rStyle w:val="Hipercze"/>
                <w:noProof/>
              </w:rPr>
              <w:t>5.</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5. Zabiegi agrolotnicze</w:t>
            </w:r>
            <w:r w:rsidR="00576E93">
              <w:rPr>
                <w:noProof/>
                <w:webHidden/>
              </w:rPr>
              <w:tab/>
            </w:r>
            <w:r w:rsidR="00576E93">
              <w:rPr>
                <w:noProof/>
                <w:webHidden/>
              </w:rPr>
              <w:fldChar w:fldCharType="begin"/>
            </w:r>
            <w:r w:rsidR="00576E93">
              <w:rPr>
                <w:noProof/>
                <w:webHidden/>
              </w:rPr>
              <w:instrText xml:space="preserve"> PAGEREF _Toc193716388 \h </w:instrText>
            </w:r>
            <w:r w:rsidR="00576E93">
              <w:rPr>
                <w:noProof/>
                <w:webHidden/>
              </w:rPr>
            </w:r>
            <w:r w:rsidR="00576E93">
              <w:rPr>
                <w:noProof/>
                <w:webHidden/>
              </w:rPr>
              <w:fldChar w:fldCharType="separate"/>
            </w:r>
            <w:r w:rsidR="00895FE0">
              <w:rPr>
                <w:noProof/>
                <w:webHidden/>
              </w:rPr>
              <w:t>15</w:t>
            </w:r>
            <w:r w:rsidR="00576E93">
              <w:rPr>
                <w:noProof/>
                <w:webHidden/>
              </w:rPr>
              <w:fldChar w:fldCharType="end"/>
            </w:r>
          </w:hyperlink>
        </w:p>
        <w:p w14:paraId="7DBB0100" w14:textId="298020E5"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89" w:history="1">
            <w:r w:rsidR="00576E93" w:rsidRPr="00C822F2">
              <w:rPr>
                <w:rStyle w:val="Hipercze"/>
                <w:noProof/>
              </w:rPr>
              <w:t>6.</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6. Ostrzeganie osób postronnych o zabiegach ochrony roślin</w:t>
            </w:r>
            <w:r w:rsidR="00576E93">
              <w:rPr>
                <w:noProof/>
                <w:webHidden/>
              </w:rPr>
              <w:tab/>
            </w:r>
            <w:r w:rsidR="00576E93">
              <w:rPr>
                <w:noProof/>
                <w:webHidden/>
              </w:rPr>
              <w:fldChar w:fldCharType="begin"/>
            </w:r>
            <w:r w:rsidR="00576E93">
              <w:rPr>
                <w:noProof/>
                <w:webHidden/>
              </w:rPr>
              <w:instrText xml:space="preserve"> PAGEREF _Toc193716389 \h </w:instrText>
            </w:r>
            <w:r w:rsidR="00576E93">
              <w:rPr>
                <w:noProof/>
                <w:webHidden/>
              </w:rPr>
            </w:r>
            <w:r w:rsidR="00576E93">
              <w:rPr>
                <w:noProof/>
                <w:webHidden/>
              </w:rPr>
              <w:fldChar w:fldCharType="separate"/>
            </w:r>
            <w:r w:rsidR="00895FE0">
              <w:rPr>
                <w:noProof/>
                <w:webHidden/>
              </w:rPr>
              <w:t>17</w:t>
            </w:r>
            <w:r w:rsidR="00576E93">
              <w:rPr>
                <w:noProof/>
                <w:webHidden/>
              </w:rPr>
              <w:fldChar w:fldCharType="end"/>
            </w:r>
          </w:hyperlink>
        </w:p>
        <w:p w14:paraId="0A224681" w14:textId="04A9F32D"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90" w:history="1">
            <w:r w:rsidR="00576E93" w:rsidRPr="00C822F2">
              <w:rPr>
                <w:rStyle w:val="Hipercze"/>
                <w:noProof/>
              </w:rPr>
              <w:t>7.</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7. Środki ochrony środowiska wodnego i wody pitnej</w:t>
            </w:r>
            <w:r w:rsidR="00576E93">
              <w:rPr>
                <w:noProof/>
                <w:webHidden/>
              </w:rPr>
              <w:tab/>
            </w:r>
            <w:r w:rsidR="00576E93">
              <w:rPr>
                <w:noProof/>
                <w:webHidden/>
              </w:rPr>
              <w:fldChar w:fldCharType="begin"/>
            </w:r>
            <w:r w:rsidR="00576E93">
              <w:rPr>
                <w:noProof/>
                <w:webHidden/>
              </w:rPr>
              <w:instrText xml:space="preserve"> PAGEREF _Toc193716390 \h </w:instrText>
            </w:r>
            <w:r w:rsidR="00576E93">
              <w:rPr>
                <w:noProof/>
                <w:webHidden/>
              </w:rPr>
            </w:r>
            <w:r w:rsidR="00576E93">
              <w:rPr>
                <w:noProof/>
                <w:webHidden/>
              </w:rPr>
              <w:fldChar w:fldCharType="separate"/>
            </w:r>
            <w:r w:rsidR="00895FE0">
              <w:rPr>
                <w:noProof/>
                <w:webHidden/>
              </w:rPr>
              <w:t>17</w:t>
            </w:r>
            <w:r w:rsidR="00576E93">
              <w:rPr>
                <w:noProof/>
                <w:webHidden/>
              </w:rPr>
              <w:fldChar w:fldCharType="end"/>
            </w:r>
          </w:hyperlink>
        </w:p>
        <w:p w14:paraId="5FF76CBF" w14:textId="40162823"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391" w:history="1">
            <w:r w:rsidR="00576E93" w:rsidRPr="00C822F2">
              <w:rPr>
                <w:rStyle w:val="Hipercze"/>
                <w:noProof/>
              </w:rPr>
              <w:t>Zadanie 1. Prowadzenie monitoringu wód powierzchniowych, podziemnych i osadów dennych</w:t>
            </w:r>
            <w:r w:rsidR="00576E93">
              <w:rPr>
                <w:noProof/>
                <w:webHidden/>
              </w:rPr>
              <w:tab/>
            </w:r>
            <w:r w:rsidR="00576E93">
              <w:rPr>
                <w:noProof/>
                <w:webHidden/>
              </w:rPr>
              <w:fldChar w:fldCharType="begin"/>
            </w:r>
            <w:r w:rsidR="00576E93">
              <w:rPr>
                <w:noProof/>
                <w:webHidden/>
              </w:rPr>
              <w:instrText xml:space="preserve"> PAGEREF _Toc193716391 \h </w:instrText>
            </w:r>
            <w:r w:rsidR="00576E93">
              <w:rPr>
                <w:noProof/>
                <w:webHidden/>
              </w:rPr>
            </w:r>
            <w:r w:rsidR="00576E93">
              <w:rPr>
                <w:noProof/>
                <w:webHidden/>
              </w:rPr>
              <w:fldChar w:fldCharType="separate"/>
            </w:r>
            <w:r w:rsidR="00895FE0">
              <w:rPr>
                <w:noProof/>
                <w:webHidden/>
              </w:rPr>
              <w:t>18</w:t>
            </w:r>
            <w:r w:rsidR="00576E93">
              <w:rPr>
                <w:noProof/>
                <w:webHidden/>
              </w:rPr>
              <w:fldChar w:fldCharType="end"/>
            </w:r>
          </w:hyperlink>
        </w:p>
        <w:p w14:paraId="3213C9D5" w14:textId="27939DD8" w:rsidR="00576E93" w:rsidRDefault="00B324B2">
          <w:pPr>
            <w:pStyle w:val="Spistreci3"/>
            <w:rPr>
              <w:rFonts w:asciiTheme="minorHAnsi" w:eastAsiaTheme="minorEastAsia" w:hAnsiTheme="minorHAnsi" w:cstheme="minorBidi"/>
              <w:iCs w:val="0"/>
              <w:noProof/>
              <w:kern w:val="2"/>
              <w:sz w:val="24"/>
              <w:szCs w:val="24"/>
              <w14:ligatures w14:val="standardContextual"/>
            </w:rPr>
          </w:pPr>
          <w:hyperlink w:anchor="_Toc193716392" w:history="1">
            <w:r w:rsidR="00576E93" w:rsidRPr="00C822F2">
              <w:rPr>
                <w:rStyle w:val="Hipercze"/>
                <w:noProof/>
              </w:rPr>
              <w:t>Podzadanie 1. Wody powierzchniowe</w:t>
            </w:r>
            <w:r w:rsidR="00576E93">
              <w:rPr>
                <w:noProof/>
                <w:webHidden/>
              </w:rPr>
              <w:tab/>
            </w:r>
            <w:r w:rsidR="00576E93">
              <w:rPr>
                <w:noProof/>
                <w:webHidden/>
              </w:rPr>
              <w:fldChar w:fldCharType="begin"/>
            </w:r>
            <w:r w:rsidR="00576E93">
              <w:rPr>
                <w:noProof/>
                <w:webHidden/>
              </w:rPr>
              <w:instrText xml:space="preserve"> PAGEREF _Toc193716392 \h </w:instrText>
            </w:r>
            <w:r w:rsidR="00576E93">
              <w:rPr>
                <w:noProof/>
                <w:webHidden/>
              </w:rPr>
            </w:r>
            <w:r w:rsidR="00576E93">
              <w:rPr>
                <w:noProof/>
                <w:webHidden/>
              </w:rPr>
              <w:fldChar w:fldCharType="separate"/>
            </w:r>
            <w:r w:rsidR="00895FE0">
              <w:rPr>
                <w:noProof/>
                <w:webHidden/>
              </w:rPr>
              <w:t>20</w:t>
            </w:r>
            <w:r w:rsidR="00576E93">
              <w:rPr>
                <w:noProof/>
                <w:webHidden/>
              </w:rPr>
              <w:fldChar w:fldCharType="end"/>
            </w:r>
          </w:hyperlink>
        </w:p>
        <w:p w14:paraId="3C32C02E" w14:textId="5D21B95C" w:rsidR="00576E93" w:rsidRDefault="00B324B2">
          <w:pPr>
            <w:pStyle w:val="Spistreci3"/>
            <w:rPr>
              <w:rFonts w:asciiTheme="minorHAnsi" w:eastAsiaTheme="minorEastAsia" w:hAnsiTheme="minorHAnsi" w:cstheme="minorBidi"/>
              <w:iCs w:val="0"/>
              <w:noProof/>
              <w:kern w:val="2"/>
              <w:sz w:val="24"/>
              <w:szCs w:val="24"/>
              <w14:ligatures w14:val="standardContextual"/>
            </w:rPr>
          </w:pPr>
          <w:hyperlink w:anchor="_Toc193716393" w:history="1">
            <w:r w:rsidR="00576E93" w:rsidRPr="00C822F2">
              <w:rPr>
                <w:rStyle w:val="Hipercze"/>
                <w:noProof/>
              </w:rPr>
              <w:t>Podzadanie 2. Wody podziemne</w:t>
            </w:r>
            <w:r w:rsidR="00576E93">
              <w:rPr>
                <w:noProof/>
                <w:webHidden/>
              </w:rPr>
              <w:tab/>
            </w:r>
            <w:r w:rsidR="00576E93">
              <w:rPr>
                <w:noProof/>
                <w:webHidden/>
              </w:rPr>
              <w:fldChar w:fldCharType="begin"/>
            </w:r>
            <w:r w:rsidR="00576E93">
              <w:rPr>
                <w:noProof/>
                <w:webHidden/>
              </w:rPr>
              <w:instrText xml:space="preserve"> PAGEREF _Toc193716393 \h </w:instrText>
            </w:r>
            <w:r w:rsidR="00576E93">
              <w:rPr>
                <w:noProof/>
                <w:webHidden/>
              </w:rPr>
            </w:r>
            <w:r w:rsidR="00576E93">
              <w:rPr>
                <w:noProof/>
                <w:webHidden/>
              </w:rPr>
              <w:fldChar w:fldCharType="separate"/>
            </w:r>
            <w:r w:rsidR="00895FE0">
              <w:rPr>
                <w:noProof/>
                <w:webHidden/>
              </w:rPr>
              <w:t>21</w:t>
            </w:r>
            <w:r w:rsidR="00576E93">
              <w:rPr>
                <w:noProof/>
                <w:webHidden/>
              </w:rPr>
              <w:fldChar w:fldCharType="end"/>
            </w:r>
          </w:hyperlink>
        </w:p>
        <w:p w14:paraId="02036959" w14:textId="750248A1" w:rsidR="00576E93" w:rsidRDefault="00B324B2">
          <w:pPr>
            <w:pStyle w:val="Spistreci3"/>
            <w:rPr>
              <w:rFonts w:asciiTheme="minorHAnsi" w:eastAsiaTheme="minorEastAsia" w:hAnsiTheme="minorHAnsi" w:cstheme="minorBidi"/>
              <w:iCs w:val="0"/>
              <w:noProof/>
              <w:kern w:val="2"/>
              <w:sz w:val="24"/>
              <w:szCs w:val="24"/>
              <w14:ligatures w14:val="standardContextual"/>
            </w:rPr>
          </w:pPr>
          <w:hyperlink w:anchor="_Toc193716394" w:history="1">
            <w:r w:rsidR="00576E93" w:rsidRPr="00C822F2">
              <w:rPr>
                <w:rStyle w:val="Hipercze"/>
                <w:noProof/>
              </w:rPr>
              <w:t>Podzadanie 3. Osady denne</w:t>
            </w:r>
            <w:r w:rsidR="00576E93">
              <w:rPr>
                <w:noProof/>
                <w:webHidden/>
              </w:rPr>
              <w:tab/>
            </w:r>
            <w:r w:rsidR="00576E93">
              <w:rPr>
                <w:noProof/>
                <w:webHidden/>
              </w:rPr>
              <w:fldChar w:fldCharType="begin"/>
            </w:r>
            <w:r w:rsidR="00576E93">
              <w:rPr>
                <w:noProof/>
                <w:webHidden/>
              </w:rPr>
              <w:instrText xml:space="preserve"> PAGEREF _Toc193716394 \h </w:instrText>
            </w:r>
            <w:r w:rsidR="00576E93">
              <w:rPr>
                <w:noProof/>
                <w:webHidden/>
              </w:rPr>
            </w:r>
            <w:r w:rsidR="00576E93">
              <w:rPr>
                <w:noProof/>
                <w:webHidden/>
              </w:rPr>
              <w:fldChar w:fldCharType="separate"/>
            </w:r>
            <w:r w:rsidR="00895FE0">
              <w:rPr>
                <w:noProof/>
                <w:webHidden/>
              </w:rPr>
              <w:t>24</w:t>
            </w:r>
            <w:r w:rsidR="00576E93">
              <w:rPr>
                <w:noProof/>
                <w:webHidden/>
              </w:rPr>
              <w:fldChar w:fldCharType="end"/>
            </w:r>
          </w:hyperlink>
        </w:p>
        <w:p w14:paraId="57ED3D7E" w14:textId="3DB01E92"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395" w:history="1">
            <w:r w:rsidR="00576E93" w:rsidRPr="00C822F2">
              <w:rPr>
                <w:rStyle w:val="Hipercze"/>
                <w:noProof/>
              </w:rPr>
              <w:t>Zadanie 2. Prowadzenie monitoringu wody przeznaczonej do spożycia przez ludzi</w:t>
            </w:r>
            <w:r w:rsidR="00576E93">
              <w:rPr>
                <w:noProof/>
                <w:webHidden/>
              </w:rPr>
              <w:tab/>
            </w:r>
            <w:r w:rsidR="00576E93">
              <w:rPr>
                <w:noProof/>
                <w:webHidden/>
              </w:rPr>
              <w:fldChar w:fldCharType="begin"/>
            </w:r>
            <w:r w:rsidR="00576E93">
              <w:rPr>
                <w:noProof/>
                <w:webHidden/>
              </w:rPr>
              <w:instrText xml:space="preserve"> PAGEREF _Toc193716395 \h </w:instrText>
            </w:r>
            <w:r w:rsidR="00576E93">
              <w:rPr>
                <w:noProof/>
                <w:webHidden/>
              </w:rPr>
            </w:r>
            <w:r w:rsidR="00576E93">
              <w:rPr>
                <w:noProof/>
                <w:webHidden/>
              </w:rPr>
              <w:fldChar w:fldCharType="separate"/>
            </w:r>
            <w:r w:rsidR="00895FE0">
              <w:rPr>
                <w:noProof/>
                <w:webHidden/>
              </w:rPr>
              <w:t>25</w:t>
            </w:r>
            <w:r w:rsidR="00576E93">
              <w:rPr>
                <w:noProof/>
                <w:webHidden/>
              </w:rPr>
              <w:fldChar w:fldCharType="end"/>
            </w:r>
          </w:hyperlink>
        </w:p>
        <w:p w14:paraId="435CF387" w14:textId="731848F6"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396" w:history="1">
            <w:r w:rsidR="00576E93" w:rsidRPr="00C822F2">
              <w:rPr>
                <w:rStyle w:val="Hipercze"/>
                <w:noProof/>
              </w:rPr>
              <w:t>Zadanie 3. Badanie wpływu chemicznej ochrony roślin na stan wód powierzchniowych</w:t>
            </w:r>
            <w:r w:rsidR="00576E93">
              <w:rPr>
                <w:noProof/>
                <w:webHidden/>
              </w:rPr>
              <w:tab/>
            </w:r>
            <w:r w:rsidR="00576E93">
              <w:rPr>
                <w:noProof/>
                <w:webHidden/>
              </w:rPr>
              <w:fldChar w:fldCharType="begin"/>
            </w:r>
            <w:r w:rsidR="00576E93">
              <w:rPr>
                <w:noProof/>
                <w:webHidden/>
              </w:rPr>
              <w:instrText xml:space="preserve"> PAGEREF _Toc193716396 \h </w:instrText>
            </w:r>
            <w:r w:rsidR="00576E93">
              <w:rPr>
                <w:noProof/>
                <w:webHidden/>
              </w:rPr>
            </w:r>
            <w:r w:rsidR="00576E93">
              <w:rPr>
                <w:noProof/>
                <w:webHidden/>
              </w:rPr>
              <w:fldChar w:fldCharType="separate"/>
            </w:r>
            <w:r w:rsidR="00895FE0">
              <w:rPr>
                <w:noProof/>
                <w:webHidden/>
              </w:rPr>
              <w:t>27</w:t>
            </w:r>
            <w:r w:rsidR="00576E93">
              <w:rPr>
                <w:noProof/>
                <w:webHidden/>
              </w:rPr>
              <w:fldChar w:fldCharType="end"/>
            </w:r>
          </w:hyperlink>
        </w:p>
        <w:p w14:paraId="5FF749F9" w14:textId="676BB698"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397" w:history="1">
            <w:r w:rsidR="00576E93" w:rsidRPr="00C822F2">
              <w:rPr>
                <w:rStyle w:val="Hipercze"/>
                <w:noProof/>
              </w:rPr>
              <w:t>Zadanie 4. Nadzór nad środkami ochrony roślin zawierającymi substancje czynne, które powinny być objęte szczególnym monitoringiem</w:t>
            </w:r>
            <w:r w:rsidR="00576E93">
              <w:rPr>
                <w:noProof/>
                <w:webHidden/>
              </w:rPr>
              <w:tab/>
            </w:r>
            <w:r w:rsidR="00576E93">
              <w:rPr>
                <w:noProof/>
                <w:webHidden/>
              </w:rPr>
              <w:fldChar w:fldCharType="begin"/>
            </w:r>
            <w:r w:rsidR="00576E93">
              <w:rPr>
                <w:noProof/>
                <w:webHidden/>
              </w:rPr>
              <w:instrText xml:space="preserve"> PAGEREF _Toc193716397 \h </w:instrText>
            </w:r>
            <w:r w:rsidR="00576E93">
              <w:rPr>
                <w:noProof/>
                <w:webHidden/>
              </w:rPr>
            </w:r>
            <w:r w:rsidR="00576E93">
              <w:rPr>
                <w:noProof/>
                <w:webHidden/>
              </w:rPr>
              <w:fldChar w:fldCharType="separate"/>
            </w:r>
            <w:r w:rsidR="00895FE0">
              <w:rPr>
                <w:noProof/>
                <w:webHidden/>
              </w:rPr>
              <w:t>30</w:t>
            </w:r>
            <w:r w:rsidR="00576E93">
              <w:rPr>
                <w:noProof/>
                <w:webHidden/>
              </w:rPr>
              <w:fldChar w:fldCharType="end"/>
            </w:r>
          </w:hyperlink>
        </w:p>
        <w:p w14:paraId="2CDDBDAF" w14:textId="450FC606"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98" w:history="1">
            <w:r w:rsidR="00576E93" w:rsidRPr="00C822F2">
              <w:rPr>
                <w:rStyle w:val="Hipercze"/>
                <w:noProof/>
              </w:rPr>
              <w:t>8.</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8. Ograniczenie stosowania środków ochrony roślin na obszarach szczególnie wrażliwych</w:t>
            </w:r>
            <w:r w:rsidR="00576E93">
              <w:rPr>
                <w:noProof/>
                <w:webHidden/>
              </w:rPr>
              <w:tab/>
            </w:r>
            <w:r w:rsidR="00576E93">
              <w:rPr>
                <w:noProof/>
                <w:webHidden/>
              </w:rPr>
              <w:fldChar w:fldCharType="begin"/>
            </w:r>
            <w:r w:rsidR="00576E93">
              <w:rPr>
                <w:noProof/>
                <w:webHidden/>
              </w:rPr>
              <w:instrText xml:space="preserve"> PAGEREF _Toc193716398 \h </w:instrText>
            </w:r>
            <w:r w:rsidR="00576E93">
              <w:rPr>
                <w:noProof/>
                <w:webHidden/>
              </w:rPr>
            </w:r>
            <w:r w:rsidR="00576E93">
              <w:rPr>
                <w:noProof/>
                <w:webHidden/>
              </w:rPr>
              <w:fldChar w:fldCharType="separate"/>
            </w:r>
            <w:r w:rsidR="00895FE0">
              <w:rPr>
                <w:noProof/>
                <w:webHidden/>
              </w:rPr>
              <w:t>32</w:t>
            </w:r>
            <w:r w:rsidR="00576E93">
              <w:rPr>
                <w:noProof/>
                <w:webHidden/>
              </w:rPr>
              <w:fldChar w:fldCharType="end"/>
            </w:r>
          </w:hyperlink>
        </w:p>
        <w:p w14:paraId="51C2AF73" w14:textId="13B7D4FF"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399" w:history="1">
            <w:r w:rsidR="00576E93" w:rsidRPr="00C822F2">
              <w:rPr>
                <w:rStyle w:val="Hipercze"/>
                <w:noProof/>
              </w:rPr>
              <w:t>9.</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9. Wyeliminowanie zagrożeń na poszczególnych etapach wykonywania zabiegów ochrony roślin</w:t>
            </w:r>
            <w:r w:rsidR="00576E93">
              <w:rPr>
                <w:noProof/>
                <w:webHidden/>
              </w:rPr>
              <w:tab/>
            </w:r>
            <w:r w:rsidR="00576E93">
              <w:rPr>
                <w:noProof/>
                <w:webHidden/>
              </w:rPr>
              <w:fldChar w:fldCharType="begin"/>
            </w:r>
            <w:r w:rsidR="00576E93">
              <w:rPr>
                <w:noProof/>
                <w:webHidden/>
              </w:rPr>
              <w:instrText xml:space="preserve"> PAGEREF _Toc193716399 \h </w:instrText>
            </w:r>
            <w:r w:rsidR="00576E93">
              <w:rPr>
                <w:noProof/>
                <w:webHidden/>
              </w:rPr>
            </w:r>
            <w:r w:rsidR="00576E93">
              <w:rPr>
                <w:noProof/>
                <w:webHidden/>
              </w:rPr>
              <w:fldChar w:fldCharType="separate"/>
            </w:r>
            <w:r w:rsidR="00895FE0">
              <w:rPr>
                <w:noProof/>
                <w:webHidden/>
              </w:rPr>
              <w:t>34</w:t>
            </w:r>
            <w:r w:rsidR="00576E93">
              <w:rPr>
                <w:noProof/>
                <w:webHidden/>
              </w:rPr>
              <w:fldChar w:fldCharType="end"/>
            </w:r>
          </w:hyperlink>
        </w:p>
        <w:p w14:paraId="34D1B68E" w14:textId="6DC056B1"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400" w:history="1">
            <w:r w:rsidR="00576E93" w:rsidRPr="00C822F2">
              <w:rPr>
                <w:rStyle w:val="Hipercze"/>
                <w:noProof/>
              </w:rPr>
              <w:t>10.</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10. Integrowana ochrona roślin</w:t>
            </w:r>
            <w:r w:rsidR="00576E93">
              <w:rPr>
                <w:noProof/>
                <w:webHidden/>
              </w:rPr>
              <w:tab/>
            </w:r>
            <w:r w:rsidR="00576E93">
              <w:rPr>
                <w:noProof/>
                <w:webHidden/>
              </w:rPr>
              <w:fldChar w:fldCharType="begin"/>
            </w:r>
            <w:r w:rsidR="00576E93">
              <w:rPr>
                <w:noProof/>
                <w:webHidden/>
              </w:rPr>
              <w:instrText xml:space="preserve"> PAGEREF _Toc193716400 \h </w:instrText>
            </w:r>
            <w:r w:rsidR="00576E93">
              <w:rPr>
                <w:noProof/>
                <w:webHidden/>
              </w:rPr>
            </w:r>
            <w:r w:rsidR="00576E93">
              <w:rPr>
                <w:noProof/>
                <w:webHidden/>
              </w:rPr>
              <w:fldChar w:fldCharType="separate"/>
            </w:r>
            <w:r w:rsidR="00895FE0">
              <w:rPr>
                <w:noProof/>
                <w:webHidden/>
              </w:rPr>
              <w:t>35</w:t>
            </w:r>
            <w:r w:rsidR="00576E93">
              <w:rPr>
                <w:noProof/>
                <w:webHidden/>
              </w:rPr>
              <w:fldChar w:fldCharType="end"/>
            </w:r>
          </w:hyperlink>
        </w:p>
        <w:p w14:paraId="6C552F03" w14:textId="290A1B68"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1" w:history="1">
            <w:r w:rsidR="00576E93" w:rsidRPr="00C822F2">
              <w:rPr>
                <w:rStyle w:val="Hipercze"/>
                <w:noProof/>
              </w:rPr>
              <w:t>Zadanie 1. Upowszechnianie wiedzy z zakresu integrowanej ochrony roślin</w:t>
            </w:r>
            <w:r w:rsidR="00576E93">
              <w:rPr>
                <w:noProof/>
                <w:webHidden/>
              </w:rPr>
              <w:tab/>
            </w:r>
            <w:r w:rsidR="00576E93">
              <w:rPr>
                <w:noProof/>
                <w:webHidden/>
              </w:rPr>
              <w:fldChar w:fldCharType="begin"/>
            </w:r>
            <w:r w:rsidR="00576E93">
              <w:rPr>
                <w:noProof/>
                <w:webHidden/>
              </w:rPr>
              <w:instrText xml:space="preserve"> PAGEREF _Toc193716401 \h </w:instrText>
            </w:r>
            <w:r w:rsidR="00576E93">
              <w:rPr>
                <w:noProof/>
                <w:webHidden/>
              </w:rPr>
            </w:r>
            <w:r w:rsidR="00576E93">
              <w:rPr>
                <w:noProof/>
                <w:webHidden/>
              </w:rPr>
              <w:fldChar w:fldCharType="separate"/>
            </w:r>
            <w:r w:rsidR="00895FE0">
              <w:rPr>
                <w:noProof/>
                <w:webHidden/>
              </w:rPr>
              <w:t>36</w:t>
            </w:r>
            <w:r w:rsidR="00576E93">
              <w:rPr>
                <w:noProof/>
                <w:webHidden/>
              </w:rPr>
              <w:fldChar w:fldCharType="end"/>
            </w:r>
          </w:hyperlink>
        </w:p>
        <w:p w14:paraId="1AF98698" w14:textId="7E1C6A99"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2" w:history="1">
            <w:r w:rsidR="00576E93" w:rsidRPr="00C822F2">
              <w:rPr>
                <w:rStyle w:val="Hipercze"/>
                <w:noProof/>
              </w:rPr>
              <w:t>Zadanie 2. Utrzymanie platformy internetowej poświęconej integrowanej ochronie roślin</w:t>
            </w:r>
            <w:r w:rsidR="00576E93">
              <w:rPr>
                <w:noProof/>
                <w:webHidden/>
              </w:rPr>
              <w:tab/>
            </w:r>
            <w:r w:rsidR="00576E93">
              <w:rPr>
                <w:noProof/>
                <w:webHidden/>
              </w:rPr>
              <w:fldChar w:fldCharType="begin"/>
            </w:r>
            <w:r w:rsidR="00576E93">
              <w:rPr>
                <w:noProof/>
                <w:webHidden/>
              </w:rPr>
              <w:instrText xml:space="preserve"> PAGEREF _Toc193716402 \h </w:instrText>
            </w:r>
            <w:r w:rsidR="00576E93">
              <w:rPr>
                <w:noProof/>
                <w:webHidden/>
              </w:rPr>
            </w:r>
            <w:r w:rsidR="00576E93">
              <w:rPr>
                <w:noProof/>
                <w:webHidden/>
              </w:rPr>
              <w:fldChar w:fldCharType="separate"/>
            </w:r>
            <w:r w:rsidR="00895FE0">
              <w:rPr>
                <w:noProof/>
                <w:webHidden/>
              </w:rPr>
              <w:t>40</w:t>
            </w:r>
            <w:r w:rsidR="00576E93">
              <w:rPr>
                <w:noProof/>
                <w:webHidden/>
              </w:rPr>
              <w:fldChar w:fldCharType="end"/>
            </w:r>
          </w:hyperlink>
        </w:p>
        <w:p w14:paraId="71AD3C79" w14:textId="60422BD6"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3" w:history="1">
            <w:r w:rsidR="00576E93" w:rsidRPr="00C822F2">
              <w:rPr>
                <w:rStyle w:val="Hipercze"/>
                <w:noProof/>
              </w:rPr>
              <w:t>Zadanie 3. Opracowanie, aktualizacja i udostępnienie metodyk integrowanej ochrony poszczególnych upraw</w:t>
            </w:r>
            <w:r w:rsidR="00576E93">
              <w:rPr>
                <w:noProof/>
                <w:webHidden/>
              </w:rPr>
              <w:tab/>
            </w:r>
            <w:r w:rsidR="00576E93">
              <w:rPr>
                <w:noProof/>
                <w:webHidden/>
              </w:rPr>
              <w:fldChar w:fldCharType="begin"/>
            </w:r>
            <w:r w:rsidR="00576E93">
              <w:rPr>
                <w:noProof/>
                <w:webHidden/>
              </w:rPr>
              <w:instrText xml:space="preserve"> PAGEREF _Toc193716403 \h </w:instrText>
            </w:r>
            <w:r w:rsidR="00576E93">
              <w:rPr>
                <w:noProof/>
                <w:webHidden/>
              </w:rPr>
            </w:r>
            <w:r w:rsidR="00576E93">
              <w:rPr>
                <w:noProof/>
                <w:webHidden/>
              </w:rPr>
              <w:fldChar w:fldCharType="separate"/>
            </w:r>
            <w:r w:rsidR="00895FE0">
              <w:rPr>
                <w:noProof/>
                <w:webHidden/>
              </w:rPr>
              <w:t>41</w:t>
            </w:r>
            <w:r w:rsidR="00576E93">
              <w:rPr>
                <w:noProof/>
                <w:webHidden/>
              </w:rPr>
              <w:fldChar w:fldCharType="end"/>
            </w:r>
          </w:hyperlink>
        </w:p>
        <w:p w14:paraId="1DF5E432" w14:textId="2C61B5C1"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4" w:history="1">
            <w:r w:rsidR="00576E93" w:rsidRPr="00C822F2">
              <w:rPr>
                <w:rStyle w:val="Hipercze"/>
                <w:noProof/>
              </w:rPr>
              <w:t>Zadanie 4. Prowadzenie systemu sygnalizacji agrofagów</w:t>
            </w:r>
            <w:r w:rsidR="00576E93">
              <w:rPr>
                <w:noProof/>
                <w:webHidden/>
              </w:rPr>
              <w:tab/>
            </w:r>
            <w:r w:rsidR="00576E93">
              <w:rPr>
                <w:noProof/>
                <w:webHidden/>
              </w:rPr>
              <w:fldChar w:fldCharType="begin"/>
            </w:r>
            <w:r w:rsidR="00576E93">
              <w:rPr>
                <w:noProof/>
                <w:webHidden/>
              </w:rPr>
              <w:instrText xml:space="preserve"> PAGEREF _Toc193716404 \h </w:instrText>
            </w:r>
            <w:r w:rsidR="00576E93">
              <w:rPr>
                <w:noProof/>
                <w:webHidden/>
              </w:rPr>
            </w:r>
            <w:r w:rsidR="00576E93">
              <w:rPr>
                <w:noProof/>
                <w:webHidden/>
              </w:rPr>
              <w:fldChar w:fldCharType="separate"/>
            </w:r>
            <w:r w:rsidR="00895FE0">
              <w:rPr>
                <w:noProof/>
                <w:webHidden/>
              </w:rPr>
              <w:t>41</w:t>
            </w:r>
            <w:r w:rsidR="00576E93">
              <w:rPr>
                <w:noProof/>
                <w:webHidden/>
              </w:rPr>
              <w:fldChar w:fldCharType="end"/>
            </w:r>
          </w:hyperlink>
        </w:p>
        <w:p w14:paraId="7D401DEA" w14:textId="2F9896FB"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5" w:history="1">
            <w:r w:rsidR="00576E93" w:rsidRPr="00C822F2">
              <w:rPr>
                <w:rStyle w:val="Hipercze"/>
                <w:noProof/>
              </w:rPr>
              <w:t>Zadanie 5. Udostępnienie systemów wspomagania podejmowania decyzji w ochronie roślin</w:t>
            </w:r>
            <w:r w:rsidR="00576E93">
              <w:rPr>
                <w:noProof/>
                <w:webHidden/>
              </w:rPr>
              <w:tab/>
            </w:r>
            <w:r w:rsidR="00576E93">
              <w:rPr>
                <w:noProof/>
                <w:webHidden/>
              </w:rPr>
              <w:fldChar w:fldCharType="begin"/>
            </w:r>
            <w:r w:rsidR="00576E93">
              <w:rPr>
                <w:noProof/>
                <w:webHidden/>
              </w:rPr>
              <w:instrText xml:space="preserve"> PAGEREF _Toc193716405 \h </w:instrText>
            </w:r>
            <w:r w:rsidR="00576E93">
              <w:rPr>
                <w:noProof/>
                <w:webHidden/>
              </w:rPr>
            </w:r>
            <w:r w:rsidR="00576E93">
              <w:rPr>
                <w:noProof/>
                <w:webHidden/>
              </w:rPr>
              <w:fldChar w:fldCharType="separate"/>
            </w:r>
            <w:r w:rsidR="00895FE0">
              <w:rPr>
                <w:noProof/>
                <w:webHidden/>
              </w:rPr>
              <w:t>43</w:t>
            </w:r>
            <w:r w:rsidR="00576E93">
              <w:rPr>
                <w:noProof/>
                <w:webHidden/>
              </w:rPr>
              <w:fldChar w:fldCharType="end"/>
            </w:r>
          </w:hyperlink>
        </w:p>
        <w:p w14:paraId="1FC88C5A" w14:textId="6A36D1BD"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6" w:history="1">
            <w:r w:rsidR="00576E93" w:rsidRPr="00C822F2">
              <w:rPr>
                <w:rStyle w:val="Hipercze"/>
                <w:noProof/>
              </w:rPr>
              <w:t>Zadanie 6. Udostępnienie programów integrowanej ochrony roślin</w:t>
            </w:r>
            <w:r w:rsidR="00576E93">
              <w:rPr>
                <w:noProof/>
                <w:webHidden/>
              </w:rPr>
              <w:tab/>
            </w:r>
            <w:r w:rsidR="00576E93">
              <w:rPr>
                <w:noProof/>
                <w:webHidden/>
              </w:rPr>
              <w:fldChar w:fldCharType="begin"/>
            </w:r>
            <w:r w:rsidR="00576E93">
              <w:rPr>
                <w:noProof/>
                <w:webHidden/>
              </w:rPr>
              <w:instrText xml:space="preserve"> PAGEREF _Toc193716406 \h </w:instrText>
            </w:r>
            <w:r w:rsidR="00576E93">
              <w:rPr>
                <w:noProof/>
                <w:webHidden/>
              </w:rPr>
            </w:r>
            <w:r w:rsidR="00576E93">
              <w:rPr>
                <w:noProof/>
                <w:webHidden/>
              </w:rPr>
              <w:fldChar w:fldCharType="separate"/>
            </w:r>
            <w:r w:rsidR="00895FE0">
              <w:rPr>
                <w:noProof/>
                <w:webHidden/>
              </w:rPr>
              <w:t>44</w:t>
            </w:r>
            <w:r w:rsidR="00576E93">
              <w:rPr>
                <w:noProof/>
                <w:webHidden/>
              </w:rPr>
              <w:fldChar w:fldCharType="end"/>
            </w:r>
          </w:hyperlink>
        </w:p>
        <w:p w14:paraId="6BBD135D" w14:textId="6269EFDE"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7" w:history="1">
            <w:r w:rsidR="00576E93" w:rsidRPr="00C822F2">
              <w:rPr>
                <w:rStyle w:val="Hipercze"/>
                <w:noProof/>
              </w:rPr>
              <w:t>Zadanie 7. Upowszechnianie wyników oceny prowadzonej w ramach Porejestrowego Doświadczalnictwa Odmianowego</w:t>
            </w:r>
            <w:r w:rsidR="00576E93">
              <w:rPr>
                <w:noProof/>
                <w:webHidden/>
              </w:rPr>
              <w:tab/>
            </w:r>
            <w:r w:rsidR="00576E93">
              <w:rPr>
                <w:noProof/>
                <w:webHidden/>
              </w:rPr>
              <w:fldChar w:fldCharType="begin"/>
            </w:r>
            <w:r w:rsidR="00576E93">
              <w:rPr>
                <w:noProof/>
                <w:webHidden/>
              </w:rPr>
              <w:instrText xml:space="preserve"> PAGEREF _Toc193716407 \h </w:instrText>
            </w:r>
            <w:r w:rsidR="00576E93">
              <w:rPr>
                <w:noProof/>
                <w:webHidden/>
              </w:rPr>
            </w:r>
            <w:r w:rsidR="00576E93">
              <w:rPr>
                <w:noProof/>
                <w:webHidden/>
              </w:rPr>
              <w:fldChar w:fldCharType="separate"/>
            </w:r>
            <w:r w:rsidR="00895FE0">
              <w:rPr>
                <w:noProof/>
                <w:webHidden/>
              </w:rPr>
              <w:t>46</w:t>
            </w:r>
            <w:r w:rsidR="00576E93">
              <w:rPr>
                <w:noProof/>
                <w:webHidden/>
              </w:rPr>
              <w:fldChar w:fldCharType="end"/>
            </w:r>
          </w:hyperlink>
        </w:p>
        <w:p w14:paraId="4F9CB93E" w14:textId="224F936A"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8" w:history="1">
            <w:r w:rsidR="00576E93" w:rsidRPr="00C822F2">
              <w:rPr>
                <w:rStyle w:val="Hipercze"/>
                <w:noProof/>
              </w:rPr>
              <w:t>Zadanie 8. Upowszechnianie systemu integrowanej produkcji roślin</w:t>
            </w:r>
            <w:r w:rsidR="00576E93">
              <w:rPr>
                <w:noProof/>
                <w:webHidden/>
              </w:rPr>
              <w:tab/>
            </w:r>
            <w:r w:rsidR="00576E93">
              <w:rPr>
                <w:noProof/>
                <w:webHidden/>
              </w:rPr>
              <w:fldChar w:fldCharType="begin"/>
            </w:r>
            <w:r w:rsidR="00576E93">
              <w:rPr>
                <w:noProof/>
                <w:webHidden/>
              </w:rPr>
              <w:instrText xml:space="preserve"> PAGEREF _Toc193716408 \h </w:instrText>
            </w:r>
            <w:r w:rsidR="00576E93">
              <w:rPr>
                <w:noProof/>
                <w:webHidden/>
              </w:rPr>
            </w:r>
            <w:r w:rsidR="00576E93">
              <w:rPr>
                <w:noProof/>
                <w:webHidden/>
              </w:rPr>
              <w:fldChar w:fldCharType="separate"/>
            </w:r>
            <w:r w:rsidR="00895FE0">
              <w:rPr>
                <w:noProof/>
                <w:webHidden/>
              </w:rPr>
              <w:t>49</w:t>
            </w:r>
            <w:r w:rsidR="00576E93">
              <w:rPr>
                <w:noProof/>
                <w:webHidden/>
              </w:rPr>
              <w:fldChar w:fldCharType="end"/>
            </w:r>
          </w:hyperlink>
        </w:p>
        <w:p w14:paraId="4A7B4D13" w14:textId="14B347AC"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09" w:history="1">
            <w:r w:rsidR="00576E93" w:rsidRPr="00C822F2">
              <w:rPr>
                <w:rStyle w:val="Hipercze"/>
                <w:noProof/>
              </w:rPr>
              <w:t>Zadanie 9. Prowadzenie doradztwa w ochronie roślin</w:t>
            </w:r>
            <w:r w:rsidR="00576E93">
              <w:rPr>
                <w:noProof/>
                <w:webHidden/>
              </w:rPr>
              <w:tab/>
            </w:r>
            <w:r w:rsidR="00576E93">
              <w:rPr>
                <w:noProof/>
                <w:webHidden/>
              </w:rPr>
              <w:fldChar w:fldCharType="begin"/>
            </w:r>
            <w:r w:rsidR="00576E93">
              <w:rPr>
                <w:noProof/>
                <w:webHidden/>
              </w:rPr>
              <w:instrText xml:space="preserve"> PAGEREF _Toc193716409 \h </w:instrText>
            </w:r>
            <w:r w:rsidR="00576E93">
              <w:rPr>
                <w:noProof/>
                <w:webHidden/>
              </w:rPr>
            </w:r>
            <w:r w:rsidR="00576E93">
              <w:rPr>
                <w:noProof/>
                <w:webHidden/>
              </w:rPr>
              <w:fldChar w:fldCharType="separate"/>
            </w:r>
            <w:r w:rsidR="00895FE0">
              <w:rPr>
                <w:noProof/>
                <w:webHidden/>
              </w:rPr>
              <w:t>50</w:t>
            </w:r>
            <w:r w:rsidR="00576E93">
              <w:rPr>
                <w:noProof/>
                <w:webHidden/>
              </w:rPr>
              <w:fldChar w:fldCharType="end"/>
            </w:r>
          </w:hyperlink>
        </w:p>
        <w:p w14:paraId="7748ABAA" w14:textId="446076C1"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10" w:history="1">
            <w:r w:rsidR="00576E93" w:rsidRPr="00C822F2">
              <w:rPr>
                <w:rStyle w:val="Hipercze"/>
                <w:noProof/>
              </w:rPr>
              <w:t>Zadanie 10. Zapewnienie bezpieczeństwa owadów zapylających podczas wykonywania zabiegów ochrony roślin</w:t>
            </w:r>
            <w:r w:rsidR="00576E93">
              <w:rPr>
                <w:noProof/>
                <w:webHidden/>
              </w:rPr>
              <w:tab/>
            </w:r>
            <w:r w:rsidR="00576E93">
              <w:rPr>
                <w:noProof/>
                <w:webHidden/>
              </w:rPr>
              <w:fldChar w:fldCharType="begin"/>
            </w:r>
            <w:r w:rsidR="00576E93">
              <w:rPr>
                <w:noProof/>
                <w:webHidden/>
              </w:rPr>
              <w:instrText xml:space="preserve"> PAGEREF _Toc193716410 \h </w:instrText>
            </w:r>
            <w:r w:rsidR="00576E93">
              <w:rPr>
                <w:noProof/>
                <w:webHidden/>
              </w:rPr>
            </w:r>
            <w:r w:rsidR="00576E93">
              <w:rPr>
                <w:noProof/>
                <w:webHidden/>
              </w:rPr>
              <w:fldChar w:fldCharType="separate"/>
            </w:r>
            <w:r w:rsidR="00895FE0">
              <w:rPr>
                <w:noProof/>
                <w:webHidden/>
              </w:rPr>
              <w:t>54</w:t>
            </w:r>
            <w:r w:rsidR="00576E93">
              <w:rPr>
                <w:noProof/>
                <w:webHidden/>
              </w:rPr>
              <w:fldChar w:fldCharType="end"/>
            </w:r>
          </w:hyperlink>
        </w:p>
        <w:p w14:paraId="39EE89D3" w14:textId="1C3787AC"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11" w:history="1">
            <w:r w:rsidR="00576E93" w:rsidRPr="00C822F2">
              <w:rPr>
                <w:rStyle w:val="Hipercze"/>
                <w:noProof/>
              </w:rPr>
              <w:t>Zadanie 11. Monitoring odporności agrofagów na środki ochrony roślin oraz ograniczanie tego zjawiska</w:t>
            </w:r>
            <w:r w:rsidR="00576E93">
              <w:rPr>
                <w:noProof/>
                <w:webHidden/>
              </w:rPr>
              <w:tab/>
            </w:r>
            <w:r w:rsidR="00576E93">
              <w:rPr>
                <w:noProof/>
                <w:webHidden/>
              </w:rPr>
              <w:fldChar w:fldCharType="begin"/>
            </w:r>
            <w:r w:rsidR="00576E93">
              <w:rPr>
                <w:noProof/>
                <w:webHidden/>
              </w:rPr>
              <w:instrText xml:space="preserve"> PAGEREF _Toc193716411 \h </w:instrText>
            </w:r>
            <w:r w:rsidR="00576E93">
              <w:rPr>
                <w:noProof/>
                <w:webHidden/>
              </w:rPr>
            </w:r>
            <w:r w:rsidR="00576E93">
              <w:rPr>
                <w:noProof/>
                <w:webHidden/>
              </w:rPr>
              <w:fldChar w:fldCharType="separate"/>
            </w:r>
            <w:r w:rsidR="00895FE0">
              <w:rPr>
                <w:noProof/>
                <w:webHidden/>
              </w:rPr>
              <w:t>59</w:t>
            </w:r>
            <w:r w:rsidR="00576E93">
              <w:rPr>
                <w:noProof/>
                <w:webHidden/>
              </w:rPr>
              <w:fldChar w:fldCharType="end"/>
            </w:r>
          </w:hyperlink>
        </w:p>
        <w:p w14:paraId="0F2A413E" w14:textId="0CE448DD"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12" w:history="1">
            <w:r w:rsidR="00576E93" w:rsidRPr="00C822F2">
              <w:rPr>
                <w:rStyle w:val="Hipercze"/>
                <w:noProof/>
              </w:rPr>
              <w:t>Zadanie 12. Zachęty do stosowania integrowanej ochrony roślin poprzez interwencje Planu Strategicznego Wspólnej Polityki Rolnej</w:t>
            </w:r>
            <w:r w:rsidR="00576E93">
              <w:rPr>
                <w:noProof/>
                <w:webHidden/>
              </w:rPr>
              <w:tab/>
            </w:r>
            <w:r w:rsidR="00576E93">
              <w:rPr>
                <w:noProof/>
                <w:webHidden/>
              </w:rPr>
              <w:fldChar w:fldCharType="begin"/>
            </w:r>
            <w:r w:rsidR="00576E93">
              <w:rPr>
                <w:noProof/>
                <w:webHidden/>
              </w:rPr>
              <w:instrText xml:space="preserve"> PAGEREF _Toc193716412 \h </w:instrText>
            </w:r>
            <w:r w:rsidR="00576E93">
              <w:rPr>
                <w:noProof/>
                <w:webHidden/>
              </w:rPr>
            </w:r>
            <w:r w:rsidR="00576E93">
              <w:rPr>
                <w:noProof/>
                <w:webHidden/>
              </w:rPr>
              <w:fldChar w:fldCharType="separate"/>
            </w:r>
            <w:r w:rsidR="00895FE0">
              <w:rPr>
                <w:noProof/>
                <w:webHidden/>
              </w:rPr>
              <w:t>60</w:t>
            </w:r>
            <w:r w:rsidR="00576E93">
              <w:rPr>
                <w:noProof/>
                <w:webHidden/>
              </w:rPr>
              <w:fldChar w:fldCharType="end"/>
            </w:r>
          </w:hyperlink>
        </w:p>
        <w:p w14:paraId="631595FA" w14:textId="2733EB48"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413" w:history="1">
            <w:r w:rsidR="00576E93" w:rsidRPr="00C822F2">
              <w:rPr>
                <w:rStyle w:val="Hipercze"/>
                <w:noProof/>
              </w:rPr>
              <w:t>11.</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11. Analiza ryzyka związanego ze stosowaniem środków ochrony roślin</w:t>
            </w:r>
            <w:r w:rsidR="00576E93">
              <w:rPr>
                <w:noProof/>
                <w:webHidden/>
              </w:rPr>
              <w:tab/>
            </w:r>
            <w:r w:rsidR="00576E93">
              <w:rPr>
                <w:noProof/>
                <w:webHidden/>
              </w:rPr>
              <w:fldChar w:fldCharType="begin"/>
            </w:r>
            <w:r w:rsidR="00576E93">
              <w:rPr>
                <w:noProof/>
                <w:webHidden/>
              </w:rPr>
              <w:instrText xml:space="preserve"> PAGEREF _Toc193716413 \h </w:instrText>
            </w:r>
            <w:r w:rsidR="00576E93">
              <w:rPr>
                <w:noProof/>
                <w:webHidden/>
              </w:rPr>
            </w:r>
            <w:r w:rsidR="00576E93">
              <w:rPr>
                <w:noProof/>
                <w:webHidden/>
              </w:rPr>
              <w:fldChar w:fldCharType="separate"/>
            </w:r>
            <w:r w:rsidR="00895FE0">
              <w:rPr>
                <w:noProof/>
                <w:webHidden/>
              </w:rPr>
              <w:t>61</w:t>
            </w:r>
            <w:r w:rsidR="00576E93">
              <w:rPr>
                <w:noProof/>
                <w:webHidden/>
              </w:rPr>
              <w:fldChar w:fldCharType="end"/>
            </w:r>
          </w:hyperlink>
        </w:p>
        <w:p w14:paraId="4E278956" w14:textId="64E1F1F4"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14" w:history="1">
            <w:r w:rsidR="00576E93" w:rsidRPr="00C822F2">
              <w:rPr>
                <w:rStyle w:val="Hipercze"/>
                <w:noProof/>
              </w:rPr>
              <w:t>Zadanie 1. Badania statystyczne dotyczące środków ochrony roślin</w:t>
            </w:r>
            <w:r w:rsidR="00576E93">
              <w:rPr>
                <w:noProof/>
                <w:webHidden/>
              </w:rPr>
              <w:tab/>
            </w:r>
            <w:r w:rsidR="00576E93">
              <w:rPr>
                <w:noProof/>
                <w:webHidden/>
              </w:rPr>
              <w:fldChar w:fldCharType="begin"/>
            </w:r>
            <w:r w:rsidR="00576E93">
              <w:rPr>
                <w:noProof/>
                <w:webHidden/>
              </w:rPr>
              <w:instrText xml:space="preserve"> PAGEREF _Toc193716414 \h </w:instrText>
            </w:r>
            <w:r w:rsidR="00576E93">
              <w:rPr>
                <w:noProof/>
                <w:webHidden/>
              </w:rPr>
            </w:r>
            <w:r w:rsidR="00576E93">
              <w:rPr>
                <w:noProof/>
                <w:webHidden/>
              </w:rPr>
              <w:fldChar w:fldCharType="separate"/>
            </w:r>
            <w:r w:rsidR="00895FE0">
              <w:rPr>
                <w:noProof/>
                <w:webHidden/>
              </w:rPr>
              <w:t>61</w:t>
            </w:r>
            <w:r w:rsidR="00576E93">
              <w:rPr>
                <w:noProof/>
                <w:webHidden/>
              </w:rPr>
              <w:fldChar w:fldCharType="end"/>
            </w:r>
          </w:hyperlink>
        </w:p>
        <w:p w14:paraId="5DCC8933" w14:textId="2ACD9A0C" w:rsidR="00576E93" w:rsidRDefault="00B324B2">
          <w:pPr>
            <w:pStyle w:val="Spistreci3"/>
            <w:rPr>
              <w:rFonts w:asciiTheme="minorHAnsi" w:eastAsiaTheme="minorEastAsia" w:hAnsiTheme="minorHAnsi" w:cstheme="minorBidi"/>
              <w:iCs w:val="0"/>
              <w:noProof/>
              <w:kern w:val="2"/>
              <w:sz w:val="24"/>
              <w:szCs w:val="24"/>
              <w14:ligatures w14:val="standardContextual"/>
            </w:rPr>
          </w:pPr>
          <w:hyperlink w:anchor="_Toc193716415" w:history="1">
            <w:r w:rsidR="00576E93" w:rsidRPr="00C822F2">
              <w:rPr>
                <w:rStyle w:val="Hipercze"/>
                <w:noProof/>
              </w:rPr>
              <w:t>Podzadanie 1. Prowadzenie badań statystycznych sprzedaży środków ochrony roślin</w:t>
            </w:r>
            <w:r w:rsidR="00576E93">
              <w:rPr>
                <w:noProof/>
                <w:webHidden/>
              </w:rPr>
              <w:tab/>
            </w:r>
            <w:r w:rsidR="00576E93">
              <w:rPr>
                <w:noProof/>
                <w:webHidden/>
              </w:rPr>
              <w:fldChar w:fldCharType="begin"/>
            </w:r>
            <w:r w:rsidR="00576E93">
              <w:rPr>
                <w:noProof/>
                <w:webHidden/>
              </w:rPr>
              <w:instrText xml:space="preserve"> PAGEREF _Toc193716415 \h </w:instrText>
            </w:r>
            <w:r w:rsidR="00576E93">
              <w:rPr>
                <w:noProof/>
                <w:webHidden/>
              </w:rPr>
            </w:r>
            <w:r w:rsidR="00576E93">
              <w:rPr>
                <w:noProof/>
                <w:webHidden/>
              </w:rPr>
              <w:fldChar w:fldCharType="separate"/>
            </w:r>
            <w:r w:rsidR="00895FE0">
              <w:rPr>
                <w:noProof/>
                <w:webHidden/>
              </w:rPr>
              <w:t>62</w:t>
            </w:r>
            <w:r w:rsidR="00576E93">
              <w:rPr>
                <w:noProof/>
                <w:webHidden/>
              </w:rPr>
              <w:fldChar w:fldCharType="end"/>
            </w:r>
          </w:hyperlink>
        </w:p>
        <w:p w14:paraId="0AB84505" w14:textId="66AC5F66" w:rsidR="00576E93" w:rsidRDefault="00B324B2">
          <w:pPr>
            <w:pStyle w:val="Spistreci3"/>
            <w:rPr>
              <w:rFonts w:asciiTheme="minorHAnsi" w:eastAsiaTheme="minorEastAsia" w:hAnsiTheme="minorHAnsi" w:cstheme="minorBidi"/>
              <w:iCs w:val="0"/>
              <w:noProof/>
              <w:kern w:val="2"/>
              <w:sz w:val="24"/>
              <w:szCs w:val="24"/>
              <w14:ligatures w14:val="standardContextual"/>
            </w:rPr>
          </w:pPr>
          <w:hyperlink w:anchor="_Toc193716416" w:history="1">
            <w:r w:rsidR="00576E93" w:rsidRPr="00C822F2">
              <w:rPr>
                <w:rStyle w:val="Hipercze"/>
                <w:noProof/>
              </w:rPr>
              <w:t>Podzadanie 2. Prowadzenie badań statystycznych zużycia środków ochrony roślin</w:t>
            </w:r>
            <w:r w:rsidR="00576E93">
              <w:rPr>
                <w:noProof/>
                <w:webHidden/>
              </w:rPr>
              <w:tab/>
            </w:r>
            <w:r w:rsidR="00576E93">
              <w:rPr>
                <w:noProof/>
                <w:webHidden/>
              </w:rPr>
              <w:fldChar w:fldCharType="begin"/>
            </w:r>
            <w:r w:rsidR="00576E93">
              <w:rPr>
                <w:noProof/>
                <w:webHidden/>
              </w:rPr>
              <w:instrText xml:space="preserve"> PAGEREF _Toc193716416 \h </w:instrText>
            </w:r>
            <w:r w:rsidR="00576E93">
              <w:rPr>
                <w:noProof/>
                <w:webHidden/>
              </w:rPr>
            </w:r>
            <w:r w:rsidR="00576E93">
              <w:rPr>
                <w:noProof/>
                <w:webHidden/>
              </w:rPr>
              <w:fldChar w:fldCharType="separate"/>
            </w:r>
            <w:r w:rsidR="00895FE0">
              <w:rPr>
                <w:noProof/>
                <w:webHidden/>
              </w:rPr>
              <w:t>64</w:t>
            </w:r>
            <w:r w:rsidR="00576E93">
              <w:rPr>
                <w:noProof/>
                <w:webHidden/>
              </w:rPr>
              <w:fldChar w:fldCharType="end"/>
            </w:r>
          </w:hyperlink>
        </w:p>
        <w:p w14:paraId="5A3C7BF9" w14:textId="638261A0"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17" w:history="1">
            <w:r w:rsidR="00576E93" w:rsidRPr="00C822F2">
              <w:rPr>
                <w:rStyle w:val="Hipercze"/>
                <w:noProof/>
              </w:rPr>
              <w:t>Zadanie 2. Kontrole i monitoringi dotyczące środków ochrony roślin</w:t>
            </w:r>
            <w:r w:rsidR="00576E93">
              <w:rPr>
                <w:noProof/>
                <w:webHidden/>
              </w:rPr>
              <w:tab/>
            </w:r>
            <w:r w:rsidR="00576E93">
              <w:rPr>
                <w:noProof/>
                <w:webHidden/>
              </w:rPr>
              <w:fldChar w:fldCharType="begin"/>
            </w:r>
            <w:r w:rsidR="00576E93">
              <w:rPr>
                <w:noProof/>
                <w:webHidden/>
              </w:rPr>
              <w:instrText xml:space="preserve"> PAGEREF _Toc193716417 \h </w:instrText>
            </w:r>
            <w:r w:rsidR="00576E93">
              <w:rPr>
                <w:noProof/>
                <w:webHidden/>
              </w:rPr>
            </w:r>
            <w:r w:rsidR="00576E93">
              <w:rPr>
                <w:noProof/>
                <w:webHidden/>
              </w:rPr>
              <w:fldChar w:fldCharType="separate"/>
            </w:r>
            <w:r w:rsidR="00895FE0">
              <w:rPr>
                <w:noProof/>
                <w:webHidden/>
              </w:rPr>
              <w:t>65</w:t>
            </w:r>
            <w:r w:rsidR="00576E93">
              <w:rPr>
                <w:noProof/>
                <w:webHidden/>
              </w:rPr>
              <w:fldChar w:fldCharType="end"/>
            </w:r>
          </w:hyperlink>
        </w:p>
        <w:p w14:paraId="5D6CF146" w14:textId="35B96D89" w:rsidR="00576E93" w:rsidRDefault="00B324B2">
          <w:pPr>
            <w:pStyle w:val="Spistreci3"/>
            <w:rPr>
              <w:rFonts w:asciiTheme="minorHAnsi" w:eastAsiaTheme="minorEastAsia" w:hAnsiTheme="minorHAnsi" w:cstheme="minorBidi"/>
              <w:iCs w:val="0"/>
              <w:noProof/>
              <w:kern w:val="2"/>
              <w:sz w:val="24"/>
              <w:szCs w:val="24"/>
              <w14:ligatures w14:val="standardContextual"/>
            </w:rPr>
          </w:pPr>
          <w:hyperlink w:anchor="_Toc193716418" w:history="1">
            <w:r w:rsidR="00576E93" w:rsidRPr="00C822F2">
              <w:rPr>
                <w:rStyle w:val="Hipercze"/>
                <w:noProof/>
              </w:rPr>
              <w:t>Podzadanie 1. Kontrola żywności pochodzenia roślinnego na obecność pozostałości środkami ochrony roślin</w:t>
            </w:r>
            <w:r w:rsidR="00576E93">
              <w:rPr>
                <w:noProof/>
                <w:webHidden/>
              </w:rPr>
              <w:tab/>
            </w:r>
            <w:r w:rsidR="00576E93">
              <w:rPr>
                <w:noProof/>
                <w:webHidden/>
              </w:rPr>
              <w:fldChar w:fldCharType="begin"/>
            </w:r>
            <w:r w:rsidR="00576E93">
              <w:rPr>
                <w:noProof/>
                <w:webHidden/>
              </w:rPr>
              <w:instrText xml:space="preserve"> PAGEREF _Toc193716418 \h </w:instrText>
            </w:r>
            <w:r w:rsidR="00576E93">
              <w:rPr>
                <w:noProof/>
                <w:webHidden/>
              </w:rPr>
            </w:r>
            <w:r w:rsidR="00576E93">
              <w:rPr>
                <w:noProof/>
                <w:webHidden/>
              </w:rPr>
              <w:fldChar w:fldCharType="separate"/>
            </w:r>
            <w:r w:rsidR="00895FE0">
              <w:rPr>
                <w:noProof/>
                <w:webHidden/>
              </w:rPr>
              <w:t>65</w:t>
            </w:r>
            <w:r w:rsidR="00576E93">
              <w:rPr>
                <w:noProof/>
                <w:webHidden/>
              </w:rPr>
              <w:fldChar w:fldCharType="end"/>
            </w:r>
          </w:hyperlink>
        </w:p>
        <w:p w14:paraId="3770E0E6" w14:textId="4F52E005" w:rsidR="00576E93" w:rsidRDefault="00B324B2">
          <w:pPr>
            <w:pStyle w:val="Spistreci3"/>
            <w:rPr>
              <w:rFonts w:asciiTheme="minorHAnsi" w:eastAsiaTheme="minorEastAsia" w:hAnsiTheme="minorHAnsi" w:cstheme="minorBidi"/>
              <w:iCs w:val="0"/>
              <w:noProof/>
              <w:kern w:val="2"/>
              <w:sz w:val="24"/>
              <w:szCs w:val="24"/>
              <w14:ligatures w14:val="standardContextual"/>
            </w:rPr>
          </w:pPr>
          <w:hyperlink w:anchor="_Toc193716419" w:history="1">
            <w:r w:rsidR="00576E93" w:rsidRPr="00C822F2">
              <w:rPr>
                <w:rStyle w:val="Hipercze"/>
                <w:noProof/>
              </w:rPr>
              <w:t>Podzadanie 2. Kontrola pasz na obecność pozostałości środków ochrony roślin</w:t>
            </w:r>
            <w:r w:rsidR="00576E93">
              <w:rPr>
                <w:noProof/>
                <w:webHidden/>
              </w:rPr>
              <w:tab/>
            </w:r>
            <w:r w:rsidR="00576E93">
              <w:rPr>
                <w:noProof/>
                <w:webHidden/>
              </w:rPr>
              <w:fldChar w:fldCharType="begin"/>
            </w:r>
            <w:r w:rsidR="00576E93">
              <w:rPr>
                <w:noProof/>
                <w:webHidden/>
              </w:rPr>
              <w:instrText xml:space="preserve"> PAGEREF _Toc193716419 \h </w:instrText>
            </w:r>
            <w:r w:rsidR="00576E93">
              <w:rPr>
                <w:noProof/>
                <w:webHidden/>
              </w:rPr>
            </w:r>
            <w:r w:rsidR="00576E93">
              <w:rPr>
                <w:noProof/>
                <w:webHidden/>
              </w:rPr>
              <w:fldChar w:fldCharType="separate"/>
            </w:r>
            <w:r w:rsidR="00895FE0">
              <w:rPr>
                <w:noProof/>
                <w:webHidden/>
              </w:rPr>
              <w:t>68</w:t>
            </w:r>
            <w:r w:rsidR="00576E93">
              <w:rPr>
                <w:noProof/>
                <w:webHidden/>
              </w:rPr>
              <w:fldChar w:fldCharType="end"/>
            </w:r>
          </w:hyperlink>
        </w:p>
        <w:p w14:paraId="0070A290" w14:textId="0B1BF542" w:rsidR="00576E93" w:rsidRDefault="00B324B2">
          <w:pPr>
            <w:pStyle w:val="Spistreci3"/>
            <w:rPr>
              <w:rFonts w:asciiTheme="minorHAnsi" w:eastAsiaTheme="minorEastAsia" w:hAnsiTheme="minorHAnsi" w:cstheme="minorBidi"/>
              <w:iCs w:val="0"/>
              <w:noProof/>
              <w:kern w:val="2"/>
              <w:sz w:val="24"/>
              <w:szCs w:val="24"/>
              <w14:ligatures w14:val="standardContextual"/>
            </w:rPr>
          </w:pPr>
          <w:hyperlink w:anchor="_Toc193716420" w:history="1">
            <w:r w:rsidR="00576E93" w:rsidRPr="00C822F2">
              <w:rPr>
                <w:rStyle w:val="Hipercze"/>
                <w:noProof/>
              </w:rPr>
              <w:t>Podzadanie 3. Kontrola żywności pochodzenia zwierzęcego na obecność pozostałości środków ochrony roślin</w:t>
            </w:r>
            <w:r w:rsidR="00576E93">
              <w:rPr>
                <w:noProof/>
                <w:webHidden/>
              </w:rPr>
              <w:tab/>
            </w:r>
            <w:r w:rsidR="00576E93">
              <w:rPr>
                <w:noProof/>
                <w:webHidden/>
              </w:rPr>
              <w:fldChar w:fldCharType="begin"/>
            </w:r>
            <w:r w:rsidR="00576E93">
              <w:rPr>
                <w:noProof/>
                <w:webHidden/>
              </w:rPr>
              <w:instrText xml:space="preserve"> PAGEREF _Toc193716420 \h </w:instrText>
            </w:r>
            <w:r w:rsidR="00576E93">
              <w:rPr>
                <w:noProof/>
                <w:webHidden/>
              </w:rPr>
            </w:r>
            <w:r w:rsidR="00576E93">
              <w:rPr>
                <w:noProof/>
                <w:webHidden/>
              </w:rPr>
              <w:fldChar w:fldCharType="separate"/>
            </w:r>
            <w:r w:rsidR="00895FE0">
              <w:rPr>
                <w:noProof/>
                <w:webHidden/>
              </w:rPr>
              <w:t>69</w:t>
            </w:r>
            <w:r w:rsidR="00576E93">
              <w:rPr>
                <w:noProof/>
                <w:webHidden/>
              </w:rPr>
              <w:fldChar w:fldCharType="end"/>
            </w:r>
          </w:hyperlink>
        </w:p>
        <w:p w14:paraId="7C191AF7" w14:textId="76299972" w:rsidR="00576E93" w:rsidRDefault="00B324B2">
          <w:pPr>
            <w:pStyle w:val="Spistreci2"/>
            <w:rPr>
              <w:rFonts w:asciiTheme="minorHAnsi" w:eastAsiaTheme="minorEastAsia" w:hAnsiTheme="minorHAnsi" w:cstheme="minorBidi"/>
              <w:smallCaps w:val="0"/>
              <w:noProof/>
              <w:kern w:val="2"/>
              <w:sz w:val="24"/>
              <w:szCs w:val="24"/>
              <w14:ligatures w14:val="standardContextual"/>
            </w:rPr>
          </w:pPr>
          <w:hyperlink w:anchor="_Toc193716421" w:history="1">
            <w:r w:rsidR="00576E93" w:rsidRPr="00C822F2">
              <w:rPr>
                <w:rStyle w:val="Hipercze"/>
                <w:noProof/>
              </w:rPr>
              <w:t>Zadanie 3. Opracowanie wskaźników oraz analiza ryzyka związanego ze stosowaniem środków ochrony roślin</w:t>
            </w:r>
            <w:r w:rsidR="00576E93">
              <w:rPr>
                <w:noProof/>
                <w:webHidden/>
              </w:rPr>
              <w:tab/>
            </w:r>
            <w:r w:rsidR="00576E93">
              <w:rPr>
                <w:noProof/>
                <w:webHidden/>
              </w:rPr>
              <w:fldChar w:fldCharType="begin"/>
            </w:r>
            <w:r w:rsidR="00576E93">
              <w:rPr>
                <w:noProof/>
                <w:webHidden/>
              </w:rPr>
              <w:instrText xml:space="preserve"> PAGEREF _Toc193716421 \h </w:instrText>
            </w:r>
            <w:r w:rsidR="00576E93">
              <w:rPr>
                <w:noProof/>
                <w:webHidden/>
              </w:rPr>
            </w:r>
            <w:r w:rsidR="00576E93">
              <w:rPr>
                <w:noProof/>
                <w:webHidden/>
              </w:rPr>
              <w:fldChar w:fldCharType="separate"/>
            </w:r>
            <w:r w:rsidR="00895FE0">
              <w:rPr>
                <w:noProof/>
                <w:webHidden/>
              </w:rPr>
              <w:t>70</w:t>
            </w:r>
            <w:r w:rsidR="00576E93">
              <w:rPr>
                <w:noProof/>
                <w:webHidden/>
              </w:rPr>
              <w:fldChar w:fldCharType="end"/>
            </w:r>
          </w:hyperlink>
        </w:p>
        <w:p w14:paraId="6A2C7FD2" w14:textId="0E4752BD"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422" w:history="1">
            <w:r w:rsidR="00576E93" w:rsidRPr="00C822F2">
              <w:rPr>
                <w:rStyle w:val="Hipercze"/>
                <w:noProof/>
              </w:rPr>
              <w:t>12.</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12. Utrzymanie efektywnego nadzoru nad obrotem i stosowaniem środków ochrony roślin</w:t>
            </w:r>
            <w:r w:rsidR="00576E93">
              <w:rPr>
                <w:noProof/>
                <w:webHidden/>
              </w:rPr>
              <w:tab/>
            </w:r>
            <w:r w:rsidR="00576E93">
              <w:rPr>
                <w:noProof/>
                <w:webHidden/>
              </w:rPr>
              <w:fldChar w:fldCharType="begin"/>
            </w:r>
            <w:r w:rsidR="00576E93">
              <w:rPr>
                <w:noProof/>
                <w:webHidden/>
              </w:rPr>
              <w:instrText xml:space="preserve"> PAGEREF _Toc193716422 \h </w:instrText>
            </w:r>
            <w:r w:rsidR="00576E93">
              <w:rPr>
                <w:noProof/>
                <w:webHidden/>
              </w:rPr>
            </w:r>
            <w:r w:rsidR="00576E93">
              <w:rPr>
                <w:noProof/>
                <w:webHidden/>
              </w:rPr>
              <w:fldChar w:fldCharType="separate"/>
            </w:r>
            <w:r w:rsidR="00895FE0">
              <w:rPr>
                <w:noProof/>
                <w:webHidden/>
              </w:rPr>
              <w:t>71</w:t>
            </w:r>
            <w:r w:rsidR="00576E93">
              <w:rPr>
                <w:noProof/>
                <w:webHidden/>
              </w:rPr>
              <w:fldChar w:fldCharType="end"/>
            </w:r>
          </w:hyperlink>
        </w:p>
        <w:p w14:paraId="48309E0A" w14:textId="1A21CF01"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423" w:history="1">
            <w:r w:rsidR="00576E93" w:rsidRPr="00C822F2">
              <w:rPr>
                <w:rStyle w:val="Hipercze"/>
                <w:noProof/>
              </w:rPr>
              <w:t>13.</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Działanie 13. Optymalizacja ochrony upraw małoobszarowych i ekologicznych</w:t>
            </w:r>
            <w:r w:rsidR="00576E93">
              <w:rPr>
                <w:noProof/>
                <w:webHidden/>
              </w:rPr>
              <w:tab/>
            </w:r>
            <w:r w:rsidR="00576E93">
              <w:rPr>
                <w:noProof/>
                <w:webHidden/>
              </w:rPr>
              <w:fldChar w:fldCharType="begin"/>
            </w:r>
            <w:r w:rsidR="00576E93">
              <w:rPr>
                <w:noProof/>
                <w:webHidden/>
              </w:rPr>
              <w:instrText xml:space="preserve"> PAGEREF _Toc193716423 \h </w:instrText>
            </w:r>
            <w:r w:rsidR="00576E93">
              <w:rPr>
                <w:noProof/>
                <w:webHidden/>
              </w:rPr>
            </w:r>
            <w:r w:rsidR="00576E93">
              <w:rPr>
                <w:noProof/>
                <w:webHidden/>
              </w:rPr>
              <w:fldChar w:fldCharType="separate"/>
            </w:r>
            <w:r w:rsidR="00895FE0">
              <w:rPr>
                <w:noProof/>
                <w:webHidden/>
              </w:rPr>
              <w:t>77</w:t>
            </w:r>
            <w:r w:rsidR="00576E93">
              <w:rPr>
                <w:noProof/>
                <w:webHidden/>
              </w:rPr>
              <w:fldChar w:fldCharType="end"/>
            </w:r>
          </w:hyperlink>
        </w:p>
        <w:p w14:paraId="0C2BBE0D" w14:textId="43273D5F"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424" w:history="1">
            <w:r w:rsidR="00576E93" w:rsidRPr="00C822F2">
              <w:rPr>
                <w:rStyle w:val="Hipercze"/>
                <w:noProof/>
              </w:rPr>
              <w:t>14.</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Podsumowanie</w:t>
            </w:r>
            <w:r w:rsidR="00576E93">
              <w:rPr>
                <w:noProof/>
                <w:webHidden/>
              </w:rPr>
              <w:tab/>
            </w:r>
            <w:r w:rsidR="00576E93">
              <w:rPr>
                <w:noProof/>
                <w:webHidden/>
              </w:rPr>
              <w:fldChar w:fldCharType="begin"/>
            </w:r>
            <w:r w:rsidR="00576E93">
              <w:rPr>
                <w:noProof/>
                <w:webHidden/>
              </w:rPr>
              <w:instrText xml:space="preserve"> PAGEREF _Toc193716424 \h </w:instrText>
            </w:r>
            <w:r w:rsidR="00576E93">
              <w:rPr>
                <w:noProof/>
                <w:webHidden/>
              </w:rPr>
            </w:r>
            <w:r w:rsidR="00576E93">
              <w:rPr>
                <w:noProof/>
                <w:webHidden/>
              </w:rPr>
              <w:fldChar w:fldCharType="separate"/>
            </w:r>
            <w:r w:rsidR="00895FE0">
              <w:rPr>
                <w:noProof/>
                <w:webHidden/>
              </w:rPr>
              <w:t>80</w:t>
            </w:r>
            <w:r w:rsidR="00576E93">
              <w:rPr>
                <w:noProof/>
                <w:webHidden/>
              </w:rPr>
              <w:fldChar w:fldCharType="end"/>
            </w:r>
          </w:hyperlink>
        </w:p>
        <w:p w14:paraId="0526B917" w14:textId="2E15D0FB"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425" w:history="1">
            <w:r w:rsidR="00576E93" w:rsidRPr="00C822F2">
              <w:rPr>
                <w:rStyle w:val="Hipercze"/>
                <w:noProof/>
              </w:rPr>
              <w:t>15.</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noProof/>
              </w:rPr>
              <w:t>Załącznik nr 1</w:t>
            </w:r>
            <w:r w:rsidR="00576E93">
              <w:rPr>
                <w:noProof/>
                <w:webHidden/>
              </w:rPr>
              <w:tab/>
            </w:r>
            <w:r w:rsidR="00576E93">
              <w:rPr>
                <w:noProof/>
                <w:webHidden/>
              </w:rPr>
              <w:fldChar w:fldCharType="begin"/>
            </w:r>
            <w:r w:rsidR="00576E93">
              <w:rPr>
                <w:noProof/>
                <w:webHidden/>
              </w:rPr>
              <w:instrText xml:space="preserve"> PAGEREF _Toc193716425 \h </w:instrText>
            </w:r>
            <w:r w:rsidR="00576E93">
              <w:rPr>
                <w:noProof/>
                <w:webHidden/>
              </w:rPr>
            </w:r>
            <w:r w:rsidR="00576E93">
              <w:rPr>
                <w:noProof/>
                <w:webHidden/>
              </w:rPr>
              <w:fldChar w:fldCharType="separate"/>
            </w:r>
            <w:r w:rsidR="00895FE0">
              <w:rPr>
                <w:noProof/>
                <w:webHidden/>
              </w:rPr>
              <w:t>81</w:t>
            </w:r>
            <w:r w:rsidR="00576E93">
              <w:rPr>
                <w:noProof/>
                <w:webHidden/>
              </w:rPr>
              <w:fldChar w:fldCharType="end"/>
            </w:r>
          </w:hyperlink>
        </w:p>
        <w:p w14:paraId="39975BF5" w14:textId="71D1B8F7" w:rsidR="00576E93" w:rsidRDefault="00B324B2">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93716426" w:history="1">
            <w:r w:rsidR="00576E93" w:rsidRPr="00C822F2">
              <w:rPr>
                <w:rStyle w:val="Hipercze"/>
                <w:rFonts w:eastAsia="Calibri"/>
                <w:iCs/>
                <w:noProof/>
                <w:lang w:eastAsia="en-US"/>
              </w:rPr>
              <w:t>16.</w:t>
            </w:r>
            <w:r w:rsidR="00576E93">
              <w:rPr>
                <w:rFonts w:asciiTheme="minorHAnsi" w:eastAsiaTheme="minorEastAsia" w:hAnsiTheme="minorHAnsi" w:cstheme="minorBidi"/>
                <w:b w:val="0"/>
                <w:bCs w:val="0"/>
                <w:caps w:val="0"/>
                <w:noProof/>
                <w:kern w:val="2"/>
                <w:sz w:val="24"/>
                <w:szCs w:val="24"/>
                <w14:ligatures w14:val="standardContextual"/>
              </w:rPr>
              <w:tab/>
            </w:r>
            <w:r w:rsidR="00576E93" w:rsidRPr="00C822F2">
              <w:rPr>
                <w:rStyle w:val="Hipercze"/>
                <w:rFonts w:eastAsia="Calibri"/>
                <w:iCs/>
                <w:noProof/>
                <w:lang w:eastAsia="en-US"/>
              </w:rPr>
              <w:t>Załącznik nr 2 Kompleksowa ocena w zakresie krajowego bezpieczeństwa pestycydowego w oparciu o krajowe wskaźniki ryzyka pestycydowego oraz zharmonizowany wskaźnik ryzyka HRI1 dla Polski – rok 2023</w:t>
            </w:r>
            <w:r w:rsidR="00576E93">
              <w:rPr>
                <w:noProof/>
                <w:webHidden/>
              </w:rPr>
              <w:tab/>
            </w:r>
            <w:r w:rsidR="00576E93">
              <w:rPr>
                <w:noProof/>
                <w:webHidden/>
              </w:rPr>
              <w:fldChar w:fldCharType="begin"/>
            </w:r>
            <w:r w:rsidR="00576E93">
              <w:rPr>
                <w:noProof/>
                <w:webHidden/>
              </w:rPr>
              <w:instrText xml:space="preserve"> PAGEREF _Toc193716426 \h </w:instrText>
            </w:r>
            <w:r w:rsidR="00576E93">
              <w:rPr>
                <w:noProof/>
                <w:webHidden/>
              </w:rPr>
            </w:r>
            <w:r w:rsidR="00576E93">
              <w:rPr>
                <w:noProof/>
                <w:webHidden/>
              </w:rPr>
              <w:fldChar w:fldCharType="separate"/>
            </w:r>
            <w:r w:rsidR="00895FE0">
              <w:rPr>
                <w:noProof/>
                <w:webHidden/>
              </w:rPr>
              <w:t>86</w:t>
            </w:r>
            <w:r w:rsidR="00576E93">
              <w:rPr>
                <w:noProof/>
                <w:webHidden/>
              </w:rPr>
              <w:fldChar w:fldCharType="end"/>
            </w:r>
          </w:hyperlink>
        </w:p>
        <w:p w14:paraId="699645E1" w14:textId="7EAF8D1B" w:rsidR="008B5F95" w:rsidRDefault="00923F0D">
          <w:pPr>
            <w:pStyle w:val="Spistreci1"/>
            <w:rPr>
              <w:rFonts w:asciiTheme="minorHAnsi" w:eastAsiaTheme="minorEastAsia" w:hAnsiTheme="minorHAnsi" w:cstheme="minorBidi"/>
              <w:b w:val="0"/>
              <w:bCs w:val="0"/>
              <w:caps w:val="0"/>
              <w:sz w:val="22"/>
              <w:szCs w:val="22"/>
            </w:rPr>
          </w:pPr>
          <w:r>
            <w:rPr>
              <w:rStyle w:val="czeindeksu"/>
            </w:rPr>
            <w:fldChar w:fldCharType="end"/>
          </w:r>
        </w:p>
      </w:sdtContent>
    </w:sdt>
    <w:p w14:paraId="4503C2A6" w14:textId="77777777" w:rsidR="008B5F95" w:rsidRDefault="008B5F95">
      <w:pPr>
        <w:spacing w:after="60"/>
        <w:jc w:val="both"/>
        <w:rPr>
          <w:rFonts w:ascii="Arial" w:hAnsi="Arial" w:cs="Arial"/>
          <w:caps/>
        </w:rPr>
      </w:pPr>
    </w:p>
    <w:p w14:paraId="3C4F2216" w14:textId="77777777" w:rsidR="008B5F95" w:rsidRDefault="00923F0D" w:rsidP="00E74A80">
      <w:pPr>
        <w:pStyle w:val="Nagwek1"/>
        <w:numPr>
          <w:ilvl w:val="0"/>
          <w:numId w:val="9"/>
        </w:numPr>
        <w:spacing w:before="0"/>
        <w:ind w:left="284" w:hanging="142"/>
        <w:rPr>
          <w:caps/>
        </w:rPr>
      </w:pPr>
      <w:r>
        <w:br w:type="page"/>
      </w:r>
    </w:p>
    <w:p w14:paraId="42DB8048" w14:textId="77777777" w:rsidR="008B5F95" w:rsidRDefault="00923F0D" w:rsidP="00E74A80">
      <w:pPr>
        <w:pStyle w:val="Nagwek1"/>
        <w:numPr>
          <w:ilvl w:val="0"/>
          <w:numId w:val="16"/>
        </w:numPr>
        <w:spacing w:before="0"/>
        <w:rPr>
          <w:i w:val="0"/>
          <w:sz w:val="24"/>
          <w:szCs w:val="24"/>
        </w:rPr>
      </w:pPr>
      <w:bookmarkStart w:id="1" w:name="_Toc193716380"/>
      <w:r>
        <w:rPr>
          <w:i w:val="0"/>
          <w:sz w:val="24"/>
          <w:szCs w:val="24"/>
        </w:rPr>
        <w:lastRenderedPageBreak/>
        <w:t>Wprowadzenie</w:t>
      </w:r>
      <w:bookmarkEnd w:id="1"/>
    </w:p>
    <w:p w14:paraId="79D51F46" w14:textId="463C2A1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Krajowy plan działania na rzecz ograniczenia ryzyka związanego ze stosowaniem środków ochrony roślin</w:t>
      </w:r>
      <w:r w:rsidR="004B08BD">
        <w:rPr>
          <w:rFonts w:ascii="Arial" w:hAnsi="Arial" w:cs="Arial"/>
        </w:rPr>
        <w:t xml:space="preserve"> na lata 2023-2027</w:t>
      </w:r>
      <w:r>
        <w:rPr>
          <w:rFonts w:ascii="Arial" w:hAnsi="Arial" w:cs="Arial"/>
        </w:rPr>
        <w:t xml:space="preserve">, </w:t>
      </w:r>
      <w:r w:rsidR="004B08BD">
        <w:rPr>
          <w:rFonts w:ascii="Arial" w:hAnsi="Arial" w:cs="Arial"/>
        </w:rPr>
        <w:t xml:space="preserve">przyjęty w dniu 7 czerwca 2023 r. i ogłoszony w dniu 28 lipca 2023 r. w Dzienniku Urzędowym Rzeczypospolitej Polskiej „Monitor Polski” (M. P. poz. 768), </w:t>
      </w:r>
      <w:r>
        <w:rPr>
          <w:rFonts w:ascii="Arial" w:hAnsi="Arial" w:cs="Arial"/>
        </w:rPr>
        <w:t xml:space="preserve">zwany dalej „krajowym planem działania”, stanowi wykonanie zobowiązań wynikających z postanowień dyrektywy Parlamentu Europejskiego i Rady 2009/128/WE z dnia 21 października 2009 r. ustanawiającej ramy wspólnotowego działania na rzecz zrównoważonego stosowania pestycydów (Dz. Urz. UE L 309 z 24.11.2009, str. 71, z późn. zm.), zwanej dalej „dyrektywą 2009/128/WE”. </w:t>
      </w:r>
    </w:p>
    <w:p w14:paraId="001DA776" w14:textId="21B132D0"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Polsce pierwszy krajowy plan działania został przyjęty w dniu 6 maja 2013 r. i ogłoszony w dniu 18 czerwca 2013 r. </w:t>
      </w:r>
      <w:bookmarkStart w:id="2" w:name="_Hlk98842849"/>
      <w:r>
        <w:rPr>
          <w:rFonts w:ascii="Arial" w:hAnsi="Arial" w:cs="Arial"/>
        </w:rPr>
        <w:t xml:space="preserve">w Dzienniku Urzędowym Rzeczypospolitej Polskiej „Monitor Polski” (M. P. poz. 536), </w:t>
      </w:r>
      <w:bookmarkEnd w:id="2"/>
      <w:r>
        <w:rPr>
          <w:rFonts w:ascii="Arial" w:hAnsi="Arial" w:cs="Arial"/>
        </w:rPr>
        <w:t>natomiast drugi krajowy plan działania został przyjęty w dniu 11 lipca 2018 r. i ogłoszony w dniu 25 lipca 2018 r. w Dzienniku Urzędowym Rzeczypospolitej Polskiej „Monitor Polski” (M. P. poz. 723</w:t>
      </w:r>
      <w:r w:rsidR="004E782E">
        <w:rPr>
          <w:rFonts w:ascii="Arial" w:hAnsi="Arial" w:cs="Arial"/>
        </w:rPr>
        <w:t xml:space="preserve"> oraz z</w:t>
      </w:r>
      <w:r w:rsidR="002716C8">
        <w:rPr>
          <w:rFonts w:ascii="Arial" w:hAnsi="Arial" w:cs="Arial"/>
        </w:rPr>
        <w:t> </w:t>
      </w:r>
      <w:r w:rsidR="004E782E">
        <w:rPr>
          <w:rFonts w:ascii="Arial" w:hAnsi="Arial" w:cs="Arial"/>
        </w:rPr>
        <w:t>2020 r. poz. 99</w:t>
      </w:r>
      <w:r>
        <w:rPr>
          <w:rFonts w:ascii="Arial" w:hAnsi="Arial" w:cs="Arial"/>
        </w:rPr>
        <w:t>)</w:t>
      </w:r>
      <w:r w:rsidR="00F67C52">
        <w:rPr>
          <w:rFonts w:ascii="Arial" w:hAnsi="Arial" w:cs="Arial"/>
        </w:rPr>
        <w:t xml:space="preserve">. </w:t>
      </w:r>
    </w:p>
    <w:p w14:paraId="0ADE4AAF" w14:textId="3DD64E6D" w:rsidR="008B5F95" w:rsidRDefault="00923F0D">
      <w:pPr>
        <w:pStyle w:val="NormalnyWeb"/>
        <w:tabs>
          <w:tab w:val="left" w:pos="284"/>
        </w:tabs>
        <w:spacing w:beforeAutospacing="0" w:after="120" w:afterAutospacing="0" w:line="360" w:lineRule="auto"/>
        <w:ind w:firstLine="284"/>
        <w:jc w:val="both"/>
      </w:pPr>
      <w:r>
        <w:rPr>
          <w:rFonts w:ascii="Arial" w:hAnsi="Arial" w:cs="Arial"/>
        </w:rPr>
        <w:t xml:space="preserve">Podstawę prawną do ogłoszenia </w:t>
      </w:r>
      <w:r w:rsidR="004B08BD">
        <w:rPr>
          <w:rFonts w:ascii="Arial" w:hAnsi="Arial" w:cs="Arial"/>
        </w:rPr>
        <w:t xml:space="preserve">kolejnych </w:t>
      </w:r>
      <w:r>
        <w:rPr>
          <w:rFonts w:ascii="Arial" w:hAnsi="Arial" w:cs="Arial"/>
        </w:rPr>
        <w:t>krajowych planów działania stanowiły przepisy art. 47 ust. 5 ustawy z dnia 8 marca 2013 r. o środkach ochrony roślin (Dz. U. z 202</w:t>
      </w:r>
      <w:r w:rsidR="00AF56F5">
        <w:rPr>
          <w:rFonts w:ascii="Arial" w:hAnsi="Arial" w:cs="Arial"/>
        </w:rPr>
        <w:t>4</w:t>
      </w:r>
      <w:r>
        <w:rPr>
          <w:rFonts w:ascii="Arial" w:hAnsi="Arial" w:cs="Arial"/>
        </w:rPr>
        <w:t xml:space="preserve"> r. poz. </w:t>
      </w:r>
      <w:r w:rsidR="00AF56F5">
        <w:rPr>
          <w:rFonts w:ascii="Arial" w:hAnsi="Arial" w:cs="Arial"/>
        </w:rPr>
        <w:t>630</w:t>
      </w:r>
      <w:r>
        <w:rPr>
          <w:rFonts w:ascii="Arial" w:hAnsi="Arial" w:cs="Arial"/>
        </w:rPr>
        <w:t xml:space="preserve">), a czas </w:t>
      </w:r>
      <w:r w:rsidR="004251BF">
        <w:rPr>
          <w:rFonts w:ascii="Arial" w:hAnsi="Arial" w:cs="Arial"/>
        </w:rPr>
        <w:t xml:space="preserve">ich </w:t>
      </w:r>
      <w:r>
        <w:rPr>
          <w:rFonts w:ascii="Arial" w:hAnsi="Arial" w:cs="Arial"/>
        </w:rPr>
        <w:t>realizacji został zaplanowany kolejno na lata 2013–2017</w:t>
      </w:r>
      <w:r w:rsidR="004B08BD">
        <w:rPr>
          <w:rFonts w:ascii="Arial" w:hAnsi="Arial" w:cs="Arial"/>
        </w:rPr>
        <w:t xml:space="preserve">, </w:t>
      </w:r>
      <w:r>
        <w:rPr>
          <w:rFonts w:ascii="Arial" w:hAnsi="Arial" w:cs="Arial"/>
        </w:rPr>
        <w:t>2018–2022</w:t>
      </w:r>
      <w:r w:rsidR="004B08BD">
        <w:rPr>
          <w:rFonts w:ascii="Arial" w:hAnsi="Arial" w:cs="Arial"/>
        </w:rPr>
        <w:t xml:space="preserve"> i 2023-2027</w:t>
      </w:r>
      <w:r>
        <w:rPr>
          <w:rFonts w:ascii="Arial" w:hAnsi="Arial" w:cs="Arial"/>
        </w:rPr>
        <w:t xml:space="preserve">. Stosownie do przepisów art. 47 ust. 6 pkt 2 ustawy z dnia 8 marca 2013 r. o środkach ochrony roślin, minister właściwy do spraw rolnictwa został </w:t>
      </w:r>
      <w:r w:rsidR="004251BF">
        <w:rPr>
          <w:rFonts w:ascii="Arial" w:hAnsi="Arial" w:cs="Arial"/>
        </w:rPr>
        <w:t xml:space="preserve">bowiem </w:t>
      </w:r>
      <w:r>
        <w:rPr>
          <w:rFonts w:ascii="Arial" w:hAnsi="Arial" w:cs="Arial"/>
        </w:rPr>
        <w:t>zobowiązany do dokon</w:t>
      </w:r>
      <w:r w:rsidR="00AF56F5">
        <w:rPr>
          <w:rFonts w:ascii="Arial" w:hAnsi="Arial" w:cs="Arial"/>
        </w:rPr>
        <w:t>ywa</w:t>
      </w:r>
      <w:r>
        <w:rPr>
          <w:rFonts w:ascii="Arial" w:hAnsi="Arial" w:cs="Arial"/>
        </w:rPr>
        <w:t xml:space="preserve">nia przeglądu krajowego planu działania w odstępach czasu nie dłuższych niż 5 lat. </w:t>
      </w:r>
    </w:p>
    <w:p w14:paraId="75D188CA" w14:textId="0F632ED2" w:rsidR="00C3618E" w:rsidRDefault="00923F0D" w:rsidP="00C62D62">
      <w:pPr>
        <w:tabs>
          <w:tab w:val="left" w:pos="284"/>
        </w:tabs>
        <w:spacing w:after="120" w:line="360" w:lineRule="auto"/>
        <w:ind w:firstLine="284"/>
        <w:jc w:val="both"/>
        <w:rPr>
          <w:rFonts w:ascii="Arial" w:hAnsi="Arial" w:cs="Arial"/>
        </w:rPr>
      </w:pPr>
      <w:r>
        <w:rPr>
          <w:rFonts w:ascii="Arial" w:hAnsi="Arial" w:cs="Arial"/>
        </w:rPr>
        <w:t xml:space="preserve">Kluczowym celem dla Polski w związku z realizacją </w:t>
      </w:r>
      <w:r w:rsidR="00FE1B00">
        <w:rPr>
          <w:rFonts w:ascii="Arial" w:hAnsi="Arial" w:cs="Arial"/>
        </w:rPr>
        <w:t>trzeciego</w:t>
      </w:r>
      <w:r>
        <w:rPr>
          <w:rFonts w:ascii="Arial" w:hAnsi="Arial" w:cs="Arial"/>
        </w:rPr>
        <w:t xml:space="preserve"> krajowego planu działania zostało, podobnie jak w</w:t>
      </w:r>
      <w:r w:rsidR="00FE1B00">
        <w:rPr>
          <w:rFonts w:ascii="Arial" w:hAnsi="Arial" w:cs="Arial"/>
        </w:rPr>
        <w:t xml:space="preserve"> </w:t>
      </w:r>
      <w:r>
        <w:rPr>
          <w:rFonts w:ascii="Arial" w:hAnsi="Arial" w:cs="Arial"/>
        </w:rPr>
        <w:t xml:space="preserve">latach </w:t>
      </w:r>
      <w:r w:rsidR="00FE1B00">
        <w:rPr>
          <w:rFonts w:ascii="Arial" w:hAnsi="Arial" w:cs="Arial"/>
        </w:rPr>
        <w:t>poprzednich</w:t>
      </w:r>
      <w:r>
        <w:rPr>
          <w:rFonts w:ascii="Arial" w:hAnsi="Arial" w:cs="Arial"/>
        </w:rPr>
        <w:t>, upowszechni</w:t>
      </w:r>
      <w:r w:rsidR="00AF56F5">
        <w:rPr>
          <w:rFonts w:ascii="Arial" w:hAnsi="Arial" w:cs="Arial"/>
        </w:rPr>
        <w:t>a</w:t>
      </w:r>
      <w:r>
        <w:rPr>
          <w:rFonts w:ascii="Arial" w:hAnsi="Arial" w:cs="Arial"/>
        </w:rPr>
        <w:t xml:space="preserve">nie ogólnych zasad integrowanej ochrony roślin oraz zapobieganie zagrożeniom związanym ze stosowaniem środków ochrony roślin. Wdrożenie zasad integrowanej ochrony roślin, w szczególności przez promowanie niechemicznych metod ochrony, prowadzi bowiem do zmniejszenia zależności produkcji roślinnej od preparatów chemicznych i w efekcie ogranicza ryzyko związane z ich użyciem – zarówno dla konsumentów płodów rolnych, osób wykonujących zabiegi, jak i środowiska. </w:t>
      </w:r>
    </w:p>
    <w:p w14:paraId="2F67F4FC" w14:textId="7F7455D0" w:rsidR="008B5F95" w:rsidRDefault="00C3618E" w:rsidP="00C62D62">
      <w:pPr>
        <w:tabs>
          <w:tab w:val="left" w:pos="284"/>
        </w:tabs>
        <w:spacing w:after="120" w:line="360" w:lineRule="auto"/>
        <w:ind w:firstLine="284"/>
        <w:jc w:val="both"/>
        <w:rPr>
          <w:rFonts w:ascii="Arial" w:hAnsi="Arial" w:cs="Arial"/>
        </w:rPr>
      </w:pPr>
      <w:r w:rsidRPr="00C3618E">
        <w:rPr>
          <w:rFonts w:ascii="Arial" w:hAnsi="Arial" w:cs="Arial"/>
        </w:rPr>
        <w:t>Wyniki monitorowania realizacji celów krajowego planu działania, w tym wyniki oceny ryzyka związanego ze stosowaniem środków ochrony roślin, minister właściwy do spraw rolnictwa udostępnia corocznie na stronie internetowej administrowanej przez obsługujący go urząd. Poniższe opracowanie stanowi pi</w:t>
      </w:r>
      <w:r>
        <w:rPr>
          <w:rFonts w:ascii="Arial" w:hAnsi="Arial" w:cs="Arial"/>
        </w:rPr>
        <w:t>erwsze</w:t>
      </w:r>
      <w:r w:rsidRPr="00C3618E">
        <w:rPr>
          <w:rFonts w:ascii="Arial" w:hAnsi="Arial" w:cs="Arial"/>
        </w:rPr>
        <w:t xml:space="preserve"> sprawozdanie z realizacji </w:t>
      </w:r>
      <w:r>
        <w:rPr>
          <w:rFonts w:ascii="Arial" w:hAnsi="Arial" w:cs="Arial"/>
        </w:rPr>
        <w:t>trzeciego</w:t>
      </w:r>
      <w:r w:rsidRPr="00C3618E">
        <w:rPr>
          <w:rFonts w:ascii="Arial" w:hAnsi="Arial" w:cs="Arial"/>
        </w:rPr>
        <w:t xml:space="preserve"> krajowego planu działania, obejmujące</w:t>
      </w:r>
      <w:r w:rsidR="00AE4F11">
        <w:rPr>
          <w:rFonts w:ascii="Arial" w:hAnsi="Arial" w:cs="Arial"/>
        </w:rPr>
        <w:t xml:space="preserve"> 2023 rok</w:t>
      </w:r>
      <w:r w:rsidR="00E37D40">
        <w:rPr>
          <w:rFonts w:ascii="Arial" w:hAnsi="Arial" w:cs="Arial"/>
        </w:rPr>
        <w:t>.</w:t>
      </w:r>
    </w:p>
    <w:p w14:paraId="422E35C6" w14:textId="77777777" w:rsidR="008B5F95" w:rsidRDefault="00923F0D">
      <w:pPr>
        <w:widowControl/>
        <w:rPr>
          <w:rFonts w:ascii="Arial" w:hAnsi="Arial" w:cs="Arial"/>
        </w:rPr>
      </w:pPr>
      <w:r>
        <w:br w:type="page"/>
      </w:r>
    </w:p>
    <w:p w14:paraId="1002767D" w14:textId="18F1BAFE" w:rsidR="008B5F95" w:rsidRDefault="00923F0D" w:rsidP="00E74A80">
      <w:pPr>
        <w:pStyle w:val="Nagwek1"/>
        <w:numPr>
          <w:ilvl w:val="0"/>
          <w:numId w:val="16"/>
        </w:numPr>
        <w:spacing w:before="0"/>
        <w:ind w:left="284" w:hanging="142"/>
        <w:rPr>
          <w:i w:val="0"/>
          <w:sz w:val="24"/>
          <w:szCs w:val="24"/>
        </w:rPr>
      </w:pPr>
      <w:bookmarkStart w:id="3" w:name="_Toc193716381"/>
      <w:r>
        <w:rPr>
          <w:i w:val="0"/>
          <w:sz w:val="24"/>
          <w:szCs w:val="24"/>
        </w:rPr>
        <w:lastRenderedPageBreak/>
        <w:t>Cele i działania na rzecz ograniczenia ryzyka związanego ze stosowaniem środków ochrony roślin na lata 20</w:t>
      </w:r>
      <w:r w:rsidR="00F66DE8">
        <w:rPr>
          <w:i w:val="0"/>
          <w:sz w:val="24"/>
          <w:szCs w:val="24"/>
        </w:rPr>
        <w:t>2</w:t>
      </w:r>
      <w:r w:rsidR="00CB448A">
        <w:rPr>
          <w:i w:val="0"/>
          <w:sz w:val="24"/>
          <w:szCs w:val="24"/>
        </w:rPr>
        <w:t>3</w:t>
      </w:r>
      <w:r>
        <w:rPr>
          <w:i w:val="0"/>
          <w:sz w:val="24"/>
          <w:szCs w:val="24"/>
        </w:rPr>
        <w:t>–202</w:t>
      </w:r>
      <w:r w:rsidR="00F66DE8">
        <w:rPr>
          <w:i w:val="0"/>
          <w:sz w:val="24"/>
          <w:szCs w:val="24"/>
        </w:rPr>
        <w:t>7</w:t>
      </w:r>
      <w:bookmarkEnd w:id="3"/>
    </w:p>
    <w:p w14:paraId="61B77681" w14:textId="259B810A" w:rsidR="008B5F95" w:rsidRDefault="00923F0D" w:rsidP="002D072C">
      <w:pPr>
        <w:pStyle w:val="NormalnyWeb"/>
        <w:tabs>
          <w:tab w:val="left" w:pos="284"/>
        </w:tabs>
        <w:spacing w:beforeAutospacing="0" w:after="120" w:afterAutospacing="0" w:line="360" w:lineRule="auto"/>
        <w:ind w:firstLine="284"/>
        <w:jc w:val="both"/>
        <w:rPr>
          <w:rFonts w:ascii="Arial" w:hAnsi="Arial" w:cs="Arial"/>
          <w:bCs/>
        </w:rPr>
      </w:pPr>
      <w:r>
        <w:rPr>
          <w:rFonts w:ascii="Arial" w:hAnsi="Arial" w:cs="Arial"/>
          <w:bCs/>
        </w:rPr>
        <w:t>Głównymi celami krajowego planu działania</w:t>
      </w:r>
      <w:r>
        <w:rPr>
          <w:rFonts w:ascii="Arial" w:hAnsi="Arial" w:cs="Arial"/>
        </w:rPr>
        <w:t xml:space="preserve"> s</w:t>
      </w:r>
      <w:r>
        <w:rPr>
          <w:rFonts w:ascii="Arial" w:hAnsi="Arial" w:cs="Arial"/>
          <w:bCs/>
        </w:rPr>
        <w:t>ą</w:t>
      </w:r>
      <w:r w:rsidR="002D072C">
        <w:rPr>
          <w:rFonts w:ascii="Arial" w:hAnsi="Arial" w:cs="Arial"/>
          <w:bCs/>
        </w:rPr>
        <w:t xml:space="preserve"> </w:t>
      </w:r>
      <w:r>
        <w:rPr>
          <w:rFonts w:ascii="Arial" w:hAnsi="Arial" w:cs="Arial"/>
          <w:bCs/>
        </w:rPr>
        <w:t>upowszechni</w:t>
      </w:r>
      <w:r w:rsidR="00AF56F5">
        <w:rPr>
          <w:rFonts w:ascii="Arial" w:hAnsi="Arial" w:cs="Arial"/>
          <w:bCs/>
        </w:rPr>
        <w:t>a</w:t>
      </w:r>
      <w:r>
        <w:rPr>
          <w:rFonts w:ascii="Arial" w:hAnsi="Arial" w:cs="Arial"/>
          <w:bCs/>
        </w:rPr>
        <w:t>nie ogólnych zasad integrowanej ochrony roślin</w:t>
      </w:r>
      <w:r w:rsidR="002D072C">
        <w:rPr>
          <w:rFonts w:ascii="Arial" w:hAnsi="Arial" w:cs="Arial"/>
          <w:bCs/>
        </w:rPr>
        <w:t xml:space="preserve"> oraz </w:t>
      </w:r>
      <w:r>
        <w:rPr>
          <w:rFonts w:ascii="Arial" w:hAnsi="Arial" w:cs="Arial"/>
          <w:bCs/>
        </w:rPr>
        <w:t>zapobieganie zagrożeniom związanym ze stosowaniem środków ochrony roślin.</w:t>
      </w:r>
    </w:p>
    <w:p w14:paraId="564A159E" w14:textId="4EFBF25E" w:rsidR="008B5F95" w:rsidRPr="0091795E" w:rsidRDefault="00923F0D">
      <w:pPr>
        <w:pStyle w:val="napakapit"/>
      </w:pPr>
      <w:r>
        <w:t>Do monitorowania stopnia realizacji powyższych celów zosta</w:t>
      </w:r>
      <w:r w:rsidR="00F27A75">
        <w:t>ł</w:t>
      </w:r>
      <w:r>
        <w:t xml:space="preserve"> wykorzystany miernik wypracowany w ramach krajowego planu działania na lata 2013–2017, a mianowicie wskaźnik poziomu nieprawidłowości związanych ze stosowaniem środków ochrony roślin</w:t>
      </w:r>
      <w:r w:rsidR="003F6D49">
        <w:t>. W</w:t>
      </w:r>
      <w:r>
        <w:t xml:space="preserve"> trakcie realizacji krajowego </w:t>
      </w:r>
      <w:r w:rsidRPr="0091795E">
        <w:t>planu działania wartość miernika nie powinna przekroczyć wartości 1,5.</w:t>
      </w:r>
    </w:p>
    <w:p w14:paraId="732C37AB" w14:textId="77777777" w:rsidR="008B5F95" w:rsidRPr="000E0360" w:rsidRDefault="00923F0D">
      <w:pPr>
        <w:pStyle w:val="napakapit"/>
      </w:pPr>
      <w:r w:rsidRPr="0091795E">
        <w:t>Wskaźnik ten uwzględnia wyniki kontroli stosowania środków ochrony roślin przez producentów rolnych, przeprowadzanej przez Państwową Inspekcję Ochrony Roślin i Nasiennictwa. Kontrole w gospodarstwach są wykonywane oddzielnie dla trzech grup uprawowych (uprawy rolne, warzywni</w:t>
      </w:r>
      <w:r w:rsidRPr="000E0360">
        <w:t>cze i sadownicze) w łącznej liczbie około 20 000 kontroli na rok. Kontrole prowadzi się w siedmiu szczegółowych obszarach kontroli:</w:t>
      </w:r>
    </w:p>
    <w:p w14:paraId="0260A332" w14:textId="09589189" w:rsidR="008B5F95" w:rsidRPr="009B77DC" w:rsidRDefault="00C04EC5" w:rsidP="00E74A80">
      <w:pPr>
        <w:pStyle w:val="Akapitzlist"/>
        <w:widowControl/>
        <w:numPr>
          <w:ilvl w:val="1"/>
          <w:numId w:val="17"/>
        </w:numPr>
        <w:spacing w:after="80" w:line="360" w:lineRule="auto"/>
        <w:ind w:left="851" w:hanging="425"/>
        <w:jc w:val="both"/>
        <w:rPr>
          <w:rFonts w:ascii="Arial" w:eastAsia="Calibri" w:hAnsi="Arial" w:cs="Arial"/>
          <w:sz w:val="20"/>
          <w:szCs w:val="20"/>
        </w:rPr>
      </w:pPr>
      <w:r>
        <w:rPr>
          <w:rFonts w:ascii="Arial" w:eastAsia="Calibri" w:hAnsi="Arial" w:cs="Arial"/>
          <w:sz w:val="20"/>
          <w:szCs w:val="20"/>
        </w:rPr>
        <w:t>d</w:t>
      </w:r>
      <w:r w:rsidR="00923F0D" w:rsidRPr="009B77DC">
        <w:rPr>
          <w:rFonts w:ascii="Arial" w:eastAsia="Calibri" w:hAnsi="Arial" w:cs="Arial"/>
          <w:sz w:val="20"/>
          <w:szCs w:val="20"/>
        </w:rPr>
        <w:t>okumentacja dotycząca stosowanych środków ochrony roślin</w:t>
      </w:r>
      <w:r>
        <w:rPr>
          <w:rFonts w:ascii="Arial" w:eastAsia="Calibri" w:hAnsi="Arial" w:cs="Arial"/>
          <w:sz w:val="20"/>
          <w:szCs w:val="20"/>
        </w:rPr>
        <w:t>;</w:t>
      </w:r>
      <w:r w:rsidR="00923F0D" w:rsidRPr="009B77DC">
        <w:rPr>
          <w:rFonts w:ascii="Arial" w:eastAsia="Calibri" w:hAnsi="Arial" w:cs="Arial"/>
          <w:sz w:val="20"/>
          <w:szCs w:val="20"/>
        </w:rPr>
        <w:t xml:space="preserve"> </w:t>
      </w:r>
    </w:p>
    <w:p w14:paraId="5061633F" w14:textId="25D3ECE5" w:rsidR="008B5F95" w:rsidRPr="009B77DC" w:rsidRDefault="00C04EC5" w:rsidP="00E74A80">
      <w:pPr>
        <w:pStyle w:val="Akapitzlist"/>
        <w:widowControl/>
        <w:numPr>
          <w:ilvl w:val="1"/>
          <w:numId w:val="17"/>
        </w:numPr>
        <w:spacing w:after="80" w:line="360" w:lineRule="auto"/>
        <w:ind w:left="851" w:hanging="425"/>
        <w:jc w:val="both"/>
        <w:rPr>
          <w:rFonts w:ascii="Arial" w:eastAsia="Calibri" w:hAnsi="Arial" w:cs="Arial"/>
          <w:sz w:val="20"/>
          <w:szCs w:val="20"/>
        </w:rPr>
      </w:pPr>
      <w:r>
        <w:rPr>
          <w:rFonts w:ascii="Arial" w:eastAsia="Calibri" w:hAnsi="Arial" w:cs="Arial"/>
          <w:sz w:val="20"/>
          <w:szCs w:val="20"/>
        </w:rPr>
        <w:t>u</w:t>
      </w:r>
      <w:r w:rsidR="00923F0D" w:rsidRPr="009B77DC">
        <w:rPr>
          <w:rFonts w:ascii="Arial" w:eastAsia="Calibri" w:hAnsi="Arial" w:cs="Arial"/>
          <w:sz w:val="20"/>
          <w:szCs w:val="20"/>
        </w:rPr>
        <w:t>życie środka ochrony roślin niedopuszczonego do obrotu</w:t>
      </w:r>
      <w:r>
        <w:rPr>
          <w:rFonts w:ascii="Arial" w:eastAsia="Calibri" w:hAnsi="Arial" w:cs="Arial"/>
          <w:sz w:val="20"/>
          <w:szCs w:val="20"/>
        </w:rPr>
        <w:t>;</w:t>
      </w:r>
      <w:r w:rsidRPr="009B77DC">
        <w:rPr>
          <w:rFonts w:ascii="Arial" w:eastAsia="Calibri" w:hAnsi="Arial" w:cs="Arial"/>
          <w:sz w:val="20"/>
          <w:szCs w:val="20"/>
        </w:rPr>
        <w:t xml:space="preserve"> </w:t>
      </w:r>
    </w:p>
    <w:p w14:paraId="43293690" w14:textId="4E33C28A" w:rsidR="008B5F95" w:rsidRPr="009B77DC" w:rsidRDefault="007A31AF" w:rsidP="00E74A80">
      <w:pPr>
        <w:pStyle w:val="Akapitzlist"/>
        <w:widowControl/>
        <w:numPr>
          <w:ilvl w:val="1"/>
          <w:numId w:val="17"/>
        </w:numPr>
        <w:spacing w:after="80" w:line="360" w:lineRule="auto"/>
        <w:ind w:left="851" w:hanging="425"/>
        <w:jc w:val="both"/>
        <w:rPr>
          <w:rFonts w:ascii="Arial" w:eastAsia="Calibri" w:hAnsi="Arial" w:cs="Arial"/>
          <w:sz w:val="20"/>
          <w:szCs w:val="20"/>
        </w:rPr>
      </w:pPr>
      <w:r>
        <w:rPr>
          <w:rFonts w:ascii="Arial" w:eastAsia="Calibri" w:hAnsi="Arial" w:cs="Arial"/>
          <w:sz w:val="20"/>
          <w:szCs w:val="20"/>
        </w:rPr>
        <w:t>u</w:t>
      </w:r>
      <w:r w:rsidR="00923F0D" w:rsidRPr="009B77DC">
        <w:rPr>
          <w:rFonts w:ascii="Arial" w:eastAsia="Calibri" w:hAnsi="Arial" w:cs="Arial"/>
          <w:sz w:val="20"/>
          <w:szCs w:val="20"/>
        </w:rPr>
        <w:t>życie środka ochrony roślin niezgodnie z zakresem stosowania</w:t>
      </w:r>
      <w:r>
        <w:rPr>
          <w:rFonts w:ascii="Arial" w:eastAsia="Calibri" w:hAnsi="Arial" w:cs="Arial"/>
          <w:sz w:val="20"/>
          <w:szCs w:val="20"/>
        </w:rPr>
        <w:t>;</w:t>
      </w:r>
      <w:r w:rsidR="00923F0D" w:rsidRPr="009B77DC">
        <w:rPr>
          <w:rFonts w:ascii="Arial" w:eastAsia="Calibri" w:hAnsi="Arial" w:cs="Arial"/>
          <w:sz w:val="20"/>
          <w:szCs w:val="20"/>
        </w:rPr>
        <w:t xml:space="preserve"> </w:t>
      </w:r>
    </w:p>
    <w:p w14:paraId="1F1F1884" w14:textId="32BB0E90" w:rsidR="008B5F95" w:rsidRPr="009B77DC" w:rsidRDefault="007A31AF" w:rsidP="00E74A80">
      <w:pPr>
        <w:pStyle w:val="Akapitzlist"/>
        <w:widowControl/>
        <w:numPr>
          <w:ilvl w:val="1"/>
          <w:numId w:val="17"/>
        </w:numPr>
        <w:spacing w:after="80" w:line="360" w:lineRule="auto"/>
        <w:ind w:left="851" w:hanging="425"/>
        <w:jc w:val="both"/>
        <w:rPr>
          <w:rFonts w:ascii="Arial" w:eastAsia="Calibri" w:hAnsi="Arial" w:cs="Arial"/>
          <w:sz w:val="20"/>
          <w:szCs w:val="20"/>
        </w:rPr>
      </w:pPr>
      <w:r>
        <w:rPr>
          <w:rFonts w:ascii="Arial" w:eastAsia="Calibri" w:hAnsi="Arial" w:cs="Arial"/>
          <w:sz w:val="20"/>
          <w:szCs w:val="20"/>
        </w:rPr>
        <w:t>w</w:t>
      </w:r>
      <w:r w:rsidR="00923F0D" w:rsidRPr="009B77DC">
        <w:rPr>
          <w:rFonts w:ascii="Arial" w:eastAsia="Calibri" w:hAnsi="Arial" w:cs="Arial"/>
          <w:sz w:val="20"/>
          <w:szCs w:val="20"/>
        </w:rPr>
        <w:t>arunki bezpiecznego stosowania środka ochrony roślin</w:t>
      </w:r>
      <w:r>
        <w:rPr>
          <w:rFonts w:ascii="Arial" w:eastAsia="Calibri" w:hAnsi="Arial" w:cs="Arial"/>
          <w:sz w:val="20"/>
          <w:szCs w:val="20"/>
        </w:rPr>
        <w:t>;</w:t>
      </w:r>
      <w:r w:rsidR="00923F0D" w:rsidRPr="009B77DC">
        <w:rPr>
          <w:rFonts w:ascii="Arial" w:eastAsia="Calibri" w:hAnsi="Arial" w:cs="Arial"/>
          <w:sz w:val="20"/>
          <w:szCs w:val="20"/>
        </w:rPr>
        <w:t xml:space="preserve"> </w:t>
      </w:r>
    </w:p>
    <w:p w14:paraId="06FC5081" w14:textId="4D2A6967" w:rsidR="008B5F95" w:rsidRPr="009B77DC" w:rsidRDefault="007A31AF" w:rsidP="00E74A80">
      <w:pPr>
        <w:pStyle w:val="Akapitzlist"/>
        <w:widowControl/>
        <w:numPr>
          <w:ilvl w:val="1"/>
          <w:numId w:val="17"/>
        </w:numPr>
        <w:spacing w:after="80" w:line="360" w:lineRule="auto"/>
        <w:ind w:left="851" w:hanging="425"/>
        <w:jc w:val="both"/>
        <w:rPr>
          <w:rFonts w:ascii="Arial" w:eastAsia="Calibri" w:hAnsi="Arial" w:cs="Arial"/>
          <w:sz w:val="20"/>
          <w:szCs w:val="20"/>
        </w:rPr>
      </w:pPr>
      <w:r>
        <w:rPr>
          <w:rFonts w:ascii="Arial" w:eastAsia="Calibri" w:hAnsi="Arial" w:cs="Arial"/>
          <w:sz w:val="20"/>
          <w:szCs w:val="20"/>
        </w:rPr>
        <w:t>w</w:t>
      </w:r>
      <w:r w:rsidR="00923F0D" w:rsidRPr="009B77DC">
        <w:rPr>
          <w:rFonts w:ascii="Arial" w:eastAsia="Calibri" w:hAnsi="Arial" w:cs="Arial"/>
          <w:sz w:val="20"/>
          <w:szCs w:val="20"/>
        </w:rPr>
        <w:t>arunki przechowywania środka ochrony roślin</w:t>
      </w:r>
      <w:r>
        <w:rPr>
          <w:rFonts w:ascii="Arial" w:eastAsia="Calibri" w:hAnsi="Arial" w:cs="Arial"/>
          <w:sz w:val="20"/>
          <w:szCs w:val="20"/>
        </w:rPr>
        <w:t>;</w:t>
      </w:r>
      <w:r w:rsidR="00923F0D" w:rsidRPr="009B77DC">
        <w:rPr>
          <w:rFonts w:ascii="Arial" w:eastAsia="Calibri" w:hAnsi="Arial" w:cs="Arial"/>
          <w:sz w:val="20"/>
          <w:szCs w:val="20"/>
        </w:rPr>
        <w:t xml:space="preserve"> </w:t>
      </w:r>
    </w:p>
    <w:p w14:paraId="18A92275" w14:textId="6F1A6C02" w:rsidR="008B5F95" w:rsidRPr="009B77DC" w:rsidRDefault="007A31AF" w:rsidP="00E74A80">
      <w:pPr>
        <w:pStyle w:val="Akapitzlist"/>
        <w:widowControl/>
        <w:numPr>
          <w:ilvl w:val="1"/>
          <w:numId w:val="17"/>
        </w:numPr>
        <w:spacing w:after="80" w:line="360" w:lineRule="auto"/>
        <w:ind w:left="851" w:hanging="425"/>
        <w:jc w:val="both"/>
        <w:rPr>
          <w:rFonts w:ascii="Arial" w:eastAsia="Calibri" w:hAnsi="Arial" w:cs="Arial"/>
          <w:sz w:val="20"/>
          <w:szCs w:val="20"/>
        </w:rPr>
      </w:pPr>
      <w:r>
        <w:rPr>
          <w:rFonts w:ascii="Arial" w:eastAsia="Calibri" w:hAnsi="Arial" w:cs="Arial"/>
          <w:sz w:val="20"/>
          <w:szCs w:val="20"/>
        </w:rPr>
        <w:t>p</w:t>
      </w:r>
      <w:r w:rsidR="00923F0D" w:rsidRPr="009B77DC">
        <w:rPr>
          <w:rFonts w:ascii="Arial" w:eastAsia="Calibri" w:hAnsi="Arial" w:cs="Arial"/>
          <w:sz w:val="20"/>
          <w:szCs w:val="20"/>
        </w:rPr>
        <w:t>osiadanie aktualnego zaświadczenia potwierdzającego ukończenie szkolenia</w:t>
      </w:r>
      <w:r>
        <w:rPr>
          <w:rFonts w:ascii="Arial" w:eastAsia="Calibri" w:hAnsi="Arial" w:cs="Arial"/>
          <w:sz w:val="20"/>
          <w:szCs w:val="20"/>
        </w:rPr>
        <w:t>;</w:t>
      </w:r>
      <w:r w:rsidR="00923F0D" w:rsidRPr="009B77DC">
        <w:rPr>
          <w:rFonts w:ascii="Arial" w:eastAsia="Calibri" w:hAnsi="Arial" w:cs="Arial"/>
          <w:sz w:val="20"/>
          <w:szCs w:val="20"/>
        </w:rPr>
        <w:t xml:space="preserve"> </w:t>
      </w:r>
    </w:p>
    <w:p w14:paraId="2B9BA1D2" w14:textId="63AE6F87" w:rsidR="008B5F95" w:rsidRPr="009B77DC" w:rsidRDefault="007A31AF" w:rsidP="00E74A80">
      <w:pPr>
        <w:pStyle w:val="Akapitzlist"/>
        <w:widowControl/>
        <w:numPr>
          <w:ilvl w:val="1"/>
          <w:numId w:val="17"/>
        </w:numPr>
        <w:spacing w:after="80" w:line="360" w:lineRule="auto"/>
        <w:ind w:left="851" w:hanging="425"/>
        <w:jc w:val="both"/>
        <w:rPr>
          <w:rFonts w:ascii="Arial" w:eastAsia="Calibri" w:hAnsi="Arial" w:cs="Arial"/>
          <w:sz w:val="20"/>
          <w:szCs w:val="20"/>
        </w:rPr>
      </w:pPr>
      <w:r>
        <w:rPr>
          <w:rFonts w:ascii="Arial" w:eastAsia="Calibri" w:hAnsi="Arial" w:cs="Arial"/>
          <w:sz w:val="20"/>
          <w:szCs w:val="20"/>
        </w:rPr>
        <w:t>b</w:t>
      </w:r>
      <w:r w:rsidR="00923F0D" w:rsidRPr="009B77DC">
        <w:rPr>
          <w:rFonts w:ascii="Arial" w:eastAsia="Calibri" w:hAnsi="Arial" w:cs="Arial"/>
          <w:sz w:val="20"/>
          <w:szCs w:val="20"/>
        </w:rPr>
        <w:t>adania sprawności technicznej sprzętu do wykonywania zabiegów.</w:t>
      </w:r>
      <w:r w:rsidR="0091795E" w:rsidRPr="009B77DC">
        <w:rPr>
          <w:rFonts w:ascii="Arial" w:eastAsia="Calibri" w:hAnsi="Arial" w:cs="Arial"/>
          <w:sz w:val="20"/>
          <w:szCs w:val="20"/>
        </w:rPr>
        <w:t xml:space="preserve"> </w:t>
      </w:r>
    </w:p>
    <w:p w14:paraId="0C9BBB6D" w14:textId="77777777" w:rsidR="008B5F95" w:rsidRDefault="00923F0D">
      <w:pPr>
        <w:widowControl/>
        <w:spacing w:after="80" w:line="360" w:lineRule="auto"/>
        <w:ind w:firstLine="426"/>
        <w:jc w:val="both"/>
        <w:rPr>
          <w:rFonts w:ascii="Arial" w:eastAsia="Calibri" w:hAnsi="Arial" w:cs="Arial"/>
          <w:lang w:eastAsia="en-US"/>
        </w:rPr>
      </w:pPr>
      <w:r>
        <w:rPr>
          <w:rFonts w:ascii="Arial" w:eastAsia="Calibri" w:hAnsi="Arial" w:cs="Arial"/>
          <w:lang w:eastAsia="en-US"/>
        </w:rPr>
        <w:t xml:space="preserve">Wskaźnik oparto </w:t>
      </w:r>
      <w:r w:rsidRPr="000F5B0A">
        <w:rPr>
          <w:rFonts w:ascii="Arial" w:eastAsia="Calibri" w:hAnsi="Arial" w:cs="Arial"/>
          <w:lang w:eastAsia="en-US"/>
        </w:rPr>
        <w:t>na liczbie wykrytych nieprawidłowości odniesionej do liczby kontroli przeprowadzonych w poszczególnych szczegółowych obszarach kontroli. Obszarom kontroli przypisano wagi, uwzględniając potencjalne zagrożenia dla ludzi i środowiska powodowane przez wykryte nieprawidłowości.</w:t>
      </w:r>
      <w:r>
        <w:rPr>
          <w:rFonts w:ascii="Arial" w:eastAsia="Calibri" w:hAnsi="Arial" w:cs="Arial"/>
          <w:lang w:eastAsia="en-US"/>
        </w:rPr>
        <w:t xml:space="preserve"> </w:t>
      </w:r>
    </w:p>
    <w:p w14:paraId="4D71F8AC" w14:textId="77777777" w:rsidR="008B5F95" w:rsidRDefault="00923F0D">
      <w:pPr>
        <w:widowControl/>
        <w:spacing w:after="80" w:line="360" w:lineRule="auto"/>
        <w:ind w:left="426" w:hanging="426"/>
        <w:rPr>
          <w:rFonts w:ascii="Arial" w:eastAsia="Calibri" w:hAnsi="Arial" w:cs="Arial"/>
          <w:lang w:eastAsia="en-US"/>
        </w:rPr>
      </w:pPr>
      <w:r>
        <w:rPr>
          <w:rFonts w:ascii="Arial" w:eastAsia="Calibri" w:hAnsi="Arial" w:cs="Arial"/>
          <w:b/>
          <w:lang w:eastAsia="en-US"/>
        </w:rPr>
        <w:tab/>
      </w:r>
      <w:r>
        <w:rPr>
          <w:rFonts w:ascii="Arial" w:eastAsia="Calibri" w:hAnsi="Arial" w:cs="Arial"/>
          <w:lang w:eastAsia="en-US"/>
        </w:rPr>
        <w:t>Przyjęto następującą postać wskaźnika:</w:t>
      </w:r>
    </w:p>
    <w:p w14:paraId="285DC18B" w14:textId="77777777" w:rsidR="008B5F95" w:rsidRDefault="00923F0D">
      <w:pPr>
        <w:widowControl/>
        <w:spacing w:after="80" w:line="360" w:lineRule="auto"/>
        <w:jc w:val="center"/>
        <w:rPr>
          <w:rFonts w:eastAsia="Calibri"/>
          <w:sz w:val="24"/>
          <w:szCs w:val="22"/>
          <w:lang w:eastAsia="en-US"/>
        </w:rPr>
      </w:pPr>
      <w:r>
        <w:rPr>
          <w:b/>
          <w:sz w:val="24"/>
          <w:szCs w:val="22"/>
          <w:lang w:eastAsia="en-US"/>
        </w:rPr>
        <w:t>W</w:t>
      </w:r>
      <w:r>
        <w:rPr>
          <w:b/>
          <w:sz w:val="24"/>
          <w:szCs w:val="22"/>
          <w:vertAlign w:val="subscript"/>
          <w:lang w:eastAsia="en-US"/>
        </w:rPr>
        <w:t>S.</w:t>
      </w:r>
      <w:r>
        <w:rPr>
          <w:rFonts w:eastAsia="Calibri"/>
          <w:b/>
          <w:sz w:val="24"/>
          <w:szCs w:val="22"/>
          <w:vertAlign w:val="subscript"/>
          <w:lang w:eastAsia="en-US"/>
        </w:rPr>
        <w:t>Kontrola</w:t>
      </w:r>
      <w:r>
        <w:rPr>
          <w:rFonts w:eastAsia="Calibri"/>
          <w:b/>
          <w:sz w:val="24"/>
          <w:szCs w:val="22"/>
          <w:lang w:eastAsia="en-US"/>
        </w:rPr>
        <w:t xml:space="preserve"> = Σ</w:t>
      </w:r>
      <w:r>
        <w:rPr>
          <w:rFonts w:eastAsia="Calibri"/>
          <w:b/>
          <w:sz w:val="24"/>
          <w:szCs w:val="22"/>
          <w:vertAlign w:val="subscript"/>
          <w:lang w:eastAsia="en-US"/>
        </w:rPr>
        <w:t>j</w:t>
      </w:r>
      <w:r>
        <w:rPr>
          <w:rFonts w:eastAsia="Calibri"/>
          <w:b/>
          <w:sz w:val="24"/>
          <w:szCs w:val="22"/>
          <w:lang w:eastAsia="en-US"/>
        </w:rPr>
        <w:t xml:space="preserve"> (W</w:t>
      </w:r>
      <w:r>
        <w:rPr>
          <w:rFonts w:eastAsia="Calibri"/>
          <w:b/>
          <w:sz w:val="24"/>
          <w:szCs w:val="22"/>
          <w:vertAlign w:val="subscript"/>
          <w:lang w:eastAsia="en-US"/>
        </w:rPr>
        <w:t>j</w:t>
      </w:r>
      <w:r>
        <w:rPr>
          <w:rFonts w:eastAsia="Calibri"/>
          <w:b/>
          <w:sz w:val="24"/>
          <w:szCs w:val="22"/>
          <w:lang w:eastAsia="en-US"/>
        </w:rPr>
        <w:t xml:space="preserve"> * N</w:t>
      </w:r>
      <w:r>
        <w:rPr>
          <w:rFonts w:eastAsia="Calibri"/>
          <w:b/>
          <w:sz w:val="24"/>
          <w:szCs w:val="22"/>
          <w:vertAlign w:val="subscript"/>
          <w:lang w:eastAsia="en-US"/>
        </w:rPr>
        <w:t>j</w:t>
      </w:r>
      <w:r>
        <w:rPr>
          <w:rFonts w:eastAsia="Calibri"/>
          <w:b/>
          <w:sz w:val="24"/>
          <w:szCs w:val="22"/>
          <w:lang w:eastAsia="en-US"/>
        </w:rPr>
        <w:t xml:space="preserve"> / Lk</w:t>
      </w:r>
      <w:r>
        <w:rPr>
          <w:rFonts w:eastAsia="Calibri"/>
          <w:b/>
          <w:sz w:val="24"/>
          <w:szCs w:val="22"/>
          <w:vertAlign w:val="subscript"/>
          <w:lang w:eastAsia="en-US"/>
        </w:rPr>
        <w:t>j</w:t>
      </w:r>
      <w:r>
        <w:rPr>
          <w:rFonts w:eastAsia="Calibri"/>
          <w:b/>
          <w:sz w:val="24"/>
          <w:szCs w:val="22"/>
          <w:lang w:eastAsia="en-US"/>
        </w:rPr>
        <w:t>)</w:t>
      </w:r>
      <w:r>
        <w:rPr>
          <w:rFonts w:eastAsia="Calibri"/>
          <w:b/>
          <w:color w:val="FF0000"/>
          <w:sz w:val="24"/>
          <w:szCs w:val="22"/>
          <w:lang w:eastAsia="en-US"/>
        </w:rPr>
        <w:t xml:space="preserve"> </w:t>
      </w:r>
      <w:r>
        <w:rPr>
          <w:rFonts w:eastAsia="Calibri"/>
          <w:b/>
          <w:sz w:val="24"/>
          <w:szCs w:val="22"/>
          <w:lang w:eastAsia="en-US"/>
        </w:rPr>
        <w:t xml:space="preserve">* 100  </w:t>
      </w:r>
      <w:r>
        <w:rPr>
          <w:rFonts w:eastAsia="Calibri"/>
          <w:sz w:val="24"/>
          <w:szCs w:val="22"/>
          <w:lang w:eastAsia="en-US"/>
        </w:rPr>
        <w:t>[%]</w:t>
      </w:r>
    </w:p>
    <w:p w14:paraId="2FD6A9EB" w14:textId="77777777" w:rsidR="008B5F95" w:rsidRDefault="00923F0D">
      <w:pPr>
        <w:widowControl/>
        <w:spacing w:after="80" w:line="360" w:lineRule="auto"/>
        <w:ind w:firstLine="426"/>
        <w:rPr>
          <w:rFonts w:ascii="Arial" w:eastAsia="Calibri" w:hAnsi="Arial" w:cs="Arial"/>
          <w:lang w:eastAsia="en-US"/>
        </w:rPr>
      </w:pPr>
      <w:r>
        <w:rPr>
          <w:rFonts w:ascii="Arial" w:eastAsia="Calibri" w:hAnsi="Arial" w:cs="Arial"/>
          <w:lang w:eastAsia="en-US"/>
        </w:rPr>
        <w:t>gdzie:</w:t>
      </w:r>
    </w:p>
    <w:p w14:paraId="59416D98" w14:textId="77777777" w:rsidR="008B5F95" w:rsidRDefault="00923F0D" w:rsidP="00C255A1">
      <w:pPr>
        <w:widowControl/>
        <w:tabs>
          <w:tab w:val="left" w:pos="993"/>
        </w:tabs>
        <w:spacing w:after="80" w:line="360" w:lineRule="auto"/>
        <w:ind w:left="426"/>
        <w:rPr>
          <w:rFonts w:ascii="Arial" w:eastAsia="Calibri" w:hAnsi="Arial" w:cs="Arial"/>
          <w:lang w:eastAsia="en-US"/>
        </w:rPr>
      </w:pPr>
      <w:r>
        <w:rPr>
          <w:rFonts w:ascii="Arial" w:eastAsia="Calibri" w:hAnsi="Arial" w:cs="Arial"/>
          <w:lang w:eastAsia="en-US"/>
        </w:rPr>
        <w:t>j</w:t>
      </w:r>
      <w:r>
        <w:rPr>
          <w:rFonts w:ascii="Arial" w:eastAsia="Calibri" w:hAnsi="Arial" w:cs="Arial"/>
          <w:lang w:eastAsia="en-US"/>
        </w:rPr>
        <w:tab/>
        <w:t>-</w:t>
      </w:r>
      <w:r>
        <w:rPr>
          <w:rFonts w:ascii="Arial" w:eastAsia="Calibri" w:hAnsi="Arial" w:cs="Arial"/>
          <w:lang w:eastAsia="en-US"/>
        </w:rPr>
        <w:tab/>
        <w:t>indeks dotyczący szczegółowego obszaru kontroli (od 1 do 7),</w:t>
      </w:r>
    </w:p>
    <w:p w14:paraId="3E163629" w14:textId="77777777" w:rsidR="008B5F95" w:rsidRDefault="00923F0D" w:rsidP="00C255A1">
      <w:pPr>
        <w:widowControl/>
        <w:tabs>
          <w:tab w:val="left" w:pos="993"/>
        </w:tabs>
        <w:spacing w:after="80"/>
        <w:ind w:left="1418" w:hanging="992"/>
        <w:rPr>
          <w:rFonts w:ascii="Arial" w:eastAsia="Calibri" w:hAnsi="Arial" w:cs="Arial"/>
          <w:lang w:eastAsia="en-US"/>
        </w:rPr>
      </w:pPr>
      <w:r>
        <w:rPr>
          <w:rFonts w:ascii="Arial" w:eastAsia="Calibri" w:hAnsi="Arial" w:cs="Arial"/>
          <w:lang w:eastAsia="en-US"/>
        </w:rPr>
        <w:t>W</w:t>
      </w:r>
      <w:r>
        <w:rPr>
          <w:rFonts w:ascii="Arial" w:eastAsia="Calibri" w:hAnsi="Arial" w:cs="Arial"/>
          <w:vertAlign w:val="subscript"/>
          <w:lang w:eastAsia="en-US"/>
        </w:rPr>
        <w:t>j</w:t>
      </w:r>
      <w:r>
        <w:rPr>
          <w:rFonts w:ascii="Arial" w:eastAsia="Calibri" w:hAnsi="Arial" w:cs="Arial"/>
          <w:lang w:eastAsia="en-US"/>
        </w:rPr>
        <w:tab/>
        <w:t>-</w:t>
      </w:r>
      <w:r>
        <w:rPr>
          <w:rFonts w:ascii="Arial" w:eastAsia="Calibri" w:hAnsi="Arial" w:cs="Arial"/>
          <w:lang w:eastAsia="en-US"/>
        </w:rPr>
        <w:tab/>
        <w:t xml:space="preserve">waga uwzględniająca znaczenie dla bezpieczeństwa ludzi i środowiska </w:t>
      </w:r>
    </w:p>
    <w:p w14:paraId="7528A9D8" w14:textId="77777777" w:rsidR="008B5F95" w:rsidRDefault="00923F0D">
      <w:pPr>
        <w:widowControl/>
        <w:tabs>
          <w:tab w:val="left" w:pos="993"/>
        </w:tabs>
        <w:spacing w:after="80"/>
        <w:ind w:left="1418" w:hanging="1418"/>
        <w:rPr>
          <w:rFonts w:ascii="Arial" w:eastAsia="Calibri" w:hAnsi="Arial" w:cs="Arial"/>
          <w:lang w:eastAsia="en-US"/>
        </w:rPr>
      </w:pPr>
      <w:r>
        <w:rPr>
          <w:rFonts w:ascii="Arial" w:eastAsia="Calibri" w:hAnsi="Arial" w:cs="Arial"/>
          <w:lang w:eastAsia="en-US"/>
        </w:rPr>
        <w:tab/>
      </w:r>
      <w:r>
        <w:rPr>
          <w:rFonts w:ascii="Arial" w:eastAsia="Calibri" w:hAnsi="Arial" w:cs="Arial"/>
          <w:lang w:eastAsia="en-US"/>
        </w:rPr>
        <w:tab/>
        <w:t xml:space="preserve">nieprawidłowości wykrytych w poszczególnych obszarach kontroli </w:t>
      </w:r>
    </w:p>
    <w:p w14:paraId="3408B356" w14:textId="77777777" w:rsidR="008B5F95" w:rsidRDefault="00923F0D">
      <w:pPr>
        <w:widowControl/>
        <w:tabs>
          <w:tab w:val="left" w:pos="993"/>
        </w:tabs>
        <w:spacing w:after="80" w:line="360" w:lineRule="auto"/>
        <w:ind w:left="1418" w:hanging="1418"/>
        <w:rPr>
          <w:rFonts w:ascii="Arial" w:eastAsia="Calibri" w:hAnsi="Arial" w:cs="Arial"/>
          <w:lang w:eastAsia="en-US"/>
        </w:rPr>
      </w:pPr>
      <w:r>
        <w:rPr>
          <w:rFonts w:ascii="Arial" w:eastAsia="Calibri" w:hAnsi="Arial" w:cs="Arial"/>
          <w:lang w:eastAsia="en-US"/>
        </w:rPr>
        <w:tab/>
      </w:r>
      <w:r>
        <w:rPr>
          <w:rFonts w:ascii="Arial" w:eastAsia="Calibri" w:hAnsi="Arial" w:cs="Arial"/>
          <w:lang w:eastAsia="en-US"/>
        </w:rPr>
        <w:tab/>
        <w:t>(W</w:t>
      </w:r>
      <w:r>
        <w:rPr>
          <w:rFonts w:ascii="Arial" w:eastAsia="Calibri" w:hAnsi="Arial" w:cs="Arial"/>
          <w:vertAlign w:val="subscript"/>
          <w:lang w:eastAsia="en-US"/>
        </w:rPr>
        <w:t>1</w:t>
      </w:r>
      <w:r>
        <w:rPr>
          <w:rFonts w:ascii="Arial" w:eastAsia="Calibri" w:hAnsi="Arial" w:cs="Arial"/>
          <w:lang w:eastAsia="en-US"/>
        </w:rPr>
        <w:t xml:space="preserve"> = 0,05;  W</w:t>
      </w:r>
      <w:r>
        <w:rPr>
          <w:rFonts w:ascii="Arial" w:eastAsia="Calibri" w:hAnsi="Arial" w:cs="Arial"/>
          <w:vertAlign w:val="subscript"/>
          <w:lang w:eastAsia="en-US"/>
        </w:rPr>
        <w:t>2</w:t>
      </w:r>
      <w:r>
        <w:rPr>
          <w:rFonts w:ascii="Arial" w:eastAsia="Calibri" w:hAnsi="Arial" w:cs="Arial"/>
          <w:lang w:eastAsia="en-US"/>
        </w:rPr>
        <w:t xml:space="preserve"> = 0,3;  W</w:t>
      </w:r>
      <w:r>
        <w:rPr>
          <w:rFonts w:ascii="Arial" w:eastAsia="Calibri" w:hAnsi="Arial" w:cs="Arial"/>
          <w:vertAlign w:val="subscript"/>
          <w:lang w:eastAsia="en-US"/>
        </w:rPr>
        <w:t>3</w:t>
      </w:r>
      <w:r>
        <w:rPr>
          <w:rFonts w:ascii="Arial" w:eastAsia="Calibri" w:hAnsi="Arial" w:cs="Arial"/>
          <w:lang w:eastAsia="en-US"/>
        </w:rPr>
        <w:t xml:space="preserve"> = 0,2;  W</w:t>
      </w:r>
      <w:r>
        <w:rPr>
          <w:rFonts w:ascii="Arial" w:eastAsia="Calibri" w:hAnsi="Arial" w:cs="Arial"/>
          <w:vertAlign w:val="subscript"/>
          <w:lang w:eastAsia="en-US"/>
        </w:rPr>
        <w:t>4</w:t>
      </w:r>
      <w:r>
        <w:rPr>
          <w:rFonts w:ascii="Arial" w:eastAsia="Calibri" w:hAnsi="Arial" w:cs="Arial"/>
          <w:lang w:eastAsia="en-US"/>
        </w:rPr>
        <w:t xml:space="preserve"> = 0,2;  W</w:t>
      </w:r>
      <w:r>
        <w:rPr>
          <w:rFonts w:ascii="Arial" w:eastAsia="Calibri" w:hAnsi="Arial" w:cs="Arial"/>
          <w:vertAlign w:val="subscript"/>
          <w:lang w:eastAsia="en-US"/>
        </w:rPr>
        <w:t>5</w:t>
      </w:r>
      <w:r>
        <w:rPr>
          <w:rFonts w:ascii="Arial" w:eastAsia="Calibri" w:hAnsi="Arial" w:cs="Arial"/>
          <w:lang w:eastAsia="en-US"/>
        </w:rPr>
        <w:t xml:space="preserve"> = 0,1;  W</w:t>
      </w:r>
      <w:r>
        <w:rPr>
          <w:rFonts w:ascii="Arial" w:eastAsia="Calibri" w:hAnsi="Arial" w:cs="Arial"/>
          <w:vertAlign w:val="subscript"/>
          <w:lang w:eastAsia="en-US"/>
        </w:rPr>
        <w:t>6</w:t>
      </w:r>
      <w:r>
        <w:rPr>
          <w:rFonts w:ascii="Arial" w:eastAsia="Calibri" w:hAnsi="Arial" w:cs="Arial"/>
          <w:lang w:eastAsia="en-US"/>
        </w:rPr>
        <w:t xml:space="preserve"> = 0,05;  W</w:t>
      </w:r>
      <w:r>
        <w:rPr>
          <w:rFonts w:ascii="Arial" w:eastAsia="Calibri" w:hAnsi="Arial" w:cs="Arial"/>
          <w:vertAlign w:val="subscript"/>
          <w:lang w:eastAsia="en-US"/>
        </w:rPr>
        <w:t>7</w:t>
      </w:r>
      <w:r>
        <w:rPr>
          <w:rFonts w:ascii="Arial" w:eastAsia="Calibri" w:hAnsi="Arial" w:cs="Arial"/>
          <w:lang w:eastAsia="en-US"/>
        </w:rPr>
        <w:t xml:space="preserve"> = 0,1),</w:t>
      </w:r>
    </w:p>
    <w:p w14:paraId="4CD4CB6C" w14:textId="77777777" w:rsidR="008B5F95" w:rsidRDefault="00923F0D" w:rsidP="00C255A1">
      <w:pPr>
        <w:widowControl/>
        <w:tabs>
          <w:tab w:val="left" w:pos="993"/>
        </w:tabs>
        <w:spacing w:after="80" w:line="360" w:lineRule="auto"/>
        <w:ind w:left="1418" w:hanging="992"/>
        <w:rPr>
          <w:rFonts w:ascii="Arial" w:eastAsia="Calibri" w:hAnsi="Arial" w:cs="Arial"/>
          <w:lang w:eastAsia="en-US"/>
        </w:rPr>
      </w:pPr>
      <w:r>
        <w:rPr>
          <w:rFonts w:ascii="Arial" w:eastAsia="Calibri" w:hAnsi="Arial" w:cs="Arial"/>
          <w:lang w:eastAsia="en-US"/>
        </w:rPr>
        <w:t>N</w:t>
      </w:r>
      <w:r>
        <w:rPr>
          <w:rFonts w:ascii="Arial" w:eastAsia="Calibri" w:hAnsi="Arial" w:cs="Arial"/>
          <w:vertAlign w:val="subscript"/>
          <w:lang w:eastAsia="en-US"/>
        </w:rPr>
        <w:t>j</w:t>
      </w:r>
      <w:r>
        <w:rPr>
          <w:rFonts w:ascii="Arial" w:eastAsia="Calibri" w:hAnsi="Arial" w:cs="Arial"/>
          <w:lang w:eastAsia="en-US"/>
        </w:rPr>
        <w:tab/>
        <w:t>-</w:t>
      </w:r>
      <w:r>
        <w:rPr>
          <w:rFonts w:ascii="Arial" w:eastAsia="Calibri" w:hAnsi="Arial" w:cs="Arial"/>
          <w:lang w:eastAsia="en-US"/>
        </w:rPr>
        <w:tab/>
        <w:t>ogólna liczba nieprawidłowości wykrytych w obszarze kontroli „j”,</w:t>
      </w:r>
    </w:p>
    <w:p w14:paraId="1A8CDEA1" w14:textId="3F6773BA" w:rsidR="008B5F95" w:rsidRDefault="00923F0D" w:rsidP="00C255A1">
      <w:pPr>
        <w:widowControl/>
        <w:tabs>
          <w:tab w:val="left" w:pos="993"/>
        </w:tabs>
        <w:spacing w:after="80" w:line="360" w:lineRule="auto"/>
        <w:ind w:left="1418" w:hanging="992"/>
        <w:rPr>
          <w:rFonts w:ascii="Arial" w:eastAsia="Calibri" w:hAnsi="Arial" w:cs="Arial"/>
          <w:lang w:eastAsia="en-US"/>
        </w:rPr>
      </w:pPr>
      <w:r>
        <w:rPr>
          <w:rFonts w:ascii="Arial" w:eastAsia="Calibri" w:hAnsi="Arial" w:cs="Arial"/>
          <w:lang w:eastAsia="en-US"/>
        </w:rPr>
        <w:t>Lk</w:t>
      </w:r>
      <w:r>
        <w:rPr>
          <w:rFonts w:ascii="Arial" w:eastAsia="Calibri" w:hAnsi="Arial" w:cs="Arial"/>
          <w:vertAlign w:val="subscript"/>
          <w:lang w:eastAsia="en-US"/>
        </w:rPr>
        <w:t>j</w:t>
      </w:r>
      <w:r>
        <w:rPr>
          <w:rFonts w:ascii="Arial" w:eastAsia="Calibri" w:hAnsi="Arial" w:cs="Arial"/>
          <w:lang w:eastAsia="en-US"/>
        </w:rPr>
        <w:tab/>
        <w:t>-</w:t>
      </w:r>
      <w:r>
        <w:rPr>
          <w:rFonts w:ascii="Arial" w:eastAsia="Calibri" w:hAnsi="Arial" w:cs="Arial"/>
          <w:lang w:eastAsia="en-US"/>
        </w:rPr>
        <w:tab/>
        <w:t>liczba kontroli przeprowadzonych w obszarze kontroli „j”.</w:t>
      </w:r>
    </w:p>
    <w:p w14:paraId="7ECF6C66" w14:textId="232CEB18" w:rsidR="00715669" w:rsidRDefault="00715669" w:rsidP="00C62D62">
      <w:pPr>
        <w:pStyle w:val="NormalnyWeb"/>
        <w:tabs>
          <w:tab w:val="left" w:pos="284"/>
        </w:tabs>
        <w:spacing w:beforeAutospacing="0" w:after="120" w:afterAutospacing="0" w:line="360" w:lineRule="auto"/>
        <w:ind w:firstLine="284"/>
        <w:jc w:val="both"/>
        <w:rPr>
          <w:rFonts w:ascii="Arial" w:hAnsi="Arial" w:cs="Arial"/>
        </w:rPr>
      </w:pPr>
      <w:r>
        <w:rPr>
          <w:rFonts w:ascii="Arial" w:eastAsia="Calibri" w:hAnsi="Arial" w:cs="Arial"/>
          <w:lang w:eastAsia="en-US"/>
        </w:rPr>
        <w:t xml:space="preserve">Ponadto, realizacja celów krajowego planu działania oceniana </w:t>
      </w:r>
      <w:r w:rsidR="00902A8D">
        <w:rPr>
          <w:rFonts w:ascii="Arial" w:eastAsia="Calibri" w:hAnsi="Arial" w:cs="Arial"/>
          <w:lang w:eastAsia="en-US"/>
        </w:rPr>
        <w:t>jest</w:t>
      </w:r>
      <w:r>
        <w:rPr>
          <w:rFonts w:ascii="Arial" w:eastAsia="Calibri" w:hAnsi="Arial" w:cs="Arial"/>
          <w:lang w:eastAsia="en-US"/>
        </w:rPr>
        <w:t xml:space="preserve"> w oparciu o zharmonizowane </w:t>
      </w:r>
      <w:r w:rsidRPr="00C62D62">
        <w:rPr>
          <w:rFonts w:ascii="Arial" w:hAnsi="Arial" w:cs="Arial"/>
        </w:rPr>
        <w:t>wskaźniki ryzyka HRI-1 i HRI-2</w:t>
      </w:r>
      <w:r>
        <w:rPr>
          <w:rFonts w:ascii="Arial" w:hAnsi="Arial" w:cs="Arial"/>
        </w:rPr>
        <w:t xml:space="preserve"> zdefiniowane w dyrektywie 2009/128/WE</w:t>
      </w:r>
      <w:r w:rsidR="00FE5AC9">
        <w:rPr>
          <w:rFonts w:ascii="Arial" w:hAnsi="Arial" w:cs="Arial"/>
        </w:rPr>
        <w:t>.</w:t>
      </w:r>
    </w:p>
    <w:p w14:paraId="29458BA6" w14:textId="4780DAF3" w:rsidR="008B5F95" w:rsidRDefault="00923F0D">
      <w:pPr>
        <w:pStyle w:val="napakapit"/>
      </w:pPr>
      <w:r w:rsidRPr="00146952">
        <w:t>Cele krajowego planu działania zostaną osiągnięte przez realizację następujących działań.</w:t>
      </w:r>
      <w:r>
        <w:t xml:space="preserve"> </w:t>
      </w:r>
    </w:p>
    <w:p w14:paraId="6C0B2BE1" w14:textId="77777777" w:rsidR="008B5F95" w:rsidRDefault="00923F0D">
      <w:pPr>
        <w:pStyle w:val="Nagwek1"/>
        <w:numPr>
          <w:ilvl w:val="3"/>
          <w:numId w:val="2"/>
        </w:numPr>
        <w:tabs>
          <w:tab w:val="left" w:pos="2552"/>
        </w:tabs>
        <w:ind w:left="284" w:hanging="426"/>
        <w:jc w:val="both"/>
        <w:rPr>
          <w:i w:val="0"/>
          <w:sz w:val="22"/>
          <w:szCs w:val="22"/>
        </w:rPr>
      </w:pPr>
      <w:bookmarkStart w:id="4" w:name="_Toc193716382"/>
      <w:r>
        <w:rPr>
          <w:i w:val="0"/>
          <w:sz w:val="22"/>
          <w:szCs w:val="22"/>
        </w:rPr>
        <w:lastRenderedPageBreak/>
        <w:t>Działanie 1. Szkolenia w zakresie środków ochrony roślin</w:t>
      </w:r>
      <w:bookmarkEnd w:id="4"/>
    </w:p>
    <w:p w14:paraId="039F4902" w14:textId="6289573C" w:rsidR="008B5F95" w:rsidRDefault="00FE5AC9" w:rsidP="00641A0E">
      <w:pPr>
        <w:pStyle w:val="NormalnyWeb"/>
        <w:tabs>
          <w:tab w:val="left" w:pos="284"/>
        </w:tabs>
        <w:spacing w:beforeAutospacing="0" w:after="120" w:afterAutospacing="0" w:line="360" w:lineRule="auto"/>
        <w:jc w:val="both"/>
        <w:rPr>
          <w:rFonts w:ascii="Arial" w:hAnsi="Arial" w:cs="Arial"/>
        </w:rPr>
      </w:pPr>
      <w:r>
        <w:rPr>
          <w:rFonts w:ascii="Arial" w:hAnsi="Arial" w:cs="Arial"/>
        </w:rPr>
        <w:tab/>
      </w:r>
      <w:r w:rsidR="00923F0D">
        <w:rPr>
          <w:rFonts w:ascii="Arial" w:hAnsi="Arial" w:cs="Arial"/>
        </w:rPr>
        <w:t>Prowadzenie systemu obowiązkowych szkoleń pod nadzorem Państwowej Inspekcji Ochrony Roślin i Nasiennictwa dla osób wykonujących zabiegi środkami ochrony roślin jest kluczowym elementem ograniczania ryzyka związanego ze stosowaniem tych środków dla zdrowia ludzi, bezpieczeństwa żywności oraz ochrony środowiska, w szczególności w odniesieniu do ochrony organizmów niebędących celem zwalczania (np. owadów zapylających) i środowiska wodnego. Działanie to służy osiągnięciu celów określonych w art. 5 dyrektywy 2009/128/WE.</w:t>
      </w:r>
    </w:p>
    <w:p w14:paraId="10C0855B"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Zgodnie z art. 41 ustawy z dnia 8 marca 2013 r. o środkach ochrony roślin, wykonywanie zabiegów z zastosowaniem środków ochrony roślin przeznaczonych dla użytkowników profesjonalnych jest możliwe po ukończeniu specjalistycznego szkolenia. Tak więc, wszelkie zabiegi środkami ochrony roślin przeznaczonymi dla użytkowników profesjonalnych, w tym prowadzone na obszarach zieleni miejskiej, w kolejnictwie oraz w pomieszczeniach magazynowych, mogą być wykonywane jedynie przez osoby odpowiednio przeszkolone. </w:t>
      </w:r>
    </w:p>
    <w:p w14:paraId="44C8AD4E"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Specjalistyczne szkolenie muszą odbyć również osoby dokonujące sprzedaży środków ochrony roślin. Zgodnie z art. 25 ustawy z dnia 8 marca 2013 r. o środkach ochrony roślin przedsiębiorca wykonujący działalność gospodarczą w zakresie wprowadzania środków ochrony roślin do obrotu powinien zapewnić, aby osoby takie ukończyły stosowne szkolenie oraz aby udzielały nabywcy środków ochrony roślin, na jego żądanie, informacji dotyczących stwarzanych przez nie zagrożeń oraz prawidłowego i bezpiecznego stosowania tych środków. Osoby te mają bowiem bezpośredni wpływ na zachowania użytkowników środków ochrony roślin, a przekazywana przez nich wiedza powinna efektywnie przyczyniać się do ograniczania zagrożeń powstających w trakcie transportu, przechowywania i stosowania środków ochrony roślin.</w:t>
      </w:r>
    </w:p>
    <w:p w14:paraId="61AD5A7B"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Ponadto, zgodnie z art. 42 ustawy z dnia 8 marca 2013 r. o środkach ochrony roślin, obowiązkowymi szkoleniami zostali objęci również doradcy profesjonalnie zajmujący się udzielaniem wskazówek w zakresie ochrony roślin, w tym w ramach prowadzonej działalności marketingowej. </w:t>
      </w:r>
    </w:p>
    <w:p w14:paraId="52751605" w14:textId="21576BEC"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Szczegółowe wymagania dotyczące organizacji oraz programy szkoleń zostały uregulowane w rozporządzeniu Ministra Rolnictwa i Rozwoju Wsi z dnia 8 maja 2013 r. w sprawie szkoleń w zakresie środków ochrony roślin (Dz. U. </w:t>
      </w:r>
      <w:r w:rsidR="00F10C9D">
        <w:rPr>
          <w:rFonts w:ascii="Arial" w:hAnsi="Arial" w:cs="Arial"/>
        </w:rPr>
        <w:t xml:space="preserve">z 2022 r. </w:t>
      </w:r>
      <w:r>
        <w:rPr>
          <w:rFonts w:ascii="Arial" w:hAnsi="Arial" w:cs="Arial"/>
        </w:rPr>
        <w:t xml:space="preserve">poz. </w:t>
      </w:r>
      <w:r w:rsidR="00F10C9D">
        <w:rPr>
          <w:rFonts w:ascii="Arial" w:hAnsi="Arial" w:cs="Arial"/>
        </w:rPr>
        <w:t>824</w:t>
      </w:r>
      <w:r>
        <w:rPr>
          <w:rFonts w:ascii="Arial" w:hAnsi="Arial" w:cs="Arial"/>
        </w:rPr>
        <w:t xml:space="preserve">). Programy szkoleń obejmują ogólne zasady integrowanej ochrony roślin oraz sposoby ograniczania ryzyka związanego ze stosowaniem środków ochrony roślin, w tym ryzyka dla środowiska wodnego. Duży nacisk w programach szkoleń został położony na zagadnienia związane z ochroną organizmów pożytecznych, w tym zapylaczy. Szkolenia obejmują także aspekty właściwego przechowywania środków ochrony roślin oraz </w:t>
      </w:r>
      <w:r w:rsidR="003F6D49">
        <w:rPr>
          <w:rFonts w:ascii="Arial" w:hAnsi="Arial" w:cs="Arial"/>
        </w:rPr>
        <w:t xml:space="preserve">sposób </w:t>
      </w:r>
      <w:r>
        <w:rPr>
          <w:rFonts w:ascii="Arial" w:hAnsi="Arial" w:cs="Arial"/>
        </w:rPr>
        <w:t>postępowania z</w:t>
      </w:r>
      <w:r w:rsidR="003F6D49">
        <w:rPr>
          <w:rFonts w:ascii="Arial" w:hAnsi="Arial" w:cs="Arial"/>
        </w:rPr>
        <w:t> </w:t>
      </w:r>
      <w:r>
        <w:rPr>
          <w:rFonts w:ascii="Arial" w:hAnsi="Arial" w:cs="Arial"/>
        </w:rPr>
        <w:t xml:space="preserve">opakowaniami po </w:t>
      </w:r>
      <w:r w:rsidR="003F6D49">
        <w:rPr>
          <w:rFonts w:ascii="Arial" w:hAnsi="Arial" w:cs="Arial"/>
        </w:rPr>
        <w:t xml:space="preserve">zużytych </w:t>
      </w:r>
      <w:r>
        <w:rPr>
          <w:rFonts w:ascii="Arial" w:hAnsi="Arial" w:cs="Arial"/>
        </w:rPr>
        <w:t xml:space="preserve">środkach. </w:t>
      </w:r>
      <w:r w:rsidR="003F6D49">
        <w:rPr>
          <w:rFonts w:ascii="Arial" w:hAnsi="Arial" w:cs="Arial"/>
        </w:rPr>
        <w:t>Dla szkoleń podstawowych i uzupełniających ustalono o</w:t>
      </w:r>
      <w:r>
        <w:rPr>
          <w:rFonts w:ascii="Arial" w:hAnsi="Arial" w:cs="Arial"/>
        </w:rPr>
        <w:t>drębne programy</w:t>
      </w:r>
      <w:r w:rsidR="003F6D49">
        <w:rPr>
          <w:rFonts w:ascii="Arial" w:hAnsi="Arial" w:cs="Arial"/>
        </w:rPr>
        <w:t xml:space="preserve">. </w:t>
      </w:r>
      <w:r>
        <w:rPr>
          <w:rFonts w:ascii="Arial" w:hAnsi="Arial" w:cs="Arial"/>
        </w:rPr>
        <w:t>Szkolenia należy powtarzać co 5 lat.</w:t>
      </w:r>
      <w:r>
        <w:t xml:space="preserve"> </w:t>
      </w:r>
      <w:r>
        <w:rPr>
          <w:rFonts w:ascii="Arial" w:hAnsi="Arial" w:cs="Arial"/>
        </w:rPr>
        <w:t>Tym samym zrealizowane zostały obowiązki dotyczące ustanowienia systemu szkoleń, jakie nałożyła na Polskę dyrektywa 2009/128/WE.</w:t>
      </w:r>
    </w:p>
    <w:p w14:paraId="0888E939" w14:textId="37D38894" w:rsidR="00553D2F" w:rsidRPr="00553D2F" w:rsidRDefault="00553D2F" w:rsidP="00553D2F">
      <w:pPr>
        <w:tabs>
          <w:tab w:val="left" w:pos="284"/>
        </w:tabs>
        <w:spacing w:after="120" w:line="360" w:lineRule="auto"/>
        <w:ind w:firstLine="284"/>
        <w:jc w:val="both"/>
        <w:rPr>
          <w:rFonts w:ascii="Arial" w:hAnsi="Arial" w:cs="Arial"/>
        </w:rPr>
      </w:pPr>
      <w:r w:rsidRPr="00553D2F">
        <w:rPr>
          <w:rFonts w:ascii="Arial" w:hAnsi="Arial" w:cs="Arial"/>
        </w:rPr>
        <w:t>Według rejestrów prowadzonych przez wojewódzkich inspektorów ochrony roślin i nasiennictwa na koniec grudnia 20</w:t>
      </w:r>
      <w:r w:rsidR="00C50F74">
        <w:rPr>
          <w:rFonts w:ascii="Arial" w:hAnsi="Arial" w:cs="Arial"/>
        </w:rPr>
        <w:t>23</w:t>
      </w:r>
      <w:r w:rsidRPr="00553D2F">
        <w:rPr>
          <w:rFonts w:ascii="Arial" w:hAnsi="Arial" w:cs="Arial"/>
        </w:rPr>
        <w:t xml:space="preserve"> r.</w:t>
      </w:r>
      <w:r w:rsidR="00E232C3">
        <w:rPr>
          <w:rFonts w:ascii="Arial" w:hAnsi="Arial" w:cs="Arial"/>
        </w:rPr>
        <w:t xml:space="preserve"> </w:t>
      </w:r>
      <w:r w:rsidR="00CC08B2">
        <w:rPr>
          <w:rFonts w:ascii="Arial" w:hAnsi="Arial" w:cs="Arial"/>
        </w:rPr>
        <w:t>420</w:t>
      </w:r>
      <w:r w:rsidRPr="00553D2F">
        <w:rPr>
          <w:rFonts w:ascii="Arial" w:hAnsi="Arial" w:cs="Arial"/>
        </w:rPr>
        <w:t xml:space="preserve"> jednostek </w:t>
      </w:r>
      <w:r w:rsidR="004B08BD">
        <w:rPr>
          <w:rFonts w:ascii="Arial" w:hAnsi="Arial" w:cs="Arial"/>
        </w:rPr>
        <w:t xml:space="preserve">było uprawnionych do </w:t>
      </w:r>
      <w:r w:rsidRPr="00553D2F">
        <w:rPr>
          <w:rFonts w:ascii="Arial" w:hAnsi="Arial" w:cs="Arial"/>
        </w:rPr>
        <w:t>prowadz</w:t>
      </w:r>
      <w:r w:rsidR="004B08BD">
        <w:rPr>
          <w:rFonts w:ascii="Arial" w:hAnsi="Arial" w:cs="Arial"/>
        </w:rPr>
        <w:t xml:space="preserve">enia </w:t>
      </w:r>
      <w:r w:rsidRPr="00553D2F">
        <w:rPr>
          <w:rFonts w:ascii="Arial" w:hAnsi="Arial" w:cs="Arial"/>
        </w:rPr>
        <w:t>szkole</w:t>
      </w:r>
      <w:r w:rsidR="004B08BD">
        <w:rPr>
          <w:rFonts w:ascii="Arial" w:hAnsi="Arial" w:cs="Arial"/>
        </w:rPr>
        <w:t xml:space="preserve">ń </w:t>
      </w:r>
      <w:r w:rsidRPr="00553D2F">
        <w:rPr>
          <w:rFonts w:ascii="Arial" w:hAnsi="Arial" w:cs="Arial"/>
        </w:rPr>
        <w:t xml:space="preserve">w zakresie środków ochrony roślin, przy czym należy zaznaczyć, że jedna jednostka mogła prowadzić szkolenia w kilku </w:t>
      </w:r>
      <w:r w:rsidRPr="00553D2F">
        <w:rPr>
          <w:rFonts w:ascii="Arial" w:hAnsi="Arial" w:cs="Arial"/>
        </w:rPr>
        <w:lastRenderedPageBreak/>
        <w:t xml:space="preserve">zakresach. Najwięcej jednostek, bo </w:t>
      </w:r>
      <w:r w:rsidR="0088740D">
        <w:rPr>
          <w:rFonts w:ascii="Arial" w:hAnsi="Arial" w:cs="Arial"/>
        </w:rPr>
        <w:t>388</w:t>
      </w:r>
      <w:r w:rsidRPr="00553D2F">
        <w:rPr>
          <w:rFonts w:ascii="Arial" w:hAnsi="Arial" w:cs="Arial"/>
        </w:rPr>
        <w:t>, upoważnionych było do prowadzenia szkoleń w</w:t>
      </w:r>
      <w:r w:rsidR="00635C47">
        <w:rPr>
          <w:rFonts w:ascii="Arial" w:hAnsi="Arial" w:cs="Arial"/>
        </w:rPr>
        <w:t xml:space="preserve"> </w:t>
      </w:r>
      <w:r w:rsidRPr="00553D2F">
        <w:rPr>
          <w:rFonts w:ascii="Arial" w:hAnsi="Arial" w:cs="Arial"/>
        </w:rPr>
        <w:t>zakresie stosowania środków ochrony roślin sprzętem naziemnym z</w:t>
      </w:r>
      <w:r w:rsidR="00A74AB8">
        <w:rPr>
          <w:rFonts w:ascii="Arial" w:hAnsi="Arial" w:cs="Arial"/>
        </w:rPr>
        <w:t xml:space="preserve"> </w:t>
      </w:r>
      <w:r w:rsidRPr="00553D2F">
        <w:rPr>
          <w:rFonts w:ascii="Arial" w:hAnsi="Arial" w:cs="Arial"/>
        </w:rPr>
        <w:t>wyłączeniem sprzętu montowanego na pojazdach szynowych oraz innego sprzętu stosowanego w</w:t>
      </w:r>
      <w:r w:rsidR="00A74AB8">
        <w:rPr>
          <w:rFonts w:ascii="Arial" w:hAnsi="Arial" w:cs="Arial"/>
        </w:rPr>
        <w:t xml:space="preserve"> </w:t>
      </w:r>
      <w:r w:rsidRPr="00553D2F">
        <w:rPr>
          <w:rFonts w:ascii="Arial" w:hAnsi="Arial" w:cs="Arial"/>
        </w:rPr>
        <w:t>kolejnictwie.</w:t>
      </w:r>
    </w:p>
    <w:p w14:paraId="0767E8CE" w14:textId="4C883A6F" w:rsidR="00553D2F" w:rsidRDefault="00553D2F" w:rsidP="00553D2F">
      <w:pPr>
        <w:tabs>
          <w:tab w:val="left" w:pos="284"/>
        </w:tabs>
        <w:spacing w:after="120" w:line="360" w:lineRule="auto"/>
        <w:ind w:firstLine="284"/>
        <w:jc w:val="both"/>
        <w:rPr>
          <w:rFonts w:ascii="Arial" w:hAnsi="Arial" w:cs="Arial"/>
        </w:rPr>
      </w:pPr>
      <w:r w:rsidRPr="00553D2F">
        <w:rPr>
          <w:rFonts w:ascii="Arial" w:hAnsi="Arial" w:cs="Arial"/>
        </w:rPr>
        <w:t>W 20</w:t>
      </w:r>
      <w:r w:rsidR="001E61CC">
        <w:rPr>
          <w:rFonts w:ascii="Arial" w:hAnsi="Arial" w:cs="Arial"/>
        </w:rPr>
        <w:t xml:space="preserve">23 </w:t>
      </w:r>
      <w:r w:rsidRPr="00553D2F">
        <w:rPr>
          <w:rFonts w:ascii="Arial" w:hAnsi="Arial" w:cs="Arial"/>
        </w:rPr>
        <w:t xml:space="preserve">r. przeprowadzono ogółem </w:t>
      </w:r>
      <w:r w:rsidR="00ED3DAE">
        <w:rPr>
          <w:rFonts w:ascii="Arial" w:hAnsi="Arial" w:cs="Arial"/>
        </w:rPr>
        <w:t>4 615</w:t>
      </w:r>
      <w:r w:rsidRPr="00553D2F">
        <w:rPr>
          <w:rFonts w:ascii="Arial" w:hAnsi="Arial" w:cs="Arial"/>
        </w:rPr>
        <w:t xml:space="preserve"> szkoleń dla </w:t>
      </w:r>
      <w:r w:rsidR="00ED3DAE">
        <w:rPr>
          <w:rFonts w:ascii="Arial" w:hAnsi="Arial" w:cs="Arial"/>
        </w:rPr>
        <w:t>99</w:t>
      </w:r>
      <w:r w:rsidR="00D512B4">
        <w:rPr>
          <w:rFonts w:ascii="Arial" w:hAnsi="Arial" w:cs="Arial"/>
        </w:rPr>
        <w:t> </w:t>
      </w:r>
      <w:r w:rsidR="00ED3DAE">
        <w:rPr>
          <w:rFonts w:ascii="Arial" w:hAnsi="Arial" w:cs="Arial"/>
        </w:rPr>
        <w:t>88</w:t>
      </w:r>
      <w:r w:rsidR="00D512B4">
        <w:rPr>
          <w:rFonts w:ascii="Arial" w:hAnsi="Arial" w:cs="Arial"/>
        </w:rPr>
        <w:t xml:space="preserve">1 </w:t>
      </w:r>
      <w:r w:rsidRPr="00553D2F">
        <w:rPr>
          <w:rFonts w:ascii="Arial" w:hAnsi="Arial" w:cs="Arial"/>
        </w:rPr>
        <w:t>osób. W porównaniu do 20</w:t>
      </w:r>
      <w:r w:rsidR="00D512B4">
        <w:rPr>
          <w:rFonts w:ascii="Arial" w:hAnsi="Arial" w:cs="Arial"/>
        </w:rPr>
        <w:t>22</w:t>
      </w:r>
      <w:r w:rsidRPr="00553D2F">
        <w:rPr>
          <w:rFonts w:ascii="Arial" w:hAnsi="Arial" w:cs="Arial"/>
        </w:rPr>
        <w:t xml:space="preserve"> r. liczba osób przeszkolonych wzrosła </w:t>
      </w:r>
      <w:r w:rsidR="006A40A0">
        <w:rPr>
          <w:rFonts w:ascii="Arial" w:hAnsi="Arial" w:cs="Arial"/>
        </w:rPr>
        <w:t>prawie</w:t>
      </w:r>
      <w:r w:rsidR="0063387A" w:rsidRPr="0063387A">
        <w:rPr>
          <w:rFonts w:ascii="Arial" w:hAnsi="Arial" w:cs="Arial"/>
        </w:rPr>
        <w:t xml:space="preserve"> o</w:t>
      </w:r>
      <w:r w:rsidRPr="00553D2F">
        <w:rPr>
          <w:rFonts w:ascii="Arial" w:hAnsi="Arial" w:cs="Arial"/>
        </w:rPr>
        <w:t xml:space="preserve"> </w:t>
      </w:r>
      <w:r w:rsidR="00C3625F" w:rsidRPr="0063387A">
        <w:rPr>
          <w:rFonts w:ascii="Arial" w:hAnsi="Arial" w:cs="Arial"/>
        </w:rPr>
        <w:t>50</w:t>
      </w:r>
      <w:r w:rsidRPr="00553D2F">
        <w:rPr>
          <w:rFonts w:ascii="Arial" w:hAnsi="Arial" w:cs="Arial"/>
        </w:rPr>
        <w:t>%. W dużej mierze związane</w:t>
      </w:r>
      <w:r w:rsidR="00635C47">
        <w:rPr>
          <w:rFonts w:ascii="Arial" w:hAnsi="Arial" w:cs="Arial"/>
        </w:rPr>
        <w:t xml:space="preserve"> było</w:t>
      </w:r>
      <w:r w:rsidRPr="00553D2F">
        <w:rPr>
          <w:rFonts w:ascii="Arial" w:hAnsi="Arial" w:cs="Arial"/>
        </w:rPr>
        <w:t xml:space="preserve"> to z koniecznością powtarzania szkoleń w 5-letnich odstępach czasu – dane wieloletnie pokazują tu stalą prawidłowość </w:t>
      </w:r>
      <w:bookmarkStart w:id="5" w:name="_Hlk118108294"/>
      <w:r w:rsidRPr="00553D2F">
        <w:rPr>
          <w:rFonts w:ascii="Arial" w:hAnsi="Arial" w:cs="Arial"/>
        </w:rPr>
        <w:t>–</w:t>
      </w:r>
      <w:bookmarkEnd w:id="5"/>
      <w:r w:rsidRPr="00553D2F">
        <w:rPr>
          <w:rFonts w:ascii="Arial" w:hAnsi="Arial" w:cs="Arial"/>
        </w:rPr>
        <w:t xml:space="preserve"> w pięcioletnich okresach czasu powtarzają się lata o większej i mniejszej liczbie przeszkolonych osób. Potwierdza to stałą tendencję u osób przeszkolonych do uczestniczenia w szkoleniach uzupełniających. </w:t>
      </w:r>
    </w:p>
    <w:p w14:paraId="093EC8C7" w14:textId="734EFA80" w:rsidR="00011BCA" w:rsidRPr="00553D2F" w:rsidRDefault="00011BCA" w:rsidP="00553D2F">
      <w:pPr>
        <w:tabs>
          <w:tab w:val="left" w:pos="284"/>
        </w:tabs>
        <w:spacing w:after="120" w:line="360" w:lineRule="auto"/>
        <w:ind w:firstLine="284"/>
        <w:jc w:val="both"/>
        <w:rPr>
          <w:rFonts w:ascii="Arial" w:hAnsi="Arial" w:cs="Arial"/>
        </w:rPr>
      </w:pPr>
      <w:r>
        <w:rPr>
          <w:rFonts w:ascii="Arial" w:hAnsi="Arial" w:cs="Arial"/>
        </w:rPr>
        <w:t>D</w:t>
      </w:r>
      <w:r w:rsidRPr="00011BCA">
        <w:rPr>
          <w:rFonts w:ascii="Arial" w:hAnsi="Arial" w:cs="Arial"/>
        </w:rPr>
        <w:t>o czerwca 2023</w:t>
      </w:r>
      <w:r w:rsidR="00BD1018">
        <w:rPr>
          <w:rFonts w:ascii="Arial" w:hAnsi="Arial" w:cs="Arial"/>
        </w:rPr>
        <w:t xml:space="preserve"> r.</w:t>
      </w:r>
      <w:r w:rsidRPr="00011BCA">
        <w:rPr>
          <w:rFonts w:ascii="Arial" w:hAnsi="Arial" w:cs="Arial"/>
        </w:rPr>
        <w:t>, z powodu sytuacji epidemicznej związanej z wirusem SARS-CoV-2, obowiązywały ograniczenia dotyczące organizacji szkoleń oraz zawieszeni</w:t>
      </w:r>
      <w:r w:rsidR="009B6971">
        <w:rPr>
          <w:rFonts w:ascii="Arial" w:hAnsi="Arial" w:cs="Arial"/>
        </w:rPr>
        <w:t>e</w:t>
      </w:r>
      <w:r w:rsidRPr="00011BCA">
        <w:rPr>
          <w:rFonts w:ascii="Arial" w:hAnsi="Arial" w:cs="Arial"/>
        </w:rPr>
        <w:t xml:space="preserve"> obowiązku posiadania aktualnego zaświadczenia o ukończeniu szkolenia. Jednostki organizujące szkolenia mogły prowadzić je on-line, z wyłączeniem części praktycznej i egzaminów.</w:t>
      </w:r>
    </w:p>
    <w:p w14:paraId="20A8FA7F" w14:textId="3822D8E9" w:rsidR="00553D2F" w:rsidRPr="00553D2F" w:rsidRDefault="00553D2F" w:rsidP="00553D2F">
      <w:pPr>
        <w:tabs>
          <w:tab w:val="left" w:pos="284"/>
        </w:tabs>
        <w:spacing w:after="120" w:line="360" w:lineRule="auto"/>
        <w:ind w:firstLine="284"/>
        <w:jc w:val="both"/>
        <w:rPr>
          <w:rFonts w:ascii="Arial" w:hAnsi="Arial" w:cs="Arial"/>
        </w:rPr>
      </w:pPr>
      <w:r w:rsidRPr="00553D2F">
        <w:rPr>
          <w:rFonts w:ascii="Arial" w:hAnsi="Arial" w:cs="Arial"/>
        </w:rPr>
        <w:t xml:space="preserve">Szczegółowe dane na temat </w:t>
      </w:r>
      <w:r w:rsidR="006A40A0">
        <w:rPr>
          <w:rFonts w:ascii="Arial" w:hAnsi="Arial" w:cs="Arial"/>
        </w:rPr>
        <w:t xml:space="preserve">liczby jednostek </w:t>
      </w:r>
      <w:r w:rsidRPr="00553D2F">
        <w:rPr>
          <w:rFonts w:ascii="Arial" w:hAnsi="Arial" w:cs="Arial"/>
        </w:rPr>
        <w:t>prowadz</w:t>
      </w:r>
      <w:r w:rsidR="006A40A0">
        <w:rPr>
          <w:rFonts w:ascii="Arial" w:hAnsi="Arial" w:cs="Arial"/>
        </w:rPr>
        <w:t>ących szkolenia i liczby przeprowadz</w:t>
      </w:r>
      <w:r w:rsidRPr="00553D2F">
        <w:rPr>
          <w:rFonts w:ascii="Arial" w:hAnsi="Arial" w:cs="Arial"/>
        </w:rPr>
        <w:t>onych szkoleń</w:t>
      </w:r>
      <w:r w:rsidR="00596CFD">
        <w:rPr>
          <w:rFonts w:ascii="Arial" w:hAnsi="Arial" w:cs="Arial"/>
        </w:rPr>
        <w:t xml:space="preserve"> w latach 201</w:t>
      </w:r>
      <w:r w:rsidR="006A40A0">
        <w:rPr>
          <w:rFonts w:ascii="Arial" w:hAnsi="Arial" w:cs="Arial"/>
        </w:rPr>
        <w:t>9</w:t>
      </w:r>
      <w:r w:rsidR="00596CFD">
        <w:rPr>
          <w:rFonts w:ascii="Arial" w:hAnsi="Arial" w:cs="Arial"/>
        </w:rPr>
        <w:t>-2023</w:t>
      </w:r>
      <w:r w:rsidRPr="00553D2F">
        <w:rPr>
          <w:rFonts w:ascii="Arial" w:hAnsi="Arial" w:cs="Arial"/>
        </w:rPr>
        <w:t xml:space="preserve"> przedstawia tabela </w:t>
      </w:r>
      <w:r w:rsidR="00DC35E0">
        <w:rPr>
          <w:rFonts w:ascii="Arial" w:hAnsi="Arial" w:cs="Arial"/>
        </w:rPr>
        <w:t xml:space="preserve">1 </w:t>
      </w:r>
      <w:r w:rsidRPr="00553D2F">
        <w:rPr>
          <w:rFonts w:ascii="Arial" w:hAnsi="Arial" w:cs="Arial"/>
        </w:rPr>
        <w:t xml:space="preserve">poniżej. </w:t>
      </w:r>
    </w:p>
    <w:tbl>
      <w:tblPr>
        <w:tblW w:w="9067" w:type="dxa"/>
        <w:tblCellMar>
          <w:left w:w="70" w:type="dxa"/>
          <w:right w:w="70" w:type="dxa"/>
        </w:tblCellMar>
        <w:tblLook w:val="04A0" w:firstRow="1" w:lastRow="0" w:firstColumn="1" w:lastColumn="0" w:noHBand="0" w:noVBand="1"/>
      </w:tblPr>
      <w:tblGrid>
        <w:gridCol w:w="3397"/>
        <w:gridCol w:w="1134"/>
        <w:gridCol w:w="1134"/>
        <w:gridCol w:w="1134"/>
        <w:gridCol w:w="1134"/>
        <w:gridCol w:w="1134"/>
      </w:tblGrid>
      <w:tr w:rsidR="006A40A0" w:rsidRPr="00553D2F" w14:paraId="44E83C00" w14:textId="0C1E0EBA" w:rsidTr="005F1375">
        <w:trPr>
          <w:trHeight w:val="267"/>
        </w:trPr>
        <w:tc>
          <w:tcPr>
            <w:tcW w:w="3397" w:type="dxa"/>
            <w:tcBorders>
              <w:top w:val="single" w:sz="4" w:space="0" w:color="auto"/>
              <w:left w:val="single" w:sz="4" w:space="0" w:color="auto"/>
              <w:bottom w:val="single" w:sz="4" w:space="0" w:color="auto"/>
              <w:right w:val="single" w:sz="4" w:space="0" w:color="auto"/>
            </w:tcBorders>
            <w:shd w:val="clear" w:color="auto" w:fill="CCFFCC"/>
            <w:vAlign w:val="center"/>
          </w:tcPr>
          <w:p w14:paraId="0D9E9FD3" w14:textId="77777777" w:rsidR="006A40A0" w:rsidRPr="00553D2F" w:rsidRDefault="006A40A0" w:rsidP="00553D2F">
            <w:pPr>
              <w:widowControl/>
              <w:spacing w:after="200" w:line="276" w:lineRule="auto"/>
              <w:jc w:val="center"/>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Liczba jednostek prowadzących szkolenia</w:t>
            </w:r>
          </w:p>
        </w:tc>
        <w:tc>
          <w:tcPr>
            <w:tcW w:w="1134" w:type="dxa"/>
            <w:tcBorders>
              <w:top w:val="single" w:sz="4" w:space="0" w:color="auto"/>
              <w:left w:val="single" w:sz="4" w:space="0" w:color="auto"/>
              <w:bottom w:val="single" w:sz="4" w:space="0" w:color="auto"/>
              <w:right w:val="single" w:sz="4" w:space="0" w:color="auto"/>
            </w:tcBorders>
            <w:shd w:val="clear" w:color="auto" w:fill="CCFFCC"/>
            <w:vAlign w:val="center"/>
          </w:tcPr>
          <w:p w14:paraId="7BD82992" w14:textId="77777777" w:rsidR="006A40A0" w:rsidRPr="00553D2F" w:rsidRDefault="006A40A0" w:rsidP="00794B89">
            <w:pPr>
              <w:widowControl/>
              <w:spacing w:after="200" w:line="276" w:lineRule="auto"/>
              <w:jc w:val="center"/>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2019</w:t>
            </w:r>
          </w:p>
        </w:tc>
        <w:tc>
          <w:tcPr>
            <w:tcW w:w="1134" w:type="dxa"/>
            <w:tcBorders>
              <w:top w:val="single" w:sz="4" w:space="0" w:color="000000"/>
              <w:left w:val="single" w:sz="4" w:space="0" w:color="auto"/>
              <w:bottom w:val="single" w:sz="4" w:space="0" w:color="000000"/>
              <w:right w:val="single" w:sz="4" w:space="0" w:color="000000"/>
            </w:tcBorders>
            <w:shd w:val="clear" w:color="auto" w:fill="CCFFCC"/>
            <w:vAlign w:val="center"/>
          </w:tcPr>
          <w:p w14:paraId="2EBFC8F1" w14:textId="77777777" w:rsidR="006A40A0" w:rsidRPr="00553D2F" w:rsidRDefault="006A40A0" w:rsidP="00794B89">
            <w:pPr>
              <w:widowControl/>
              <w:spacing w:after="200" w:line="276" w:lineRule="auto"/>
              <w:jc w:val="center"/>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2020</w:t>
            </w:r>
          </w:p>
        </w:tc>
        <w:tc>
          <w:tcPr>
            <w:tcW w:w="1134" w:type="dxa"/>
            <w:tcBorders>
              <w:top w:val="single" w:sz="4" w:space="0" w:color="000000"/>
              <w:bottom w:val="single" w:sz="4" w:space="0" w:color="000000"/>
              <w:right w:val="single" w:sz="4" w:space="0" w:color="000000"/>
            </w:tcBorders>
            <w:shd w:val="clear" w:color="auto" w:fill="CCFFCC"/>
            <w:vAlign w:val="center"/>
          </w:tcPr>
          <w:p w14:paraId="0E8C859E" w14:textId="77777777" w:rsidR="006A40A0" w:rsidRPr="00553D2F" w:rsidRDefault="006A40A0" w:rsidP="00794B89">
            <w:pPr>
              <w:widowControl/>
              <w:spacing w:after="200" w:line="276" w:lineRule="auto"/>
              <w:jc w:val="center"/>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2021</w:t>
            </w:r>
          </w:p>
        </w:tc>
        <w:tc>
          <w:tcPr>
            <w:tcW w:w="1134" w:type="dxa"/>
            <w:tcBorders>
              <w:top w:val="single" w:sz="4" w:space="0" w:color="000000"/>
              <w:bottom w:val="single" w:sz="4" w:space="0" w:color="000000"/>
              <w:right w:val="single" w:sz="4" w:space="0" w:color="000000"/>
            </w:tcBorders>
            <w:shd w:val="clear" w:color="auto" w:fill="CCFFCC"/>
            <w:vAlign w:val="center"/>
          </w:tcPr>
          <w:p w14:paraId="3FEEBD7D" w14:textId="77777777" w:rsidR="006A40A0" w:rsidRPr="00553D2F" w:rsidRDefault="006A40A0" w:rsidP="00794B89">
            <w:pPr>
              <w:widowControl/>
              <w:spacing w:after="200" w:line="276" w:lineRule="auto"/>
              <w:jc w:val="center"/>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2022</w:t>
            </w:r>
          </w:p>
        </w:tc>
        <w:tc>
          <w:tcPr>
            <w:tcW w:w="1134" w:type="dxa"/>
            <w:tcBorders>
              <w:top w:val="single" w:sz="4" w:space="0" w:color="000000"/>
              <w:bottom w:val="single" w:sz="4" w:space="0" w:color="000000"/>
              <w:right w:val="single" w:sz="4" w:space="0" w:color="000000"/>
            </w:tcBorders>
            <w:shd w:val="clear" w:color="auto" w:fill="CCFFCC"/>
            <w:vAlign w:val="center"/>
          </w:tcPr>
          <w:p w14:paraId="7827AB24" w14:textId="503775BD" w:rsidR="006A40A0" w:rsidRPr="00553D2F" w:rsidRDefault="006A40A0" w:rsidP="00794B89">
            <w:pPr>
              <w:widowControl/>
              <w:spacing w:after="200" w:line="276" w:lineRule="auto"/>
              <w:jc w:val="center"/>
              <w:rPr>
                <w:rFonts w:ascii="Arial" w:eastAsiaTheme="minorHAnsi" w:hAnsi="Arial" w:cs="Arial"/>
                <w:b/>
                <w:color w:val="000000"/>
                <w:sz w:val="22"/>
                <w:szCs w:val="22"/>
                <w:lang w:eastAsia="en-US"/>
              </w:rPr>
            </w:pPr>
            <w:r>
              <w:rPr>
                <w:rFonts w:ascii="Arial" w:eastAsiaTheme="minorHAnsi" w:hAnsi="Arial" w:cs="Arial"/>
                <w:b/>
                <w:color w:val="000000"/>
                <w:sz w:val="22"/>
                <w:szCs w:val="22"/>
                <w:lang w:eastAsia="en-US"/>
              </w:rPr>
              <w:t>2023</w:t>
            </w:r>
          </w:p>
        </w:tc>
      </w:tr>
      <w:tr w:rsidR="006A40A0" w:rsidRPr="00553D2F" w14:paraId="405CC4F7" w14:textId="6C476E40" w:rsidTr="005F1375">
        <w:trPr>
          <w:trHeight w:val="340"/>
        </w:trPr>
        <w:tc>
          <w:tcPr>
            <w:tcW w:w="3397" w:type="dxa"/>
            <w:tcBorders>
              <w:top w:val="single" w:sz="4" w:space="0" w:color="auto"/>
              <w:left w:val="single" w:sz="4" w:space="0" w:color="000000"/>
              <w:bottom w:val="single" w:sz="4" w:space="0" w:color="000000"/>
              <w:right w:val="single" w:sz="4" w:space="0" w:color="000000"/>
            </w:tcBorders>
            <w:shd w:val="clear" w:color="auto" w:fill="auto"/>
            <w:vAlign w:val="center"/>
          </w:tcPr>
          <w:p w14:paraId="1C52B2CE"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ogółem</w:t>
            </w:r>
          </w:p>
        </w:tc>
        <w:tc>
          <w:tcPr>
            <w:tcW w:w="1134" w:type="dxa"/>
            <w:tcBorders>
              <w:top w:val="single" w:sz="4" w:space="0" w:color="auto"/>
              <w:bottom w:val="single" w:sz="4" w:space="0" w:color="000000"/>
              <w:right w:val="single" w:sz="4" w:space="0" w:color="000000"/>
            </w:tcBorders>
            <w:vAlign w:val="center"/>
          </w:tcPr>
          <w:p w14:paraId="0B270CC5"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388</w:t>
            </w:r>
          </w:p>
        </w:tc>
        <w:tc>
          <w:tcPr>
            <w:tcW w:w="1134" w:type="dxa"/>
            <w:tcBorders>
              <w:bottom w:val="single" w:sz="4" w:space="0" w:color="000000"/>
              <w:right w:val="single" w:sz="4" w:space="0" w:color="000000"/>
            </w:tcBorders>
            <w:vAlign w:val="center"/>
          </w:tcPr>
          <w:p w14:paraId="7421A3E0"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392</w:t>
            </w:r>
          </w:p>
        </w:tc>
        <w:tc>
          <w:tcPr>
            <w:tcW w:w="1134" w:type="dxa"/>
            <w:tcBorders>
              <w:bottom w:val="single" w:sz="4" w:space="0" w:color="000000"/>
              <w:right w:val="single" w:sz="4" w:space="0" w:color="000000"/>
            </w:tcBorders>
          </w:tcPr>
          <w:p w14:paraId="4998BF10"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406</w:t>
            </w:r>
          </w:p>
        </w:tc>
        <w:tc>
          <w:tcPr>
            <w:tcW w:w="1134" w:type="dxa"/>
            <w:tcBorders>
              <w:bottom w:val="single" w:sz="4" w:space="0" w:color="000000"/>
              <w:right w:val="single" w:sz="4" w:space="0" w:color="000000"/>
            </w:tcBorders>
            <w:vAlign w:val="center"/>
          </w:tcPr>
          <w:p w14:paraId="03E697DE"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398</w:t>
            </w:r>
          </w:p>
        </w:tc>
        <w:tc>
          <w:tcPr>
            <w:tcW w:w="1134" w:type="dxa"/>
            <w:tcBorders>
              <w:bottom w:val="single" w:sz="4" w:space="0" w:color="000000"/>
              <w:right w:val="single" w:sz="4" w:space="0" w:color="000000"/>
            </w:tcBorders>
            <w:vAlign w:val="center"/>
          </w:tcPr>
          <w:p w14:paraId="0B5D879D" w14:textId="4A50E849" w:rsidR="006A40A0" w:rsidRPr="00553D2F" w:rsidRDefault="006A40A0" w:rsidP="00707347">
            <w:pPr>
              <w:widowControl/>
              <w:spacing w:after="200" w:line="276" w:lineRule="auto"/>
              <w:jc w:val="right"/>
              <w:rPr>
                <w:rFonts w:ascii="Arial" w:eastAsiaTheme="minorHAnsi" w:hAnsi="Arial" w:cs="Arial"/>
                <w:b/>
                <w:color w:val="000000"/>
                <w:sz w:val="22"/>
                <w:szCs w:val="22"/>
                <w:lang w:eastAsia="en-US"/>
              </w:rPr>
            </w:pPr>
            <w:r>
              <w:rPr>
                <w:rFonts w:ascii="Arial" w:eastAsiaTheme="minorHAnsi" w:hAnsi="Arial" w:cs="Arial"/>
                <w:b/>
                <w:color w:val="000000"/>
                <w:sz w:val="22"/>
                <w:szCs w:val="22"/>
                <w:lang w:eastAsia="en-US"/>
              </w:rPr>
              <w:t>420</w:t>
            </w:r>
          </w:p>
        </w:tc>
      </w:tr>
      <w:tr w:rsidR="006A40A0" w:rsidRPr="00553D2F" w14:paraId="0C21B491" w14:textId="192598F1" w:rsidTr="005F1375">
        <w:trPr>
          <w:trHeight w:val="1071"/>
        </w:trPr>
        <w:tc>
          <w:tcPr>
            <w:tcW w:w="3397" w:type="dxa"/>
            <w:tcBorders>
              <w:left w:val="single" w:sz="4" w:space="0" w:color="000000"/>
              <w:bottom w:val="single" w:sz="4" w:space="0" w:color="000000"/>
              <w:right w:val="single" w:sz="4" w:space="0" w:color="000000"/>
            </w:tcBorders>
            <w:shd w:val="clear" w:color="auto" w:fill="auto"/>
            <w:vAlign w:val="center"/>
          </w:tcPr>
          <w:p w14:paraId="41FCFCBD"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 xml:space="preserve">w zakresie stosowania śor sprzętem naziemnym z wyłączeniem sprzętu montowanego na pojazdach szynowych oraz innego stosowanego w kolejnictwie </w:t>
            </w:r>
          </w:p>
        </w:tc>
        <w:tc>
          <w:tcPr>
            <w:tcW w:w="1134" w:type="dxa"/>
            <w:tcBorders>
              <w:bottom w:val="single" w:sz="4" w:space="0" w:color="000000"/>
              <w:right w:val="single" w:sz="4" w:space="0" w:color="000000"/>
            </w:tcBorders>
            <w:vAlign w:val="center"/>
          </w:tcPr>
          <w:p w14:paraId="30F724E7"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364</w:t>
            </w:r>
          </w:p>
        </w:tc>
        <w:tc>
          <w:tcPr>
            <w:tcW w:w="1134" w:type="dxa"/>
            <w:tcBorders>
              <w:bottom w:val="single" w:sz="4" w:space="0" w:color="000000"/>
              <w:right w:val="single" w:sz="4" w:space="0" w:color="000000"/>
            </w:tcBorders>
            <w:vAlign w:val="center"/>
          </w:tcPr>
          <w:p w14:paraId="144F8B16"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369</w:t>
            </w:r>
          </w:p>
        </w:tc>
        <w:tc>
          <w:tcPr>
            <w:tcW w:w="1134" w:type="dxa"/>
            <w:tcBorders>
              <w:bottom w:val="single" w:sz="4" w:space="0" w:color="000000"/>
              <w:right w:val="single" w:sz="4" w:space="0" w:color="000000"/>
            </w:tcBorders>
            <w:vAlign w:val="center"/>
          </w:tcPr>
          <w:p w14:paraId="4A978450"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370</w:t>
            </w:r>
          </w:p>
        </w:tc>
        <w:tc>
          <w:tcPr>
            <w:tcW w:w="1134" w:type="dxa"/>
            <w:tcBorders>
              <w:bottom w:val="single" w:sz="4" w:space="0" w:color="000000"/>
              <w:right w:val="single" w:sz="4" w:space="0" w:color="000000"/>
            </w:tcBorders>
            <w:vAlign w:val="center"/>
          </w:tcPr>
          <w:p w14:paraId="31BBC92E"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378</w:t>
            </w:r>
          </w:p>
        </w:tc>
        <w:tc>
          <w:tcPr>
            <w:tcW w:w="1134" w:type="dxa"/>
            <w:tcBorders>
              <w:bottom w:val="single" w:sz="4" w:space="0" w:color="000000"/>
              <w:right w:val="single" w:sz="4" w:space="0" w:color="000000"/>
            </w:tcBorders>
            <w:vAlign w:val="center"/>
          </w:tcPr>
          <w:p w14:paraId="526927D2" w14:textId="32271673" w:rsidR="006A40A0" w:rsidRPr="00553D2F" w:rsidRDefault="006A40A0" w:rsidP="00707347">
            <w:pPr>
              <w:widowControl/>
              <w:spacing w:after="200" w:line="276" w:lineRule="auto"/>
              <w:jc w:val="right"/>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388</w:t>
            </w:r>
          </w:p>
        </w:tc>
      </w:tr>
      <w:tr w:rsidR="006A40A0" w:rsidRPr="00553D2F" w14:paraId="7B4EA259" w14:textId="1191A414" w:rsidTr="005F1375">
        <w:trPr>
          <w:trHeight w:val="267"/>
        </w:trPr>
        <w:tc>
          <w:tcPr>
            <w:tcW w:w="3397" w:type="dxa"/>
            <w:tcBorders>
              <w:left w:val="single" w:sz="4" w:space="0" w:color="000000"/>
              <w:bottom w:val="single" w:sz="4" w:space="0" w:color="000000"/>
              <w:right w:val="single" w:sz="4" w:space="0" w:color="000000"/>
            </w:tcBorders>
            <w:shd w:val="clear" w:color="auto" w:fill="auto"/>
            <w:vAlign w:val="center"/>
          </w:tcPr>
          <w:p w14:paraId="0418E3C3"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w zakresie stosowania śor metodą fumigacja</w:t>
            </w:r>
          </w:p>
        </w:tc>
        <w:tc>
          <w:tcPr>
            <w:tcW w:w="1134" w:type="dxa"/>
            <w:tcBorders>
              <w:bottom w:val="single" w:sz="4" w:space="0" w:color="000000"/>
              <w:right w:val="single" w:sz="4" w:space="0" w:color="000000"/>
            </w:tcBorders>
            <w:vAlign w:val="center"/>
          </w:tcPr>
          <w:p w14:paraId="29348CCD"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74</w:t>
            </w:r>
          </w:p>
        </w:tc>
        <w:tc>
          <w:tcPr>
            <w:tcW w:w="1134" w:type="dxa"/>
            <w:tcBorders>
              <w:bottom w:val="single" w:sz="4" w:space="0" w:color="000000"/>
              <w:right w:val="single" w:sz="4" w:space="0" w:color="000000"/>
            </w:tcBorders>
            <w:vAlign w:val="center"/>
          </w:tcPr>
          <w:p w14:paraId="600A6E03"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77</w:t>
            </w:r>
          </w:p>
        </w:tc>
        <w:tc>
          <w:tcPr>
            <w:tcW w:w="1134" w:type="dxa"/>
            <w:tcBorders>
              <w:bottom w:val="single" w:sz="4" w:space="0" w:color="000000"/>
              <w:right w:val="single" w:sz="4" w:space="0" w:color="000000"/>
            </w:tcBorders>
            <w:vAlign w:val="center"/>
          </w:tcPr>
          <w:p w14:paraId="0B2B4541"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77</w:t>
            </w:r>
          </w:p>
        </w:tc>
        <w:tc>
          <w:tcPr>
            <w:tcW w:w="1134" w:type="dxa"/>
            <w:tcBorders>
              <w:bottom w:val="single" w:sz="4" w:space="0" w:color="000000"/>
              <w:right w:val="single" w:sz="4" w:space="0" w:color="000000"/>
            </w:tcBorders>
            <w:vAlign w:val="center"/>
          </w:tcPr>
          <w:p w14:paraId="160C9220"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85</w:t>
            </w:r>
          </w:p>
        </w:tc>
        <w:tc>
          <w:tcPr>
            <w:tcW w:w="1134" w:type="dxa"/>
            <w:tcBorders>
              <w:bottom w:val="single" w:sz="4" w:space="0" w:color="000000"/>
              <w:right w:val="single" w:sz="4" w:space="0" w:color="000000"/>
            </w:tcBorders>
            <w:vAlign w:val="center"/>
          </w:tcPr>
          <w:p w14:paraId="1B504313" w14:textId="0DEE3A57" w:rsidR="006A40A0" w:rsidRPr="00553D2F" w:rsidRDefault="006A40A0" w:rsidP="00707347">
            <w:pPr>
              <w:widowControl/>
              <w:spacing w:after="200" w:line="276" w:lineRule="auto"/>
              <w:jc w:val="right"/>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60</w:t>
            </w:r>
          </w:p>
        </w:tc>
      </w:tr>
      <w:tr w:rsidR="006A40A0" w:rsidRPr="00553D2F" w14:paraId="02B95889" w14:textId="44403BF4" w:rsidTr="005F1375">
        <w:trPr>
          <w:trHeight w:val="267"/>
        </w:trPr>
        <w:tc>
          <w:tcPr>
            <w:tcW w:w="3397" w:type="dxa"/>
            <w:tcBorders>
              <w:left w:val="single" w:sz="4" w:space="0" w:color="000000"/>
              <w:bottom w:val="single" w:sz="4" w:space="0" w:color="000000"/>
              <w:right w:val="single" w:sz="4" w:space="0" w:color="000000"/>
            </w:tcBorders>
            <w:shd w:val="clear" w:color="auto" w:fill="auto"/>
            <w:vAlign w:val="center"/>
          </w:tcPr>
          <w:p w14:paraId="12B7308A"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w zakresie stosowania śor sprzętem agrolotniczym</w:t>
            </w:r>
          </w:p>
        </w:tc>
        <w:tc>
          <w:tcPr>
            <w:tcW w:w="1134" w:type="dxa"/>
            <w:tcBorders>
              <w:bottom w:val="single" w:sz="4" w:space="0" w:color="000000"/>
              <w:right w:val="single" w:sz="4" w:space="0" w:color="000000"/>
            </w:tcBorders>
            <w:vAlign w:val="center"/>
          </w:tcPr>
          <w:p w14:paraId="29B8AD50"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27</w:t>
            </w:r>
          </w:p>
        </w:tc>
        <w:tc>
          <w:tcPr>
            <w:tcW w:w="1134" w:type="dxa"/>
            <w:tcBorders>
              <w:bottom w:val="single" w:sz="4" w:space="0" w:color="000000"/>
              <w:right w:val="single" w:sz="4" w:space="0" w:color="000000"/>
            </w:tcBorders>
            <w:vAlign w:val="center"/>
          </w:tcPr>
          <w:p w14:paraId="2CDDA02B"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29</w:t>
            </w:r>
          </w:p>
        </w:tc>
        <w:tc>
          <w:tcPr>
            <w:tcW w:w="1134" w:type="dxa"/>
            <w:tcBorders>
              <w:bottom w:val="single" w:sz="4" w:space="0" w:color="000000"/>
              <w:right w:val="single" w:sz="4" w:space="0" w:color="000000"/>
            </w:tcBorders>
            <w:vAlign w:val="center"/>
          </w:tcPr>
          <w:p w14:paraId="4D565DBF"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28</w:t>
            </w:r>
          </w:p>
        </w:tc>
        <w:tc>
          <w:tcPr>
            <w:tcW w:w="1134" w:type="dxa"/>
            <w:tcBorders>
              <w:bottom w:val="single" w:sz="4" w:space="0" w:color="000000"/>
              <w:right w:val="single" w:sz="4" w:space="0" w:color="000000"/>
            </w:tcBorders>
            <w:vAlign w:val="center"/>
          </w:tcPr>
          <w:p w14:paraId="05575736"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32</w:t>
            </w:r>
          </w:p>
        </w:tc>
        <w:tc>
          <w:tcPr>
            <w:tcW w:w="1134" w:type="dxa"/>
            <w:tcBorders>
              <w:bottom w:val="single" w:sz="4" w:space="0" w:color="000000"/>
              <w:right w:val="single" w:sz="4" w:space="0" w:color="000000"/>
            </w:tcBorders>
            <w:vAlign w:val="center"/>
          </w:tcPr>
          <w:p w14:paraId="6F48D608" w14:textId="5E3534B4" w:rsidR="006A40A0" w:rsidRPr="00553D2F" w:rsidRDefault="006A40A0" w:rsidP="00707347">
            <w:pPr>
              <w:widowControl/>
              <w:spacing w:after="200" w:line="276" w:lineRule="auto"/>
              <w:jc w:val="right"/>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36</w:t>
            </w:r>
          </w:p>
        </w:tc>
      </w:tr>
      <w:tr w:rsidR="006A40A0" w:rsidRPr="00553D2F" w14:paraId="0E73F894" w14:textId="592C29AD" w:rsidTr="005F1375">
        <w:trPr>
          <w:trHeight w:val="535"/>
        </w:trPr>
        <w:tc>
          <w:tcPr>
            <w:tcW w:w="3397" w:type="dxa"/>
            <w:tcBorders>
              <w:left w:val="single" w:sz="4" w:space="0" w:color="000000"/>
              <w:bottom w:val="single" w:sz="4" w:space="0" w:color="000000"/>
              <w:right w:val="single" w:sz="4" w:space="0" w:color="000000"/>
            </w:tcBorders>
            <w:shd w:val="clear" w:color="auto" w:fill="auto"/>
            <w:vAlign w:val="center"/>
          </w:tcPr>
          <w:p w14:paraId="1B862FCD"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 xml:space="preserve">sprzętem montowanym na pojazdach szynowych oraz innym stosowanym w kolejnictwie </w:t>
            </w:r>
          </w:p>
        </w:tc>
        <w:tc>
          <w:tcPr>
            <w:tcW w:w="1134" w:type="dxa"/>
            <w:tcBorders>
              <w:bottom w:val="single" w:sz="4" w:space="0" w:color="000000"/>
              <w:right w:val="single" w:sz="4" w:space="0" w:color="000000"/>
            </w:tcBorders>
            <w:vAlign w:val="center"/>
          </w:tcPr>
          <w:p w14:paraId="2C625C5F"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52</w:t>
            </w:r>
          </w:p>
        </w:tc>
        <w:tc>
          <w:tcPr>
            <w:tcW w:w="1134" w:type="dxa"/>
            <w:tcBorders>
              <w:bottom w:val="single" w:sz="4" w:space="0" w:color="000000"/>
              <w:right w:val="single" w:sz="4" w:space="0" w:color="000000"/>
            </w:tcBorders>
            <w:vAlign w:val="center"/>
          </w:tcPr>
          <w:p w14:paraId="547E82CD"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55</w:t>
            </w:r>
          </w:p>
        </w:tc>
        <w:tc>
          <w:tcPr>
            <w:tcW w:w="1134" w:type="dxa"/>
            <w:tcBorders>
              <w:bottom w:val="single" w:sz="4" w:space="0" w:color="000000"/>
              <w:right w:val="single" w:sz="4" w:space="0" w:color="000000"/>
            </w:tcBorders>
            <w:vAlign w:val="center"/>
          </w:tcPr>
          <w:p w14:paraId="146CC798"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55</w:t>
            </w:r>
          </w:p>
        </w:tc>
        <w:tc>
          <w:tcPr>
            <w:tcW w:w="1134" w:type="dxa"/>
            <w:tcBorders>
              <w:bottom w:val="single" w:sz="4" w:space="0" w:color="000000"/>
              <w:right w:val="single" w:sz="4" w:space="0" w:color="000000"/>
            </w:tcBorders>
            <w:vAlign w:val="center"/>
          </w:tcPr>
          <w:p w14:paraId="2C31D2E2"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62</w:t>
            </w:r>
          </w:p>
        </w:tc>
        <w:tc>
          <w:tcPr>
            <w:tcW w:w="1134" w:type="dxa"/>
            <w:tcBorders>
              <w:bottom w:val="single" w:sz="4" w:space="0" w:color="000000"/>
              <w:right w:val="single" w:sz="4" w:space="0" w:color="000000"/>
            </w:tcBorders>
            <w:vAlign w:val="center"/>
          </w:tcPr>
          <w:p w14:paraId="0E47A625" w14:textId="6D5100DF" w:rsidR="006A40A0" w:rsidRPr="00553D2F" w:rsidRDefault="006A40A0" w:rsidP="00707347">
            <w:pPr>
              <w:widowControl/>
              <w:spacing w:after="200" w:line="276" w:lineRule="auto"/>
              <w:jc w:val="right"/>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65</w:t>
            </w:r>
          </w:p>
        </w:tc>
      </w:tr>
      <w:tr w:rsidR="006A40A0" w:rsidRPr="00553D2F" w14:paraId="40E645CA" w14:textId="69B5E71B" w:rsidTr="005F1375">
        <w:trPr>
          <w:trHeight w:val="267"/>
        </w:trPr>
        <w:tc>
          <w:tcPr>
            <w:tcW w:w="3397" w:type="dxa"/>
            <w:tcBorders>
              <w:left w:val="single" w:sz="4" w:space="0" w:color="000000"/>
              <w:bottom w:val="single" w:sz="4" w:space="0" w:color="000000"/>
              <w:right w:val="single" w:sz="4" w:space="0" w:color="000000"/>
            </w:tcBorders>
            <w:shd w:val="clear" w:color="auto" w:fill="auto"/>
            <w:vAlign w:val="center"/>
          </w:tcPr>
          <w:p w14:paraId="1213FC64"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w zakresie doradztwa dotyczącego śor</w:t>
            </w:r>
          </w:p>
        </w:tc>
        <w:tc>
          <w:tcPr>
            <w:tcW w:w="1134" w:type="dxa"/>
            <w:tcBorders>
              <w:bottom w:val="single" w:sz="4" w:space="0" w:color="000000"/>
              <w:right w:val="single" w:sz="4" w:space="0" w:color="000000"/>
            </w:tcBorders>
            <w:vAlign w:val="center"/>
          </w:tcPr>
          <w:p w14:paraId="095563F7"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268</w:t>
            </w:r>
          </w:p>
        </w:tc>
        <w:tc>
          <w:tcPr>
            <w:tcW w:w="1134" w:type="dxa"/>
            <w:tcBorders>
              <w:bottom w:val="single" w:sz="4" w:space="0" w:color="000000"/>
              <w:right w:val="single" w:sz="4" w:space="0" w:color="000000"/>
            </w:tcBorders>
            <w:vAlign w:val="center"/>
          </w:tcPr>
          <w:p w14:paraId="2BE8B254"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267</w:t>
            </w:r>
          </w:p>
        </w:tc>
        <w:tc>
          <w:tcPr>
            <w:tcW w:w="1134" w:type="dxa"/>
            <w:tcBorders>
              <w:bottom w:val="single" w:sz="4" w:space="0" w:color="000000"/>
              <w:right w:val="single" w:sz="4" w:space="0" w:color="000000"/>
            </w:tcBorders>
            <w:vAlign w:val="center"/>
          </w:tcPr>
          <w:p w14:paraId="190E11D1"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270</w:t>
            </w:r>
          </w:p>
        </w:tc>
        <w:tc>
          <w:tcPr>
            <w:tcW w:w="1134" w:type="dxa"/>
            <w:tcBorders>
              <w:bottom w:val="single" w:sz="4" w:space="0" w:color="000000"/>
              <w:right w:val="single" w:sz="4" w:space="0" w:color="000000"/>
            </w:tcBorders>
            <w:vAlign w:val="center"/>
          </w:tcPr>
          <w:p w14:paraId="4BCE3579"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276</w:t>
            </w:r>
          </w:p>
        </w:tc>
        <w:tc>
          <w:tcPr>
            <w:tcW w:w="1134" w:type="dxa"/>
            <w:tcBorders>
              <w:bottom w:val="single" w:sz="4" w:space="0" w:color="000000"/>
              <w:right w:val="single" w:sz="4" w:space="0" w:color="000000"/>
            </w:tcBorders>
            <w:vAlign w:val="center"/>
          </w:tcPr>
          <w:p w14:paraId="026FE7F4" w14:textId="25E06AD5" w:rsidR="006A40A0" w:rsidRPr="00553D2F" w:rsidRDefault="006A40A0" w:rsidP="00707347">
            <w:pPr>
              <w:widowControl/>
              <w:spacing w:after="200" w:line="276" w:lineRule="auto"/>
              <w:jc w:val="right"/>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290</w:t>
            </w:r>
          </w:p>
        </w:tc>
      </w:tr>
      <w:tr w:rsidR="006A40A0" w:rsidRPr="00553D2F" w14:paraId="7AF4ECA7" w14:textId="7FE584E7" w:rsidTr="005F1375">
        <w:trPr>
          <w:trHeight w:val="267"/>
        </w:trPr>
        <w:tc>
          <w:tcPr>
            <w:tcW w:w="3397" w:type="dxa"/>
            <w:tcBorders>
              <w:left w:val="single" w:sz="4" w:space="0" w:color="000000"/>
              <w:bottom w:val="single" w:sz="4" w:space="0" w:color="000000"/>
              <w:right w:val="single" w:sz="4" w:space="0" w:color="000000"/>
            </w:tcBorders>
            <w:shd w:val="clear" w:color="auto" w:fill="auto"/>
            <w:vAlign w:val="center"/>
          </w:tcPr>
          <w:p w14:paraId="5D102043"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IP</w:t>
            </w:r>
          </w:p>
        </w:tc>
        <w:tc>
          <w:tcPr>
            <w:tcW w:w="1134" w:type="dxa"/>
            <w:tcBorders>
              <w:bottom w:val="single" w:sz="4" w:space="0" w:color="000000"/>
              <w:right w:val="single" w:sz="4" w:space="0" w:color="000000"/>
            </w:tcBorders>
            <w:vAlign w:val="center"/>
          </w:tcPr>
          <w:p w14:paraId="321563EB"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167</w:t>
            </w:r>
          </w:p>
        </w:tc>
        <w:tc>
          <w:tcPr>
            <w:tcW w:w="1134" w:type="dxa"/>
            <w:tcBorders>
              <w:bottom w:val="single" w:sz="4" w:space="0" w:color="000000"/>
              <w:right w:val="single" w:sz="4" w:space="0" w:color="000000"/>
            </w:tcBorders>
            <w:vAlign w:val="center"/>
          </w:tcPr>
          <w:p w14:paraId="79A6F985"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166</w:t>
            </w:r>
          </w:p>
        </w:tc>
        <w:tc>
          <w:tcPr>
            <w:tcW w:w="1134" w:type="dxa"/>
            <w:tcBorders>
              <w:bottom w:val="single" w:sz="4" w:space="0" w:color="000000"/>
              <w:right w:val="single" w:sz="4" w:space="0" w:color="000000"/>
            </w:tcBorders>
            <w:vAlign w:val="center"/>
          </w:tcPr>
          <w:p w14:paraId="15BF6AA4"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167</w:t>
            </w:r>
          </w:p>
        </w:tc>
        <w:tc>
          <w:tcPr>
            <w:tcW w:w="1134" w:type="dxa"/>
            <w:tcBorders>
              <w:bottom w:val="single" w:sz="4" w:space="0" w:color="000000"/>
              <w:right w:val="single" w:sz="4" w:space="0" w:color="000000"/>
            </w:tcBorders>
          </w:tcPr>
          <w:p w14:paraId="6B6ACADA"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172</w:t>
            </w:r>
          </w:p>
        </w:tc>
        <w:tc>
          <w:tcPr>
            <w:tcW w:w="1134" w:type="dxa"/>
            <w:tcBorders>
              <w:bottom w:val="single" w:sz="4" w:space="0" w:color="000000"/>
              <w:right w:val="single" w:sz="4" w:space="0" w:color="000000"/>
            </w:tcBorders>
            <w:vAlign w:val="center"/>
          </w:tcPr>
          <w:p w14:paraId="23288C47" w14:textId="591D64C8" w:rsidR="006A40A0" w:rsidRPr="00553D2F" w:rsidRDefault="006A40A0" w:rsidP="00707347">
            <w:pPr>
              <w:widowControl/>
              <w:spacing w:after="200" w:line="276" w:lineRule="auto"/>
              <w:jc w:val="right"/>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199</w:t>
            </w:r>
          </w:p>
        </w:tc>
      </w:tr>
      <w:tr w:rsidR="006A40A0" w:rsidRPr="00553D2F" w14:paraId="34FA5498" w14:textId="08B34849" w:rsidTr="005F1375">
        <w:trPr>
          <w:trHeight w:val="803"/>
        </w:trPr>
        <w:tc>
          <w:tcPr>
            <w:tcW w:w="3397" w:type="dxa"/>
            <w:tcBorders>
              <w:left w:val="single" w:sz="4" w:space="0" w:color="000000"/>
              <w:bottom w:val="single" w:sz="4" w:space="0" w:color="000000"/>
              <w:right w:val="single" w:sz="4" w:space="0" w:color="000000"/>
            </w:tcBorders>
            <w:shd w:val="clear" w:color="auto" w:fill="auto"/>
            <w:vAlign w:val="center"/>
          </w:tcPr>
          <w:p w14:paraId="2127AC65"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 xml:space="preserve">przygotowujące diagnostów do badania sprawności technicznej sprzętu naziemnego przeznaczonego do stosowania śor </w:t>
            </w:r>
          </w:p>
        </w:tc>
        <w:tc>
          <w:tcPr>
            <w:tcW w:w="1134" w:type="dxa"/>
            <w:tcBorders>
              <w:bottom w:val="single" w:sz="4" w:space="0" w:color="000000"/>
              <w:right w:val="single" w:sz="4" w:space="0" w:color="000000"/>
            </w:tcBorders>
            <w:vAlign w:val="center"/>
          </w:tcPr>
          <w:p w14:paraId="3DCAF9A3"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20</w:t>
            </w:r>
          </w:p>
        </w:tc>
        <w:tc>
          <w:tcPr>
            <w:tcW w:w="1134" w:type="dxa"/>
            <w:tcBorders>
              <w:bottom w:val="single" w:sz="4" w:space="0" w:color="000000"/>
              <w:right w:val="single" w:sz="4" w:space="0" w:color="000000"/>
            </w:tcBorders>
            <w:vAlign w:val="center"/>
          </w:tcPr>
          <w:p w14:paraId="2ED7AF05"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22</w:t>
            </w:r>
          </w:p>
        </w:tc>
        <w:tc>
          <w:tcPr>
            <w:tcW w:w="1134" w:type="dxa"/>
            <w:tcBorders>
              <w:bottom w:val="single" w:sz="4" w:space="0" w:color="000000"/>
              <w:right w:val="single" w:sz="4" w:space="0" w:color="000000"/>
            </w:tcBorders>
            <w:vAlign w:val="center"/>
          </w:tcPr>
          <w:p w14:paraId="23620D43"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24</w:t>
            </w:r>
          </w:p>
        </w:tc>
        <w:tc>
          <w:tcPr>
            <w:tcW w:w="1134" w:type="dxa"/>
            <w:tcBorders>
              <w:bottom w:val="single" w:sz="4" w:space="0" w:color="000000"/>
              <w:right w:val="single" w:sz="4" w:space="0" w:color="000000"/>
            </w:tcBorders>
            <w:vAlign w:val="center"/>
          </w:tcPr>
          <w:p w14:paraId="03A390E5"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29</w:t>
            </w:r>
          </w:p>
        </w:tc>
        <w:tc>
          <w:tcPr>
            <w:tcW w:w="1134" w:type="dxa"/>
            <w:tcBorders>
              <w:bottom w:val="single" w:sz="4" w:space="0" w:color="000000"/>
              <w:right w:val="single" w:sz="4" w:space="0" w:color="000000"/>
            </w:tcBorders>
            <w:vAlign w:val="center"/>
          </w:tcPr>
          <w:p w14:paraId="60E8C480" w14:textId="7D3B5791" w:rsidR="006A40A0" w:rsidRPr="00553D2F" w:rsidRDefault="006A40A0" w:rsidP="00707347">
            <w:pPr>
              <w:widowControl/>
              <w:spacing w:after="200" w:line="276" w:lineRule="auto"/>
              <w:jc w:val="right"/>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30</w:t>
            </w:r>
          </w:p>
        </w:tc>
      </w:tr>
      <w:tr w:rsidR="006A40A0" w:rsidRPr="00553D2F" w14:paraId="548E65D5" w14:textId="67761B4D" w:rsidTr="005F1375">
        <w:trPr>
          <w:trHeight w:val="804"/>
        </w:trPr>
        <w:tc>
          <w:tcPr>
            <w:tcW w:w="3397" w:type="dxa"/>
            <w:tcBorders>
              <w:left w:val="single" w:sz="4" w:space="0" w:color="000000"/>
              <w:bottom w:val="single" w:sz="4" w:space="0" w:color="000000"/>
              <w:right w:val="single" w:sz="4" w:space="0" w:color="000000"/>
            </w:tcBorders>
            <w:shd w:val="clear" w:color="auto" w:fill="auto"/>
            <w:vAlign w:val="center"/>
          </w:tcPr>
          <w:p w14:paraId="028C15ED"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lastRenderedPageBreak/>
              <w:t xml:space="preserve">przygotowujące diagnostów do badania sprawności technicznej sprzętu agrolotniczego przeznaczonego do stosowania śor </w:t>
            </w:r>
          </w:p>
        </w:tc>
        <w:tc>
          <w:tcPr>
            <w:tcW w:w="1134" w:type="dxa"/>
            <w:tcBorders>
              <w:bottom w:val="single" w:sz="4" w:space="0" w:color="000000"/>
              <w:right w:val="single" w:sz="4" w:space="0" w:color="000000"/>
            </w:tcBorders>
            <w:vAlign w:val="center"/>
          </w:tcPr>
          <w:p w14:paraId="3ADB2ABD"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8</w:t>
            </w:r>
          </w:p>
        </w:tc>
        <w:tc>
          <w:tcPr>
            <w:tcW w:w="1134" w:type="dxa"/>
            <w:tcBorders>
              <w:bottom w:val="single" w:sz="4" w:space="0" w:color="000000"/>
              <w:right w:val="single" w:sz="4" w:space="0" w:color="000000"/>
            </w:tcBorders>
            <w:vAlign w:val="center"/>
          </w:tcPr>
          <w:p w14:paraId="05037AF1"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10</w:t>
            </w:r>
          </w:p>
        </w:tc>
        <w:tc>
          <w:tcPr>
            <w:tcW w:w="1134" w:type="dxa"/>
            <w:tcBorders>
              <w:bottom w:val="single" w:sz="4" w:space="0" w:color="000000"/>
              <w:right w:val="single" w:sz="4" w:space="0" w:color="000000"/>
            </w:tcBorders>
            <w:vAlign w:val="center"/>
          </w:tcPr>
          <w:p w14:paraId="719020B3"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9</w:t>
            </w:r>
          </w:p>
        </w:tc>
        <w:tc>
          <w:tcPr>
            <w:tcW w:w="1134" w:type="dxa"/>
            <w:tcBorders>
              <w:bottom w:val="single" w:sz="4" w:space="0" w:color="000000"/>
              <w:right w:val="single" w:sz="4" w:space="0" w:color="000000"/>
            </w:tcBorders>
            <w:vAlign w:val="center"/>
          </w:tcPr>
          <w:p w14:paraId="41437939" w14:textId="77777777" w:rsidR="006A40A0" w:rsidRPr="00553D2F" w:rsidRDefault="006A40A0" w:rsidP="00553D2F">
            <w:pPr>
              <w:widowControl/>
              <w:spacing w:after="200" w:line="276" w:lineRule="auto"/>
              <w:jc w:val="right"/>
              <w:rPr>
                <w:rFonts w:ascii="Arial" w:eastAsiaTheme="minorHAnsi" w:hAnsi="Arial" w:cs="Arial"/>
                <w:bCs/>
                <w:color w:val="000000"/>
                <w:sz w:val="22"/>
                <w:szCs w:val="22"/>
                <w:lang w:eastAsia="en-US"/>
              </w:rPr>
            </w:pPr>
            <w:r w:rsidRPr="00553D2F">
              <w:rPr>
                <w:rFonts w:ascii="Arial" w:eastAsiaTheme="minorHAnsi" w:hAnsi="Arial" w:cs="Arial"/>
                <w:bCs/>
                <w:color w:val="000000"/>
                <w:sz w:val="22"/>
                <w:szCs w:val="22"/>
                <w:lang w:eastAsia="en-US"/>
              </w:rPr>
              <w:t>11</w:t>
            </w:r>
          </w:p>
        </w:tc>
        <w:tc>
          <w:tcPr>
            <w:tcW w:w="1134" w:type="dxa"/>
            <w:tcBorders>
              <w:bottom w:val="single" w:sz="4" w:space="0" w:color="000000"/>
              <w:right w:val="single" w:sz="4" w:space="0" w:color="000000"/>
            </w:tcBorders>
            <w:vAlign w:val="center"/>
          </w:tcPr>
          <w:p w14:paraId="390251FC" w14:textId="20DC5947" w:rsidR="006A40A0" w:rsidRPr="00553D2F" w:rsidRDefault="006A40A0" w:rsidP="00707347">
            <w:pPr>
              <w:widowControl/>
              <w:spacing w:after="200" w:line="276" w:lineRule="auto"/>
              <w:jc w:val="right"/>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12</w:t>
            </w:r>
          </w:p>
        </w:tc>
      </w:tr>
      <w:tr w:rsidR="006A40A0" w:rsidRPr="00553D2F" w14:paraId="445C5515" w14:textId="285D0E04" w:rsidTr="005F1375">
        <w:trPr>
          <w:trHeight w:val="267"/>
        </w:trPr>
        <w:tc>
          <w:tcPr>
            <w:tcW w:w="3397" w:type="dxa"/>
            <w:tcBorders>
              <w:top w:val="single" w:sz="4" w:space="0" w:color="000000"/>
              <w:left w:val="single" w:sz="4" w:space="0" w:color="000000"/>
              <w:bottom w:val="single" w:sz="4" w:space="0" w:color="000000"/>
            </w:tcBorders>
            <w:shd w:val="clear" w:color="auto" w:fill="CCFFCC"/>
            <w:vAlign w:val="center"/>
          </w:tcPr>
          <w:p w14:paraId="75E58C52" w14:textId="77777777" w:rsidR="006A40A0" w:rsidRPr="00553D2F" w:rsidRDefault="006A40A0" w:rsidP="00553D2F">
            <w:pPr>
              <w:widowControl/>
              <w:spacing w:after="200" w:line="276" w:lineRule="auto"/>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Liczba szkoleń</w:t>
            </w:r>
          </w:p>
        </w:tc>
        <w:tc>
          <w:tcPr>
            <w:tcW w:w="1134" w:type="dxa"/>
            <w:tcBorders>
              <w:top w:val="single" w:sz="4" w:space="0" w:color="000000"/>
              <w:bottom w:val="single" w:sz="4" w:space="0" w:color="000000"/>
              <w:right w:val="single" w:sz="4" w:space="0" w:color="000000"/>
            </w:tcBorders>
            <w:shd w:val="clear" w:color="auto" w:fill="CCFFCC"/>
            <w:vAlign w:val="center"/>
          </w:tcPr>
          <w:p w14:paraId="2E31BCAA"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p>
        </w:tc>
        <w:tc>
          <w:tcPr>
            <w:tcW w:w="1134" w:type="dxa"/>
            <w:tcBorders>
              <w:top w:val="single" w:sz="4" w:space="0" w:color="000000"/>
              <w:bottom w:val="single" w:sz="4" w:space="0" w:color="000000"/>
              <w:right w:val="single" w:sz="4" w:space="0" w:color="000000"/>
            </w:tcBorders>
            <w:shd w:val="clear" w:color="auto" w:fill="CCFFCC"/>
            <w:vAlign w:val="center"/>
          </w:tcPr>
          <w:p w14:paraId="451F9662"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p>
        </w:tc>
        <w:tc>
          <w:tcPr>
            <w:tcW w:w="1134" w:type="dxa"/>
            <w:tcBorders>
              <w:top w:val="single" w:sz="4" w:space="0" w:color="000000"/>
              <w:bottom w:val="single" w:sz="4" w:space="0" w:color="000000"/>
              <w:right w:val="single" w:sz="4" w:space="0" w:color="000000"/>
            </w:tcBorders>
            <w:shd w:val="clear" w:color="auto" w:fill="CCFFCC"/>
          </w:tcPr>
          <w:p w14:paraId="67D90929"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p>
        </w:tc>
        <w:tc>
          <w:tcPr>
            <w:tcW w:w="1134" w:type="dxa"/>
            <w:tcBorders>
              <w:top w:val="single" w:sz="4" w:space="0" w:color="000000"/>
              <w:bottom w:val="single" w:sz="4" w:space="0" w:color="000000"/>
              <w:right w:val="single" w:sz="4" w:space="0" w:color="000000"/>
            </w:tcBorders>
            <w:shd w:val="clear" w:color="auto" w:fill="CCFFCC"/>
          </w:tcPr>
          <w:p w14:paraId="0C4168C0"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p>
        </w:tc>
        <w:tc>
          <w:tcPr>
            <w:tcW w:w="1134" w:type="dxa"/>
            <w:tcBorders>
              <w:top w:val="single" w:sz="4" w:space="0" w:color="000000"/>
              <w:bottom w:val="single" w:sz="4" w:space="0" w:color="000000"/>
              <w:right w:val="single" w:sz="4" w:space="0" w:color="000000"/>
            </w:tcBorders>
            <w:shd w:val="clear" w:color="auto" w:fill="CCFFCC"/>
          </w:tcPr>
          <w:p w14:paraId="14EF7404" w14:textId="4059BE1A"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p>
        </w:tc>
      </w:tr>
      <w:tr w:rsidR="006A40A0" w:rsidRPr="00553D2F" w14:paraId="07DC6DCA" w14:textId="6645887A" w:rsidTr="005F1375">
        <w:trPr>
          <w:trHeight w:val="267"/>
        </w:trPr>
        <w:tc>
          <w:tcPr>
            <w:tcW w:w="3397" w:type="dxa"/>
            <w:tcBorders>
              <w:left w:val="single" w:sz="4" w:space="0" w:color="000000"/>
              <w:bottom w:val="single" w:sz="4" w:space="0" w:color="000000"/>
              <w:right w:val="single" w:sz="4" w:space="0" w:color="000000"/>
            </w:tcBorders>
            <w:shd w:val="clear" w:color="auto" w:fill="FFFFFF" w:themeFill="background1"/>
            <w:vAlign w:val="center"/>
          </w:tcPr>
          <w:p w14:paraId="2538DD79"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ogółem</w:t>
            </w:r>
          </w:p>
        </w:tc>
        <w:tc>
          <w:tcPr>
            <w:tcW w:w="1134" w:type="dxa"/>
            <w:tcBorders>
              <w:bottom w:val="single" w:sz="4" w:space="0" w:color="000000"/>
              <w:right w:val="single" w:sz="4" w:space="0" w:color="000000"/>
            </w:tcBorders>
            <w:shd w:val="clear" w:color="auto" w:fill="FFFFFF" w:themeFill="background1"/>
            <w:vAlign w:val="center"/>
          </w:tcPr>
          <w:p w14:paraId="23BCD778"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3 936</w:t>
            </w:r>
          </w:p>
        </w:tc>
        <w:tc>
          <w:tcPr>
            <w:tcW w:w="1134" w:type="dxa"/>
            <w:tcBorders>
              <w:bottom w:val="single" w:sz="4" w:space="0" w:color="000000"/>
              <w:right w:val="single" w:sz="4" w:space="0" w:color="000000"/>
            </w:tcBorders>
            <w:shd w:val="clear" w:color="auto" w:fill="FFFFFF" w:themeFill="background1"/>
            <w:vAlign w:val="center"/>
          </w:tcPr>
          <w:p w14:paraId="1EA2D5D6"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2 765</w:t>
            </w:r>
          </w:p>
        </w:tc>
        <w:tc>
          <w:tcPr>
            <w:tcW w:w="1134" w:type="dxa"/>
            <w:tcBorders>
              <w:bottom w:val="single" w:sz="4" w:space="0" w:color="000000"/>
              <w:right w:val="single" w:sz="4" w:space="0" w:color="000000"/>
            </w:tcBorders>
            <w:shd w:val="clear" w:color="auto" w:fill="FFFFFF" w:themeFill="background1"/>
          </w:tcPr>
          <w:p w14:paraId="67F231E8"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2 834</w:t>
            </w:r>
          </w:p>
        </w:tc>
        <w:tc>
          <w:tcPr>
            <w:tcW w:w="1134" w:type="dxa"/>
            <w:tcBorders>
              <w:bottom w:val="single" w:sz="4" w:space="0" w:color="000000"/>
              <w:right w:val="single" w:sz="4" w:space="0" w:color="000000"/>
            </w:tcBorders>
            <w:shd w:val="clear" w:color="auto" w:fill="FFFFFF" w:themeFill="background1"/>
          </w:tcPr>
          <w:p w14:paraId="51716FD7"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3 091</w:t>
            </w:r>
          </w:p>
        </w:tc>
        <w:tc>
          <w:tcPr>
            <w:tcW w:w="1134" w:type="dxa"/>
            <w:tcBorders>
              <w:bottom w:val="single" w:sz="4" w:space="0" w:color="000000"/>
              <w:right w:val="single" w:sz="4" w:space="0" w:color="000000"/>
            </w:tcBorders>
            <w:shd w:val="clear" w:color="auto" w:fill="FFFFFF" w:themeFill="background1"/>
          </w:tcPr>
          <w:p w14:paraId="1491A523" w14:textId="2F086334"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Pr>
                <w:rFonts w:ascii="Arial" w:eastAsiaTheme="minorHAnsi" w:hAnsi="Arial" w:cs="Arial"/>
                <w:b/>
                <w:color w:val="000000"/>
                <w:sz w:val="22"/>
                <w:szCs w:val="22"/>
                <w:lang w:eastAsia="en-US"/>
              </w:rPr>
              <w:t>4 615</w:t>
            </w:r>
          </w:p>
        </w:tc>
      </w:tr>
      <w:tr w:rsidR="006A40A0" w:rsidRPr="00553D2F" w14:paraId="5664D842" w14:textId="6010BF65" w:rsidTr="005F1375">
        <w:trPr>
          <w:trHeight w:val="267"/>
        </w:trPr>
        <w:tc>
          <w:tcPr>
            <w:tcW w:w="3397" w:type="dxa"/>
            <w:tcBorders>
              <w:left w:val="single" w:sz="4" w:space="0" w:color="000000"/>
              <w:bottom w:val="single" w:sz="4" w:space="0" w:color="000000"/>
              <w:right w:val="single" w:sz="4" w:space="0" w:color="000000"/>
            </w:tcBorders>
            <w:shd w:val="clear" w:color="auto" w:fill="auto"/>
            <w:vAlign w:val="center"/>
          </w:tcPr>
          <w:p w14:paraId="2E6C9A54"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podstawowych</w:t>
            </w:r>
          </w:p>
        </w:tc>
        <w:tc>
          <w:tcPr>
            <w:tcW w:w="1134" w:type="dxa"/>
            <w:tcBorders>
              <w:bottom w:val="single" w:sz="4" w:space="0" w:color="000000"/>
              <w:right w:val="single" w:sz="4" w:space="0" w:color="000000"/>
            </w:tcBorders>
            <w:vAlign w:val="center"/>
          </w:tcPr>
          <w:p w14:paraId="3CFB3C41"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930</w:t>
            </w:r>
          </w:p>
        </w:tc>
        <w:tc>
          <w:tcPr>
            <w:tcW w:w="1134" w:type="dxa"/>
            <w:tcBorders>
              <w:bottom w:val="single" w:sz="4" w:space="0" w:color="000000"/>
              <w:right w:val="single" w:sz="4" w:space="0" w:color="000000"/>
            </w:tcBorders>
            <w:vAlign w:val="center"/>
          </w:tcPr>
          <w:p w14:paraId="0D435BD0"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654</w:t>
            </w:r>
          </w:p>
        </w:tc>
        <w:tc>
          <w:tcPr>
            <w:tcW w:w="1134" w:type="dxa"/>
            <w:tcBorders>
              <w:bottom w:val="single" w:sz="4" w:space="0" w:color="000000"/>
              <w:right w:val="single" w:sz="4" w:space="0" w:color="000000"/>
            </w:tcBorders>
          </w:tcPr>
          <w:p w14:paraId="6C25F800"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832</w:t>
            </w:r>
          </w:p>
        </w:tc>
        <w:tc>
          <w:tcPr>
            <w:tcW w:w="1134" w:type="dxa"/>
            <w:tcBorders>
              <w:bottom w:val="single" w:sz="4" w:space="0" w:color="000000"/>
              <w:right w:val="single" w:sz="4" w:space="0" w:color="000000"/>
            </w:tcBorders>
          </w:tcPr>
          <w:p w14:paraId="07A8161C"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943</w:t>
            </w:r>
          </w:p>
        </w:tc>
        <w:tc>
          <w:tcPr>
            <w:tcW w:w="1134" w:type="dxa"/>
            <w:tcBorders>
              <w:bottom w:val="single" w:sz="4" w:space="0" w:color="000000"/>
              <w:right w:val="single" w:sz="4" w:space="0" w:color="000000"/>
            </w:tcBorders>
          </w:tcPr>
          <w:p w14:paraId="7D8B7601" w14:textId="1D1FF3B5"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1 551</w:t>
            </w:r>
          </w:p>
        </w:tc>
      </w:tr>
      <w:tr w:rsidR="006A40A0" w:rsidRPr="00553D2F" w14:paraId="70C93F14" w14:textId="271415D4" w:rsidTr="005F1375">
        <w:trPr>
          <w:trHeight w:val="267"/>
        </w:trPr>
        <w:tc>
          <w:tcPr>
            <w:tcW w:w="3397" w:type="dxa"/>
            <w:tcBorders>
              <w:left w:val="single" w:sz="4" w:space="0" w:color="000000"/>
              <w:bottom w:val="single" w:sz="4" w:space="0" w:color="000000"/>
              <w:right w:val="single" w:sz="4" w:space="0" w:color="000000"/>
            </w:tcBorders>
            <w:shd w:val="clear" w:color="auto" w:fill="auto"/>
            <w:vAlign w:val="center"/>
          </w:tcPr>
          <w:p w14:paraId="75C93CA2" w14:textId="77777777" w:rsidR="006A40A0" w:rsidRPr="00553D2F" w:rsidRDefault="006A40A0" w:rsidP="00E74A80">
            <w:pPr>
              <w:widowControl/>
              <w:numPr>
                <w:ilvl w:val="0"/>
                <w:numId w:val="19"/>
              </w:numPr>
              <w:spacing w:after="200" w:line="276" w:lineRule="auto"/>
              <w:ind w:left="634" w:hanging="425"/>
              <w:contextualSpacing/>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uzupełniających</w:t>
            </w:r>
          </w:p>
        </w:tc>
        <w:tc>
          <w:tcPr>
            <w:tcW w:w="1134" w:type="dxa"/>
            <w:tcBorders>
              <w:bottom w:val="single" w:sz="4" w:space="0" w:color="000000"/>
              <w:right w:val="single" w:sz="4" w:space="0" w:color="000000"/>
            </w:tcBorders>
            <w:vAlign w:val="center"/>
          </w:tcPr>
          <w:p w14:paraId="4C81BF19"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3 006</w:t>
            </w:r>
          </w:p>
        </w:tc>
        <w:tc>
          <w:tcPr>
            <w:tcW w:w="1134" w:type="dxa"/>
            <w:tcBorders>
              <w:bottom w:val="single" w:sz="4" w:space="0" w:color="000000"/>
              <w:right w:val="single" w:sz="4" w:space="0" w:color="000000"/>
            </w:tcBorders>
            <w:vAlign w:val="center"/>
          </w:tcPr>
          <w:p w14:paraId="288CF302"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2 111</w:t>
            </w:r>
          </w:p>
        </w:tc>
        <w:tc>
          <w:tcPr>
            <w:tcW w:w="1134" w:type="dxa"/>
            <w:tcBorders>
              <w:bottom w:val="single" w:sz="4" w:space="0" w:color="000000"/>
              <w:right w:val="single" w:sz="4" w:space="0" w:color="000000"/>
            </w:tcBorders>
          </w:tcPr>
          <w:p w14:paraId="42534DCC"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2 002</w:t>
            </w:r>
          </w:p>
        </w:tc>
        <w:tc>
          <w:tcPr>
            <w:tcW w:w="1134" w:type="dxa"/>
            <w:tcBorders>
              <w:bottom w:val="single" w:sz="4" w:space="0" w:color="000000"/>
              <w:right w:val="single" w:sz="4" w:space="0" w:color="000000"/>
            </w:tcBorders>
          </w:tcPr>
          <w:p w14:paraId="10DC5C2F" w14:textId="77777777"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sidRPr="00553D2F">
              <w:rPr>
                <w:rFonts w:ascii="Arial" w:eastAsiaTheme="minorHAnsi" w:hAnsi="Arial" w:cs="Arial"/>
                <w:color w:val="000000"/>
                <w:sz w:val="22"/>
                <w:szCs w:val="22"/>
                <w:lang w:eastAsia="en-US"/>
              </w:rPr>
              <w:t>2 148</w:t>
            </w:r>
          </w:p>
        </w:tc>
        <w:tc>
          <w:tcPr>
            <w:tcW w:w="1134" w:type="dxa"/>
            <w:tcBorders>
              <w:bottom w:val="single" w:sz="4" w:space="0" w:color="000000"/>
              <w:right w:val="single" w:sz="4" w:space="0" w:color="000000"/>
            </w:tcBorders>
          </w:tcPr>
          <w:p w14:paraId="48963B5C" w14:textId="581667B2" w:rsidR="006A40A0" w:rsidRPr="00553D2F" w:rsidRDefault="006A40A0" w:rsidP="00553D2F">
            <w:pPr>
              <w:widowControl/>
              <w:spacing w:after="200" w:line="276" w:lineRule="auto"/>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3 064</w:t>
            </w:r>
          </w:p>
        </w:tc>
      </w:tr>
      <w:tr w:rsidR="006A40A0" w:rsidRPr="00553D2F" w14:paraId="6AC66A79" w14:textId="429DC6B6" w:rsidTr="005F1375">
        <w:trPr>
          <w:trHeight w:val="267"/>
        </w:trPr>
        <w:tc>
          <w:tcPr>
            <w:tcW w:w="3397" w:type="dxa"/>
            <w:tcBorders>
              <w:left w:val="single" w:sz="4" w:space="0" w:color="000000"/>
              <w:bottom w:val="single" w:sz="4" w:space="0" w:color="000000"/>
              <w:right w:val="single" w:sz="4" w:space="0" w:color="000000"/>
            </w:tcBorders>
            <w:shd w:val="clear" w:color="auto" w:fill="CCFFCC"/>
            <w:vAlign w:val="center"/>
          </w:tcPr>
          <w:p w14:paraId="7385D175" w14:textId="77777777" w:rsidR="006A40A0" w:rsidRPr="00553D2F" w:rsidRDefault="006A40A0" w:rsidP="00553D2F">
            <w:pPr>
              <w:widowControl/>
              <w:spacing w:after="200" w:line="276" w:lineRule="auto"/>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Liczba przeszkolonych osób</w:t>
            </w:r>
          </w:p>
        </w:tc>
        <w:tc>
          <w:tcPr>
            <w:tcW w:w="1134" w:type="dxa"/>
            <w:tcBorders>
              <w:bottom w:val="single" w:sz="4" w:space="0" w:color="000000"/>
              <w:right w:val="single" w:sz="4" w:space="0" w:color="000000"/>
            </w:tcBorders>
            <w:shd w:val="clear" w:color="auto" w:fill="CCFFCC"/>
            <w:vAlign w:val="center"/>
          </w:tcPr>
          <w:p w14:paraId="693E0FFC"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93 905</w:t>
            </w:r>
          </w:p>
        </w:tc>
        <w:tc>
          <w:tcPr>
            <w:tcW w:w="1134" w:type="dxa"/>
            <w:tcBorders>
              <w:bottom w:val="single" w:sz="4" w:space="0" w:color="000000"/>
              <w:right w:val="single" w:sz="4" w:space="0" w:color="000000"/>
            </w:tcBorders>
            <w:shd w:val="clear" w:color="auto" w:fill="CCFFCC"/>
            <w:vAlign w:val="center"/>
          </w:tcPr>
          <w:p w14:paraId="0CF829DD"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62 675</w:t>
            </w:r>
          </w:p>
        </w:tc>
        <w:tc>
          <w:tcPr>
            <w:tcW w:w="1134" w:type="dxa"/>
            <w:tcBorders>
              <w:bottom w:val="single" w:sz="4" w:space="0" w:color="000000"/>
              <w:right w:val="single" w:sz="4" w:space="0" w:color="000000"/>
            </w:tcBorders>
            <w:shd w:val="clear" w:color="auto" w:fill="CCFFCC"/>
          </w:tcPr>
          <w:p w14:paraId="276ACBAB"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53 996</w:t>
            </w:r>
          </w:p>
        </w:tc>
        <w:tc>
          <w:tcPr>
            <w:tcW w:w="1134" w:type="dxa"/>
            <w:tcBorders>
              <w:bottom w:val="single" w:sz="4" w:space="0" w:color="000000"/>
              <w:right w:val="single" w:sz="4" w:space="0" w:color="000000"/>
            </w:tcBorders>
            <w:shd w:val="clear" w:color="auto" w:fill="CCFFCC"/>
          </w:tcPr>
          <w:p w14:paraId="4714246E" w14:textId="77777777"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sidRPr="00553D2F">
              <w:rPr>
                <w:rFonts w:ascii="Arial" w:eastAsiaTheme="minorHAnsi" w:hAnsi="Arial" w:cs="Arial"/>
                <w:b/>
                <w:color w:val="000000"/>
                <w:sz w:val="22"/>
                <w:szCs w:val="22"/>
                <w:lang w:eastAsia="en-US"/>
              </w:rPr>
              <w:t>66 426</w:t>
            </w:r>
          </w:p>
        </w:tc>
        <w:tc>
          <w:tcPr>
            <w:tcW w:w="1134" w:type="dxa"/>
            <w:tcBorders>
              <w:bottom w:val="single" w:sz="4" w:space="0" w:color="000000"/>
              <w:right w:val="single" w:sz="4" w:space="0" w:color="000000"/>
            </w:tcBorders>
            <w:shd w:val="clear" w:color="auto" w:fill="CCFFCC"/>
          </w:tcPr>
          <w:p w14:paraId="39DD135A" w14:textId="55C1B630" w:rsidR="006A40A0" w:rsidRPr="00553D2F" w:rsidRDefault="006A40A0" w:rsidP="00553D2F">
            <w:pPr>
              <w:widowControl/>
              <w:spacing w:after="200" w:line="276" w:lineRule="auto"/>
              <w:jc w:val="right"/>
              <w:rPr>
                <w:rFonts w:ascii="Arial" w:eastAsiaTheme="minorHAnsi" w:hAnsi="Arial" w:cs="Arial"/>
                <w:b/>
                <w:color w:val="000000"/>
                <w:sz w:val="22"/>
                <w:szCs w:val="22"/>
                <w:lang w:eastAsia="en-US"/>
              </w:rPr>
            </w:pPr>
            <w:r>
              <w:rPr>
                <w:rFonts w:ascii="Arial" w:eastAsiaTheme="minorHAnsi" w:hAnsi="Arial" w:cs="Arial"/>
                <w:b/>
                <w:color w:val="000000"/>
                <w:sz w:val="22"/>
                <w:szCs w:val="22"/>
                <w:lang w:eastAsia="en-US"/>
              </w:rPr>
              <w:t>99 881</w:t>
            </w:r>
          </w:p>
        </w:tc>
      </w:tr>
    </w:tbl>
    <w:p w14:paraId="58EF8DFB" w14:textId="77777777" w:rsidR="00553D2F" w:rsidRDefault="00553D2F" w:rsidP="00553D2F">
      <w:pPr>
        <w:widowControl/>
        <w:spacing w:after="200" w:line="276" w:lineRule="auto"/>
        <w:jc w:val="both"/>
        <w:rPr>
          <w:rFonts w:ascii="Arial" w:eastAsiaTheme="minorHAnsi" w:hAnsi="Arial" w:cs="Arial"/>
          <w:b/>
          <w:bCs/>
          <w:sz w:val="22"/>
          <w:szCs w:val="18"/>
          <w:lang w:eastAsia="en-US"/>
        </w:rPr>
      </w:pPr>
    </w:p>
    <w:p w14:paraId="22F0266D" w14:textId="1A8B575D" w:rsidR="00553D2F" w:rsidRPr="00553D2F" w:rsidRDefault="00553D2F" w:rsidP="00553D2F">
      <w:pPr>
        <w:widowControl/>
        <w:spacing w:after="200" w:line="276" w:lineRule="auto"/>
        <w:jc w:val="both"/>
        <w:rPr>
          <w:rFonts w:ascii="Arial" w:eastAsiaTheme="minorHAnsi" w:hAnsi="Arial" w:cs="Arial"/>
          <w:b/>
          <w:bCs/>
          <w:sz w:val="22"/>
          <w:szCs w:val="18"/>
          <w:lang w:eastAsia="en-US"/>
        </w:rPr>
      </w:pPr>
      <w:r w:rsidRPr="00553D2F">
        <w:rPr>
          <w:rFonts w:ascii="Arial" w:eastAsiaTheme="minorHAnsi" w:hAnsi="Arial" w:cs="Arial"/>
          <w:b/>
          <w:bCs/>
          <w:sz w:val="22"/>
          <w:szCs w:val="18"/>
          <w:lang w:eastAsia="en-US"/>
        </w:rPr>
        <w:t>Wykres 1. Liczba osób przeszkolonych w latach 2009–202</w:t>
      </w:r>
      <w:r w:rsidR="00913E50">
        <w:rPr>
          <w:rFonts w:ascii="Arial" w:eastAsiaTheme="minorHAnsi" w:hAnsi="Arial" w:cs="Arial"/>
          <w:b/>
          <w:bCs/>
          <w:sz w:val="22"/>
          <w:szCs w:val="18"/>
          <w:lang w:eastAsia="en-US"/>
        </w:rPr>
        <w:t>3</w:t>
      </w:r>
    </w:p>
    <w:p w14:paraId="71FEDDE4" w14:textId="77777777" w:rsidR="00553D2F" w:rsidRPr="00553D2F" w:rsidRDefault="00553D2F" w:rsidP="00553D2F">
      <w:pPr>
        <w:widowControl/>
        <w:spacing w:after="200" w:line="276" w:lineRule="auto"/>
        <w:jc w:val="both"/>
        <w:rPr>
          <w:rFonts w:ascii="Arial" w:eastAsiaTheme="minorHAnsi" w:hAnsi="Arial" w:cs="Arial"/>
          <w:b/>
          <w:bCs/>
          <w:sz w:val="22"/>
          <w:szCs w:val="18"/>
          <w:lang w:eastAsia="en-US"/>
        </w:rPr>
      </w:pPr>
      <w:r w:rsidRPr="00553D2F">
        <w:rPr>
          <w:rFonts w:asciiTheme="minorHAnsi" w:eastAsiaTheme="minorHAnsi" w:hAnsiTheme="minorHAnsi" w:cstheme="minorBidi"/>
          <w:noProof/>
          <w:sz w:val="22"/>
          <w:szCs w:val="22"/>
        </w:rPr>
        <w:drawing>
          <wp:inline distT="0" distB="0" distL="0" distR="0" wp14:anchorId="599359CE" wp14:editId="310E4EBE">
            <wp:extent cx="5852160" cy="2790908"/>
            <wp:effectExtent l="0" t="0" r="15240" b="952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DA0E8C" w14:textId="77777777" w:rsidR="008B5F95" w:rsidRDefault="00923F0D" w:rsidP="00021F76">
      <w:pPr>
        <w:pStyle w:val="Nagwek1"/>
        <w:numPr>
          <w:ilvl w:val="3"/>
          <w:numId w:val="2"/>
        </w:numPr>
        <w:tabs>
          <w:tab w:val="left" w:pos="2552"/>
        </w:tabs>
        <w:ind w:left="284" w:hanging="426"/>
        <w:jc w:val="both"/>
        <w:rPr>
          <w:i w:val="0"/>
          <w:sz w:val="22"/>
          <w:szCs w:val="22"/>
        </w:rPr>
      </w:pPr>
      <w:bookmarkStart w:id="6" w:name="_Toc193716383"/>
      <w:r w:rsidRPr="00721EAF">
        <w:rPr>
          <w:i w:val="0"/>
          <w:sz w:val="22"/>
          <w:szCs w:val="22"/>
        </w:rPr>
        <w:t>Działanie 2. Ograniczanie ryzyka</w:t>
      </w:r>
      <w:r>
        <w:rPr>
          <w:i w:val="0"/>
          <w:sz w:val="22"/>
          <w:szCs w:val="22"/>
        </w:rPr>
        <w:t xml:space="preserve"> związanego ze zbywaniem środków ochrony roślin</w:t>
      </w:r>
      <w:bookmarkEnd w:id="6"/>
    </w:p>
    <w:p w14:paraId="116CE6BB" w14:textId="4E98913D"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Określone zagrożenia wiążą się nie tylko ze stosowaniem środków ochrony roślin, ale </w:t>
      </w:r>
      <w:r w:rsidR="005F1375">
        <w:rPr>
          <w:rFonts w:ascii="Arial" w:hAnsi="Arial" w:cs="Arial"/>
        </w:rPr>
        <w:t>również</w:t>
      </w:r>
      <w:r>
        <w:rPr>
          <w:rFonts w:ascii="Arial" w:hAnsi="Arial" w:cs="Arial"/>
        </w:rPr>
        <w:t xml:space="preserve"> z</w:t>
      </w:r>
      <w:r w:rsidR="0049161C">
        <w:rPr>
          <w:rFonts w:ascii="Arial" w:hAnsi="Arial" w:cs="Arial"/>
        </w:rPr>
        <w:t> </w:t>
      </w:r>
      <w:r>
        <w:rPr>
          <w:rFonts w:ascii="Arial" w:hAnsi="Arial" w:cs="Arial"/>
        </w:rPr>
        <w:t xml:space="preserve">obrotem tymi środkami. W związku z powyższym </w:t>
      </w:r>
      <w:r w:rsidR="005F1375">
        <w:rPr>
          <w:rFonts w:ascii="Arial" w:hAnsi="Arial" w:cs="Arial"/>
        </w:rPr>
        <w:t>było</w:t>
      </w:r>
      <w:r>
        <w:rPr>
          <w:rFonts w:ascii="Arial" w:hAnsi="Arial" w:cs="Arial"/>
        </w:rPr>
        <w:t xml:space="preserve"> konieczne objęcie także tego obszaru zakresem krajowego planu działania. Działanie to służy osiągnięciu celów określonych w art. 6 dyrektywy 2009/128/WE.</w:t>
      </w:r>
    </w:p>
    <w:p w14:paraId="19DC4D8E"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Zgodnie z przepisami art. 25 ust. 1 ustawy z dnia 8 marca 2013 r. o środkach ochrony roślin, podmioty zajmujące się wprowadzaniem do obrotu oraz konfekcjonowaniem środków ochrony roślin podlegają obowiązkowi uzyskania wpisu do rejestru działalności regulowanej. Zapewnia to możliwość sprawowania przez Państwową Inspekcję Ochrony Roślin i Nasiennictwa skutecznego nadzoru nad tymi podmiotami. </w:t>
      </w:r>
    </w:p>
    <w:p w14:paraId="33980E36"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lastRenderedPageBreak/>
        <w:t>Jednocześnie, przepisy art. 31 ww. ustawy zabraniają:</w:t>
      </w:r>
    </w:p>
    <w:p w14:paraId="6B660E59" w14:textId="77777777" w:rsidR="008B5F95" w:rsidRDefault="00923F0D" w:rsidP="00C255A1">
      <w:pPr>
        <w:widowControl/>
        <w:tabs>
          <w:tab w:val="center" w:pos="4536"/>
          <w:tab w:val="right" w:pos="9072"/>
        </w:tabs>
        <w:spacing w:line="360" w:lineRule="auto"/>
        <w:ind w:left="851" w:hanging="425"/>
        <w:jc w:val="both"/>
        <w:rPr>
          <w:rFonts w:ascii="Arial" w:hAnsi="Arial" w:cs="Arial"/>
        </w:rPr>
      </w:pPr>
      <w:r>
        <w:rPr>
          <w:rFonts w:ascii="Arial" w:hAnsi="Arial" w:cs="Arial"/>
        </w:rPr>
        <w:t>1)</w:t>
      </w:r>
      <w:r>
        <w:rPr>
          <w:rFonts w:ascii="Arial" w:hAnsi="Arial" w:cs="Arial"/>
        </w:rPr>
        <w:tab/>
        <w:t>zbywania środka ochrony roślin oraz składania oferty zbycia takiego środka:</w:t>
      </w:r>
    </w:p>
    <w:p w14:paraId="45415947" w14:textId="77777777" w:rsidR="008B5F95" w:rsidRDefault="00923F0D" w:rsidP="00E74A80">
      <w:pPr>
        <w:pStyle w:val="Akapitzlist"/>
        <w:widowControl/>
        <w:numPr>
          <w:ilvl w:val="0"/>
          <w:numId w:val="5"/>
        </w:numPr>
        <w:tabs>
          <w:tab w:val="center" w:pos="4536"/>
          <w:tab w:val="right" w:pos="9072"/>
        </w:tabs>
        <w:spacing w:after="0" w:line="360" w:lineRule="auto"/>
        <w:ind w:left="1134" w:hanging="283"/>
        <w:jc w:val="both"/>
        <w:rPr>
          <w:rFonts w:ascii="Arial" w:hAnsi="Arial" w:cs="Arial"/>
          <w:sz w:val="20"/>
          <w:szCs w:val="20"/>
        </w:rPr>
      </w:pPr>
      <w:r>
        <w:rPr>
          <w:rFonts w:ascii="Arial" w:hAnsi="Arial" w:cs="Arial"/>
          <w:sz w:val="20"/>
          <w:szCs w:val="20"/>
        </w:rPr>
        <w:t>osobie, której zachowanie wskazuje, że znajduje się w stanie nietrzeźwości, lub osobie niepełnoletniej,</w:t>
      </w:r>
    </w:p>
    <w:p w14:paraId="770AD6D3" w14:textId="77777777" w:rsidR="008B5F95" w:rsidRDefault="00923F0D" w:rsidP="00E74A80">
      <w:pPr>
        <w:pStyle w:val="Akapitzlist"/>
        <w:widowControl/>
        <w:numPr>
          <w:ilvl w:val="0"/>
          <w:numId w:val="5"/>
        </w:numPr>
        <w:tabs>
          <w:tab w:val="center" w:pos="4536"/>
          <w:tab w:val="right" w:pos="9072"/>
        </w:tabs>
        <w:spacing w:before="120" w:after="120" w:line="360" w:lineRule="auto"/>
        <w:ind w:left="1134" w:hanging="283"/>
        <w:jc w:val="both"/>
        <w:rPr>
          <w:rFonts w:ascii="Arial" w:hAnsi="Arial" w:cs="Arial"/>
          <w:sz w:val="20"/>
          <w:szCs w:val="20"/>
        </w:rPr>
      </w:pPr>
      <w:r>
        <w:rPr>
          <w:rFonts w:ascii="Arial" w:hAnsi="Arial" w:cs="Arial"/>
          <w:sz w:val="20"/>
          <w:szCs w:val="20"/>
        </w:rPr>
        <w:t>w opakowaniu zastępczym,</w:t>
      </w:r>
    </w:p>
    <w:p w14:paraId="75E05B47" w14:textId="77777777" w:rsidR="008B5F95" w:rsidRDefault="00923F0D" w:rsidP="00E74A80">
      <w:pPr>
        <w:pStyle w:val="Akapitzlist"/>
        <w:widowControl/>
        <w:numPr>
          <w:ilvl w:val="0"/>
          <w:numId w:val="5"/>
        </w:numPr>
        <w:tabs>
          <w:tab w:val="center" w:pos="4536"/>
          <w:tab w:val="right" w:pos="9072"/>
        </w:tabs>
        <w:spacing w:before="120" w:after="120" w:line="360" w:lineRule="auto"/>
        <w:ind w:left="1134" w:hanging="283"/>
        <w:jc w:val="both"/>
        <w:rPr>
          <w:rFonts w:ascii="Arial" w:hAnsi="Arial" w:cs="Arial"/>
          <w:sz w:val="20"/>
          <w:szCs w:val="20"/>
        </w:rPr>
      </w:pPr>
      <w:r>
        <w:rPr>
          <w:rFonts w:ascii="Arial" w:hAnsi="Arial" w:cs="Arial"/>
          <w:sz w:val="20"/>
          <w:szCs w:val="20"/>
        </w:rPr>
        <w:t>w pomieszczeniu, w którym jest prowadzona sprzedaż żywności lub pasz, chyba że w przypadku środka ochrony roślin przeznaczonego dla użytkownika nieprofesjonalnego środek ten jest przechowywany pod zamknięciem w sposób zapewniający brak jego kontaktu z żywnością lub paszą,</w:t>
      </w:r>
    </w:p>
    <w:p w14:paraId="3B1AB219" w14:textId="77777777" w:rsidR="008B5F95" w:rsidRDefault="00923F0D" w:rsidP="00E74A80">
      <w:pPr>
        <w:pStyle w:val="Akapitzlist"/>
        <w:widowControl/>
        <w:numPr>
          <w:ilvl w:val="0"/>
          <w:numId w:val="5"/>
        </w:numPr>
        <w:tabs>
          <w:tab w:val="center" w:pos="4536"/>
          <w:tab w:val="right" w:pos="9072"/>
        </w:tabs>
        <w:spacing w:before="120" w:after="120" w:line="360" w:lineRule="auto"/>
        <w:ind w:left="1134" w:hanging="283"/>
        <w:jc w:val="both"/>
        <w:rPr>
          <w:rFonts w:ascii="Arial" w:hAnsi="Arial" w:cs="Arial"/>
          <w:sz w:val="20"/>
          <w:szCs w:val="20"/>
        </w:rPr>
      </w:pPr>
      <w:r>
        <w:rPr>
          <w:rFonts w:ascii="Arial" w:hAnsi="Arial" w:cs="Arial"/>
          <w:sz w:val="20"/>
          <w:szCs w:val="20"/>
        </w:rPr>
        <w:t>przy zastosowaniu automatu, samoobsługi lub sprzedaży dokonywanej poza punktem stałej lokalizacji (sprzedaż obwoźna i obnośna na targowiskach w rozumieniu przepisów o podatkach i opłatach lokalnych),</w:t>
      </w:r>
    </w:p>
    <w:p w14:paraId="0A2F33F0" w14:textId="77777777" w:rsidR="008B5F95" w:rsidRDefault="00923F0D" w:rsidP="00E74A80">
      <w:pPr>
        <w:pStyle w:val="Akapitzlist"/>
        <w:widowControl/>
        <w:numPr>
          <w:ilvl w:val="0"/>
          <w:numId w:val="5"/>
        </w:numPr>
        <w:tabs>
          <w:tab w:val="center" w:pos="4536"/>
          <w:tab w:val="right" w:pos="9072"/>
        </w:tabs>
        <w:spacing w:before="120" w:after="120" w:line="360" w:lineRule="auto"/>
        <w:ind w:left="1134" w:hanging="283"/>
        <w:jc w:val="both"/>
        <w:rPr>
          <w:rFonts w:ascii="Arial" w:hAnsi="Arial" w:cs="Arial"/>
          <w:sz w:val="20"/>
          <w:szCs w:val="20"/>
        </w:rPr>
      </w:pPr>
      <w:r>
        <w:rPr>
          <w:rFonts w:ascii="Arial" w:hAnsi="Arial" w:cs="Arial"/>
          <w:sz w:val="20"/>
          <w:szCs w:val="20"/>
        </w:rPr>
        <w:t>po upływie terminu jego ważności;</w:t>
      </w:r>
    </w:p>
    <w:p w14:paraId="4FE84345" w14:textId="77777777" w:rsidR="008B5F95" w:rsidRDefault="00923F0D" w:rsidP="006A2AE7">
      <w:pPr>
        <w:widowControl/>
        <w:tabs>
          <w:tab w:val="center" w:pos="4536"/>
          <w:tab w:val="right" w:pos="9072"/>
        </w:tabs>
        <w:spacing w:line="360" w:lineRule="auto"/>
        <w:ind w:left="851" w:hanging="425"/>
        <w:jc w:val="both"/>
        <w:rPr>
          <w:rFonts w:ascii="Arial" w:hAnsi="Arial" w:cs="Arial"/>
        </w:rPr>
      </w:pPr>
      <w:r>
        <w:rPr>
          <w:rFonts w:ascii="Arial" w:hAnsi="Arial" w:cs="Arial"/>
        </w:rPr>
        <w:t>2)</w:t>
      </w:r>
      <w:r>
        <w:rPr>
          <w:rFonts w:ascii="Arial" w:hAnsi="Arial" w:cs="Arial"/>
        </w:rPr>
        <w:tab/>
        <w:t>podawania informacji niezgodnych z wymaganiami zawartymi w etykiecie środka ochrony roślin, w tym w trakcie ich sprzedaży.</w:t>
      </w:r>
    </w:p>
    <w:p w14:paraId="1C699A0A" w14:textId="77777777" w:rsidR="008B5F95" w:rsidRDefault="00923F0D" w:rsidP="006A2AE7">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 xml:space="preserve">Przepisy ustawy z dnia 8 marca 2013 r. o środkach ochrony roślin nakładają także na dystrybutorów środków ochrony roślin opisany wcześniej obowiązek ukończenia odpowiedniego szkolenia (dla doradców) przez osoby, które dokonują zbycia środków ochrony roślin ostatecznemu nabywcy (wymóg ten nie dotyczy mikroprzedsiębiorców, dokonujących sprzedaży wyłącznie preparatów charakteryzujących się niskim ryzykiem, przeznaczonych dla użytkowników nieprofesjonalnych), a także udzielania nabywcom środków ochrony roślin informacji o stwarzanych przez nie zagrożeniach oraz sposobach ich unikania (art. 25 ww. ustawy). Osoby dokonujące zbycia środków ochrony roślin są bowiem często głównym źródłem wiedzy o tych środkach dla osób wykonujących zabiegi. </w:t>
      </w:r>
    </w:p>
    <w:p w14:paraId="28A8BF16" w14:textId="77777777" w:rsidR="005F1375" w:rsidRDefault="00923F0D" w:rsidP="00084F4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Działania mające na celu ograniczanie ryzyka związanego ze sprzedażą środków ochrony roślin realizowane w ramach krajowego planu działania </w:t>
      </w:r>
      <w:r w:rsidR="00084F42">
        <w:rPr>
          <w:rFonts w:ascii="Arial" w:hAnsi="Arial" w:cs="Arial"/>
        </w:rPr>
        <w:t xml:space="preserve">w 2023 r. </w:t>
      </w:r>
      <w:r>
        <w:rPr>
          <w:rFonts w:ascii="Arial" w:hAnsi="Arial" w:cs="Arial"/>
        </w:rPr>
        <w:t>koncentrowa</w:t>
      </w:r>
      <w:r w:rsidR="00084F42">
        <w:rPr>
          <w:rFonts w:ascii="Arial" w:hAnsi="Arial" w:cs="Arial"/>
        </w:rPr>
        <w:t xml:space="preserve">ły się </w:t>
      </w:r>
      <w:r>
        <w:rPr>
          <w:rFonts w:ascii="Arial" w:hAnsi="Arial" w:cs="Arial"/>
        </w:rPr>
        <w:t>na eliminowaniu przypadków sprzedaży tych środków osobom nieuprawnionym oraz dystrybucji środków podrobionych lub niedopuszczonych do stosowania</w:t>
      </w:r>
      <w:r w:rsidR="00084F42">
        <w:rPr>
          <w:rFonts w:ascii="Arial" w:hAnsi="Arial" w:cs="Arial"/>
        </w:rPr>
        <w:t>.</w:t>
      </w:r>
    </w:p>
    <w:p w14:paraId="54654DEA" w14:textId="35E4E6E2" w:rsidR="00FD4E31" w:rsidRPr="00FD4E31" w:rsidRDefault="00FD4E31" w:rsidP="00084F42">
      <w:pPr>
        <w:pStyle w:val="NormalnyWeb"/>
        <w:tabs>
          <w:tab w:val="left" w:pos="284"/>
        </w:tabs>
        <w:spacing w:beforeAutospacing="0" w:after="120" w:afterAutospacing="0" w:line="360" w:lineRule="auto"/>
        <w:ind w:firstLine="284"/>
        <w:jc w:val="both"/>
        <w:rPr>
          <w:rFonts w:ascii="Arial" w:hAnsi="Arial" w:cs="Arial"/>
        </w:rPr>
      </w:pPr>
      <w:r w:rsidRPr="00FD4E31">
        <w:rPr>
          <w:rFonts w:ascii="Arial" w:hAnsi="Arial" w:cs="Arial"/>
        </w:rPr>
        <w:t>Zgodnie z ewidencją prowadzoną przez Państwową Inspekcję Ochrony Roślin i Nasiennictwa, obrót środkami ochrony roślin prowadzony był w</w:t>
      </w:r>
      <w:r w:rsidR="00A57DCA">
        <w:rPr>
          <w:rFonts w:ascii="Arial" w:hAnsi="Arial" w:cs="Arial"/>
        </w:rPr>
        <w:t xml:space="preserve"> </w:t>
      </w:r>
      <w:r w:rsidR="00C26880">
        <w:rPr>
          <w:rFonts w:ascii="Arial" w:hAnsi="Arial" w:cs="Arial"/>
        </w:rPr>
        <w:t>7</w:t>
      </w:r>
      <w:r w:rsidR="00A57DCA">
        <w:rPr>
          <w:rFonts w:ascii="Arial" w:hAnsi="Arial" w:cs="Arial"/>
        </w:rPr>
        <w:t> 963</w:t>
      </w:r>
      <w:r w:rsidRPr="00FD4E31">
        <w:rPr>
          <w:rFonts w:ascii="Arial" w:hAnsi="Arial" w:cs="Arial"/>
        </w:rPr>
        <w:t xml:space="preserve"> punktach sprzedaży. Kontrole przestrzegania ww. wymagań przeprowadzone przez Inspekcję wykazały zbywanie środków ochrony osobom, które nie spełnią wymagań określonych w art. 28 ustawy o środkach ochrony roślin. Wydano też decyzje o</w:t>
      </w:r>
      <w:r w:rsidR="0049161C">
        <w:rPr>
          <w:rFonts w:ascii="Arial" w:hAnsi="Arial" w:cs="Arial"/>
        </w:rPr>
        <w:t> </w:t>
      </w:r>
      <w:r w:rsidRPr="00FD4E31">
        <w:rPr>
          <w:rFonts w:ascii="Arial" w:hAnsi="Arial" w:cs="Arial"/>
        </w:rPr>
        <w:t>określeniu opłaty sankcyjnej ze względu na sprzedaż środków niedopuszczonych do obrotu.</w:t>
      </w:r>
    </w:p>
    <w:p w14:paraId="18E1CB70" w14:textId="05DB4B1C" w:rsidR="00FD4E31" w:rsidRDefault="00FD4E31" w:rsidP="00FD4E31">
      <w:pPr>
        <w:tabs>
          <w:tab w:val="left" w:pos="284"/>
        </w:tabs>
        <w:spacing w:after="120" w:line="360" w:lineRule="auto"/>
        <w:ind w:firstLine="284"/>
        <w:jc w:val="both"/>
        <w:rPr>
          <w:rFonts w:ascii="Arial" w:hAnsi="Arial" w:cs="Arial"/>
        </w:rPr>
      </w:pPr>
      <w:r w:rsidRPr="00FD4E31">
        <w:rPr>
          <w:rFonts w:ascii="Arial" w:hAnsi="Arial" w:cs="Arial"/>
        </w:rPr>
        <w:t xml:space="preserve">Szczegółowe dane </w:t>
      </w:r>
      <w:r w:rsidR="00084F42">
        <w:rPr>
          <w:rFonts w:ascii="Arial" w:hAnsi="Arial" w:cs="Arial"/>
        </w:rPr>
        <w:t>za lata 201</w:t>
      </w:r>
      <w:r w:rsidR="005F1375">
        <w:rPr>
          <w:rFonts w:ascii="Arial" w:hAnsi="Arial" w:cs="Arial"/>
        </w:rPr>
        <w:t>9</w:t>
      </w:r>
      <w:r w:rsidR="00084F42">
        <w:rPr>
          <w:rFonts w:ascii="Arial" w:hAnsi="Arial" w:cs="Arial"/>
        </w:rPr>
        <w:t xml:space="preserve">-2023 </w:t>
      </w:r>
      <w:r w:rsidRPr="00FD4E31">
        <w:rPr>
          <w:rFonts w:ascii="Arial" w:hAnsi="Arial" w:cs="Arial"/>
        </w:rPr>
        <w:t xml:space="preserve">przedstawia tabela </w:t>
      </w:r>
      <w:r w:rsidR="00DC35E0">
        <w:rPr>
          <w:rFonts w:ascii="Arial" w:hAnsi="Arial" w:cs="Arial"/>
        </w:rPr>
        <w:t xml:space="preserve">2 </w:t>
      </w:r>
      <w:r w:rsidRPr="00FD4E31">
        <w:rPr>
          <w:rFonts w:ascii="Arial" w:hAnsi="Arial" w:cs="Arial"/>
        </w:rPr>
        <w:t xml:space="preserve">poniżej. </w:t>
      </w:r>
    </w:p>
    <w:p w14:paraId="48DD1B22" w14:textId="7063F3BB" w:rsidR="005F1375" w:rsidRDefault="005F1375" w:rsidP="00FD4E31">
      <w:pPr>
        <w:tabs>
          <w:tab w:val="left" w:pos="284"/>
        </w:tabs>
        <w:spacing w:after="120" w:line="360" w:lineRule="auto"/>
        <w:ind w:firstLine="284"/>
        <w:jc w:val="both"/>
        <w:rPr>
          <w:rFonts w:ascii="Arial" w:hAnsi="Arial" w:cs="Arial"/>
        </w:rPr>
      </w:pPr>
    </w:p>
    <w:p w14:paraId="458A4D70" w14:textId="5A627086" w:rsidR="005F1375" w:rsidRDefault="005F1375" w:rsidP="00FD4E31">
      <w:pPr>
        <w:tabs>
          <w:tab w:val="left" w:pos="284"/>
        </w:tabs>
        <w:spacing w:after="120" w:line="360" w:lineRule="auto"/>
        <w:ind w:firstLine="284"/>
        <w:jc w:val="both"/>
        <w:rPr>
          <w:rFonts w:ascii="Arial" w:hAnsi="Arial" w:cs="Arial"/>
        </w:rPr>
      </w:pPr>
    </w:p>
    <w:p w14:paraId="0D839CB9" w14:textId="77777777" w:rsidR="005F1375" w:rsidRDefault="005F1375" w:rsidP="00FD4E31">
      <w:pPr>
        <w:tabs>
          <w:tab w:val="left" w:pos="284"/>
        </w:tabs>
        <w:spacing w:after="120" w:line="360" w:lineRule="auto"/>
        <w:ind w:firstLine="284"/>
        <w:jc w:val="both"/>
        <w:rPr>
          <w:rFonts w:ascii="Arial" w:hAnsi="Arial" w:cs="Arial"/>
        </w:rPr>
      </w:pPr>
    </w:p>
    <w:tbl>
      <w:tblPr>
        <w:tblStyle w:val="Tabela-Siatka"/>
        <w:tblW w:w="0" w:type="auto"/>
        <w:tblLook w:val="04A0" w:firstRow="1" w:lastRow="0" w:firstColumn="1" w:lastColumn="0" w:noHBand="0" w:noVBand="1"/>
      </w:tblPr>
      <w:tblGrid>
        <w:gridCol w:w="1812"/>
        <w:gridCol w:w="1812"/>
        <w:gridCol w:w="1812"/>
        <w:gridCol w:w="1813"/>
        <w:gridCol w:w="1813"/>
      </w:tblGrid>
      <w:tr w:rsidR="00FD4E31" w:rsidRPr="00FD4E31" w14:paraId="0E8563B9" w14:textId="77777777" w:rsidTr="00C4022A">
        <w:tc>
          <w:tcPr>
            <w:tcW w:w="1812" w:type="dxa"/>
            <w:vAlign w:val="center"/>
          </w:tcPr>
          <w:p w14:paraId="29464581" w14:textId="77777777" w:rsidR="00FD4E31" w:rsidRPr="00FD4E31" w:rsidRDefault="00FD4E31" w:rsidP="00FD4E31">
            <w:pPr>
              <w:widowControl/>
              <w:spacing w:after="200" w:line="276" w:lineRule="auto"/>
              <w:jc w:val="center"/>
              <w:rPr>
                <w:rFonts w:ascii="Arial" w:eastAsiaTheme="minorHAnsi" w:hAnsi="Arial" w:cs="Arial"/>
                <w:b/>
                <w:color w:val="000000"/>
                <w:lang w:eastAsia="en-US"/>
              </w:rPr>
            </w:pPr>
            <w:r w:rsidRPr="00FD4E31">
              <w:rPr>
                <w:rFonts w:ascii="Arial" w:eastAsiaTheme="minorHAnsi" w:hAnsi="Arial" w:cs="Arial"/>
                <w:b/>
                <w:color w:val="000000"/>
                <w:lang w:eastAsia="en-US"/>
              </w:rPr>
              <w:lastRenderedPageBreak/>
              <w:t>Rok</w:t>
            </w:r>
          </w:p>
        </w:tc>
        <w:tc>
          <w:tcPr>
            <w:tcW w:w="1812" w:type="dxa"/>
            <w:vAlign w:val="center"/>
          </w:tcPr>
          <w:p w14:paraId="07E53A16" w14:textId="77777777" w:rsidR="00FD4E31" w:rsidRPr="00FD4E31" w:rsidRDefault="00FD4E31" w:rsidP="00FD4E31">
            <w:pPr>
              <w:widowControl/>
              <w:spacing w:after="200" w:line="276" w:lineRule="auto"/>
              <w:jc w:val="center"/>
              <w:rPr>
                <w:rFonts w:ascii="Arial" w:eastAsiaTheme="minorHAnsi" w:hAnsi="Arial" w:cs="Arial"/>
                <w:b/>
                <w:color w:val="000000"/>
                <w:lang w:eastAsia="en-US"/>
              </w:rPr>
            </w:pPr>
            <w:r w:rsidRPr="00FD4E31">
              <w:rPr>
                <w:rFonts w:ascii="Arial" w:eastAsiaTheme="minorHAnsi" w:hAnsi="Arial" w:cs="Arial"/>
                <w:b/>
                <w:color w:val="000000"/>
                <w:lang w:eastAsia="en-US"/>
              </w:rPr>
              <w:t>Liczba punktów sprzedaży</w:t>
            </w:r>
          </w:p>
        </w:tc>
        <w:tc>
          <w:tcPr>
            <w:tcW w:w="1812" w:type="dxa"/>
            <w:vAlign w:val="center"/>
          </w:tcPr>
          <w:p w14:paraId="7FF217C2" w14:textId="77777777" w:rsidR="00FD4E31" w:rsidRPr="00FD4E31" w:rsidRDefault="00FD4E31" w:rsidP="00FD4E31">
            <w:pPr>
              <w:widowControl/>
              <w:spacing w:after="200" w:line="276" w:lineRule="auto"/>
              <w:jc w:val="center"/>
              <w:rPr>
                <w:rFonts w:ascii="Arial" w:eastAsiaTheme="minorHAnsi" w:hAnsi="Arial" w:cs="Arial"/>
                <w:b/>
                <w:color w:val="000000"/>
                <w:lang w:eastAsia="en-US"/>
              </w:rPr>
            </w:pPr>
            <w:r w:rsidRPr="00FD4E31">
              <w:rPr>
                <w:rFonts w:ascii="Arial" w:eastAsiaTheme="minorHAnsi" w:hAnsi="Arial" w:cs="Arial"/>
                <w:b/>
                <w:color w:val="000000"/>
                <w:lang w:eastAsia="en-US"/>
              </w:rPr>
              <w:t>Liczba kontroli ogółem</w:t>
            </w:r>
          </w:p>
        </w:tc>
        <w:tc>
          <w:tcPr>
            <w:tcW w:w="1813" w:type="dxa"/>
            <w:vAlign w:val="center"/>
          </w:tcPr>
          <w:p w14:paraId="05866F68" w14:textId="77777777" w:rsidR="00FD4E31" w:rsidRPr="00FD4E31" w:rsidRDefault="00FD4E31" w:rsidP="00FD4E31">
            <w:pPr>
              <w:widowControl/>
              <w:spacing w:after="200" w:line="276" w:lineRule="auto"/>
              <w:jc w:val="center"/>
              <w:rPr>
                <w:rFonts w:ascii="Arial" w:eastAsiaTheme="minorHAnsi" w:hAnsi="Arial" w:cs="Arial"/>
                <w:b/>
                <w:color w:val="000000"/>
                <w:lang w:eastAsia="en-US"/>
              </w:rPr>
            </w:pPr>
            <w:r w:rsidRPr="00FD4E31">
              <w:rPr>
                <w:rFonts w:ascii="Arial" w:eastAsiaTheme="minorHAnsi" w:hAnsi="Arial" w:cs="Arial"/>
                <w:b/>
                <w:color w:val="000000"/>
                <w:lang w:eastAsia="en-US"/>
              </w:rPr>
              <w:t>Liczba przypadków zbywania śor osobom nieuprawnionym</w:t>
            </w:r>
          </w:p>
        </w:tc>
        <w:tc>
          <w:tcPr>
            <w:tcW w:w="1813" w:type="dxa"/>
            <w:vAlign w:val="center"/>
          </w:tcPr>
          <w:p w14:paraId="116C9B10" w14:textId="77777777" w:rsidR="00FD4E31" w:rsidRPr="00FD4E31" w:rsidRDefault="00FD4E31" w:rsidP="00FD4E31">
            <w:pPr>
              <w:widowControl/>
              <w:spacing w:after="200" w:line="276" w:lineRule="auto"/>
              <w:jc w:val="center"/>
              <w:rPr>
                <w:rFonts w:ascii="Arial" w:eastAsiaTheme="minorHAnsi" w:hAnsi="Arial" w:cs="Arial"/>
                <w:b/>
                <w:color w:val="000000"/>
                <w:lang w:eastAsia="en-US"/>
              </w:rPr>
            </w:pPr>
            <w:r w:rsidRPr="00FD4E31">
              <w:rPr>
                <w:rFonts w:ascii="Arial" w:eastAsiaTheme="minorHAnsi" w:hAnsi="Arial" w:cs="Arial"/>
                <w:b/>
                <w:color w:val="000000"/>
                <w:lang w:eastAsia="en-US"/>
              </w:rPr>
              <w:t>Liczba decyzji o określeniu opłaty sankcyjnej</w:t>
            </w:r>
          </w:p>
        </w:tc>
      </w:tr>
      <w:tr w:rsidR="00FD4E31" w:rsidRPr="00FD4E31" w14:paraId="55197CF9" w14:textId="77777777" w:rsidTr="00C4022A">
        <w:tc>
          <w:tcPr>
            <w:tcW w:w="1812" w:type="dxa"/>
            <w:vAlign w:val="center"/>
          </w:tcPr>
          <w:p w14:paraId="2EE130F3"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2019</w:t>
            </w:r>
          </w:p>
        </w:tc>
        <w:tc>
          <w:tcPr>
            <w:tcW w:w="1812" w:type="dxa"/>
            <w:vAlign w:val="center"/>
          </w:tcPr>
          <w:p w14:paraId="101FA9B4"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8 029</w:t>
            </w:r>
          </w:p>
        </w:tc>
        <w:tc>
          <w:tcPr>
            <w:tcW w:w="1812" w:type="dxa"/>
            <w:vAlign w:val="center"/>
          </w:tcPr>
          <w:p w14:paraId="29BE268C"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6 673</w:t>
            </w:r>
          </w:p>
        </w:tc>
        <w:tc>
          <w:tcPr>
            <w:tcW w:w="1813" w:type="dxa"/>
            <w:vAlign w:val="center"/>
          </w:tcPr>
          <w:p w14:paraId="7ED99F9F"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15</w:t>
            </w:r>
          </w:p>
        </w:tc>
        <w:tc>
          <w:tcPr>
            <w:tcW w:w="1813" w:type="dxa"/>
            <w:vAlign w:val="center"/>
          </w:tcPr>
          <w:p w14:paraId="7DCDA400"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 xml:space="preserve">36 </w:t>
            </w:r>
          </w:p>
        </w:tc>
      </w:tr>
      <w:tr w:rsidR="00FD4E31" w:rsidRPr="00FD4E31" w14:paraId="70066B59" w14:textId="77777777" w:rsidTr="00C4022A">
        <w:tc>
          <w:tcPr>
            <w:tcW w:w="1812" w:type="dxa"/>
            <w:vAlign w:val="center"/>
          </w:tcPr>
          <w:p w14:paraId="4DDC48BA"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2020</w:t>
            </w:r>
          </w:p>
        </w:tc>
        <w:tc>
          <w:tcPr>
            <w:tcW w:w="1812" w:type="dxa"/>
            <w:vAlign w:val="center"/>
          </w:tcPr>
          <w:p w14:paraId="16DEF378"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8 125</w:t>
            </w:r>
          </w:p>
        </w:tc>
        <w:tc>
          <w:tcPr>
            <w:tcW w:w="1812" w:type="dxa"/>
            <w:vAlign w:val="center"/>
          </w:tcPr>
          <w:p w14:paraId="022F0BA7"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 xml:space="preserve">5 595 </w:t>
            </w:r>
          </w:p>
        </w:tc>
        <w:tc>
          <w:tcPr>
            <w:tcW w:w="1813" w:type="dxa"/>
            <w:vAlign w:val="center"/>
          </w:tcPr>
          <w:p w14:paraId="61DEBCF7"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8</w:t>
            </w:r>
          </w:p>
        </w:tc>
        <w:tc>
          <w:tcPr>
            <w:tcW w:w="1813" w:type="dxa"/>
            <w:vAlign w:val="center"/>
          </w:tcPr>
          <w:p w14:paraId="39042B85"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27</w:t>
            </w:r>
          </w:p>
        </w:tc>
      </w:tr>
      <w:tr w:rsidR="00FD4E31" w:rsidRPr="00FD4E31" w14:paraId="41D7528A" w14:textId="77777777" w:rsidTr="00C4022A">
        <w:tc>
          <w:tcPr>
            <w:tcW w:w="1812" w:type="dxa"/>
            <w:vAlign w:val="center"/>
          </w:tcPr>
          <w:p w14:paraId="415133F6"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2021</w:t>
            </w:r>
          </w:p>
        </w:tc>
        <w:tc>
          <w:tcPr>
            <w:tcW w:w="1812" w:type="dxa"/>
            <w:vAlign w:val="center"/>
          </w:tcPr>
          <w:p w14:paraId="63433D4E"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7 872</w:t>
            </w:r>
          </w:p>
        </w:tc>
        <w:tc>
          <w:tcPr>
            <w:tcW w:w="1812" w:type="dxa"/>
            <w:vAlign w:val="center"/>
          </w:tcPr>
          <w:p w14:paraId="2593CA7B"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5 121</w:t>
            </w:r>
          </w:p>
        </w:tc>
        <w:tc>
          <w:tcPr>
            <w:tcW w:w="1813" w:type="dxa"/>
            <w:vAlign w:val="center"/>
          </w:tcPr>
          <w:p w14:paraId="31CB8ECD"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3</w:t>
            </w:r>
          </w:p>
        </w:tc>
        <w:tc>
          <w:tcPr>
            <w:tcW w:w="1813" w:type="dxa"/>
            <w:vAlign w:val="center"/>
          </w:tcPr>
          <w:p w14:paraId="69321833"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21</w:t>
            </w:r>
          </w:p>
        </w:tc>
      </w:tr>
      <w:tr w:rsidR="00FD4E31" w:rsidRPr="00FD4E31" w14:paraId="66A041C7" w14:textId="77777777" w:rsidTr="00C4022A">
        <w:tc>
          <w:tcPr>
            <w:tcW w:w="1812" w:type="dxa"/>
            <w:vAlign w:val="center"/>
          </w:tcPr>
          <w:p w14:paraId="7C865531"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2022</w:t>
            </w:r>
          </w:p>
        </w:tc>
        <w:tc>
          <w:tcPr>
            <w:tcW w:w="1812" w:type="dxa"/>
            <w:vAlign w:val="center"/>
          </w:tcPr>
          <w:p w14:paraId="487F2991"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7 807</w:t>
            </w:r>
          </w:p>
        </w:tc>
        <w:tc>
          <w:tcPr>
            <w:tcW w:w="1812" w:type="dxa"/>
            <w:vAlign w:val="center"/>
          </w:tcPr>
          <w:p w14:paraId="516A87C0"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5 846</w:t>
            </w:r>
          </w:p>
        </w:tc>
        <w:tc>
          <w:tcPr>
            <w:tcW w:w="1813" w:type="dxa"/>
            <w:vAlign w:val="center"/>
          </w:tcPr>
          <w:p w14:paraId="7EE6B60D"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2</w:t>
            </w:r>
          </w:p>
        </w:tc>
        <w:tc>
          <w:tcPr>
            <w:tcW w:w="1813" w:type="dxa"/>
            <w:vAlign w:val="center"/>
          </w:tcPr>
          <w:p w14:paraId="73E300BD" w14:textId="77777777" w:rsidR="00FD4E31" w:rsidRPr="00FD4E31" w:rsidRDefault="00FD4E31" w:rsidP="00FD4E31">
            <w:pPr>
              <w:tabs>
                <w:tab w:val="left" w:pos="284"/>
              </w:tabs>
              <w:spacing w:after="120" w:line="360" w:lineRule="auto"/>
              <w:jc w:val="center"/>
              <w:rPr>
                <w:rFonts w:ascii="Arial" w:hAnsi="Arial" w:cs="Arial"/>
              </w:rPr>
            </w:pPr>
            <w:r w:rsidRPr="00FD4E31">
              <w:rPr>
                <w:rFonts w:ascii="Arial" w:hAnsi="Arial" w:cs="Arial"/>
              </w:rPr>
              <w:t>50</w:t>
            </w:r>
          </w:p>
        </w:tc>
      </w:tr>
      <w:tr w:rsidR="00084F42" w14:paraId="68CF60BD" w14:textId="77777777" w:rsidTr="00084F42">
        <w:tc>
          <w:tcPr>
            <w:tcW w:w="1812" w:type="dxa"/>
          </w:tcPr>
          <w:p w14:paraId="7E2CF6D2" w14:textId="77777777" w:rsidR="00084F42" w:rsidRDefault="00084F42" w:rsidP="00C4022A">
            <w:pPr>
              <w:pStyle w:val="NormalnyWeb"/>
              <w:tabs>
                <w:tab w:val="left" w:pos="284"/>
              </w:tabs>
              <w:spacing w:beforeAutospacing="0" w:after="120" w:afterAutospacing="0" w:line="360" w:lineRule="auto"/>
              <w:jc w:val="center"/>
              <w:rPr>
                <w:rFonts w:ascii="Arial" w:hAnsi="Arial" w:cs="Arial"/>
              </w:rPr>
            </w:pPr>
            <w:r>
              <w:rPr>
                <w:rFonts w:ascii="Arial" w:hAnsi="Arial" w:cs="Arial"/>
              </w:rPr>
              <w:t>2023</w:t>
            </w:r>
          </w:p>
        </w:tc>
        <w:tc>
          <w:tcPr>
            <w:tcW w:w="1812" w:type="dxa"/>
          </w:tcPr>
          <w:p w14:paraId="1E05DAEA" w14:textId="77777777" w:rsidR="00084F42" w:rsidRDefault="00084F42" w:rsidP="00C4022A">
            <w:pPr>
              <w:pStyle w:val="NormalnyWeb"/>
              <w:tabs>
                <w:tab w:val="left" w:pos="284"/>
              </w:tabs>
              <w:spacing w:beforeAutospacing="0" w:after="120" w:afterAutospacing="0" w:line="360" w:lineRule="auto"/>
              <w:jc w:val="center"/>
              <w:rPr>
                <w:rFonts w:ascii="Arial" w:hAnsi="Arial" w:cs="Arial"/>
              </w:rPr>
            </w:pPr>
            <w:r>
              <w:rPr>
                <w:rFonts w:ascii="Arial" w:hAnsi="Arial" w:cs="Arial"/>
              </w:rPr>
              <w:t>7 963</w:t>
            </w:r>
          </w:p>
        </w:tc>
        <w:tc>
          <w:tcPr>
            <w:tcW w:w="1812" w:type="dxa"/>
          </w:tcPr>
          <w:p w14:paraId="61AC09F7" w14:textId="77777777" w:rsidR="00084F42" w:rsidRDefault="00084F42" w:rsidP="00C4022A">
            <w:pPr>
              <w:pStyle w:val="NormalnyWeb"/>
              <w:tabs>
                <w:tab w:val="left" w:pos="284"/>
              </w:tabs>
              <w:spacing w:beforeAutospacing="0" w:after="120" w:afterAutospacing="0" w:line="360" w:lineRule="auto"/>
              <w:jc w:val="center"/>
              <w:rPr>
                <w:rFonts w:ascii="Arial" w:hAnsi="Arial" w:cs="Arial"/>
              </w:rPr>
            </w:pPr>
            <w:r>
              <w:rPr>
                <w:rFonts w:ascii="Arial" w:hAnsi="Arial" w:cs="Arial"/>
              </w:rPr>
              <w:t>4 334</w:t>
            </w:r>
          </w:p>
        </w:tc>
        <w:tc>
          <w:tcPr>
            <w:tcW w:w="1813" w:type="dxa"/>
          </w:tcPr>
          <w:p w14:paraId="20072319" w14:textId="77777777" w:rsidR="00084F42" w:rsidRDefault="00084F42" w:rsidP="00C4022A">
            <w:pPr>
              <w:pStyle w:val="NormalnyWeb"/>
              <w:tabs>
                <w:tab w:val="left" w:pos="284"/>
              </w:tabs>
              <w:spacing w:beforeAutospacing="0" w:after="120" w:afterAutospacing="0" w:line="360" w:lineRule="auto"/>
              <w:jc w:val="center"/>
              <w:rPr>
                <w:rFonts w:ascii="Arial" w:hAnsi="Arial" w:cs="Arial"/>
              </w:rPr>
            </w:pPr>
            <w:r>
              <w:rPr>
                <w:rFonts w:ascii="Arial" w:hAnsi="Arial" w:cs="Arial"/>
              </w:rPr>
              <w:t>3</w:t>
            </w:r>
          </w:p>
        </w:tc>
        <w:tc>
          <w:tcPr>
            <w:tcW w:w="1813" w:type="dxa"/>
          </w:tcPr>
          <w:p w14:paraId="4CDA2BCE" w14:textId="77777777" w:rsidR="00084F42" w:rsidRDefault="00084F42" w:rsidP="00C4022A">
            <w:pPr>
              <w:pStyle w:val="NormalnyWeb"/>
              <w:tabs>
                <w:tab w:val="left" w:pos="284"/>
              </w:tabs>
              <w:spacing w:beforeAutospacing="0" w:after="120" w:afterAutospacing="0" w:line="360" w:lineRule="auto"/>
              <w:jc w:val="center"/>
              <w:rPr>
                <w:rFonts w:ascii="Arial" w:hAnsi="Arial" w:cs="Arial"/>
              </w:rPr>
            </w:pPr>
            <w:r>
              <w:rPr>
                <w:rFonts w:ascii="Arial" w:hAnsi="Arial" w:cs="Arial"/>
              </w:rPr>
              <w:t>6</w:t>
            </w:r>
          </w:p>
        </w:tc>
      </w:tr>
    </w:tbl>
    <w:p w14:paraId="10168EAA" w14:textId="77777777" w:rsidR="008B5F95" w:rsidRDefault="00923F0D" w:rsidP="00B52C82">
      <w:pPr>
        <w:pStyle w:val="Nagwek1"/>
        <w:numPr>
          <w:ilvl w:val="3"/>
          <w:numId w:val="2"/>
        </w:numPr>
        <w:tabs>
          <w:tab w:val="left" w:pos="2552"/>
        </w:tabs>
        <w:ind w:left="284" w:hanging="426"/>
        <w:jc w:val="both"/>
        <w:rPr>
          <w:i w:val="0"/>
          <w:sz w:val="22"/>
          <w:szCs w:val="22"/>
        </w:rPr>
      </w:pPr>
      <w:bookmarkStart w:id="7" w:name="_Toc193716384"/>
      <w:r>
        <w:rPr>
          <w:i w:val="0"/>
          <w:sz w:val="22"/>
          <w:szCs w:val="22"/>
        </w:rPr>
        <w:t>Działanie 3. Upowszechnianie w społeczeństwie wiedzy o środkach ochrony roślin</w:t>
      </w:r>
      <w:bookmarkEnd w:id="7"/>
      <w:r>
        <w:rPr>
          <w:i w:val="0"/>
          <w:sz w:val="22"/>
          <w:szCs w:val="22"/>
        </w:rPr>
        <w:t xml:space="preserve"> </w:t>
      </w:r>
    </w:p>
    <w:p w14:paraId="18243630" w14:textId="77777777" w:rsidR="00D95358" w:rsidRPr="00925BCD" w:rsidRDefault="00D95358" w:rsidP="00D95358">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Dyrektywa 2009/128/WE podkreśla konieczność podnoszenia wiedzy ogółu społeczeństwa odnośnie środków ochrony roślin, w tym osób nie zajmujących się zawodowo działalnością związaną ze stosowaniem tych środków, ich roli w nowoczesnym rolnictwie oraz ryzykiem, jakie może wiązać się z ich stosowaniem. </w:t>
      </w:r>
    </w:p>
    <w:p w14:paraId="403F9C2A" w14:textId="77777777" w:rsidR="00D95358" w:rsidRDefault="00D95358" w:rsidP="00D95358">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tego działania, które służy osiągnięciu celów określonych w art. 7 dyrektywy 2009/128/WE, Ministerstwo Rolnictwa i Rozwoju Wsi, Państwowa Inspekcja Ochrony Roślin i Nasiennictwa, Centrum Doradztwa Rolniczego wraz z wojewódzkimi ośrodkami doradztwa rolniczego jak również instytuty nadzorowane przez Ministra Rolnictwa i Rozwoju Wsi prowadziły działalność edukacyjną w zakresie środków ochrony roślin, która obejmowała informacje o zagrożeniach wynikających ze stosowania środków ochrony roślin oraz metodach eliminacji tych zagrożeń. Informacje na ten temat były prezentowane na konferencjach, publikowane w prasie i Internecie. Wśród użytkowników środków ochrony roślin dystrybuowane były materiały informacyjne. Szczegółowe informacje w zakresie realizacji tego działania podano również w opisie Zadania 1 w Działaniu 10.</w:t>
      </w:r>
    </w:p>
    <w:p w14:paraId="6356D118" w14:textId="64305323" w:rsidR="00D95358" w:rsidRDefault="00D95358" w:rsidP="00D95358">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Informacje dotyczące ograniczania ryzyka związanego ze stosowaniem środków ochrony roślin dla zdrowia ludzi i zwierząt oraz dla środowiska udostępniane były także na stronie poświęconej integrowanej ochronie roślin – Platforma Sygnalizacji Agrofagów</w:t>
      </w:r>
      <w:r w:rsidR="005F1375">
        <w:rPr>
          <w:rFonts w:ascii="Arial" w:hAnsi="Arial" w:cs="Arial"/>
        </w:rPr>
        <w:t xml:space="preserve">, </w:t>
      </w:r>
      <w:hyperlink r:id="rId12" w:history="1">
        <w:r w:rsidR="005F1375" w:rsidRPr="00FF1676">
          <w:rPr>
            <w:rStyle w:val="Hipercze"/>
            <w:rFonts w:ascii="Arial" w:hAnsi="Arial" w:cs="Arial"/>
          </w:rPr>
          <w:t>https://www.agrofagi.com.pl/</w:t>
        </w:r>
      </w:hyperlink>
    </w:p>
    <w:p w14:paraId="14A07DC2" w14:textId="77777777" w:rsidR="00D95358" w:rsidRPr="00925BCD" w:rsidRDefault="00D95358" w:rsidP="00D95358">
      <w:pPr>
        <w:pStyle w:val="NormalnyWeb"/>
        <w:tabs>
          <w:tab w:val="left" w:pos="284"/>
        </w:tabs>
        <w:spacing w:before="280" w:beforeAutospacing="0" w:after="120" w:afterAutospacing="0" w:line="360" w:lineRule="auto"/>
        <w:jc w:val="center"/>
        <w:rPr>
          <w:rFonts w:ascii="Arial" w:hAnsi="Arial" w:cs="Arial"/>
        </w:rPr>
      </w:pPr>
      <w:r w:rsidRPr="00925BCD">
        <w:rPr>
          <w:noProof/>
        </w:rPr>
        <w:drawing>
          <wp:inline distT="0" distB="0" distL="0" distR="0" wp14:anchorId="1DD5D917" wp14:editId="1CCB0E95">
            <wp:extent cx="5819537" cy="1558455"/>
            <wp:effectExtent l="0" t="0" r="0" b="3810"/>
            <wp:docPr id="2" name="Obraz 1" descr="Obraz zawierający zieleń, roślina, traw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Obraz zawierający zieleń, roślina, trawa, zrzut ekranu&#10;&#10;Opis wygenerowany automatycznie"/>
                    <pic:cNvPicPr>
                      <a:picLocks noChangeAspect="1" noChangeArrowheads="1"/>
                    </pic:cNvPicPr>
                  </pic:nvPicPr>
                  <pic:blipFill>
                    <a:blip r:embed="rId13"/>
                    <a:stretch>
                      <a:fillRect/>
                    </a:stretch>
                  </pic:blipFill>
                  <pic:spPr bwMode="auto">
                    <a:xfrm>
                      <a:off x="0" y="0"/>
                      <a:ext cx="6198144" cy="1659845"/>
                    </a:xfrm>
                    <a:prstGeom prst="rect">
                      <a:avLst/>
                    </a:prstGeom>
                  </pic:spPr>
                </pic:pic>
              </a:graphicData>
            </a:graphic>
          </wp:inline>
        </w:drawing>
      </w:r>
    </w:p>
    <w:p w14:paraId="6C052E80" w14:textId="77777777" w:rsidR="00D95358" w:rsidRPr="00925BCD" w:rsidRDefault="00D95358" w:rsidP="00D95358">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Ponadto, w ramach działania były realizowane następujące zadania szczegółowe:</w:t>
      </w:r>
    </w:p>
    <w:p w14:paraId="75485ED4" w14:textId="77777777" w:rsidR="008B5F95" w:rsidRDefault="00923F0D">
      <w:pPr>
        <w:pStyle w:val="Nagwek2"/>
        <w:rPr>
          <w:i w:val="0"/>
          <w:sz w:val="20"/>
          <w:szCs w:val="20"/>
        </w:rPr>
      </w:pPr>
      <w:bookmarkStart w:id="8" w:name="_Toc193716385"/>
      <w:r>
        <w:rPr>
          <w:i w:val="0"/>
          <w:sz w:val="20"/>
          <w:szCs w:val="20"/>
        </w:rPr>
        <w:lastRenderedPageBreak/>
        <w:t>Zadanie 1. Promowanie dobrych praktyk bezpiecznego stosowania środków ochrony roślin</w:t>
      </w:r>
      <w:bookmarkEnd w:id="8"/>
    </w:p>
    <w:p w14:paraId="746AEB5D" w14:textId="77777777" w:rsidR="008B5F95" w:rsidRPr="00E0479E" w:rsidRDefault="00923F0D">
      <w:pPr>
        <w:pStyle w:val="NormalnyWeb"/>
        <w:tabs>
          <w:tab w:val="left" w:pos="284"/>
        </w:tabs>
        <w:spacing w:beforeAutospacing="0" w:after="120" w:afterAutospacing="0" w:line="360" w:lineRule="auto"/>
        <w:ind w:firstLine="284"/>
        <w:jc w:val="both"/>
        <w:rPr>
          <w:rFonts w:ascii="Arial" w:hAnsi="Arial" w:cs="Arial"/>
        </w:rPr>
      </w:pPr>
      <w:r w:rsidRPr="00E0479E">
        <w:rPr>
          <w:rFonts w:ascii="Arial" w:hAnsi="Arial" w:cs="Arial"/>
        </w:rPr>
        <w:t xml:space="preserve">Bezpieczne stosowanie środków ochrony roślin zależy w dużym stopniu od świadomości, wiedzy i umiejętności osób wykonujących zabiegi. Dokonując właściwych wyborów oraz wykorzystując odpowiedni sprzęt i infrastrukturę techniczną, osoby wykonujące zabiegi środkami ochrony roślin minimalizują ryzyko związane z ich użyciem. </w:t>
      </w:r>
    </w:p>
    <w:p w14:paraId="0B81C341" w14:textId="748340EF" w:rsidR="001F296E" w:rsidRPr="001F296E" w:rsidRDefault="001F296E" w:rsidP="005F1375">
      <w:pPr>
        <w:pStyle w:val="NormalnyWeb"/>
        <w:tabs>
          <w:tab w:val="left" w:pos="284"/>
        </w:tabs>
        <w:spacing w:beforeAutospacing="0" w:after="120" w:afterAutospacing="0" w:line="360" w:lineRule="auto"/>
        <w:ind w:firstLine="284"/>
        <w:jc w:val="both"/>
        <w:rPr>
          <w:rFonts w:ascii="Arial" w:hAnsi="Arial" w:cs="Arial"/>
        </w:rPr>
      </w:pPr>
      <w:r w:rsidRPr="001F296E">
        <w:rPr>
          <w:rFonts w:ascii="Arial" w:hAnsi="Arial" w:cs="Arial"/>
        </w:rPr>
        <w:t>W 2023 r., w Instytucie Ogrodnictwa – PIB</w:t>
      </w:r>
      <w:r>
        <w:rPr>
          <w:rFonts w:ascii="Arial" w:hAnsi="Arial" w:cs="Arial"/>
        </w:rPr>
        <w:t xml:space="preserve">, w ramach dotacji celowej MRiRW, </w:t>
      </w:r>
      <w:r w:rsidRPr="001F296E">
        <w:rPr>
          <w:rFonts w:ascii="Arial" w:hAnsi="Arial" w:cs="Arial"/>
        </w:rPr>
        <w:t xml:space="preserve">przeprowadzono </w:t>
      </w:r>
      <w:r>
        <w:rPr>
          <w:rFonts w:ascii="Arial" w:hAnsi="Arial" w:cs="Arial"/>
        </w:rPr>
        <w:t>cztery szkolenia mające na celu promowanie dobrych praktyk bezpiecznego stosowania środków ochrony roślin</w:t>
      </w:r>
      <w:r w:rsidR="002209CE">
        <w:rPr>
          <w:rFonts w:ascii="Arial" w:hAnsi="Arial" w:cs="Arial"/>
        </w:rPr>
        <w:t>:</w:t>
      </w:r>
    </w:p>
    <w:p w14:paraId="1C770DC4" w14:textId="649FFED6" w:rsidR="001F296E" w:rsidRPr="001F296E" w:rsidRDefault="001F296E" w:rsidP="00E74A80">
      <w:pPr>
        <w:pStyle w:val="NormalnyWeb"/>
        <w:numPr>
          <w:ilvl w:val="0"/>
          <w:numId w:val="28"/>
        </w:numPr>
        <w:tabs>
          <w:tab w:val="left" w:pos="284"/>
        </w:tabs>
        <w:spacing w:beforeAutospacing="0" w:after="100" w:line="360" w:lineRule="auto"/>
        <w:ind w:left="567" w:hanging="283"/>
        <w:jc w:val="both"/>
        <w:rPr>
          <w:rFonts w:ascii="Arial" w:hAnsi="Arial" w:cs="Arial"/>
        </w:rPr>
      </w:pPr>
      <w:r>
        <w:rPr>
          <w:rFonts w:ascii="Arial" w:hAnsi="Arial" w:cs="Arial"/>
        </w:rPr>
        <w:t>s</w:t>
      </w:r>
      <w:r w:rsidRPr="001F296E">
        <w:rPr>
          <w:rFonts w:ascii="Arial" w:hAnsi="Arial" w:cs="Arial"/>
        </w:rPr>
        <w:t>zkolenie dla doradców w zakresie korzystania z listy Technik Ograniczających Znoszenie (TOZ) i metod ograniczania znoszenia. W czasie szkolenia omówiono: miejsce znoszenia w technice opryskiwania, normy dotyczące badań i klasyfikacji znoszenia, sposoby pomiaru znoszenia w</w:t>
      </w:r>
      <w:r>
        <w:rPr>
          <w:rFonts w:ascii="Arial" w:hAnsi="Arial" w:cs="Arial"/>
        </w:rPr>
        <w:t> </w:t>
      </w:r>
      <w:r w:rsidRPr="001F296E">
        <w:rPr>
          <w:rFonts w:ascii="Arial" w:hAnsi="Arial" w:cs="Arial"/>
        </w:rPr>
        <w:t>polu, techniki ograniczające znoszenie zapisane na liście TOZ i sposób korzystania z listy TOZ.</w:t>
      </w:r>
      <w:r>
        <w:rPr>
          <w:rFonts w:ascii="Arial" w:hAnsi="Arial" w:cs="Arial"/>
        </w:rPr>
        <w:t xml:space="preserve"> P</w:t>
      </w:r>
      <w:r w:rsidRPr="001F296E">
        <w:rPr>
          <w:rFonts w:ascii="Arial" w:hAnsi="Arial" w:cs="Arial"/>
        </w:rPr>
        <w:t>rzedmiotem szkolenia był</w:t>
      </w:r>
      <w:r>
        <w:rPr>
          <w:rFonts w:ascii="Arial" w:hAnsi="Arial" w:cs="Arial"/>
        </w:rPr>
        <w:t xml:space="preserve">o także </w:t>
      </w:r>
      <w:r w:rsidRPr="001F296E">
        <w:rPr>
          <w:rFonts w:ascii="Arial" w:hAnsi="Arial" w:cs="Arial"/>
        </w:rPr>
        <w:t>ustalanie klasy redukcji znoszenia dla wskazanych rozpylaczy oraz polowy pokaz technik i metod ograniczania znoszenia dla opryskiwacza polowego i</w:t>
      </w:r>
      <w:r w:rsidR="00D01B87">
        <w:rPr>
          <w:rFonts w:ascii="Arial" w:hAnsi="Arial" w:cs="Arial"/>
        </w:rPr>
        <w:t> </w:t>
      </w:r>
      <w:r w:rsidRPr="001F296E">
        <w:rPr>
          <w:rFonts w:ascii="Arial" w:hAnsi="Arial" w:cs="Arial"/>
        </w:rPr>
        <w:t>opryskiwacza sadowniczego</w:t>
      </w:r>
      <w:r>
        <w:rPr>
          <w:rFonts w:ascii="Arial" w:hAnsi="Arial" w:cs="Arial"/>
        </w:rPr>
        <w:t>,</w:t>
      </w:r>
    </w:p>
    <w:p w14:paraId="1E57EC5A" w14:textId="0A0A9015" w:rsidR="001F296E" w:rsidRPr="001F296E" w:rsidRDefault="001F296E" w:rsidP="00E74A80">
      <w:pPr>
        <w:pStyle w:val="NormalnyWeb"/>
        <w:numPr>
          <w:ilvl w:val="0"/>
          <w:numId w:val="28"/>
        </w:numPr>
        <w:tabs>
          <w:tab w:val="left" w:pos="284"/>
        </w:tabs>
        <w:spacing w:before="100" w:after="100" w:line="360" w:lineRule="auto"/>
        <w:ind w:left="567" w:hanging="283"/>
        <w:jc w:val="both"/>
        <w:rPr>
          <w:rFonts w:ascii="Arial" w:hAnsi="Arial" w:cs="Arial"/>
        </w:rPr>
      </w:pPr>
      <w:r w:rsidRPr="001F296E">
        <w:rPr>
          <w:rFonts w:ascii="Arial" w:hAnsi="Arial" w:cs="Arial"/>
        </w:rPr>
        <w:t>dwa szkolenia dla przedstawicieli służb nadzorujących badanie sprzętu ochrony roślin. W ramach szkoleń omówiono zagadnienia związane z wyposażeniem i stosowaniem opryskiwaczy, kalibracją opryskiwaczy, przepisami prawnymi i zasadami oraz procedurami badania sprzętu ochrony roślin</w:t>
      </w:r>
      <w:r>
        <w:rPr>
          <w:rFonts w:ascii="Arial" w:hAnsi="Arial" w:cs="Arial"/>
        </w:rPr>
        <w:t>,</w:t>
      </w:r>
    </w:p>
    <w:p w14:paraId="2E12EB80" w14:textId="43CA662A" w:rsidR="001F296E" w:rsidRPr="001F296E" w:rsidRDefault="001F296E" w:rsidP="005F1375">
      <w:pPr>
        <w:pStyle w:val="NormalnyWeb"/>
        <w:numPr>
          <w:ilvl w:val="0"/>
          <w:numId w:val="28"/>
        </w:numPr>
        <w:tabs>
          <w:tab w:val="left" w:pos="284"/>
        </w:tabs>
        <w:spacing w:before="100" w:after="100" w:line="360" w:lineRule="auto"/>
        <w:ind w:left="567" w:hanging="283"/>
        <w:jc w:val="both"/>
        <w:rPr>
          <w:rFonts w:ascii="Arial" w:hAnsi="Arial" w:cs="Arial"/>
        </w:rPr>
      </w:pPr>
      <w:r w:rsidRPr="001F296E">
        <w:rPr>
          <w:rFonts w:ascii="Arial" w:hAnsi="Arial" w:cs="Arial"/>
        </w:rPr>
        <w:t>zdalne szkolenie dla nauczycieli szkół rolniczych nadzorowanych przez MRiRW pt. „Bezpieczne stosowanie środków ochrony roślin przy użyciu opryskiwaczy”. Program szkolenia zawierał zagadnienia dotyczące budowy i bezpiecznego użytkowania opryskiwaczy, postępowania podczas stosowania ś</w:t>
      </w:r>
      <w:r>
        <w:rPr>
          <w:rFonts w:ascii="Arial" w:hAnsi="Arial" w:cs="Arial"/>
        </w:rPr>
        <w:t>rodków</w:t>
      </w:r>
      <w:r w:rsidRPr="001F296E">
        <w:rPr>
          <w:rFonts w:ascii="Arial" w:hAnsi="Arial" w:cs="Arial"/>
        </w:rPr>
        <w:t xml:space="preserve"> i zapobiegania zanieczyszczeniom miejscowym, znoszenia i</w:t>
      </w:r>
      <w:r>
        <w:rPr>
          <w:rFonts w:ascii="Arial" w:hAnsi="Arial" w:cs="Arial"/>
        </w:rPr>
        <w:t> </w:t>
      </w:r>
      <w:r w:rsidRPr="001F296E">
        <w:rPr>
          <w:rFonts w:ascii="Arial" w:hAnsi="Arial" w:cs="Arial"/>
        </w:rPr>
        <w:t>spływu powierzchniowego, kalibracji opryskiwaczy polowych i sadowniczych oraz badań stanu technicznego sprzętu ochrony roślin.</w:t>
      </w:r>
    </w:p>
    <w:p w14:paraId="52EBDDA6" w14:textId="1F1B1F61" w:rsidR="008B5F95" w:rsidRDefault="00923F0D" w:rsidP="005F1375">
      <w:pPr>
        <w:pStyle w:val="NormalnyWeb"/>
        <w:tabs>
          <w:tab w:val="left" w:pos="284"/>
        </w:tabs>
        <w:spacing w:beforeAutospacing="0" w:after="120" w:afterAutospacing="0" w:line="360" w:lineRule="auto"/>
        <w:ind w:firstLine="284"/>
        <w:jc w:val="both"/>
        <w:rPr>
          <w:rFonts w:ascii="Arial" w:hAnsi="Arial" w:cs="Arial"/>
        </w:rPr>
      </w:pPr>
      <w:r w:rsidRPr="00E86F5F">
        <w:rPr>
          <w:rFonts w:ascii="Arial" w:hAnsi="Arial" w:cs="Arial"/>
        </w:rPr>
        <w:t xml:space="preserve">Wszystkie informacje i publikacje poświęcone dobrym praktykom zamieszczane </w:t>
      </w:r>
      <w:r w:rsidR="00D62BE8" w:rsidRPr="00E86F5F">
        <w:rPr>
          <w:rFonts w:ascii="Arial" w:hAnsi="Arial" w:cs="Arial"/>
        </w:rPr>
        <w:t xml:space="preserve">są </w:t>
      </w:r>
      <w:r w:rsidRPr="00E86F5F">
        <w:rPr>
          <w:rFonts w:ascii="Arial" w:hAnsi="Arial" w:cs="Arial"/>
        </w:rPr>
        <w:t>na Platformie Sygnalizacji Agrofagów.</w:t>
      </w:r>
      <w:r>
        <w:rPr>
          <w:rFonts w:ascii="Arial" w:hAnsi="Arial" w:cs="Arial"/>
        </w:rPr>
        <w:t xml:space="preserve"> </w:t>
      </w:r>
    </w:p>
    <w:p w14:paraId="3DA2FF1A" w14:textId="77777777" w:rsidR="008B5F95" w:rsidRDefault="00923F0D">
      <w:pPr>
        <w:pStyle w:val="Nagwek2"/>
        <w:rPr>
          <w:i w:val="0"/>
          <w:sz w:val="20"/>
          <w:szCs w:val="20"/>
        </w:rPr>
      </w:pPr>
      <w:bookmarkStart w:id="9" w:name="_Toc193716386"/>
      <w:r>
        <w:rPr>
          <w:i w:val="0"/>
          <w:sz w:val="20"/>
          <w:szCs w:val="20"/>
        </w:rPr>
        <w:t>Zadanie 2. Gromadzenie informacji o zatruciach ludzi środkami ochrony roślin</w:t>
      </w:r>
      <w:bookmarkEnd w:id="9"/>
    </w:p>
    <w:p w14:paraId="3121521A" w14:textId="2657761B"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Obowiązek prowadzenia systemu rejestracji zatruć środkami ochrony roślin wynika z art. 7 ust. 2 dyrektywy 2009/128/WE. Przepis ten stanowi, że „państwa członkowskie ustanawiają systemy gromadzenia informacji o przypadkach ostrych zatruć pestycydami oraz, w</w:t>
      </w:r>
      <w:r w:rsidR="00F00DE1">
        <w:rPr>
          <w:rFonts w:ascii="Arial" w:hAnsi="Arial" w:cs="Arial"/>
        </w:rPr>
        <w:t xml:space="preserve"> </w:t>
      </w:r>
      <w:r>
        <w:rPr>
          <w:rFonts w:ascii="Arial" w:hAnsi="Arial" w:cs="Arial"/>
        </w:rPr>
        <w:t xml:space="preserve">stosownych przypadkach, o przewlekłych objawach zatruć wśród osób, które mogą być narażone na regularny kontakt z pestycydami, takich jak operatorzy stosujący pestycydy, pracownicy rolni lub osoby mieszkające w pobliżu obszarów, na których są stosowane pestycydy”. Implementując przepisy dyrektywy do prawodawstwa polskiego w ustawie z dnia 8 marca 2013 r. o środkach ochrony roślin, postanowiono, że informacje o zatruciach ludzi środkami ochrony roślin gromadzi urząd obsługujący ministra właściwego do spraw rolnictwa. </w:t>
      </w:r>
    </w:p>
    <w:p w14:paraId="66577820" w14:textId="16F5A1C3"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lastRenderedPageBreak/>
        <w:t>W ramach zadania b</w:t>
      </w:r>
      <w:r w:rsidR="006F7FF9">
        <w:rPr>
          <w:rFonts w:ascii="Arial" w:hAnsi="Arial" w:cs="Arial"/>
        </w:rPr>
        <w:t>yła</w:t>
      </w:r>
      <w:r>
        <w:rPr>
          <w:rFonts w:ascii="Arial" w:hAnsi="Arial" w:cs="Arial"/>
        </w:rPr>
        <w:t xml:space="preserve"> kontynuowana współpraca Ministerstwa Rolnictwa i Rozwoju Wsi w zakresie pozyskiwania danych o zatruciach ludzi środkami ochrony roślin z Kasą Rolniczego Ubezpieczenia Społecznego, Ministerstwem Zdrowia (Narodowym Funduszem Zdrowia)</w:t>
      </w:r>
      <w:r w:rsidR="00F10C9D">
        <w:rPr>
          <w:rFonts w:ascii="Arial" w:hAnsi="Arial" w:cs="Arial"/>
        </w:rPr>
        <w:t xml:space="preserve"> i</w:t>
      </w:r>
      <w:r>
        <w:rPr>
          <w:rFonts w:ascii="Arial" w:hAnsi="Arial" w:cs="Arial"/>
        </w:rPr>
        <w:t xml:space="preserve"> Państwową Inspekcją Pracy. </w:t>
      </w:r>
    </w:p>
    <w:p w14:paraId="59A19182" w14:textId="5308E987" w:rsidR="006F7FF9" w:rsidRDefault="006F7FF9" w:rsidP="006F7FF9">
      <w:pPr>
        <w:pStyle w:val="NormalnyWeb"/>
        <w:tabs>
          <w:tab w:val="left" w:pos="284"/>
        </w:tabs>
        <w:spacing w:beforeAutospacing="0" w:after="120" w:afterAutospacing="0" w:line="360" w:lineRule="auto"/>
        <w:ind w:firstLine="284"/>
        <w:jc w:val="both"/>
        <w:rPr>
          <w:rFonts w:ascii="Arial" w:hAnsi="Arial" w:cs="Arial"/>
        </w:rPr>
      </w:pPr>
      <w:r w:rsidRPr="006F7FF9">
        <w:rPr>
          <w:rFonts w:ascii="Arial" w:hAnsi="Arial" w:cs="Arial"/>
        </w:rPr>
        <w:t xml:space="preserve">W </w:t>
      </w:r>
      <w:r>
        <w:rPr>
          <w:rFonts w:ascii="Arial" w:hAnsi="Arial" w:cs="Arial"/>
        </w:rPr>
        <w:t>2023 r.</w:t>
      </w:r>
      <w:r w:rsidRPr="006F7FF9">
        <w:rPr>
          <w:rFonts w:ascii="Arial" w:hAnsi="Arial" w:cs="Arial"/>
        </w:rPr>
        <w:t xml:space="preserve"> z Głównego Inspektoratu Pracy </w:t>
      </w:r>
      <w:r>
        <w:rPr>
          <w:rFonts w:ascii="Arial" w:hAnsi="Arial" w:cs="Arial"/>
        </w:rPr>
        <w:t xml:space="preserve">oraz </w:t>
      </w:r>
      <w:r w:rsidRPr="006F7FF9">
        <w:rPr>
          <w:rFonts w:ascii="Arial" w:hAnsi="Arial" w:cs="Arial"/>
        </w:rPr>
        <w:t>Kasy Rolniczego Ubezpieczenia Społecznego nie wpłynęły żadne zgłoszenia dotyczące zatruć ludzi środkami ochrony roślin</w:t>
      </w:r>
      <w:r>
        <w:rPr>
          <w:rFonts w:ascii="Arial" w:hAnsi="Arial" w:cs="Arial"/>
        </w:rPr>
        <w:t>.</w:t>
      </w:r>
    </w:p>
    <w:p w14:paraId="208A239D" w14:textId="77777777" w:rsidR="006D33CC" w:rsidRDefault="00C920CC" w:rsidP="00C920C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Według danych </w:t>
      </w:r>
      <w:r w:rsidRPr="00195A30">
        <w:rPr>
          <w:rFonts w:ascii="Arial" w:hAnsi="Arial" w:cs="Arial"/>
        </w:rPr>
        <w:t>Narodowego Funduszu Zdrowia</w:t>
      </w:r>
      <w:r w:rsidRPr="00925BCD">
        <w:rPr>
          <w:rFonts w:ascii="Arial" w:hAnsi="Arial" w:cs="Arial"/>
        </w:rPr>
        <w:t xml:space="preserve"> w 20</w:t>
      </w:r>
      <w:r w:rsidR="006D33CC">
        <w:rPr>
          <w:rFonts w:ascii="Arial" w:hAnsi="Arial" w:cs="Arial"/>
        </w:rPr>
        <w:t>23</w:t>
      </w:r>
      <w:r w:rsidRPr="00925BCD">
        <w:rPr>
          <w:rFonts w:ascii="Arial" w:hAnsi="Arial" w:cs="Arial"/>
        </w:rPr>
        <w:t xml:space="preserve"> r. – </w:t>
      </w:r>
      <w:r w:rsidR="006D33CC">
        <w:rPr>
          <w:rFonts w:ascii="Arial" w:hAnsi="Arial" w:cs="Arial"/>
        </w:rPr>
        <w:t>221</w:t>
      </w:r>
      <w:r w:rsidRPr="00925BCD">
        <w:rPr>
          <w:rFonts w:ascii="Arial" w:hAnsi="Arial" w:cs="Arial"/>
        </w:rPr>
        <w:t xml:space="preserve"> osobom udzielona została pomoc medyczna w związku z zatruciem środkami ochrony roślin, w tym </w:t>
      </w:r>
      <w:r w:rsidR="006D33CC">
        <w:rPr>
          <w:rFonts w:ascii="Arial" w:hAnsi="Arial" w:cs="Arial"/>
        </w:rPr>
        <w:t>150</w:t>
      </w:r>
      <w:r w:rsidRPr="00925BCD">
        <w:rPr>
          <w:rFonts w:ascii="Arial" w:hAnsi="Arial" w:cs="Arial"/>
        </w:rPr>
        <w:t xml:space="preserve"> osób wymagało leczenia szpitalnego</w:t>
      </w:r>
      <w:r w:rsidR="006D33CC">
        <w:rPr>
          <w:rFonts w:ascii="Arial" w:hAnsi="Arial" w:cs="Arial"/>
        </w:rPr>
        <w:t>.</w:t>
      </w:r>
    </w:p>
    <w:p w14:paraId="13529E58" w14:textId="4FBB7E0F" w:rsidR="00971434" w:rsidRDefault="00F70789" w:rsidP="00971434">
      <w:pPr>
        <w:pStyle w:val="NormalnyWeb"/>
        <w:tabs>
          <w:tab w:val="left" w:pos="284"/>
        </w:tabs>
        <w:spacing w:beforeAutospacing="0" w:after="120" w:afterAutospacing="0" w:line="360" w:lineRule="auto"/>
        <w:ind w:firstLine="284"/>
        <w:jc w:val="both"/>
        <w:rPr>
          <w:rFonts w:ascii="Arial" w:hAnsi="Arial" w:cs="Arial"/>
        </w:rPr>
      </w:pPr>
      <w:r w:rsidRPr="00F70789">
        <w:rPr>
          <w:rFonts w:ascii="Arial" w:hAnsi="Arial" w:cs="Arial"/>
        </w:rPr>
        <w:t xml:space="preserve">Dane Zakładu Ubezpieczeń Społecznych informują, że w </w:t>
      </w:r>
      <w:r w:rsidR="006659C4">
        <w:rPr>
          <w:rFonts w:ascii="Arial" w:hAnsi="Arial" w:cs="Arial"/>
        </w:rPr>
        <w:t>2023</w:t>
      </w:r>
      <w:r w:rsidRPr="00F70789">
        <w:rPr>
          <w:rFonts w:ascii="Arial" w:hAnsi="Arial" w:cs="Arial"/>
        </w:rPr>
        <w:t xml:space="preserve"> r. nie </w:t>
      </w:r>
      <w:r w:rsidR="00DA4BCE">
        <w:rPr>
          <w:rFonts w:ascii="Arial" w:hAnsi="Arial" w:cs="Arial"/>
        </w:rPr>
        <w:t xml:space="preserve">wystąpił </w:t>
      </w:r>
      <w:r w:rsidR="009A273C">
        <w:rPr>
          <w:rFonts w:ascii="Arial" w:hAnsi="Arial" w:cs="Arial"/>
        </w:rPr>
        <w:t xml:space="preserve">żaden przypadek wydania </w:t>
      </w:r>
      <w:r w:rsidRPr="00F70789">
        <w:rPr>
          <w:rFonts w:ascii="Arial" w:hAnsi="Arial" w:cs="Arial"/>
        </w:rPr>
        <w:t>orzeczeni</w:t>
      </w:r>
      <w:r w:rsidR="009B6971">
        <w:rPr>
          <w:rFonts w:ascii="Arial" w:hAnsi="Arial" w:cs="Arial"/>
        </w:rPr>
        <w:t>a</w:t>
      </w:r>
      <w:r w:rsidR="00B71B03">
        <w:rPr>
          <w:rFonts w:ascii="Arial" w:hAnsi="Arial" w:cs="Arial"/>
        </w:rPr>
        <w:t xml:space="preserve"> z wniosku o świadczenia</w:t>
      </w:r>
      <w:r w:rsidR="00BC1CB1">
        <w:rPr>
          <w:rFonts w:ascii="Arial" w:hAnsi="Arial" w:cs="Arial"/>
        </w:rPr>
        <w:t xml:space="preserve"> </w:t>
      </w:r>
      <w:r w:rsidR="0062068B">
        <w:rPr>
          <w:rFonts w:ascii="Arial" w:hAnsi="Arial" w:cs="Arial"/>
        </w:rPr>
        <w:t>uzależnione</w:t>
      </w:r>
      <w:r w:rsidR="00BC1CB1">
        <w:rPr>
          <w:rFonts w:ascii="Arial" w:hAnsi="Arial" w:cs="Arial"/>
        </w:rPr>
        <w:t xml:space="preserve"> od </w:t>
      </w:r>
      <w:r w:rsidR="0062068B">
        <w:rPr>
          <w:rFonts w:ascii="Arial" w:hAnsi="Arial" w:cs="Arial"/>
        </w:rPr>
        <w:t xml:space="preserve">stwierdzenia </w:t>
      </w:r>
      <w:r w:rsidR="00BC1CB1">
        <w:rPr>
          <w:rFonts w:ascii="Arial" w:hAnsi="Arial" w:cs="Arial"/>
        </w:rPr>
        <w:t>niezdolności do pracy</w:t>
      </w:r>
      <w:r w:rsidR="00D10046">
        <w:rPr>
          <w:rFonts w:ascii="Arial" w:hAnsi="Arial" w:cs="Arial"/>
        </w:rPr>
        <w:t xml:space="preserve">/ niezdolności do samodzielnej egzystencji, w których </w:t>
      </w:r>
      <w:r w:rsidR="00911BAB">
        <w:rPr>
          <w:rFonts w:ascii="Arial" w:hAnsi="Arial" w:cs="Arial"/>
        </w:rPr>
        <w:t>l</w:t>
      </w:r>
      <w:r w:rsidRPr="00F70789">
        <w:rPr>
          <w:rFonts w:ascii="Arial" w:hAnsi="Arial" w:cs="Arial"/>
        </w:rPr>
        <w:t>ekarz orze</w:t>
      </w:r>
      <w:r w:rsidR="00911BAB">
        <w:rPr>
          <w:rFonts w:ascii="Arial" w:hAnsi="Arial" w:cs="Arial"/>
        </w:rPr>
        <w:t xml:space="preserve">kający w ZUS </w:t>
      </w:r>
      <w:r w:rsidRPr="00F70789">
        <w:rPr>
          <w:rFonts w:ascii="Arial" w:hAnsi="Arial" w:cs="Arial"/>
        </w:rPr>
        <w:t xml:space="preserve">wskazał jako przyczynę niezdolności do pracy schorzenie oznaczone według Międzynarodowej Statystycznej Klasyfikacji Chorób i Problemów Zdrowotnych ICD-10, kodem T60-Toksyczny efekt pestycydów oraz, że </w:t>
      </w:r>
      <w:r w:rsidR="0078456B">
        <w:rPr>
          <w:rFonts w:ascii="Arial" w:hAnsi="Arial" w:cs="Arial"/>
        </w:rPr>
        <w:t>w</w:t>
      </w:r>
      <w:r w:rsidR="008B23E3">
        <w:rPr>
          <w:rFonts w:ascii="Arial" w:hAnsi="Arial" w:cs="Arial"/>
        </w:rPr>
        <w:t> </w:t>
      </w:r>
      <w:r w:rsidR="0078456B">
        <w:rPr>
          <w:rFonts w:ascii="Arial" w:hAnsi="Arial" w:cs="Arial"/>
        </w:rPr>
        <w:t xml:space="preserve">Rejestrze zaświadczeń lekarskich zarejestrowano 15 </w:t>
      </w:r>
      <w:r w:rsidRPr="00F70789">
        <w:rPr>
          <w:rFonts w:ascii="Arial" w:hAnsi="Arial" w:cs="Arial"/>
        </w:rPr>
        <w:t xml:space="preserve">zaświadczeń lekarskich </w:t>
      </w:r>
      <w:r w:rsidR="00E556AE">
        <w:rPr>
          <w:rFonts w:ascii="Arial" w:hAnsi="Arial" w:cs="Arial"/>
        </w:rPr>
        <w:t>wystawionych</w:t>
      </w:r>
      <w:r w:rsidR="00BB0618">
        <w:rPr>
          <w:rFonts w:ascii="Arial" w:hAnsi="Arial" w:cs="Arial"/>
        </w:rPr>
        <w:t xml:space="preserve"> z tytułu choroby własnej </w:t>
      </w:r>
      <w:r w:rsidRPr="00F70789">
        <w:rPr>
          <w:rFonts w:ascii="Arial" w:hAnsi="Arial" w:cs="Arial"/>
        </w:rPr>
        <w:t>oznaczon</w:t>
      </w:r>
      <w:r w:rsidR="00245406">
        <w:rPr>
          <w:rFonts w:ascii="Arial" w:hAnsi="Arial" w:cs="Arial"/>
        </w:rPr>
        <w:t xml:space="preserve">ej </w:t>
      </w:r>
      <w:r w:rsidRPr="00F70789">
        <w:rPr>
          <w:rFonts w:ascii="Arial" w:hAnsi="Arial" w:cs="Arial"/>
        </w:rPr>
        <w:t>według klasyfikacji ICD-10, kodem T60-Toksyczny efekt pestycydów</w:t>
      </w:r>
      <w:r w:rsidR="00613B16">
        <w:rPr>
          <w:rFonts w:ascii="Arial" w:hAnsi="Arial" w:cs="Arial"/>
        </w:rPr>
        <w:t>, osobom ubezpieczonym w ZUS</w:t>
      </w:r>
      <w:r w:rsidR="00971434">
        <w:rPr>
          <w:rFonts w:ascii="Arial" w:hAnsi="Arial" w:cs="Arial"/>
        </w:rPr>
        <w:t>.</w:t>
      </w:r>
    </w:p>
    <w:p w14:paraId="1691B246" w14:textId="6EDDA680" w:rsidR="006F7FF9" w:rsidRPr="006F7FF9" w:rsidRDefault="005F1375" w:rsidP="00971434">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Powyższe wskazuje, że</w:t>
      </w:r>
      <w:r w:rsidR="006F7FF9" w:rsidRPr="006F7FF9">
        <w:rPr>
          <w:rFonts w:ascii="Arial" w:hAnsi="Arial" w:cs="Arial"/>
        </w:rPr>
        <w:t xml:space="preserve"> utrzymuje się trend spadku liczby zatruć ludzi środkami ochrony roślin. </w:t>
      </w:r>
    </w:p>
    <w:p w14:paraId="6E70EFE2" w14:textId="77777777" w:rsidR="006F7FF9" w:rsidRPr="009E130E" w:rsidRDefault="006F7FF9" w:rsidP="006F7FF9">
      <w:pPr>
        <w:pStyle w:val="NormalnyWeb"/>
        <w:tabs>
          <w:tab w:val="left" w:pos="284"/>
        </w:tabs>
        <w:spacing w:after="120" w:line="360" w:lineRule="auto"/>
        <w:ind w:firstLine="284"/>
        <w:jc w:val="both"/>
        <w:rPr>
          <w:rFonts w:ascii="Arial" w:hAnsi="Arial" w:cs="Arial"/>
          <w:b/>
          <w:bCs/>
          <w:sz w:val="22"/>
          <w:szCs w:val="22"/>
        </w:rPr>
      </w:pPr>
      <w:r w:rsidRPr="009E130E">
        <w:rPr>
          <w:rFonts w:ascii="Arial" w:hAnsi="Arial" w:cs="Arial"/>
          <w:b/>
          <w:bCs/>
          <w:sz w:val="22"/>
          <w:szCs w:val="22"/>
        </w:rPr>
        <w:t>Wykres 2. Zatrucia ludzi środkami ochrony roślin</w:t>
      </w:r>
    </w:p>
    <w:p w14:paraId="7DAFA3BD" w14:textId="10BA04DF" w:rsidR="006F7FF9" w:rsidRPr="006F7FF9" w:rsidRDefault="006F7FF9" w:rsidP="009E130E">
      <w:pPr>
        <w:pStyle w:val="NormalnyWeb"/>
        <w:spacing w:before="100" w:after="100"/>
        <w:jc w:val="center"/>
        <w:rPr>
          <w:rFonts w:ascii="Arial" w:hAnsi="Arial" w:cs="Arial"/>
        </w:rPr>
      </w:pPr>
      <w:r w:rsidRPr="006F7FF9">
        <w:rPr>
          <w:rFonts w:ascii="Arial" w:hAnsi="Arial" w:cs="Arial"/>
          <w:noProof/>
        </w:rPr>
        <w:drawing>
          <wp:inline distT="0" distB="0" distL="0" distR="0" wp14:anchorId="121C3ABA" wp14:editId="615557F6">
            <wp:extent cx="5417218" cy="2510544"/>
            <wp:effectExtent l="0" t="0" r="12065" b="4445"/>
            <wp:docPr id="857447654" name="Wykres 8574476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F2C5F1" w14:textId="77777777" w:rsidR="008B5F95" w:rsidRDefault="00923F0D" w:rsidP="00B52C82">
      <w:pPr>
        <w:pStyle w:val="Nagwek1"/>
        <w:numPr>
          <w:ilvl w:val="3"/>
          <w:numId w:val="2"/>
        </w:numPr>
        <w:tabs>
          <w:tab w:val="left" w:pos="2552"/>
        </w:tabs>
        <w:ind w:left="284" w:hanging="426"/>
        <w:jc w:val="both"/>
        <w:rPr>
          <w:i w:val="0"/>
          <w:sz w:val="22"/>
          <w:szCs w:val="22"/>
        </w:rPr>
      </w:pPr>
      <w:bookmarkStart w:id="10" w:name="_Toc193716387"/>
      <w:r>
        <w:rPr>
          <w:i w:val="0"/>
          <w:sz w:val="22"/>
          <w:szCs w:val="22"/>
        </w:rPr>
        <w:t>Działanie 4. Zapewnienie sprawności technicznej sprzętu przeznaczonego do stosowania środków ochrony roślin</w:t>
      </w:r>
      <w:bookmarkStart w:id="11" w:name="_Toc341876080"/>
      <w:bookmarkStart w:id="12" w:name="_Toc301334598"/>
      <w:bookmarkStart w:id="13" w:name="_Toc300916209"/>
      <w:bookmarkStart w:id="14" w:name="_Toc300753356"/>
      <w:bookmarkEnd w:id="10"/>
      <w:bookmarkEnd w:id="11"/>
      <w:bookmarkEnd w:id="12"/>
      <w:bookmarkEnd w:id="13"/>
      <w:bookmarkEnd w:id="14"/>
    </w:p>
    <w:p w14:paraId="58A06ACB" w14:textId="5C536D0E" w:rsidR="008B5F95" w:rsidRDefault="00794AA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Dbałość o zachowywanie sprawności technicznej sprzętu do stosowania środków ochrony roślin jest niezwykle istotna. Używanie sprzętu niesprawnego </w:t>
      </w:r>
      <w:r w:rsidR="00923F0D">
        <w:rPr>
          <w:rFonts w:ascii="Arial" w:hAnsi="Arial" w:cs="Arial"/>
        </w:rPr>
        <w:t>może mieć negatywne skutki zarówno dla zdrowia człowieka i zwierząt, jak i stanu środowiska</w:t>
      </w:r>
      <w:r>
        <w:rPr>
          <w:rFonts w:ascii="Arial" w:hAnsi="Arial" w:cs="Arial"/>
        </w:rPr>
        <w:t>. Ponadto n</w:t>
      </w:r>
      <w:r w:rsidR="00923F0D">
        <w:rPr>
          <w:rFonts w:ascii="Arial" w:hAnsi="Arial" w:cs="Arial"/>
        </w:rPr>
        <w:t xml:space="preserve">ierównomierne rozprowadzenie środków ochrony roślin na opryskiwanej powierzchni niesie ze sobą ryzyko, że na obszarze, na którym ilość użytych środków jest mniejsza od zamierzonej, zostanie ograniczona efektywność zabiegu. </w:t>
      </w:r>
      <w:r w:rsidR="00E83761">
        <w:rPr>
          <w:rFonts w:ascii="Arial" w:hAnsi="Arial" w:cs="Arial"/>
        </w:rPr>
        <w:t>Niniejsze d</w:t>
      </w:r>
      <w:r w:rsidR="00923F0D">
        <w:rPr>
          <w:rFonts w:ascii="Arial" w:hAnsi="Arial" w:cs="Arial"/>
        </w:rPr>
        <w:t xml:space="preserve">ziałanie </w:t>
      </w:r>
      <w:r w:rsidR="00923F0D">
        <w:rPr>
          <w:rFonts w:ascii="Arial" w:hAnsi="Arial" w:cs="Arial"/>
        </w:rPr>
        <w:lastRenderedPageBreak/>
        <w:t>służy osiągnięciu celów określonych w art. 8 dyrektywy 2009/128/WE</w:t>
      </w:r>
      <w:r>
        <w:rPr>
          <w:rFonts w:ascii="Arial" w:hAnsi="Arial" w:cs="Arial"/>
        </w:rPr>
        <w:t>.</w:t>
      </w:r>
    </w:p>
    <w:p w14:paraId="1D2DC916"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celu ograniczenia ryzyka związanego z używaniem niesprawnych opryskiwaczy do wykonywania zabiegów ochrony roślin, a co za tym idzie zmniejszenia ryzyka nieprawidłowej aplikacji środków ochrony roślin, został utworzony system obligatoryjnych, okresowych badań sprawności technicznej opryskiwaczy. </w:t>
      </w:r>
    </w:p>
    <w:p w14:paraId="00881495" w14:textId="1094E87D"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Badania sprawności technicznej opryskiwaczy są wykonywane na podstawie ustawy z dnia 8 marca 2013 r. o środkach ochrony roślin oraz przepisów rozporządzenia Ministra Rolnictwa i Rozwoju Wsi z dnia 18 grudnia 2013 r. w sprawie wymagań dotyczących sprawności technicznej sprzętu przeznaczonego do stosowania środków ochrony roślin (Dz. U. z 2016 r. poz. 760) oraz rozporządzenia Ministra Rolnictwa i Rozwoju Wsi z dnia 13 grudnia 2013 r. w sprawie potwierdzania sprawności technicznej sprzętu przeznaczonego do stosowania środków ochrony roślin (Dz. U. z 20</w:t>
      </w:r>
      <w:r w:rsidR="00F10C9D">
        <w:rPr>
          <w:rFonts w:ascii="Arial" w:hAnsi="Arial" w:cs="Arial"/>
        </w:rPr>
        <w:t>21</w:t>
      </w:r>
      <w:r>
        <w:rPr>
          <w:rFonts w:ascii="Arial" w:hAnsi="Arial" w:cs="Arial"/>
        </w:rPr>
        <w:t xml:space="preserve"> r. poz. </w:t>
      </w:r>
      <w:r w:rsidR="00F10C9D">
        <w:rPr>
          <w:rFonts w:ascii="Arial" w:hAnsi="Arial" w:cs="Arial"/>
        </w:rPr>
        <w:t>775</w:t>
      </w:r>
      <w:r>
        <w:rPr>
          <w:rFonts w:ascii="Arial" w:hAnsi="Arial" w:cs="Arial"/>
        </w:rPr>
        <w:t>).</w:t>
      </w:r>
    </w:p>
    <w:p w14:paraId="7F8A4575" w14:textId="1CB54788"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Przepisy ww. ustawy nakładają na użytkowników profesjonalnych środków ochrony roślin obowiązek przeprowadzania zarówno okresowej kontroli stanu technicznego, jak i kalibracji sprzętu przeznaczonego do stosowania tych środków. Zgodnie z przepisami badaniom sprawności technicznej powinny być poddawane: opryskiwacze ciągnikowe i samobieżne polowe lub sadownicze, sprzęt agrolotniczy oraz wykorzystywany w kolejnictwie, a także sprzęt niestandardowy, tj. zaprawiarki do nasion, instalacje przeznaczone do stosowania środków ochrony roślin w formie oprysku lub zamgławiania w szklarniach lub tunelach foliowych, samobieżny lub ciągnikowy sprzęt przeznaczony do stosowania środków ochrony roślin w formie granulatu oraz sprzęt przeznaczony do stosowania środków ochrony roślin w formie oprysku, inny niż opryskiwacze ręczne i plecakowe, którego pojemność zbiornika przekracza 30 litrów.</w:t>
      </w:r>
    </w:p>
    <w:p w14:paraId="76979595"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Mając na uwadze, że dyrektywa 2006/42/WE Parlamentu Europejskiego i Rady z dnia 17 maja 2006 r. w sprawie maszyn, zmieniająca dyrektywę 95/16/WE (przekształcenie) (Dz. Urz. UE L 157 z 09.06.2006, str. 24, z późn. zm.) określa wymagania techniczne, jakie powinny spełniać maszyny przeznaczone do stosowania środków ochrony roślin, wprowadzane do obrotu lub oddawane do użytku (nowe opryskiwacze), to wymienione wyżej przepisy określają wymagania odnoszące się jedynie do opryskiwaczy będących już w użytkowaniu. Ich celem jest sprawdzenie, czy w procesie eksploatacji stan techniczny opryskiwaczy nie uległ pogorszeniu w sposób stwarzający zagrożenie dla zdrowia ludzi i środowiska.</w:t>
      </w:r>
    </w:p>
    <w:p w14:paraId="30527914" w14:textId="48AA2548"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Wskazane wyżej ramy prawne w pełni implementują postanowienia art. 8 dyrektywy 2009/128/WE, a także pozwalają na wyeliminowanie ryzyka wiążącego się ze stosowaniem środków ochrony roślin sprzętem niesprawnym technicznie. </w:t>
      </w:r>
    </w:p>
    <w:p w14:paraId="66C23176" w14:textId="57C8F4BA" w:rsidR="0047201B" w:rsidRDefault="0047201B" w:rsidP="0047201B">
      <w:pPr>
        <w:tabs>
          <w:tab w:val="left" w:pos="284"/>
        </w:tabs>
        <w:spacing w:after="120" w:line="360" w:lineRule="auto"/>
        <w:ind w:firstLine="284"/>
        <w:jc w:val="both"/>
        <w:rPr>
          <w:rFonts w:ascii="Arial" w:hAnsi="Arial" w:cs="Arial"/>
        </w:rPr>
      </w:pPr>
      <w:r w:rsidRPr="0047201B">
        <w:rPr>
          <w:rFonts w:ascii="Arial" w:hAnsi="Arial" w:cs="Arial"/>
        </w:rPr>
        <w:t xml:space="preserve">Wpisy do </w:t>
      </w:r>
      <w:r w:rsidR="00907F17" w:rsidRPr="0047201B">
        <w:rPr>
          <w:rFonts w:ascii="Arial" w:hAnsi="Arial" w:cs="Arial"/>
        </w:rPr>
        <w:t xml:space="preserve">prowadzonych przez wojewódzkich inspektorów ochrony roślin i nasiennictwa </w:t>
      </w:r>
      <w:r w:rsidRPr="0047201B">
        <w:rPr>
          <w:rFonts w:ascii="Arial" w:hAnsi="Arial" w:cs="Arial"/>
        </w:rPr>
        <w:t xml:space="preserve">rejestrów </w:t>
      </w:r>
      <w:r w:rsidR="00907F17">
        <w:rPr>
          <w:rFonts w:ascii="Arial" w:hAnsi="Arial" w:cs="Arial"/>
        </w:rPr>
        <w:t xml:space="preserve">przedsiębiorców/podmiotów uprawnionych do </w:t>
      </w:r>
      <w:r w:rsidRPr="0047201B">
        <w:rPr>
          <w:rFonts w:ascii="Arial" w:hAnsi="Arial" w:cs="Arial"/>
        </w:rPr>
        <w:t xml:space="preserve">potwierdzania sprawności technicznej sprzętu przeznaczonego do stosowania środków ochrony roślin, z uwzględnieniem zakresów tych </w:t>
      </w:r>
      <w:r w:rsidR="00907F17">
        <w:rPr>
          <w:rFonts w:ascii="Arial" w:hAnsi="Arial" w:cs="Arial"/>
        </w:rPr>
        <w:t>uprawnień</w:t>
      </w:r>
      <w:r w:rsidRPr="0047201B">
        <w:rPr>
          <w:rFonts w:ascii="Arial" w:hAnsi="Arial" w:cs="Arial"/>
        </w:rPr>
        <w:t xml:space="preserve">, na dzień 31 grudnia w poszczególnych latach sprawozdawczych, przedstawia tabela </w:t>
      </w:r>
      <w:r w:rsidR="00003D51">
        <w:rPr>
          <w:rFonts w:ascii="Arial" w:hAnsi="Arial" w:cs="Arial"/>
        </w:rPr>
        <w:t>3</w:t>
      </w:r>
      <w:r w:rsidRPr="0047201B">
        <w:rPr>
          <w:rFonts w:ascii="Arial" w:hAnsi="Arial" w:cs="Arial"/>
        </w:rPr>
        <w:t>.</w:t>
      </w:r>
    </w:p>
    <w:p w14:paraId="24744966" w14:textId="77777777" w:rsidR="00F872A7" w:rsidRPr="0047201B" w:rsidRDefault="00F872A7" w:rsidP="007133BA">
      <w:pPr>
        <w:tabs>
          <w:tab w:val="left" w:pos="284"/>
        </w:tabs>
        <w:spacing w:after="120" w:line="360" w:lineRule="auto"/>
        <w:jc w:val="both"/>
        <w:rPr>
          <w:rFonts w:ascii="Arial" w:hAnsi="Arial" w:cs="Arial"/>
        </w:rPr>
      </w:pPr>
    </w:p>
    <w:p w14:paraId="42F072C7" w14:textId="77777777" w:rsidR="0047201B" w:rsidRPr="0047201B" w:rsidRDefault="0047201B" w:rsidP="0047201B">
      <w:pPr>
        <w:widowControl/>
        <w:rPr>
          <w:rFonts w:ascii="Arial" w:hAnsi="Arial" w:cs="Arial"/>
        </w:rPr>
      </w:pPr>
    </w:p>
    <w:tbl>
      <w:tblPr>
        <w:tblW w:w="9067" w:type="dxa"/>
        <w:tblCellMar>
          <w:left w:w="70" w:type="dxa"/>
          <w:right w:w="70" w:type="dxa"/>
        </w:tblCellMar>
        <w:tblLook w:val="04A0" w:firstRow="1" w:lastRow="0" w:firstColumn="1" w:lastColumn="0" w:noHBand="0" w:noVBand="1"/>
      </w:tblPr>
      <w:tblGrid>
        <w:gridCol w:w="3831"/>
        <w:gridCol w:w="1047"/>
        <w:gridCol w:w="1047"/>
        <w:gridCol w:w="1047"/>
        <w:gridCol w:w="1047"/>
        <w:gridCol w:w="1048"/>
      </w:tblGrid>
      <w:tr w:rsidR="009E130E" w:rsidRPr="0047201B" w14:paraId="1D5C266C" w14:textId="650AD249" w:rsidTr="009E130E">
        <w:trPr>
          <w:trHeight w:val="1345"/>
        </w:trPr>
        <w:tc>
          <w:tcPr>
            <w:tcW w:w="3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02040" w14:textId="38D4D913" w:rsidR="009E130E" w:rsidRPr="0047201B" w:rsidRDefault="00907F17" w:rsidP="0047201B">
            <w:pPr>
              <w:widowControl/>
              <w:spacing w:after="200" w:line="276" w:lineRule="auto"/>
              <w:jc w:val="center"/>
              <w:rPr>
                <w:rFonts w:ascii="Arial" w:eastAsiaTheme="minorHAnsi" w:hAnsi="Arial" w:cs="Arial"/>
                <w:b/>
                <w:bCs/>
                <w:color w:val="000000"/>
                <w:lang w:eastAsia="en-US"/>
              </w:rPr>
            </w:pPr>
            <w:r>
              <w:rPr>
                <w:rFonts w:ascii="Arial" w:eastAsiaTheme="minorHAnsi" w:hAnsi="Arial" w:cs="Arial"/>
                <w:b/>
                <w:bCs/>
                <w:color w:val="000000"/>
                <w:lang w:eastAsia="en-US"/>
              </w:rPr>
              <w:lastRenderedPageBreak/>
              <w:t>L</w:t>
            </w:r>
            <w:r w:rsidR="009E130E" w:rsidRPr="0047201B">
              <w:rPr>
                <w:rFonts w:ascii="Arial" w:eastAsiaTheme="minorHAnsi" w:hAnsi="Arial" w:cs="Arial"/>
                <w:b/>
                <w:bCs/>
                <w:color w:val="000000"/>
                <w:lang w:eastAsia="en-US"/>
              </w:rPr>
              <w:t xml:space="preserve">iczba przedsiębiorców/podmiotów prowadzących działalność w zakresie potwierdzania sprawności technicznej sprzętu przeznaczonego do stosowania środków ochrony roślin </w:t>
            </w:r>
          </w:p>
        </w:tc>
        <w:tc>
          <w:tcPr>
            <w:tcW w:w="1047" w:type="dxa"/>
            <w:tcBorders>
              <w:top w:val="single" w:sz="4" w:space="0" w:color="000000"/>
              <w:bottom w:val="single" w:sz="4" w:space="0" w:color="000000"/>
              <w:right w:val="single" w:sz="4" w:space="0" w:color="000000"/>
            </w:tcBorders>
            <w:vAlign w:val="center"/>
          </w:tcPr>
          <w:p w14:paraId="07ACDED0" w14:textId="77777777" w:rsidR="009E130E" w:rsidRPr="0047201B" w:rsidRDefault="009E130E" w:rsidP="007133BA">
            <w:pPr>
              <w:widowControl/>
              <w:spacing w:after="200" w:line="276" w:lineRule="auto"/>
              <w:jc w:val="center"/>
              <w:rPr>
                <w:rFonts w:ascii="Arial" w:eastAsiaTheme="minorHAnsi" w:hAnsi="Arial" w:cs="Arial"/>
                <w:b/>
                <w:bCs/>
                <w:color w:val="000000"/>
                <w:lang w:eastAsia="en-US"/>
              </w:rPr>
            </w:pPr>
            <w:r w:rsidRPr="0047201B">
              <w:rPr>
                <w:rFonts w:ascii="Arial" w:eastAsiaTheme="minorHAnsi" w:hAnsi="Arial" w:cs="Arial"/>
                <w:b/>
                <w:bCs/>
                <w:color w:val="000000"/>
                <w:lang w:eastAsia="en-US"/>
              </w:rPr>
              <w:t>2019</w:t>
            </w:r>
          </w:p>
        </w:tc>
        <w:tc>
          <w:tcPr>
            <w:tcW w:w="1047" w:type="dxa"/>
            <w:tcBorders>
              <w:top w:val="single" w:sz="4" w:space="0" w:color="000000"/>
              <w:bottom w:val="single" w:sz="4" w:space="0" w:color="000000"/>
              <w:right w:val="single" w:sz="4" w:space="0" w:color="000000"/>
            </w:tcBorders>
            <w:vAlign w:val="center"/>
          </w:tcPr>
          <w:p w14:paraId="0DEC85A4" w14:textId="77777777" w:rsidR="009E130E" w:rsidRPr="0047201B" w:rsidRDefault="009E130E" w:rsidP="007133BA">
            <w:pPr>
              <w:widowControl/>
              <w:spacing w:after="200" w:line="276" w:lineRule="auto"/>
              <w:jc w:val="center"/>
              <w:rPr>
                <w:rFonts w:ascii="Arial" w:eastAsiaTheme="minorHAnsi" w:hAnsi="Arial" w:cs="Arial"/>
                <w:b/>
                <w:bCs/>
                <w:lang w:eastAsia="en-US"/>
              </w:rPr>
            </w:pPr>
            <w:r w:rsidRPr="0047201B">
              <w:rPr>
                <w:rFonts w:ascii="Arial" w:eastAsiaTheme="minorHAnsi" w:hAnsi="Arial" w:cs="Arial"/>
                <w:b/>
                <w:bCs/>
                <w:lang w:eastAsia="en-US"/>
              </w:rPr>
              <w:t>2020</w:t>
            </w:r>
          </w:p>
        </w:tc>
        <w:tc>
          <w:tcPr>
            <w:tcW w:w="1047" w:type="dxa"/>
            <w:tcBorders>
              <w:top w:val="single" w:sz="4" w:space="0" w:color="000000"/>
              <w:bottom w:val="single" w:sz="4" w:space="0" w:color="000000"/>
              <w:right w:val="single" w:sz="4" w:space="0" w:color="000000"/>
            </w:tcBorders>
            <w:vAlign w:val="center"/>
          </w:tcPr>
          <w:p w14:paraId="45CFA145" w14:textId="77777777" w:rsidR="009E130E" w:rsidRPr="0047201B" w:rsidRDefault="009E130E" w:rsidP="007133BA">
            <w:pPr>
              <w:widowControl/>
              <w:spacing w:after="200" w:line="276" w:lineRule="auto"/>
              <w:jc w:val="center"/>
              <w:rPr>
                <w:rFonts w:ascii="Arial" w:eastAsiaTheme="minorHAnsi" w:hAnsi="Arial" w:cs="Arial"/>
                <w:b/>
                <w:bCs/>
                <w:lang w:eastAsia="en-US"/>
              </w:rPr>
            </w:pPr>
            <w:r w:rsidRPr="0047201B">
              <w:rPr>
                <w:rFonts w:ascii="Arial" w:eastAsiaTheme="minorHAnsi" w:hAnsi="Arial" w:cs="Arial"/>
                <w:b/>
                <w:bCs/>
                <w:lang w:eastAsia="en-US"/>
              </w:rPr>
              <w:t>2021</w:t>
            </w:r>
          </w:p>
        </w:tc>
        <w:tc>
          <w:tcPr>
            <w:tcW w:w="1047" w:type="dxa"/>
            <w:tcBorders>
              <w:top w:val="single" w:sz="4" w:space="0" w:color="000000"/>
              <w:bottom w:val="single" w:sz="4" w:space="0" w:color="000000"/>
              <w:right w:val="single" w:sz="4" w:space="0" w:color="000000"/>
            </w:tcBorders>
            <w:vAlign w:val="center"/>
          </w:tcPr>
          <w:p w14:paraId="496AB2DA" w14:textId="77777777" w:rsidR="009E130E" w:rsidRPr="0047201B" w:rsidRDefault="009E130E" w:rsidP="007133BA">
            <w:pPr>
              <w:widowControl/>
              <w:spacing w:after="200" w:line="276" w:lineRule="auto"/>
              <w:jc w:val="center"/>
              <w:rPr>
                <w:rFonts w:ascii="Arial" w:eastAsiaTheme="minorHAnsi" w:hAnsi="Arial" w:cs="Arial"/>
                <w:b/>
                <w:bCs/>
                <w:lang w:eastAsia="en-US"/>
              </w:rPr>
            </w:pPr>
            <w:r w:rsidRPr="0047201B">
              <w:rPr>
                <w:rFonts w:ascii="Arial" w:eastAsiaTheme="minorHAnsi" w:hAnsi="Arial" w:cs="Arial"/>
                <w:b/>
                <w:bCs/>
                <w:lang w:eastAsia="en-US"/>
              </w:rPr>
              <w:t>2022</w:t>
            </w:r>
          </w:p>
        </w:tc>
        <w:tc>
          <w:tcPr>
            <w:tcW w:w="1048" w:type="dxa"/>
            <w:tcBorders>
              <w:top w:val="single" w:sz="4" w:space="0" w:color="000000"/>
              <w:bottom w:val="single" w:sz="4" w:space="0" w:color="000000"/>
              <w:right w:val="single" w:sz="4" w:space="0" w:color="000000"/>
            </w:tcBorders>
            <w:vAlign w:val="center"/>
          </w:tcPr>
          <w:p w14:paraId="6B321734" w14:textId="7C35391C" w:rsidR="009E130E" w:rsidRPr="0047201B" w:rsidRDefault="009E130E" w:rsidP="007133BA">
            <w:pPr>
              <w:widowControl/>
              <w:spacing w:after="200" w:line="276" w:lineRule="auto"/>
              <w:jc w:val="center"/>
              <w:rPr>
                <w:rFonts w:ascii="Arial" w:eastAsiaTheme="minorHAnsi" w:hAnsi="Arial" w:cs="Arial"/>
                <w:b/>
                <w:bCs/>
                <w:lang w:eastAsia="en-US"/>
              </w:rPr>
            </w:pPr>
            <w:r>
              <w:rPr>
                <w:rFonts w:ascii="Arial" w:eastAsiaTheme="minorHAnsi" w:hAnsi="Arial" w:cs="Arial"/>
                <w:b/>
                <w:bCs/>
                <w:lang w:eastAsia="en-US"/>
              </w:rPr>
              <w:t>2023</w:t>
            </w:r>
          </w:p>
        </w:tc>
      </w:tr>
      <w:tr w:rsidR="009E130E" w:rsidRPr="0047201B" w14:paraId="7FBDB098" w14:textId="2337692E" w:rsidTr="009E130E">
        <w:trPr>
          <w:trHeight w:val="300"/>
        </w:trPr>
        <w:tc>
          <w:tcPr>
            <w:tcW w:w="3831" w:type="dxa"/>
            <w:tcBorders>
              <w:left w:val="single" w:sz="4" w:space="0" w:color="000000"/>
              <w:bottom w:val="single" w:sz="4" w:space="0" w:color="000000"/>
              <w:right w:val="single" w:sz="4" w:space="0" w:color="000000"/>
            </w:tcBorders>
            <w:shd w:val="clear" w:color="auto" w:fill="auto"/>
            <w:vAlign w:val="center"/>
          </w:tcPr>
          <w:p w14:paraId="733AACD0" w14:textId="77777777" w:rsidR="009E130E" w:rsidRPr="0047201B" w:rsidRDefault="009E130E" w:rsidP="0047201B">
            <w:pPr>
              <w:widowControl/>
              <w:spacing w:after="200" w:line="276" w:lineRule="auto"/>
              <w:rPr>
                <w:rFonts w:ascii="Arial" w:eastAsiaTheme="minorHAnsi" w:hAnsi="Arial" w:cs="Arial"/>
                <w:color w:val="000000"/>
                <w:lang w:eastAsia="en-US"/>
              </w:rPr>
            </w:pPr>
            <w:r w:rsidRPr="0047201B">
              <w:rPr>
                <w:rFonts w:ascii="Arial" w:eastAsiaTheme="minorHAnsi" w:hAnsi="Arial" w:cs="Arial"/>
                <w:color w:val="000000"/>
                <w:lang w:eastAsia="en-US"/>
              </w:rPr>
              <w:t>Ogółem, w tym badających:</w:t>
            </w:r>
          </w:p>
        </w:tc>
        <w:tc>
          <w:tcPr>
            <w:tcW w:w="1047" w:type="dxa"/>
            <w:tcBorders>
              <w:bottom w:val="single" w:sz="4" w:space="0" w:color="000000"/>
              <w:right w:val="single" w:sz="4" w:space="0" w:color="000000"/>
            </w:tcBorders>
            <w:vAlign w:val="center"/>
          </w:tcPr>
          <w:p w14:paraId="22DC279C"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386</w:t>
            </w:r>
          </w:p>
        </w:tc>
        <w:tc>
          <w:tcPr>
            <w:tcW w:w="1047" w:type="dxa"/>
            <w:tcBorders>
              <w:bottom w:val="single" w:sz="4" w:space="0" w:color="000000"/>
              <w:right w:val="single" w:sz="4" w:space="0" w:color="000000"/>
            </w:tcBorders>
            <w:vAlign w:val="center"/>
          </w:tcPr>
          <w:p w14:paraId="72E85459"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365</w:t>
            </w:r>
          </w:p>
        </w:tc>
        <w:tc>
          <w:tcPr>
            <w:tcW w:w="1047" w:type="dxa"/>
            <w:tcBorders>
              <w:bottom w:val="single" w:sz="4" w:space="0" w:color="000000"/>
              <w:right w:val="single" w:sz="4" w:space="0" w:color="000000"/>
            </w:tcBorders>
            <w:vAlign w:val="center"/>
          </w:tcPr>
          <w:p w14:paraId="55F8E1E0"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356</w:t>
            </w:r>
          </w:p>
        </w:tc>
        <w:tc>
          <w:tcPr>
            <w:tcW w:w="1047" w:type="dxa"/>
            <w:tcBorders>
              <w:bottom w:val="single" w:sz="4" w:space="0" w:color="000000"/>
              <w:right w:val="single" w:sz="4" w:space="0" w:color="000000"/>
            </w:tcBorders>
            <w:vAlign w:val="center"/>
          </w:tcPr>
          <w:p w14:paraId="47FE3ED8"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347</w:t>
            </w:r>
          </w:p>
        </w:tc>
        <w:tc>
          <w:tcPr>
            <w:tcW w:w="1048" w:type="dxa"/>
            <w:tcBorders>
              <w:bottom w:val="single" w:sz="4" w:space="0" w:color="000000"/>
              <w:right w:val="single" w:sz="4" w:space="0" w:color="000000"/>
            </w:tcBorders>
            <w:vAlign w:val="center"/>
          </w:tcPr>
          <w:p w14:paraId="1FCAC9B4" w14:textId="400EB13F"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346</w:t>
            </w:r>
          </w:p>
        </w:tc>
      </w:tr>
      <w:tr w:rsidR="009E130E" w:rsidRPr="0047201B" w14:paraId="57857145" w14:textId="2E48BF67" w:rsidTr="009E130E">
        <w:trPr>
          <w:trHeight w:val="300"/>
        </w:trPr>
        <w:tc>
          <w:tcPr>
            <w:tcW w:w="3831" w:type="dxa"/>
            <w:tcBorders>
              <w:left w:val="single" w:sz="4" w:space="0" w:color="000000"/>
              <w:bottom w:val="single" w:sz="4" w:space="0" w:color="000000"/>
              <w:right w:val="single" w:sz="4" w:space="0" w:color="000000"/>
            </w:tcBorders>
            <w:shd w:val="clear" w:color="auto" w:fill="auto"/>
            <w:vAlign w:val="center"/>
          </w:tcPr>
          <w:p w14:paraId="2B2CA60A" w14:textId="538023C9"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opryskiwacze ciągnikowe i</w:t>
            </w:r>
            <w:r>
              <w:rPr>
                <w:rFonts w:ascii="Arial" w:eastAsia="Calibri" w:hAnsi="Arial" w:cs="Arial"/>
                <w:color w:val="000000"/>
                <w:lang w:eastAsia="en-US"/>
              </w:rPr>
              <w:t> </w:t>
            </w:r>
            <w:r w:rsidRPr="0047201B">
              <w:rPr>
                <w:rFonts w:ascii="Arial" w:eastAsia="Calibri" w:hAnsi="Arial" w:cs="Arial"/>
                <w:color w:val="000000"/>
                <w:lang w:eastAsia="en-US"/>
              </w:rPr>
              <w:t>samobieżne polowe</w:t>
            </w:r>
          </w:p>
        </w:tc>
        <w:tc>
          <w:tcPr>
            <w:tcW w:w="1047" w:type="dxa"/>
            <w:tcBorders>
              <w:bottom w:val="single" w:sz="4" w:space="0" w:color="000000"/>
              <w:right w:val="single" w:sz="4" w:space="0" w:color="000000"/>
            </w:tcBorders>
            <w:vAlign w:val="center"/>
          </w:tcPr>
          <w:p w14:paraId="452235E8"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349</w:t>
            </w:r>
          </w:p>
        </w:tc>
        <w:tc>
          <w:tcPr>
            <w:tcW w:w="1047" w:type="dxa"/>
            <w:tcBorders>
              <w:bottom w:val="single" w:sz="4" w:space="0" w:color="000000"/>
              <w:right w:val="single" w:sz="4" w:space="0" w:color="000000"/>
            </w:tcBorders>
            <w:vAlign w:val="center"/>
          </w:tcPr>
          <w:p w14:paraId="4C7AEBB5"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349</w:t>
            </w:r>
          </w:p>
        </w:tc>
        <w:tc>
          <w:tcPr>
            <w:tcW w:w="1047" w:type="dxa"/>
            <w:tcBorders>
              <w:bottom w:val="single" w:sz="4" w:space="0" w:color="000000"/>
              <w:right w:val="single" w:sz="4" w:space="0" w:color="000000"/>
            </w:tcBorders>
            <w:vAlign w:val="center"/>
          </w:tcPr>
          <w:p w14:paraId="22B16435"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334</w:t>
            </w:r>
          </w:p>
        </w:tc>
        <w:tc>
          <w:tcPr>
            <w:tcW w:w="1047" w:type="dxa"/>
            <w:tcBorders>
              <w:bottom w:val="single" w:sz="4" w:space="0" w:color="000000"/>
              <w:right w:val="single" w:sz="4" w:space="0" w:color="000000"/>
            </w:tcBorders>
            <w:vAlign w:val="center"/>
          </w:tcPr>
          <w:p w14:paraId="0A5E1CD9"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324</w:t>
            </w:r>
          </w:p>
        </w:tc>
        <w:tc>
          <w:tcPr>
            <w:tcW w:w="1048" w:type="dxa"/>
            <w:tcBorders>
              <w:bottom w:val="single" w:sz="4" w:space="0" w:color="000000"/>
              <w:right w:val="single" w:sz="4" w:space="0" w:color="000000"/>
            </w:tcBorders>
            <w:vAlign w:val="center"/>
          </w:tcPr>
          <w:p w14:paraId="37E39182" w14:textId="1DE2EB01"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336</w:t>
            </w:r>
          </w:p>
        </w:tc>
      </w:tr>
      <w:tr w:rsidR="009E130E" w:rsidRPr="0047201B" w14:paraId="3D39F4CA" w14:textId="64673EA7" w:rsidTr="009E130E">
        <w:trPr>
          <w:trHeight w:val="300"/>
        </w:trPr>
        <w:tc>
          <w:tcPr>
            <w:tcW w:w="3831" w:type="dxa"/>
            <w:tcBorders>
              <w:left w:val="single" w:sz="4" w:space="0" w:color="000000"/>
              <w:bottom w:val="single" w:sz="4" w:space="0" w:color="000000"/>
              <w:right w:val="single" w:sz="4" w:space="0" w:color="000000"/>
            </w:tcBorders>
            <w:shd w:val="clear" w:color="auto" w:fill="auto"/>
            <w:vAlign w:val="center"/>
          </w:tcPr>
          <w:p w14:paraId="35574600" w14:textId="23CC9CE9"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opryskiwacze ciągnikowe i</w:t>
            </w:r>
            <w:r>
              <w:rPr>
                <w:rFonts w:ascii="Arial" w:eastAsia="Calibri" w:hAnsi="Arial" w:cs="Arial"/>
                <w:color w:val="000000"/>
                <w:lang w:eastAsia="en-US"/>
              </w:rPr>
              <w:t> </w:t>
            </w:r>
            <w:r w:rsidRPr="0047201B">
              <w:rPr>
                <w:rFonts w:ascii="Arial" w:eastAsia="Calibri" w:hAnsi="Arial" w:cs="Arial"/>
                <w:color w:val="000000"/>
                <w:lang w:eastAsia="en-US"/>
              </w:rPr>
              <w:t>samobieżne sadownicze</w:t>
            </w:r>
          </w:p>
        </w:tc>
        <w:tc>
          <w:tcPr>
            <w:tcW w:w="1047" w:type="dxa"/>
            <w:tcBorders>
              <w:bottom w:val="single" w:sz="4" w:space="0" w:color="000000"/>
              <w:right w:val="single" w:sz="4" w:space="0" w:color="000000"/>
            </w:tcBorders>
            <w:vAlign w:val="center"/>
          </w:tcPr>
          <w:p w14:paraId="5DD51C38"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181</w:t>
            </w:r>
          </w:p>
        </w:tc>
        <w:tc>
          <w:tcPr>
            <w:tcW w:w="1047" w:type="dxa"/>
            <w:tcBorders>
              <w:bottom w:val="single" w:sz="4" w:space="0" w:color="000000"/>
              <w:right w:val="single" w:sz="4" w:space="0" w:color="000000"/>
            </w:tcBorders>
            <w:vAlign w:val="center"/>
          </w:tcPr>
          <w:p w14:paraId="53A8871B"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181</w:t>
            </w:r>
          </w:p>
        </w:tc>
        <w:tc>
          <w:tcPr>
            <w:tcW w:w="1047" w:type="dxa"/>
            <w:tcBorders>
              <w:bottom w:val="single" w:sz="4" w:space="0" w:color="000000"/>
              <w:right w:val="single" w:sz="4" w:space="0" w:color="000000"/>
            </w:tcBorders>
            <w:vAlign w:val="center"/>
          </w:tcPr>
          <w:p w14:paraId="0353ECD5"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173</w:t>
            </w:r>
          </w:p>
        </w:tc>
        <w:tc>
          <w:tcPr>
            <w:tcW w:w="1047" w:type="dxa"/>
            <w:tcBorders>
              <w:bottom w:val="single" w:sz="4" w:space="0" w:color="000000"/>
              <w:right w:val="single" w:sz="4" w:space="0" w:color="000000"/>
            </w:tcBorders>
            <w:vAlign w:val="center"/>
          </w:tcPr>
          <w:p w14:paraId="45B14892"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179</w:t>
            </w:r>
          </w:p>
        </w:tc>
        <w:tc>
          <w:tcPr>
            <w:tcW w:w="1048" w:type="dxa"/>
            <w:tcBorders>
              <w:bottom w:val="single" w:sz="4" w:space="0" w:color="000000"/>
              <w:right w:val="single" w:sz="4" w:space="0" w:color="000000"/>
            </w:tcBorders>
            <w:vAlign w:val="center"/>
          </w:tcPr>
          <w:p w14:paraId="67DB73EB" w14:textId="61B15D00"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194</w:t>
            </w:r>
          </w:p>
        </w:tc>
      </w:tr>
      <w:tr w:rsidR="009E130E" w:rsidRPr="0047201B" w14:paraId="6A5BD024" w14:textId="290DE070" w:rsidTr="009E130E">
        <w:trPr>
          <w:trHeight w:val="510"/>
        </w:trPr>
        <w:tc>
          <w:tcPr>
            <w:tcW w:w="3831" w:type="dxa"/>
            <w:tcBorders>
              <w:left w:val="single" w:sz="4" w:space="0" w:color="000000"/>
              <w:bottom w:val="single" w:sz="4" w:space="0" w:color="000000"/>
              <w:right w:val="single" w:sz="4" w:space="0" w:color="000000"/>
            </w:tcBorders>
            <w:shd w:val="clear" w:color="auto" w:fill="auto"/>
            <w:vAlign w:val="center"/>
          </w:tcPr>
          <w:p w14:paraId="7370BB80" w14:textId="77777777"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opryskiwacze wyposażone w belkę opryskową, montowane na pojazdach kolejowych</w:t>
            </w:r>
          </w:p>
        </w:tc>
        <w:tc>
          <w:tcPr>
            <w:tcW w:w="1047" w:type="dxa"/>
            <w:tcBorders>
              <w:bottom w:val="single" w:sz="4" w:space="0" w:color="000000"/>
              <w:right w:val="single" w:sz="4" w:space="0" w:color="000000"/>
            </w:tcBorders>
            <w:vAlign w:val="center"/>
          </w:tcPr>
          <w:p w14:paraId="1FB14EF7"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67</w:t>
            </w:r>
          </w:p>
        </w:tc>
        <w:tc>
          <w:tcPr>
            <w:tcW w:w="1047" w:type="dxa"/>
            <w:tcBorders>
              <w:bottom w:val="single" w:sz="4" w:space="0" w:color="000000"/>
              <w:right w:val="single" w:sz="4" w:space="0" w:color="000000"/>
            </w:tcBorders>
            <w:vAlign w:val="center"/>
          </w:tcPr>
          <w:p w14:paraId="702F2EB2"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72</w:t>
            </w:r>
          </w:p>
        </w:tc>
        <w:tc>
          <w:tcPr>
            <w:tcW w:w="1047" w:type="dxa"/>
            <w:tcBorders>
              <w:bottom w:val="single" w:sz="4" w:space="0" w:color="000000"/>
              <w:right w:val="single" w:sz="4" w:space="0" w:color="000000"/>
            </w:tcBorders>
            <w:vAlign w:val="center"/>
          </w:tcPr>
          <w:p w14:paraId="5D1F621E"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69</w:t>
            </w:r>
          </w:p>
        </w:tc>
        <w:tc>
          <w:tcPr>
            <w:tcW w:w="1047" w:type="dxa"/>
            <w:tcBorders>
              <w:bottom w:val="single" w:sz="4" w:space="0" w:color="000000"/>
              <w:right w:val="single" w:sz="4" w:space="0" w:color="000000"/>
            </w:tcBorders>
            <w:vAlign w:val="center"/>
          </w:tcPr>
          <w:p w14:paraId="1803F1B1"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76</w:t>
            </w:r>
          </w:p>
        </w:tc>
        <w:tc>
          <w:tcPr>
            <w:tcW w:w="1048" w:type="dxa"/>
            <w:tcBorders>
              <w:bottom w:val="single" w:sz="4" w:space="0" w:color="000000"/>
              <w:right w:val="single" w:sz="4" w:space="0" w:color="000000"/>
            </w:tcBorders>
            <w:vAlign w:val="center"/>
          </w:tcPr>
          <w:p w14:paraId="1467E3F5" w14:textId="6296A5A5"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80</w:t>
            </w:r>
          </w:p>
        </w:tc>
      </w:tr>
      <w:tr w:rsidR="009E130E" w:rsidRPr="0047201B" w14:paraId="4EF66B1F" w14:textId="25D3ED96" w:rsidTr="009E130E">
        <w:trPr>
          <w:trHeight w:val="510"/>
        </w:trPr>
        <w:tc>
          <w:tcPr>
            <w:tcW w:w="3831" w:type="dxa"/>
            <w:tcBorders>
              <w:left w:val="single" w:sz="4" w:space="0" w:color="000000"/>
              <w:bottom w:val="single" w:sz="4" w:space="0" w:color="000000"/>
              <w:right w:val="single" w:sz="4" w:space="0" w:color="000000"/>
            </w:tcBorders>
            <w:shd w:val="clear" w:color="auto" w:fill="auto"/>
            <w:vAlign w:val="center"/>
          </w:tcPr>
          <w:p w14:paraId="5F4CE1CC" w14:textId="77777777"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inny sprzęt przeznaczony do stosowania śor montowany na pojazdach kolejowych</w:t>
            </w:r>
          </w:p>
        </w:tc>
        <w:tc>
          <w:tcPr>
            <w:tcW w:w="1047" w:type="dxa"/>
            <w:tcBorders>
              <w:bottom w:val="single" w:sz="4" w:space="0" w:color="000000"/>
              <w:right w:val="single" w:sz="4" w:space="0" w:color="000000"/>
            </w:tcBorders>
            <w:vAlign w:val="center"/>
          </w:tcPr>
          <w:p w14:paraId="638BBED5"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53</w:t>
            </w:r>
          </w:p>
        </w:tc>
        <w:tc>
          <w:tcPr>
            <w:tcW w:w="1047" w:type="dxa"/>
            <w:tcBorders>
              <w:bottom w:val="single" w:sz="4" w:space="0" w:color="000000"/>
              <w:right w:val="single" w:sz="4" w:space="0" w:color="000000"/>
            </w:tcBorders>
            <w:vAlign w:val="center"/>
          </w:tcPr>
          <w:p w14:paraId="0324D14B"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50</w:t>
            </w:r>
          </w:p>
        </w:tc>
        <w:tc>
          <w:tcPr>
            <w:tcW w:w="1047" w:type="dxa"/>
            <w:tcBorders>
              <w:bottom w:val="single" w:sz="4" w:space="0" w:color="000000"/>
              <w:right w:val="single" w:sz="4" w:space="0" w:color="000000"/>
            </w:tcBorders>
            <w:vAlign w:val="center"/>
          </w:tcPr>
          <w:p w14:paraId="367DCA8B"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53</w:t>
            </w:r>
          </w:p>
        </w:tc>
        <w:tc>
          <w:tcPr>
            <w:tcW w:w="1047" w:type="dxa"/>
            <w:tcBorders>
              <w:bottom w:val="single" w:sz="4" w:space="0" w:color="000000"/>
              <w:right w:val="single" w:sz="4" w:space="0" w:color="000000"/>
            </w:tcBorders>
            <w:vAlign w:val="center"/>
          </w:tcPr>
          <w:p w14:paraId="12CFF4FE"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62</w:t>
            </w:r>
          </w:p>
        </w:tc>
        <w:tc>
          <w:tcPr>
            <w:tcW w:w="1048" w:type="dxa"/>
            <w:tcBorders>
              <w:bottom w:val="single" w:sz="4" w:space="0" w:color="000000"/>
              <w:right w:val="single" w:sz="4" w:space="0" w:color="000000"/>
            </w:tcBorders>
            <w:vAlign w:val="center"/>
          </w:tcPr>
          <w:p w14:paraId="4E4E514F" w14:textId="468240EA"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64</w:t>
            </w:r>
          </w:p>
        </w:tc>
      </w:tr>
      <w:tr w:rsidR="009E130E" w:rsidRPr="0047201B" w14:paraId="2FEC55B2" w14:textId="6AB19A6C" w:rsidTr="009E130E">
        <w:trPr>
          <w:trHeight w:val="300"/>
        </w:trPr>
        <w:tc>
          <w:tcPr>
            <w:tcW w:w="3831" w:type="dxa"/>
            <w:tcBorders>
              <w:left w:val="single" w:sz="4" w:space="0" w:color="000000"/>
              <w:bottom w:val="single" w:sz="4" w:space="0" w:color="000000"/>
              <w:right w:val="single" w:sz="4" w:space="0" w:color="000000"/>
            </w:tcBorders>
            <w:shd w:val="clear" w:color="auto" w:fill="auto"/>
            <w:vAlign w:val="center"/>
          </w:tcPr>
          <w:p w14:paraId="5E785C9A" w14:textId="77777777"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sprzęt agrolotniczy</w:t>
            </w:r>
          </w:p>
        </w:tc>
        <w:tc>
          <w:tcPr>
            <w:tcW w:w="1047" w:type="dxa"/>
            <w:tcBorders>
              <w:bottom w:val="single" w:sz="4" w:space="0" w:color="000000"/>
              <w:right w:val="single" w:sz="4" w:space="0" w:color="000000"/>
            </w:tcBorders>
            <w:vAlign w:val="center"/>
          </w:tcPr>
          <w:p w14:paraId="79B55B79"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15</w:t>
            </w:r>
          </w:p>
        </w:tc>
        <w:tc>
          <w:tcPr>
            <w:tcW w:w="1047" w:type="dxa"/>
            <w:tcBorders>
              <w:bottom w:val="single" w:sz="4" w:space="0" w:color="000000"/>
              <w:right w:val="single" w:sz="4" w:space="0" w:color="000000"/>
            </w:tcBorders>
            <w:vAlign w:val="center"/>
          </w:tcPr>
          <w:p w14:paraId="3D831E0E"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15</w:t>
            </w:r>
          </w:p>
        </w:tc>
        <w:tc>
          <w:tcPr>
            <w:tcW w:w="1047" w:type="dxa"/>
            <w:tcBorders>
              <w:bottom w:val="single" w:sz="4" w:space="0" w:color="000000"/>
              <w:right w:val="single" w:sz="4" w:space="0" w:color="000000"/>
            </w:tcBorders>
            <w:vAlign w:val="center"/>
          </w:tcPr>
          <w:p w14:paraId="6A24C48B"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16</w:t>
            </w:r>
          </w:p>
        </w:tc>
        <w:tc>
          <w:tcPr>
            <w:tcW w:w="1047" w:type="dxa"/>
            <w:tcBorders>
              <w:bottom w:val="single" w:sz="4" w:space="0" w:color="000000"/>
              <w:right w:val="single" w:sz="4" w:space="0" w:color="000000"/>
            </w:tcBorders>
            <w:vAlign w:val="center"/>
          </w:tcPr>
          <w:p w14:paraId="1F94F0F3"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18</w:t>
            </w:r>
          </w:p>
        </w:tc>
        <w:tc>
          <w:tcPr>
            <w:tcW w:w="1048" w:type="dxa"/>
            <w:tcBorders>
              <w:bottom w:val="single" w:sz="4" w:space="0" w:color="000000"/>
              <w:right w:val="single" w:sz="4" w:space="0" w:color="000000"/>
            </w:tcBorders>
            <w:vAlign w:val="center"/>
          </w:tcPr>
          <w:p w14:paraId="3A7E2017" w14:textId="5E9ECF73"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17</w:t>
            </w:r>
          </w:p>
        </w:tc>
      </w:tr>
      <w:tr w:rsidR="009E130E" w:rsidRPr="0047201B" w14:paraId="124EB717" w14:textId="18B5BF24" w:rsidTr="009E130E">
        <w:trPr>
          <w:trHeight w:val="510"/>
        </w:trPr>
        <w:tc>
          <w:tcPr>
            <w:tcW w:w="3831" w:type="dxa"/>
            <w:tcBorders>
              <w:left w:val="single" w:sz="4" w:space="0" w:color="000000"/>
              <w:bottom w:val="single" w:sz="4" w:space="0" w:color="000000"/>
              <w:right w:val="single" w:sz="4" w:space="0" w:color="000000"/>
            </w:tcBorders>
            <w:shd w:val="clear" w:color="auto" w:fill="auto"/>
            <w:vAlign w:val="center"/>
          </w:tcPr>
          <w:p w14:paraId="18A06914" w14:textId="77777777"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urządzenia przeznaczone do zaprawiania nasion, inne niż przemysłowe</w:t>
            </w:r>
          </w:p>
        </w:tc>
        <w:tc>
          <w:tcPr>
            <w:tcW w:w="1047" w:type="dxa"/>
            <w:tcBorders>
              <w:bottom w:val="single" w:sz="4" w:space="0" w:color="000000"/>
              <w:right w:val="single" w:sz="4" w:space="0" w:color="000000"/>
            </w:tcBorders>
            <w:vAlign w:val="center"/>
          </w:tcPr>
          <w:p w14:paraId="6235BDDC"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141</w:t>
            </w:r>
          </w:p>
        </w:tc>
        <w:tc>
          <w:tcPr>
            <w:tcW w:w="1047" w:type="dxa"/>
            <w:tcBorders>
              <w:bottom w:val="single" w:sz="4" w:space="0" w:color="000000"/>
              <w:right w:val="single" w:sz="4" w:space="0" w:color="000000"/>
            </w:tcBorders>
            <w:vAlign w:val="center"/>
          </w:tcPr>
          <w:p w14:paraId="42C19D61"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146</w:t>
            </w:r>
          </w:p>
        </w:tc>
        <w:tc>
          <w:tcPr>
            <w:tcW w:w="1047" w:type="dxa"/>
            <w:tcBorders>
              <w:bottom w:val="single" w:sz="4" w:space="0" w:color="000000"/>
              <w:right w:val="single" w:sz="4" w:space="0" w:color="000000"/>
            </w:tcBorders>
            <w:vAlign w:val="center"/>
          </w:tcPr>
          <w:p w14:paraId="18BF60C4"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144</w:t>
            </w:r>
          </w:p>
        </w:tc>
        <w:tc>
          <w:tcPr>
            <w:tcW w:w="1047" w:type="dxa"/>
            <w:tcBorders>
              <w:bottom w:val="single" w:sz="4" w:space="0" w:color="000000"/>
              <w:right w:val="single" w:sz="4" w:space="0" w:color="000000"/>
            </w:tcBorders>
            <w:vAlign w:val="center"/>
          </w:tcPr>
          <w:p w14:paraId="00F00078"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156</w:t>
            </w:r>
          </w:p>
        </w:tc>
        <w:tc>
          <w:tcPr>
            <w:tcW w:w="1048" w:type="dxa"/>
            <w:tcBorders>
              <w:bottom w:val="single" w:sz="4" w:space="0" w:color="000000"/>
              <w:right w:val="single" w:sz="4" w:space="0" w:color="000000"/>
            </w:tcBorders>
            <w:vAlign w:val="center"/>
          </w:tcPr>
          <w:p w14:paraId="0F72867F" w14:textId="77207CAF"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168</w:t>
            </w:r>
          </w:p>
        </w:tc>
      </w:tr>
      <w:tr w:rsidR="009E130E" w:rsidRPr="0047201B" w14:paraId="5999E87A" w14:textId="738052FA" w:rsidTr="009E130E">
        <w:trPr>
          <w:trHeight w:val="765"/>
        </w:trPr>
        <w:tc>
          <w:tcPr>
            <w:tcW w:w="3831" w:type="dxa"/>
            <w:tcBorders>
              <w:left w:val="single" w:sz="4" w:space="0" w:color="000000"/>
              <w:bottom w:val="single" w:sz="4" w:space="0" w:color="000000"/>
              <w:right w:val="single" w:sz="4" w:space="0" w:color="000000"/>
            </w:tcBorders>
            <w:shd w:val="clear" w:color="auto" w:fill="auto"/>
            <w:vAlign w:val="center"/>
          </w:tcPr>
          <w:p w14:paraId="70D2A95F" w14:textId="77777777"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instalacje przeznaczone do stosowania śor w formie oprysku lub zamgławiania w szklarniach lub tunelach foliowych</w:t>
            </w:r>
          </w:p>
        </w:tc>
        <w:tc>
          <w:tcPr>
            <w:tcW w:w="1047" w:type="dxa"/>
            <w:tcBorders>
              <w:bottom w:val="single" w:sz="4" w:space="0" w:color="000000"/>
              <w:right w:val="single" w:sz="4" w:space="0" w:color="000000"/>
            </w:tcBorders>
            <w:vAlign w:val="center"/>
          </w:tcPr>
          <w:p w14:paraId="30F178D6"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119</w:t>
            </w:r>
          </w:p>
        </w:tc>
        <w:tc>
          <w:tcPr>
            <w:tcW w:w="1047" w:type="dxa"/>
            <w:tcBorders>
              <w:bottom w:val="single" w:sz="4" w:space="0" w:color="000000"/>
              <w:right w:val="single" w:sz="4" w:space="0" w:color="000000"/>
            </w:tcBorders>
            <w:vAlign w:val="center"/>
          </w:tcPr>
          <w:p w14:paraId="3AB56D07"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121</w:t>
            </w:r>
          </w:p>
        </w:tc>
        <w:tc>
          <w:tcPr>
            <w:tcW w:w="1047" w:type="dxa"/>
            <w:tcBorders>
              <w:bottom w:val="single" w:sz="4" w:space="0" w:color="000000"/>
              <w:right w:val="single" w:sz="4" w:space="0" w:color="000000"/>
            </w:tcBorders>
            <w:vAlign w:val="center"/>
          </w:tcPr>
          <w:p w14:paraId="5D2483BA"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117</w:t>
            </w:r>
          </w:p>
        </w:tc>
        <w:tc>
          <w:tcPr>
            <w:tcW w:w="1047" w:type="dxa"/>
            <w:tcBorders>
              <w:bottom w:val="single" w:sz="4" w:space="0" w:color="000000"/>
              <w:right w:val="single" w:sz="4" w:space="0" w:color="000000"/>
            </w:tcBorders>
            <w:vAlign w:val="center"/>
          </w:tcPr>
          <w:p w14:paraId="5CDE5CC5"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129</w:t>
            </w:r>
          </w:p>
        </w:tc>
        <w:tc>
          <w:tcPr>
            <w:tcW w:w="1048" w:type="dxa"/>
            <w:tcBorders>
              <w:bottom w:val="single" w:sz="4" w:space="0" w:color="000000"/>
              <w:right w:val="single" w:sz="4" w:space="0" w:color="000000"/>
            </w:tcBorders>
            <w:vAlign w:val="center"/>
          </w:tcPr>
          <w:p w14:paraId="1CFC2381" w14:textId="100AF0D4"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135</w:t>
            </w:r>
          </w:p>
        </w:tc>
      </w:tr>
      <w:tr w:rsidR="009E130E" w:rsidRPr="0047201B" w14:paraId="3A7A572C" w14:textId="34AC2AB8" w:rsidTr="009E130E">
        <w:trPr>
          <w:trHeight w:val="510"/>
        </w:trPr>
        <w:tc>
          <w:tcPr>
            <w:tcW w:w="3831" w:type="dxa"/>
            <w:tcBorders>
              <w:left w:val="single" w:sz="4" w:space="0" w:color="000000"/>
              <w:bottom w:val="single" w:sz="4" w:space="0" w:color="000000"/>
              <w:right w:val="single" w:sz="4" w:space="0" w:color="000000"/>
            </w:tcBorders>
            <w:shd w:val="clear" w:color="auto" w:fill="auto"/>
            <w:vAlign w:val="center"/>
          </w:tcPr>
          <w:p w14:paraId="00787447" w14:textId="77777777"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sprzęt samobieżny lub ciągnikowy przeznaczony do stosowania śor w formie granulatu</w:t>
            </w:r>
          </w:p>
        </w:tc>
        <w:tc>
          <w:tcPr>
            <w:tcW w:w="1047" w:type="dxa"/>
            <w:tcBorders>
              <w:bottom w:val="single" w:sz="4" w:space="0" w:color="000000"/>
              <w:right w:val="single" w:sz="4" w:space="0" w:color="000000"/>
            </w:tcBorders>
            <w:vAlign w:val="center"/>
          </w:tcPr>
          <w:p w14:paraId="4379034E"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103</w:t>
            </w:r>
          </w:p>
        </w:tc>
        <w:tc>
          <w:tcPr>
            <w:tcW w:w="1047" w:type="dxa"/>
            <w:tcBorders>
              <w:bottom w:val="single" w:sz="4" w:space="0" w:color="000000"/>
              <w:right w:val="single" w:sz="4" w:space="0" w:color="000000"/>
            </w:tcBorders>
            <w:vAlign w:val="center"/>
          </w:tcPr>
          <w:p w14:paraId="1480AD47"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102</w:t>
            </w:r>
          </w:p>
        </w:tc>
        <w:tc>
          <w:tcPr>
            <w:tcW w:w="1047" w:type="dxa"/>
            <w:tcBorders>
              <w:bottom w:val="single" w:sz="4" w:space="0" w:color="000000"/>
              <w:right w:val="single" w:sz="4" w:space="0" w:color="000000"/>
            </w:tcBorders>
            <w:vAlign w:val="center"/>
          </w:tcPr>
          <w:p w14:paraId="2784482C"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98</w:t>
            </w:r>
          </w:p>
        </w:tc>
        <w:tc>
          <w:tcPr>
            <w:tcW w:w="1047" w:type="dxa"/>
            <w:tcBorders>
              <w:bottom w:val="single" w:sz="4" w:space="0" w:color="000000"/>
              <w:right w:val="single" w:sz="4" w:space="0" w:color="000000"/>
            </w:tcBorders>
            <w:vAlign w:val="center"/>
          </w:tcPr>
          <w:p w14:paraId="18D18F7C"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106</w:t>
            </w:r>
          </w:p>
        </w:tc>
        <w:tc>
          <w:tcPr>
            <w:tcW w:w="1048" w:type="dxa"/>
            <w:tcBorders>
              <w:bottom w:val="single" w:sz="4" w:space="0" w:color="000000"/>
              <w:right w:val="single" w:sz="4" w:space="0" w:color="000000"/>
            </w:tcBorders>
            <w:vAlign w:val="center"/>
          </w:tcPr>
          <w:p w14:paraId="4BEFA76A" w14:textId="7EAC2F44"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113</w:t>
            </w:r>
          </w:p>
        </w:tc>
      </w:tr>
      <w:tr w:rsidR="009E130E" w:rsidRPr="0047201B" w14:paraId="3D71D846" w14:textId="00A6F95B" w:rsidTr="009E130E">
        <w:trPr>
          <w:trHeight w:val="1020"/>
        </w:trPr>
        <w:tc>
          <w:tcPr>
            <w:tcW w:w="3831" w:type="dxa"/>
            <w:tcBorders>
              <w:left w:val="single" w:sz="4" w:space="0" w:color="000000"/>
              <w:bottom w:val="single" w:sz="4" w:space="0" w:color="000000"/>
              <w:right w:val="single" w:sz="4" w:space="0" w:color="000000"/>
            </w:tcBorders>
            <w:shd w:val="clear" w:color="auto" w:fill="auto"/>
            <w:vAlign w:val="center"/>
          </w:tcPr>
          <w:p w14:paraId="026F05A2" w14:textId="77777777" w:rsidR="009E130E" w:rsidRPr="0047201B" w:rsidRDefault="009E130E" w:rsidP="00E74A80">
            <w:pPr>
              <w:widowControl/>
              <w:numPr>
                <w:ilvl w:val="0"/>
                <w:numId w:val="19"/>
              </w:numPr>
              <w:spacing w:after="160" w:line="259" w:lineRule="auto"/>
              <w:ind w:left="634" w:hanging="425"/>
              <w:contextualSpacing/>
              <w:rPr>
                <w:rFonts w:ascii="Arial" w:eastAsia="Calibri" w:hAnsi="Arial" w:cs="Arial"/>
                <w:color w:val="000000"/>
                <w:lang w:eastAsia="en-US"/>
              </w:rPr>
            </w:pPr>
            <w:r w:rsidRPr="0047201B">
              <w:rPr>
                <w:rFonts w:ascii="Arial" w:eastAsia="Calibri" w:hAnsi="Arial" w:cs="Arial"/>
                <w:color w:val="000000"/>
                <w:lang w:eastAsia="en-US"/>
              </w:rPr>
              <w:t>sprzęt przeznaczony do stosowania śor w formie oprysku, inny niż wymieniony nie będący opryskiwaczem ręcznym lub plecakowym, którego pojemność zbiornika przekracza 30 litrów</w:t>
            </w:r>
          </w:p>
        </w:tc>
        <w:tc>
          <w:tcPr>
            <w:tcW w:w="1047" w:type="dxa"/>
            <w:tcBorders>
              <w:bottom w:val="single" w:sz="4" w:space="0" w:color="000000"/>
              <w:right w:val="single" w:sz="4" w:space="0" w:color="000000"/>
            </w:tcBorders>
            <w:vAlign w:val="center"/>
          </w:tcPr>
          <w:p w14:paraId="1182B00B" w14:textId="77777777" w:rsidR="009E130E" w:rsidRPr="0047201B" w:rsidRDefault="009E130E" w:rsidP="0047201B">
            <w:pPr>
              <w:widowControl/>
              <w:spacing w:after="200" w:line="276" w:lineRule="auto"/>
              <w:jc w:val="center"/>
              <w:rPr>
                <w:rFonts w:ascii="Arial" w:eastAsiaTheme="minorHAnsi" w:hAnsi="Arial" w:cs="Arial"/>
                <w:color w:val="000000"/>
                <w:lang w:eastAsia="en-US"/>
              </w:rPr>
            </w:pPr>
            <w:r w:rsidRPr="0047201B">
              <w:rPr>
                <w:rFonts w:ascii="Arial" w:eastAsiaTheme="minorHAnsi" w:hAnsi="Arial" w:cs="Arial"/>
                <w:color w:val="000000"/>
                <w:lang w:eastAsia="en-US"/>
              </w:rPr>
              <w:t>120</w:t>
            </w:r>
          </w:p>
        </w:tc>
        <w:tc>
          <w:tcPr>
            <w:tcW w:w="1047" w:type="dxa"/>
            <w:tcBorders>
              <w:bottom w:val="single" w:sz="4" w:space="0" w:color="000000"/>
              <w:right w:val="single" w:sz="4" w:space="0" w:color="000000"/>
            </w:tcBorders>
            <w:vAlign w:val="center"/>
          </w:tcPr>
          <w:p w14:paraId="5DA85742" w14:textId="77777777" w:rsidR="009E130E" w:rsidRPr="0047201B" w:rsidRDefault="009E130E" w:rsidP="0047201B">
            <w:pPr>
              <w:widowControl/>
              <w:spacing w:after="200" w:line="276" w:lineRule="auto"/>
              <w:jc w:val="center"/>
              <w:rPr>
                <w:rFonts w:ascii="Arial" w:eastAsiaTheme="minorHAnsi" w:hAnsi="Arial" w:cs="Arial"/>
                <w:lang w:eastAsia="en-US"/>
              </w:rPr>
            </w:pPr>
            <w:r w:rsidRPr="0047201B">
              <w:rPr>
                <w:rFonts w:ascii="Arial" w:eastAsiaTheme="minorHAnsi" w:hAnsi="Arial" w:cs="Arial"/>
                <w:lang w:eastAsia="en-US"/>
              </w:rPr>
              <w:t>119</w:t>
            </w:r>
          </w:p>
        </w:tc>
        <w:tc>
          <w:tcPr>
            <w:tcW w:w="1047" w:type="dxa"/>
            <w:tcBorders>
              <w:bottom w:val="single" w:sz="4" w:space="0" w:color="000000"/>
              <w:right w:val="single" w:sz="4" w:space="0" w:color="000000"/>
            </w:tcBorders>
            <w:vAlign w:val="center"/>
          </w:tcPr>
          <w:p w14:paraId="1E2860D6"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114</w:t>
            </w:r>
          </w:p>
        </w:tc>
        <w:tc>
          <w:tcPr>
            <w:tcW w:w="1047" w:type="dxa"/>
            <w:tcBorders>
              <w:bottom w:val="single" w:sz="4" w:space="0" w:color="000000"/>
              <w:right w:val="single" w:sz="4" w:space="0" w:color="000000"/>
            </w:tcBorders>
            <w:vAlign w:val="center"/>
          </w:tcPr>
          <w:p w14:paraId="0E17ADC3" w14:textId="77777777" w:rsidR="009E130E" w:rsidRPr="0047201B" w:rsidRDefault="009E130E" w:rsidP="0047201B">
            <w:pPr>
              <w:widowControl/>
              <w:spacing w:after="200" w:line="276" w:lineRule="auto"/>
              <w:jc w:val="center"/>
              <w:rPr>
                <w:rFonts w:ascii="Arial" w:eastAsiaTheme="minorHAnsi" w:hAnsi="Arial" w:cs="Arial"/>
                <w:bCs/>
                <w:lang w:eastAsia="en-US"/>
              </w:rPr>
            </w:pPr>
            <w:r w:rsidRPr="0047201B">
              <w:rPr>
                <w:rFonts w:ascii="Arial" w:eastAsiaTheme="minorHAnsi" w:hAnsi="Arial" w:cs="Arial"/>
                <w:bCs/>
                <w:lang w:eastAsia="en-US"/>
              </w:rPr>
              <w:t>123</w:t>
            </w:r>
          </w:p>
        </w:tc>
        <w:tc>
          <w:tcPr>
            <w:tcW w:w="1048" w:type="dxa"/>
            <w:tcBorders>
              <w:bottom w:val="single" w:sz="4" w:space="0" w:color="000000"/>
              <w:right w:val="single" w:sz="4" w:space="0" w:color="000000"/>
            </w:tcBorders>
            <w:vAlign w:val="center"/>
          </w:tcPr>
          <w:p w14:paraId="20B8B9C7" w14:textId="06854E5F" w:rsidR="009E130E" w:rsidRPr="0047201B" w:rsidRDefault="009E130E" w:rsidP="0047201B">
            <w:pPr>
              <w:widowControl/>
              <w:spacing w:after="200" w:line="276" w:lineRule="auto"/>
              <w:jc w:val="right"/>
              <w:rPr>
                <w:rFonts w:ascii="Arial" w:eastAsiaTheme="minorHAnsi" w:hAnsi="Arial" w:cs="Arial"/>
                <w:bCs/>
                <w:lang w:eastAsia="en-US"/>
              </w:rPr>
            </w:pPr>
            <w:r>
              <w:rPr>
                <w:rFonts w:ascii="Arial" w:eastAsiaTheme="minorHAnsi" w:hAnsi="Arial" w:cs="Arial"/>
                <w:bCs/>
                <w:lang w:eastAsia="en-US"/>
              </w:rPr>
              <w:t>134</w:t>
            </w:r>
          </w:p>
        </w:tc>
      </w:tr>
    </w:tbl>
    <w:p w14:paraId="5382C561" w14:textId="77777777" w:rsidR="0047201B" w:rsidRPr="0047201B" w:rsidRDefault="0047201B" w:rsidP="0047201B">
      <w:pPr>
        <w:tabs>
          <w:tab w:val="left" w:pos="284"/>
        </w:tabs>
        <w:spacing w:before="120" w:after="120" w:line="360" w:lineRule="auto"/>
        <w:ind w:firstLine="284"/>
        <w:jc w:val="both"/>
        <w:rPr>
          <w:rFonts w:ascii="Arial" w:hAnsi="Arial" w:cs="Arial"/>
        </w:rPr>
      </w:pPr>
      <w:r w:rsidRPr="0047201B">
        <w:rPr>
          <w:rFonts w:ascii="Arial" w:hAnsi="Arial" w:cs="Arial"/>
        </w:rPr>
        <w:t>Należy zaznaczyć, jak wskazywano także powyżej, że jeden przedsiębiorca/podmiot mógł być uprawniony do wykonywania badań sprzętu należącego do różnych kategorii.</w:t>
      </w:r>
    </w:p>
    <w:p w14:paraId="532F98C8" w14:textId="10C5CA56" w:rsidR="0018255F" w:rsidRDefault="0047201B" w:rsidP="0047201B">
      <w:pPr>
        <w:tabs>
          <w:tab w:val="left" w:pos="284"/>
        </w:tabs>
        <w:spacing w:after="120" w:line="360" w:lineRule="auto"/>
        <w:ind w:firstLine="284"/>
        <w:jc w:val="both"/>
        <w:rPr>
          <w:rFonts w:ascii="Arial" w:hAnsi="Arial" w:cs="Arial"/>
        </w:rPr>
      </w:pPr>
      <w:r w:rsidRPr="0047201B">
        <w:rPr>
          <w:rFonts w:ascii="Arial" w:hAnsi="Arial" w:cs="Arial"/>
        </w:rPr>
        <w:t>Ogólna liczba jednostek posiadających uprawnienia do badania stanu technicznego sprzętu do stosowania środków ochrony roślin</w:t>
      </w:r>
      <w:r w:rsidR="00F74429">
        <w:rPr>
          <w:rFonts w:ascii="Arial" w:hAnsi="Arial" w:cs="Arial"/>
        </w:rPr>
        <w:t xml:space="preserve"> </w:t>
      </w:r>
      <w:r w:rsidRPr="0047201B">
        <w:rPr>
          <w:rFonts w:ascii="Arial" w:hAnsi="Arial" w:cs="Arial"/>
        </w:rPr>
        <w:t>zapewnia możliwość dostępu do badań zainteresowanym podmiotom.</w:t>
      </w:r>
    </w:p>
    <w:p w14:paraId="210F01E7" w14:textId="61610D20" w:rsidR="008457C2" w:rsidRDefault="0018255F" w:rsidP="0018255F">
      <w:pPr>
        <w:tabs>
          <w:tab w:val="left" w:pos="284"/>
        </w:tabs>
        <w:spacing w:after="120" w:line="360" w:lineRule="auto"/>
        <w:ind w:firstLine="284"/>
        <w:jc w:val="both"/>
        <w:rPr>
          <w:rFonts w:ascii="Arial" w:hAnsi="Arial" w:cs="Arial"/>
        </w:rPr>
      </w:pPr>
      <w:r w:rsidRPr="0018255F">
        <w:rPr>
          <w:rFonts w:ascii="Arial" w:hAnsi="Arial" w:cs="Arial"/>
        </w:rPr>
        <w:t>W 20</w:t>
      </w:r>
      <w:r>
        <w:rPr>
          <w:rFonts w:ascii="Arial" w:hAnsi="Arial" w:cs="Arial"/>
        </w:rPr>
        <w:t>23</w:t>
      </w:r>
      <w:r w:rsidRPr="0018255F">
        <w:rPr>
          <w:rFonts w:ascii="Arial" w:hAnsi="Arial" w:cs="Arial"/>
        </w:rPr>
        <w:t xml:space="preserve"> r. przeprowadzono ogółem </w:t>
      </w:r>
      <w:r>
        <w:rPr>
          <w:rFonts w:ascii="Arial" w:hAnsi="Arial" w:cs="Arial"/>
        </w:rPr>
        <w:t>78 494</w:t>
      </w:r>
      <w:r w:rsidRPr="0018255F">
        <w:rPr>
          <w:rFonts w:ascii="Arial" w:hAnsi="Arial" w:cs="Arial"/>
        </w:rPr>
        <w:t xml:space="preserve"> bada</w:t>
      </w:r>
      <w:r>
        <w:rPr>
          <w:rFonts w:ascii="Arial" w:hAnsi="Arial" w:cs="Arial"/>
        </w:rPr>
        <w:t>nia</w:t>
      </w:r>
      <w:r w:rsidRPr="0018255F">
        <w:rPr>
          <w:rFonts w:ascii="Arial" w:hAnsi="Arial" w:cs="Arial"/>
        </w:rPr>
        <w:t xml:space="preserve"> sprzętu przeznaczonego do stosowania środków ochrony roślin</w:t>
      </w:r>
      <w:r w:rsidR="008457C2">
        <w:rPr>
          <w:rFonts w:ascii="Arial" w:hAnsi="Arial" w:cs="Arial"/>
        </w:rPr>
        <w:t xml:space="preserve">, tak więc </w:t>
      </w:r>
      <w:r w:rsidRPr="0018255F">
        <w:rPr>
          <w:rFonts w:ascii="Arial" w:hAnsi="Arial" w:cs="Arial"/>
        </w:rPr>
        <w:t>aktualne zaświadczenie potwierdzające sprawność techniczną posiadał</w:t>
      </w:r>
      <w:r w:rsidR="0068385B">
        <w:rPr>
          <w:rFonts w:ascii="Arial" w:hAnsi="Arial" w:cs="Arial"/>
        </w:rPr>
        <w:t>y</w:t>
      </w:r>
      <w:r w:rsidRPr="0018255F">
        <w:rPr>
          <w:rFonts w:ascii="Arial" w:hAnsi="Arial" w:cs="Arial"/>
        </w:rPr>
        <w:t xml:space="preserve"> </w:t>
      </w:r>
      <w:r w:rsidR="008457C2">
        <w:rPr>
          <w:rFonts w:ascii="Arial" w:hAnsi="Arial" w:cs="Arial"/>
        </w:rPr>
        <w:t>216 482 urządzenia.</w:t>
      </w:r>
    </w:p>
    <w:p w14:paraId="44DFB651" w14:textId="265DEFFC" w:rsidR="0018255F" w:rsidRDefault="0018255F" w:rsidP="0018255F">
      <w:pPr>
        <w:tabs>
          <w:tab w:val="left" w:pos="284"/>
        </w:tabs>
        <w:spacing w:after="120" w:line="360" w:lineRule="auto"/>
        <w:ind w:firstLine="284"/>
        <w:jc w:val="both"/>
        <w:rPr>
          <w:rFonts w:ascii="Arial" w:hAnsi="Arial" w:cs="Arial"/>
        </w:rPr>
      </w:pPr>
      <w:r w:rsidRPr="0018255F">
        <w:rPr>
          <w:rFonts w:ascii="Arial" w:hAnsi="Arial" w:cs="Arial"/>
        </w:rPr>
        <w:t xml:space="preserve">Szczegółowe dane przedstawia tabela </w:t>
      </w:r>
      <w:r w:rsidR="00003D51">
        <w:rPr>
          <w:rFonts w:ascii="Arial" w:hAnsi="Arial" w:cs="Arial"/>
        </w:rPr>
        <w:t xml:space="preserve">4 </w:t>
      </w:r>
      <w:r w:rsidRPr="0018255F">
        <w:rPr>
          <w:rFonts w:ascii="Arial" w:hAnsi="Arial" w:cs="Arial"/>
        </w:rPr>
        <w:t>poniżej.</w:t>
      </w:r>
    </w:p>
    <w:p w14:paraId="5C7FCB5E" w14:textId="77777777" w:rsidR="007133BA" w:rsidRDefault="007133BA" w:rsidP="0018255F">
      <w:pPr>
        <w:tabs>
          <w:tab w:val="left" w:pos="284"/>
        </w:tabs>
        <w:spacing w:after="120" w:line="360" w:lineRule="auto"/>
        <w:ind w:firstLine="284"/>
        <w:jc w:val="both"/>
        <w:rPr>
          <w:rFonts w:ascii="Arial" w:hAnsi="Arial" w:cs="Arial"/>
        </w:rPr>
      </w:pPr>
    </w:p>
    <w:p w14:paraId="7784C653" w14:textId="77777777" w:rsidR="005175CE" w:rsidRPr="0018255F" w:rsidRDefault="005175CE" w:rsidP="0018255F">
      <w:pPr>
        <w:tabs>
          <w:tab w:val="left" w:pos="284"/>
        </w:tabs>
        <w:spacing w:after="120" w:line="360" w:lineRule="auto"/>
        <w:ind w:firstLine="284"/>
        <w:jc w:val="both"/>
        <w:rPr>
          <w:rFonts w:ascii="Arial" w:hAnsi="Arial" w:cs="Arial"/>
        </w:rPr>
      </w:pPr>
    </w:p>
    <w:tbl>
      <w:tblPr>
        <w:tblStyle w:val="Tabela-Siatka"/>
        <w:tblW w:w="9067" w:type="dxa"/>
        <w:tblLook w:val="04A0" w:firstRow="1" w:lastRow="0" w:firstColumn="1" w:lastColumn="0" w:noHBand="0" w:noVBand="1"/>
      </w:tblPr>
      <w:tblGrid>
        <w:gridCol w:w="3007"/>
        <w:gridCol w:w="1009"/>
        <w:gridCol w:w="1009"/>
        <w:gridCol w:w="1009"/>
        <w:gridCol w:w="1009"/>
        <w:gridCol w:w="2024"/>
      </w:tblGrid>
      <w:tr w:rsidR="009E130E" w:rsidRPr="0018255F" w14:paraId="523017C8" w14:textId="6FFACEDD" w:rsidTr="009E130E">
        <w:tc>
          <w:tcPr>
            <w:tcW w:w="3007" w:type="dxa"/>
            <w:vAlign w:val="center"/>
          </w:tcPr>
          <w:p w14:paraId="55620E9A" w14:textId="77777777" w:rsidR="009E130E" w:rsidRPr="0018255F" w:rsidRDefault="009E130E" w:rsidP="0018255F">
            <w:pPr>
              <w:tabs>
                <w:tab w:val="left" w:pos="284"/>
              </w:tabs>
              <w:spacing w:after="120" w:line="360" w:lineRule="auto"/>
              <w:jc w:val="center"/>
              <w:rPr>
                <w:rFonts w:ascii="Arial" w:hAnsi="Arial" w:cs="Arial"/>
                <w:b/>
              </w:rPr>
            </w:pPr>
            <w:r w:rsidRPr="0018255F">
              <w:rPr>
                <w:rFonts w:ascii="Arial" w:hAnsi="Arial" w:cs="Arial"/>
                <w:b/>
              </w:rPr>
              <w:lastRenderedPageBreak/>
              <w:t>Rok</w:t>
            </w:r>
          </w:p>
        </w:tc>
        <w:tc>
          <w:tcPr>
            <w:tcW w:w="1009" w:type="dxa"/>
            <w:vAlign w:val="center"/>
          </w:tcPr>
          <w:p w14:paraId="2D3D41BE" w14:textId="77777777" w:rsidR="009E130E" w:rsidRPr="0018255F" w:rsidRDefault="009E130E" w:rsidP="0018255F">
            <w:pPr>
              <w:tabs>
                <w:tab w:val="left" w:pos="284"/>
              </w:tabs>
              <w:spacing w:after="120" w:line="360" w:lineRule="auto"/>
              <w:jc w:val="center"/>
              <w:rPr>
                <w:rFonts w:ascii="Arial" w:hAnsi="Arial" w:cs="Arial"/>
                <w:b/>
              </w:rPr>
            </w:pPr>
            <w:r w:rsidRPr="0018255F">
              <w:rPr>
                <w:rFonts w:ascii="Arial" w:hAnsi="Arial" w:cs="Arial"/>
                <w:b/>
              </w:rPr>
              <w:t>2019</w:t>
            </w:r>
          </w:p>
        </w:tc>
        <w:tc>
          <w:tcPr>
            <w:tcW w:w="1009" w:type="dxa"/>
            <w:vAlign w:val="center"/>
          </w:tcPr>
          <w:p w14:paraId="220FF1AA" w14:textId="77777777" w:rsidR="009E130E" w:rsidRPr="0018255F" w:rsidRDefault="009E130E" w:rsidP="0018255F">
            <w:pPr>
              <w:tabs>
                <w:tab w:val="left" w:pos="284"/>
              </w:tabs>
              <w:spacing w:after="120" w:line="360" w:lineRule="auto"/>
              <w:jc w:val="center"/>
              <w:rPr>
                <w:rFonts w:ascii="Arial" w:hAnsi="Arial" w:cs="Arial"/>
                <w:b/>
              </w:rPr>
            </w:pPr>
            <w:r w:rsidRPr="0018255F">
              <w:rPr>
                <w:rFonts w:ascii="Arial" w:hAnsi="Arial" w:cs="Arial"/>
                <w:b/>
              </w:rPr>
              <w:t>2020</w:t>
            </w:r>
          </w:p>
        </w:tc>
        <w:tc>
          <w:tcPr>
            <w:tcW w:w="1009" w:type="dxa"/>
            <w:vAlign w:val="center"/>
          </w:tcPr>
          <w:p w14:paraId="58B6BFDA" w14:textId="77777777" w:rsidR="009E130E" w:rsidRPr="0018255F" w:rsidRDefault="009E130E" w:rsidP="0018255F">
            <w:pPr>
              <w:tabs>
                <w:tab w:val="left" w:pos="284"/>
              </w:tabs>
              <w:spacing w:after="120" w:line="360" w:lineRule="auto"/>
              <w:jc w:val="center"/>
              <w:rPr>
                <w:rFonts w:ascii="Arial" w:hAnsi="Arial" w:cs="Arial"/>
                <w:b/>
              </w:rPr>
            </w:pPr>
            <w:r w:rsidRPr="0018255F">
              <w:rPr>
                <w:rFonts w:ascii="Arial" w:hAnsi="Arial" w:cs="Arial"/>
                <w:b/>
              </w:rPr>
              <w:t>2021</w:t>
            </w:r>
          </w:p>
        </w:tc>
        <w:tc>
          <w:tcPr>
            <w:tcW w:w="1009" w:type="dxa"/>
            <w:vAlign w:val="center"/>
          </w:tcPr>
          <w:p w14:paraId="75EAF7C4" w14:textId="77777777" w:rsidR="009E130E" w:rsidRPr="0018255F" w:rsidRDefault="009E130E" w:rsidP="0018255F">
            <w:pPr>
              <w:tabs>
                <w:tab w:val="left" w:pos="284"/>
              </w:tabs>
              <w:spacing w:after="120" w:line="360" w:lineRule="auto"/>
              <w:jc w:val="center"/>
              <w:rPr>
                <w:rFonts w:ascii="Arial" w:hAnsi="Arial" w:cs="Arial"/>
                <w:b/>
              </w:rPr>
            </w:pPr>
            <w:r w:rsidRPr="0018255F">
              <w:rPr>
                <w:rFonts w:ascii="Arial" w:hAnsi="Arial" w:cs="Arial"/>
                <w:b/>
              </w:rPr>
              <w:t>2022</w:t>
            </w:r>
          </w:p>
        </w:tc>
        <w:tc>
          <w:tcPr>
            <w:tcW w:w="2024" w:type="dxa"/>
          </w:tcPr>
          <w:p w14:paraId="03DEEB20" w14:textId="3A3D30BC" w:rsidR="009E130E" w:rsidRPr="0018255F" w:rsidRDefault="009E130E" w:rsidP="0018255F">
            <w:pPr>
              <w:tabs>
                <w:tab w:val="left" w:pos="284"/>
              </w:tabs>
              <w:spacing w:after="120" w:line="360" w:lineRule="auto"/>
              <w:jc w:val="center"/>
              <w:rPr>
                <w:rFonts w:ascii="Arial" w:hAnsi="Arial" w:cs="Arial"/>
                <w:b/>
              </w:rPr>
            </w:pPr>
            <w:r>
              <w:rPr>
                <w:rFonts w:ascii="Arial" w:hAnsi="Arial" w:cs="Arial"/>
                <w:b/>
              </w:rPr>
              <w:t>2023</w:t>
            </w:r>
          </w:p>
        </w:tc>
      </w:tr>
      <w:tr w:rsidR="009E130E" w:rsidRPr="0018255F" w14:paraId="08E6AB81" w14:textId="37DA547A" w:rsidTr="009E130E">
        <w:trPr>
          <w:trHeight w:val="834"/>
        </w:trPr>
        <w:tc>
          <w:tcPr>
            <w:tcW w:w="3007" w:type="dxa"/>
          </w:tcPr>
          <w:p w14:paraId="1A0D3DFB" w14:textId="77777777" w:rsidR="009E130E" w:rsidRPr="0018255F" w:rsidRDefault="009E130E" w:rsidP="008457C2">
            <w:pPr>
              <w:widowControl/>
              <w:spacing w:after="200" w:line="276" w:lineRule="auto"/>
              <w:rPr>
                <w:rFonts w:ascii="Arial" w:eastAsiaTheme="minorHAnsi" w:hAnsi="Arial" w:cs="Arial"/>
                <w:sz w:val="22"/>
                <w:szCs w:val="22"/>
                <w:lang w:eastAsia="en-US"/>
              </w:rPr>
            </w:pPr>
            <w:r w:rsidRPr="0018255F">
              <w:rPr>
                <w:rFonts w:ascii="Arial" w:eastAsiaTheme="minorHAnsi" w:hAnsi="Arial" w:cs="Arial"/>
                <w:color w:val="000000"/>
                <w:lang w:eastAsia="en-US"/>
              </w:rPr>
              <w:t>Liczba opryskiwaczy posiadających aktualne zaświadczenie potwierdzające sprawność techniczną</w:t>
            </w:r>
            <w:r w:rsidRPr="0018255F">
              <w:rPr>
                <w:rFonts w:ascii="Arial" w:eastAsiaTheme="minorHAnsi" w:hAnsi="Arial" w:cs="Arial"/>
                <w:sz w:val="22"/>
                <w:szCs w:val="22"/>
                <w:lang w:eastAsia="en-US"/>
              </w:rPr>
              <w:t xml:space="preserve"> </w:t>
            </w:r>
          </w:p>
        </w:tc>
        <w:tc>
          <w:tcPr>
            <w:tcW w:w="1009" w:type="dxa"/>
            <w:vAlign w:val="center"/>
          </w:tcPr>
          <w:p w14:paraId="36080889" w14:textId="5EC57ACC"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234</w:t>
            </w:r>
            <w:r>
              <w:rPr>
                <w:rFonts w:ascii="Arial" w:hAnsi="Arial" w:cs="Arial"/>
              </w:rPr>
              <w:t> </w:t>
            </w:r>
            <w:r w:rsidRPr="0018255F">
              <w:rPr>
                <w:rFonts w:ascii="Arial" w:hAnsi="Arial" w:cs="Arial"/>
              </w:rPr>
              <w:t>745</w:t>
            </w:r>
          </w:p>
        </w:tc>
        <w:tc>
          <w:tcPr>
            <w:tcW w:w="1009" w:type="dxa"/>
            <w:vAlign w:val="center"/>
          </w:tcPr>
          <w:p w14:paraId="6D3C43B0" w14:textId="5F386F7C"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215</w:t>
            </w:r>
            <w:r>
              <w:rPr>
                <w:rFonts w:ascii="Arial" w:hAnsi="Arial" w:cs="Arial"/>
              </w:rPr>
              <w:t> </w:t>
            </w:r>
            <w:r w:rsidRPr="0018255F">
              <w:rPr>
                <w:rFonts w:ascii="Arial" w:hAnsi="Arial" w:cs="Arial"/>
              </w:rPr>
              <w:t>899</w:t>
            </w:r>
          </w:p>
        </w:tc>
        <w:tc>
          <w:tcPr>
            <w:tcW w:w="1009" w:type="dxa"/>
            <w:vAlign w:val="center"/>
          </w:tcPr>
          <w:p w14:paraId="3BFDA190" w14:textId="05754E58"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209</w:t>
            </w:r>
            <w:r>
              <w:rPr>
                <w:rFonts w:ascii="Arial" w:hAnsi="Arial" w:cs="Arial"/>
              </w:rPr>
              <w:t> </w:t>
            </w:r>
            <w:r w:rsidRPr="0018255F">
              <w:rPr>
                <w:rFonts w:ascii="Arial" w:hAnsi="Arial" w:cs="Arial"/>
              </w:rPr>
              <w:t>902</w:t>
            </w:r>
          </w:p>
        </w:tc>
        <w:tc>
          <w:tcPr>
            <w:tcW w:w="1009" w:type="dxa"/>
            <w:vAlign w:val="center"/>
          </w:tcPr>
          <w:p w14:paraId="0C2BD713" w14:textId="44B18C71"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204</w:t>
            </w:r>
            <w:r>
              <w:rPr>
                <w:rFonts w:ascii="Arial" w:hAnsi="Arial" w:cs="Arial"/>
              </w:rPr>
              <w:t> </w:t>
            </w:r>
            <w:r w:rsidRPr="0018255F">
              <w:rPr>
                <w:rFonts w:ascii="Arial" w:hAnsi="Arial" w:cs="Arial"/>
              </w:rPr>
              <w:t>312</w:t>
            </w:r>
          </w:p>
        </w:tc>
        <w:tc>
          <w:tcPr>
            <w:tcW w:w="2024" w:type="dxa"/>
            <w:vAlign w:val="center"/>
          </w:tcPr>
          <w:p w14:paraId="4DE7AB1B" w14:textId="565CE88E" w:rsidR="009E130E" w:rsidRPr="0018255F" w:rsidRDefault="009E130E" w:rsidP="00FC5438">
            <w:pPr>
              <w:tabs>
                <w:tab w:val="left" w:pos="284"/>
              </w:tabs>
              <w:spacing w:after="120" w:line="360" w:lineRule="auto"/>
              <w:jc w:val="right"/>
              <w:rPr>
                <w:rFonts w:ascii="Arial" w:hAnsi="Arial" w:cs="Arial"/>
              </w:rPr>
            </w:pPr>
            <w:r>
              <w:rPr>
                <w:rFonts w:ascii="Arial" w:hAnsi="Arial" w:cs="Arial"/>
              </w:rPr>
              <w:t>216 482</w:t>
            </w:r>
          </w:p>
        </w:tc>
      </w:tr>
      <w:tr w:rsidR="009E130E" w:rsidRPr="0018255F" w14:paraId="78EDD210" w14:textId="0EFB2FC9" w:rsidTr="009E130E">
        <w:tc>
          <w:tcPr>
            <w:tcW w:w="3007" w:type="dxa"/>
          </w:tcPr>
          <w:p w14:paraId="144E1ECD" w14:textId="77777777" w:rsidR="009E130E" w:rsidRPr="0018255F" w:rsidRDefault="009E130E" w:rsidP="00E74A80">
            <w:pPr>
              <w:widowControl/>
              <w:numPr>
                <w:ilvl w:val="0"/>
                <w:numId w:val="19"/>
              </w:numPr>
              <w:spacing w:after="160" w:line="259" w:lineRule="auto"/>
              <w:ind w:left="634" w:hanging="425"/>
              <w:contextualSpacing/>
              <w:rPr>
                <w:rFonts w:ascii="Arial" w:eastAsiaTheme="minorHAnsi" w:hAnsi="Arial" w:cs="Arial"/>
                <w:sz w:val="22"/>
                <w:szCs w:val="22"/>
                <w:lang w:eastAsia="en-US"/>
              </w:rPr>
            </w:pPr>
            <w:r w:rsidRPr="0018255F">
              <w:rPr>
                <w:rFonts w:ascii="Arial" w:eastAsia="Calibri" w:hAnsi="Arial" w:cs="Arial"/>
                <w:color w:val="000000"/>
                <w:lang w:eastAsia="en-US"/>
              </w:rPr>
              <w:t>w tym opryskiwaczy wyposażonych w belkę opryskową montowaną na pojazdach kolejowych</w:t>
            </w:r>
            <w:r w:rsidRPr="0018255F">
              <w:rPr>
                <w:rFonts w:ascii="Arial" w:eastAsiaTheme="minorHAnsi" w:hAnsi="Arial" w:cs="Arial"/>
                <w:sz w:val="22"/>
                <w:szCs w:val="22"/>
                <w:lang w:eastAsia="en-US"/>
              </w:rPr>
              <w:t xml:space="preserve"> </w:t>
            </w:r>
          </w:p>
        </w:tc>
        <w:tc>
          <w:tcPr>
            <w:tcW w:w="1009" w:type="dxa"/>
            <w:vAlign w:val="center"/>
          </w:tcPr>
          <w:p w14:paraId="6BCA83A5" w14:textId="77777777"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16</w:t>
            </w:r>
          </w:p>
        </w:tc>
        <w:tc>
          <w:tcPr>
            <w:tcW w:w="1009" w:type="dxa"/>
            <w:vAlign w:val="center"/>
          </w:tcPr>
          <w:p w14:paraId="5329412F" w14:textId="77777777"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13</w:t>
            </w:r>
          </w:p>
        </w:tc>
        <w:tc>
          <w:tcPr>
            <w:tcW w:w="1009" w:type="dxa"/>
            <w:vAlign w:val="center"/>
          </w:tcPr>
          <w:p w14:paraId="70B685CF" w14:textId="77777777"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16</w:t>
            </w:r>
          </w:p>
        </w:tc>
        <w:tc>
          <w:tcPr>
            <w:tcW w:w="1009" w:type="dxa"/>
            <w:vAlign w:val="center"/>
          </w:tcPr>
          <w:p w14:paraId="253838F5" w14:textId="77777777"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21</w:t>
            </w:r>
          </w:p>
        </w:tc>
        <w:tc>
          <w:tcPr>
            <w:tcW w:w="2024" w:type="dxa"/>
            <w:vAlign w:val="center"/>
          </w:tcPr>
          <w:p w14:paraId="5564FB86" w14:textId="659FDE58" w:rsidR="009E130E" w:rsidRPr="0018255F" w:rsidRDefault="009E130E" w:rsidP="00FC5438">
            <w:pPr>
              <w:tabs>
                <w:tab w:val="left" w:pos="284"/>
              </w:tabs>
              <w:spacing w:after="120" w:line="360" w:lineRule="auto"/>
              <w:jc w:val="right"/>
              <w:rPr>
                <w:rFonts w:ascii="Arial" w:hAnsi="Arial" w:cs="Arial"/>
              </w:rPr>
            </w:pPr>
            <w:r>
              <w:rPr>
                <w:rFonts w:ascii="Arial" w:hAnsi="Arial" w:cs="Arial"/>
              </w:rPr>
              <w:t>22</w:t>
            </w:r>
          </w:p>
        </w:tc>
      </w:tr>
      <w:tr w:rsidR="009E130E" w:rsidRPr="0018255F" w14:paraId="2916BCB9" w14:textId="39C20AB2" w:rsidTr="009E130E">
        <w:tc>
          <w:tcPr>
            <w:tcW w:w="3007" w:type="dxa"/>
          </w:tcPr>
          <w:p w14:paraId="56A09F74" w14:textId="77777777" w:rsidR="009E130E" w:rsidRPr="0018255F" w:rsidRDefault="009E130E" w:rsidP="00E74A80">
            <w:pPr>
              <w:widowControl/>
              <w:numPr>
                <w:ilvl w:val="0"/>
                <w:numId w:val="19"/>
              </w:numPr>
              <w:spacing w:after="160" w:line="259" w:lineRule="auto"/>
              <w:ind w:left="634" w:hanging="425"/>
              <w:contextualSpacing/>
              <w:rPr>
                <w:rFonts w:ascii="Arial" w:eastAsiaTheme="minorHAnsi" w:hAnsi="Arial" w:cs="Arial"/>
                <w:sz w:val="22"/>
                <w:szCs w:val="22"/>
                <w:lang w:eastAsia="en-US"/>
              </w:rPr>
            </w:pPr>
            <w:r w:rsidRPr="0018255F">
              <w:rPr>
                <w:rFonts w:ascii="Arial" w:eastAsia="Calibri" w:hAnsi="Arial" w:cs="Arial"/>
                <w:color w:val="000000"/>
                <w:lang w:eastAsia="en-US"/>
              </w:rPr>
              <w:t>w tym opryskiwaczy agrolotniczych</w:t>
            </w:r>
          </w:p>
        </w:tc>
        <w:tc>
          <w:tcPr>
            <w:tcW w:w="1009" w:type="dxa"/>
            <w:vAlign w:val="center"/>
          </w:tcPr>
          <w:p w14:paraId="302A09EC" w14:textId="77777777"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24</w:t>
            </w:r>
          </w:p>
        </w:tc>
        <w:tc>
          <w:tcPr>
            <w:tcW w:w="1009" w:type="dxa"/>
            <w:vAlign w:val="center"/>
          </w:tcPr>
          <w:p w14:paraId="57CB62CC" w14:textId="77777777"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31</w:t>
            </w:r>
          </w:p>
        </w:tc>
        <w:tc>
          <w:tcPr>
            <w:tcW w:w="1009" w:type="dxa"/>
            <w:vAlign w:val="center"/>
          </w:tcPr>
          <w:p w14:paraId="309A1190" w14:textId="77777777"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31</w:t>
            </w:r>
          </w:p>
        </w:tc>
        <w:tc>
          <w:tcPr>
            <w:tcW w:w="1009" w:type="dxa"/>
            <w:vAlign w:val="center"/>
          </w:tcPr>
          <w:p w14:paraId="21A098E8" w14:textId="77777777" w:rsidR="009E130E" w:rsidRPr="0018255F" w:rsidRDefault="009E130E" w:rsidP="00FC5438">
            <w:pPr>
              <w:tabs>
                <w:tab w:val="left" w:pos="284"/>
              </w:tabs>
              <w:spacing w:after="120" w:line="360" w:lineRule="auto"/>
              <w:jc w:val="right"/>
              <w:rPr>
                <w:rFonts w:ascii="Arial" w:hAnsi="Arial" w:cs="Arial"/>
              </w:rPr>
            </w:pPr>
            <w:r w:rsidRPr="0018255F">
              <w:rPr>
                <w:rFonts w:ascii="Arial" w:hAnsi="Arial" w:cs="Arial"/>
              </w:rPr>
              <w:t>31</w:t>
            </w:r>
          </w:p>
        </w:tc>
        <w:tc>
          <w:tcPr>
            <w:tcW w:w="2024" w:type="dxa"/>
            <w:vAlign w:val="center"/>
          </w:tcPr>
          <w:p w14:paraId="64211ADD" w14:textId="300D0F51" w:rsidR="009E130E" w:rsidRPr="0018255F" w:rsidRDefault="009E130E" w:rsidP="00FC5438">
            <w:pPr>
              <w:tabs>
                <w:tab w:val="left" w:pos="284"/>
              </w:tabs>
              <w:spacing w:after="120" w:line="360" w:lineRule="auto"/>
              <w:jc w:val="right"/>
              <w:rPr>
                <w:rFonts w:ascii="Arial" w:hAnsi="Arial" w:cs="Arial"/>
              </w:rPr>
            </w:pPr>
            <w:r>
              <w:rPr>
                <w:rFonts w:ascii="Arial" w:hAnsi="Arial" w:cs="Arial"/>
              </w:rPr>
              <w:t>29</w:t>
            </w:r>
          </w:p>
        </w:tc>
      </w:tr>
    </w:tbl>
    <w:p w14:paraId="6852C0C6" w14:textId="77777777" w:rsidR="0018255F" w:rsidRPr="0018255F" w:rsidRDefault="0018255F" w:rsidP="0018255F">
      <w:pPr>
        <w:tabs>
          <w:tab w:val="left" w:pos="284"/>
        </w:tabs>
        <w:spacing w:after="120" w:line="360" w:lineRule="auto"/>
        <w:ind w:firstLine="284"/>
        <w:jc w:val="both"/>
        <w:rPr>
          <w:rFonts w:ascii="Arial" w:hAnsi="Arial" w:cs="Arial"/>
        </w:rPr>
      </w:pPr>
    </w:p>
    <w:p w14:paraId="49BA5547" w14:textId="0F484624" w:rsidR="0018255F" w:rsidRPr="0018255F" w:rsidRDefault="0018255F" w:rsidP="0018255F">
      <w:pPr>
        <w:tabs>
          <w:tab w:val="left" w:pos="284"/>
        </w:tabs>
        <w:spacing w:after="120" w:line="360" w:lineRule="auto"/>
        <w:ind w:firstLine="284"/>
        <w:jc w:val="both"/>
        <w:rPr>
          <w:rFonts w:ascii="Arial" w:hAnsi="Arial" w:cs="Arial"/>
        </w:rPr>
      </w:pPr>
      <w:r w:rsidRPr="0018255F">
        <w:rPr>
          <w:rFonts w:ascii="Arial" w:hAnsi="Arial" w:cs="Arial"/>
        </w:rPr>
        <w:t>Zewidencjonowano również 1</w:t>
      </w:r>
      <w:r w:rsidR="00CD55A8">
        <w:rPr>
          <w:rFonts w:ascii="Arial" w:hAnsi="Arial" w:cs="Arial"/>
        </w:rPr>
        <w:t> </w:t>
      </w:r>
      <w:r w:rsidR="0068385B">
        <w:rPr>
          <w:rFonts w:ascii="Arial" w:hAnsi="Arial" w:cs="Arial"/>
        </w:rPr>
        <w:t>395</w:t>
      </w:r>
      <w:r w:rsidRPr="0018255F">
        <w:rPr>
          <w:rFonts w:ascii="Arial" w:hAnsi="Arial" w:cs="Arial"/>
        </w:rPr>
        <w:t xml:space="preserve"> sztuk sprzętu do stosowania środków ochrony roślin, będącego w użytkowaniu, zwolnionego z konieczności badań na podstawie dowodów zakupu.</w:t>
      </w:r>
    </w:p>
    <w:p w14:paraId="508264EB" w14:textId="3BDD2476" w:rsidR="0018255F" w:rsidRPr="0018255F" w:rsidRDefault="0018255F" w:rsidP="0018255F">
      <w:pPr>
        <w:tabs>
          <w:tab w:val="left" w:pos="284"/>
        </w:tabs>
        <w:spacing w:after="120" w:line="360" w:lineRule="auto"/>
        <w:ind w:firstLine="284"/>
        <w:jc w:val="both"/>
        <w:rPr>
          <w:rFonts w:ascii="Arial" w:hAnsi="Arial" w:cs="Arial"/>
        </w:rPr>
      </w:pPr>
      <w:r w:rsidRPr="0018255F">
        <w:rPr>
          <w:rFonts w:ascii="Arial" w:hAnsi="Arial" w:cs="Arial"/>
        </w:rPr>
        <w:t>W ramach wykonywania obowiązków organu prowadzącego rejestr w zakresie potwierdzania sprawności sprzętu przeznaczonego do stosowania środków ochrony roślin inspektorzy PIORiN prowadzili kontrole przedsiębiorców i podmiotów prowadzących działalność w tym zakresie. W 20</w:t>
      </w:r>
      <w:r w:rsidR="009807C5">
        <w:rPr>
          <w:rFonts w:ascii="Arial" w:hAnsi="Arial" w:cs="Arial"/>
        </w:rPr>
        <w:t>23</w:t>
      </w:r>
      <w:r w:rsidR="0049161C">
        <w:rPr>
          <w:rFonts w:ascii="Arial" w:hAnsi="Arial" w:cs="Arial"/>
        </w:rPr>
        <w:t> </w:t>
      </w:r>
      <w:r w:rsidRPr="0018255F">
        <w:rPr>
          <w:rFonts w:ascii="Arial" w:hAnsi="Arial" w:cs="Arial"/>
        </w:rPr>
        <w:t xml:space="preserve">r. przeprowadzono </w:t>
      </w:r>
      <w:r w:rsidR="009807C5">
        <w:rPr>
          <w:rFonts w:ascii="Arial" w:hAnsi="Arial" w:cs="Arial"/>
        </w:rPr>
        <w:t>331</w:t>
      </w:r>
      <w:r w:rsidRPr="0018255F">
        <w:rPr>
          <w:rFonts w:ascii="Arial" w:hAnsi="Arial" w:cs="Arial"/>
        </w:rPr>
        <w:t xml:space="preserve"> takich kontroli.</w:t>
      </w:r>
    </w:p>
    <w:p w14:paraId="35665A6C" w14:textId="5AF6C690" w:rsidR="0018255F" w:rsidRPr="0018255F" w:rsidRDefault="0018255F" w:rsidP="0018255F">
      <w:pPr>
        <w:tabs>
          <w:tab w:val="left" w:pos="284"/>
        </w:tabs>
        <w:spacing w:after="120" w:line="360" w:lineRule="auto"/>
        <w:ind w:firstLine="284"/>
        <w:jc w:val="both"/>
        <w:rPr>
          <w:rFonts w:ascii="Arial" w:hAnsi="Arial" w:cs="Arial"/>
        </w:rPr>
      </w:pPr>
      <w:r w:rsidRPr="0018255F">
        <w:rPr>
          <w:rFonts w:ascii="Arial" w:hAnsi="Arial" w:cs="Arial"/>
        </w:rPr>
        <w:t xml:space="preserve">Liczba badań sprzętu do aplikacji środków ochrony roślin w Polsce utrzymuje się </w:t>
      </w:r>
      <w:r w:rsidR="00B312A3">
        <w:rPr>
          <w:rFonts w:ascii="Arial" w:hAnsi="Arial" w:cs="Arial"/>
        </w:rPr>
        <w:t xml:space="preserve">stosunkowo </w:t>
      </w:r>
      <w:r w:rsidRPr="0018255F">
        <w:rPr>
          <w:rFonts w:ascii="Arial" w:hAnsi="Arial" w:cs="Arial"/>
        </w:rPr>
        <w:t xml:space="preserve">na stabilnym poziomie, co przedstawia wykres </w:t>
      </w:r>
      <w:r w:rsidR="00062D73">
        <w:rPr>
          <w:rFonts w:ascii="Arial" w:hAnsi="Arial" w:cs="Arial"/>
        </w:rPr>
        <w:t xml:space="preserve">3 </w:t>
      </w:r>
      <w:r w:rsidRPr="0018255F">
        <w:rPr>
          <w:rFonts w:ascii="Arial" w:hAnsi="Arial" w:cs="Arial"/>
        </w:rPr>
        <w:t xml:space="preserve">poniżej. </w:t>
      </w:r>
    </w:p>
    <w:p w14:paraId="32A7ACEA" w14:textId="77777777" w:rsidR="0018255F" w:rsidRPr="0018255F" w:rsidRDefault="0018255F" w:rsidP="0018255F">
      <w:pPr>
        <w:widowControl/>
        <w:rPr>
          <w:rFonts w:ascii="Arial" w:hAnsi="Arial" w:cs="Arial"/>
        </w:rPr>
      </w:pPr>
    </w:p>
    <w:p w14:paraId="65A15204" w14:textId="77777777" w:rsidR="0018255F" w:rsidRPr="0018255F" w:rsidRDefault="0018255F" w:rsidP="0018255F">
      <w:pPr>
        <w:widowControl/>
        <w:spacing w:after="200" w:line="276" w:lineRule="auto"/>
        <w:jc w:val="center"/>
        <w:rPr>
          <w:rFonts w:ascii="Arial" w:eastAsiaTheme="minorHAnsi" w:hAnsi="Arial" w:cs="Arial"/>
          <w:b/>
          <w:bCs/>
          <w:sz w:val="22"/>
          <w:szCs w:val="18"/>
          <w:lang w:eastAsia="en-US"/>
        </w:rPr>
      </w:pPr>
      <w:r w:rsidRPr="0018255F">
        <w:rPr>
          <w:rFonts w:ascii="Arial" w:eastAsiaTheme="minorHAnsi" w:hAnsi="Arial" w:cs="Arial"/>
          <w:b/>
          <w:bCs/>
          <w:sz w:val="22"/>
          <w:szCs w:val="18"/>
          <w:lang w:eastAsia="en-US"/>
        </w:rPr>
        <w:t>Wykres 3. Badania sprzętu do aplikacji środków ochrony roślin</w:t>
      </w:r>
    </w:p>
    <w:p w14:paraId="42ABEAA5" w14:textId="70313340" w:rsidR="0018255F" w:rsidRPr="0018255F" w:rsidRDefault="0018255F" w:rsidP="0018255F">
      <w:pPr>
        <w:widowControl/>
        <w:tabs>
          <w:tab w:val="center" w:pos="4536"/>
          <w:tab w:val="right" w:pos="9072"/>
        </w:tabs>
        <w:suppressAutoHyphens/>
        <w:autoSpaceDN w:val="0"/>
        <w:spacing w:before="120" w:after="120" w:line="360" w:lineRule="auto"/>
        <w:ind w:firstLine="357"/>
        <w:jc w:val="center"/>
        <w:textAlignment w:val="baseline"/>
        <w:rPr>
          <w:rFonts w:ascii="Arial" w:eastAsiaTheme="minorHAnsi" w:hAnsi="Arial" w:cs="Arial"/>
          <w:sz w:val="22"/>
          <w:szCs w:val="22"/>
          <w:lang w:eastAsia="en-US"/>
        </w:rPr>
      </w:pPr>
      <w:r w:rsidRPr="0018255F">
        <w:rPr>
          <w:rFonts w:ascii="Arial" w:eastAsiaTheme="minorHAnsi" w:hAnsi="Arial" w:cs="Arial"/>
          <w:noProof/>
          <w:sz w:val="22"/>
          <w:szCs w:val="22"/>
        </w:rPr>
        <w:drawing>
          <wp:inline distT="0" distB="0" distL="0" distR="0" wp14:anchorId="58558E96" wp14:editId="167AA4E3">
            <wp:extent cx="5433544" cy="2521207"/>
            <wp:effectExtent l="0" t="0" r="15240" b="1270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89E7D6" w14:textId="77777777" w:rsidR="008B5F95" w:rsidRDefault="00923F0D" w:rsidP="0047201B">
      <w:pPr>
        <w:pStyle w:val="Nagwek1"/>
        <w:numPr>
          <w:ilvl w:val="3"/>
          <w:numId w:val="2"/>
        </w:numPr>
        <w:tabs>
          <w:tab w:val="left" w:pos="2552"/>
        </w:tabs>
        <w:ind w:left="284" w:hanging="426"/>
        <w:jc w:val="both"/>
        <w:rPr>
          <w:sz w:val="22"/>
          <w:szCs w:val="22"/>
        </w:rPr>
      </w:pPr>
      <w:bookmarkStart w:id="15" w:name="_Toc193716388"/>
      <w:r>
        <w:rPr>
          <w:i w:val="0"/>
          <w:sz w:val="22"/>
          <w:szCs w:val="22"/>
        </w:rPr>
        <w:t>Działanie 5. Zabiegi agrolotnicze</w:t>
      </w:r>
      <w:bookmarkEnd w:id="15"/>
    </w:p>
    <w:p w14:paraId="7E8FB0D0" w14:textId="545FE4D8"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Polsce zostały przyjęte niezbędne rozwiązania prawne i organizacyjne </w:t>
      </w:r>
      <w:r w:rsidR="004702CF">
        <w:rPr>
          <w:rFonts w:ascii="Arial" w:hAnsi="Arial" w:cs="Arial"/>
        </w:rPr>
        <w:t>ograniczające do minimum</w:t>
      </w:r>
      <w:r w:rsidR="009E130E">
        <w:rPr>
          <w:rFonts w:ascii="Arial" w:hAnsi="Arial" w:cs="Arial"/>
        </w:rPr>
        <w:t xml:space="preserve"> </w:t>
      </w:r>
      <w:r>
        <w:rPr>
          <w:rFonts w:ascii="Arial" w:hAnsi="Arial" w:cs="Arial"/>
        </w:rPr>
        <w:t>ryzyko związane z aplikacją środków ochrony roślin przy wykorzystaniu sprzętu agrolotniczego</w:t>
      </w:r>
      <w:r w:rsidR="004702CF">
        <w:rPr>
          <w:rFonts w:ascii="Arial" w:hAnsi="Arial" w:cs="Arial"/>
        </w:rPr>
        <w:t xml:space="preserve">. </w:t>
      </w:r>
      <w:r>
        <w:rPr>
          <w:rFonts w:ascii="Arial" w:hAnsi="Arial" w:cs="Arial"/>
        </w:rPr>
        <w:t>Działanie to służy osiągnięciu celów określonych w art. 9 dyrektywy 2009/128/WE. Wymagania i</w:t>
      </w:r>
      <w:r w:rsidR="009E130E">
        <w:rPr>
          <w:rFonts w:ascii="Arial" w:hAnsi="Arial" w:cs="Arial"/>
        </w:rPr>
        <w:t> </w:t>
      </w:r>
      <w:r>
        <w:rPr>
          <w:rFonts w:ascii="Arial" w:hAnsi="Arial" w:cs="Arial"/>
        </w:rPr>
        <w:t xml:space="preserve">obowiązki związane z wykonywaniem zabiegów z zastosowaniem środków ochrony roślin przy użyciu </w:t>
      </w:r>
      <w:r>
        <w:rPr>
          <w:rFonts w:ascii="Arial" w:hAnsi="Arial" w:cs="Arial"/>
        </w:rPr>
        <w:lastRenderedPageBreak/>
        <w:t xml:space="preserve">sprzętu agrolotniczego w Polsce, zarówno dla stosujących te środki, jak i dla służb kontrolnych, określają przepisy ustawy z dnia 8 marca 2013 r. o środkach ochrony roślin oraz przepisy rozporządzenia Ministra Rolnictwa i Rozwoju Wsi z dnia 18 kwietnia 2013 r. w sprawie rozwiązań technicznych, jakie powinny być zastosowane podczas wykonywania zabiegów z zastosowaniem środków ochrony roślin przy użyciu sprzętu agrolotniczego (Dz. U. poz. 504), rozporządzenia Ministra Rolnictwa i Rozwoju Wsi z dnia 22 maja 2013 r. w sprawie sposobu postępowania przy stosowaniu i przechowywaniu środków ochrony roślin (Dz. U. poz. 625) oraz rozporządzenia Ministra Rolnictwa i Rozwoju Wsi z dnia z dnia 31 marca 2014 r. w sprawie warunków stosowania środków ochrony roślin (Dz. U. poz. 516). </w:t>
      </w:r>
    </w:p>
    <w:p w14:paraId="697F24FB" w14:textId="77777777" w:rsidR="008B5F95" w:rsidRDefault="00923F0D">
      <w:pPr>
        <w:tabs>
          <w:tab w:val="center" w:pos="4536"/>
          <w:tab w:val="right" w:pos="9072"/>
        </w:tabs>
        <w:spacing w:line="360" w:lineRule="auto"/>
        <w:ind w:firstLine="357"/>
        <w:jc w:val="both"/>
        <w:rPr>
          <w:rFonts w:ascii="Arial" w:hAnsi="Arial" w:cs="Arial"/>
          <w:iCs/>
        </w:rPr>
      </w:pPr>
      <w:r>
        <w:rPr>
          <w:rFonts w:ascii="Arial" w:hAnsi="Arial" w:cs="Arial"/>
          <w:iCs/>
        </w:rPr>
        <w:t>Powyższe przepisy w sposób precyzyjny określają zasady wykonywania zabiegów ochrony roślin z wykorzystaniem sprzętu agrolotniczego, w tym:</w:t>
      </w:r>
    </w:p>
    <w:p w14:paraId="4DBA901E" w14:textId="77777777" w:rsidR="008B5F95" w:rsidRDefault="00923F0D" w:rsidP="00E74A80">
      <w:pPr>
        <w:pStyle w:val="Akapitzlist"/>
        <w:numPr>
          <w:ilvl w:val="0"/>
          <w:numId w:val="7"/>
        </w:numPr>
        <w:tabs>
          <w:tab w:val="center" w:pos="4536"/>
          <w:tab w:val="right" w:pos="9072"/>
        </w:tabs>
        <w:spacing w:after="120" w:line="360" w:lineRule="auto"/>
        <w:ind w:left="851" w:hanging="425"/>
        <w:jc w:val="both"/>
        <w:rPr>
          <w:rFonts w:ascii="Arial" w:hAnsi="Arial" w:cs="Arial"/>
          <w:iCs/>
          <w:sz w:val="20"/>
          <w:szCs w:val="20"/>
        </w:rPr>
      </w:pPr>
      <w:r>
        <w:rPr>
          <w:rFonts w:ascii="Arial" w:hAnsi="Arial" w:cs="Arial"/>
          <w:iCs/>
          <w:sz w:val="20"/>
          <w:szCs w:val="20"/>
        </w:rPr>
        <w:t>środki ochrony roślin, które nie mogą być stosowane przy użyciu sprzętu agrolotniczego;</w:t>
      </w:r>
    </w:p>
    <w:p w14:paraId="0937AE10" w14:textId="77777777" w:rsidR="008B5F95" w:rsidRDefault="00923F0D" w:rsidP="00E74A80">
      <w:pPr>
        <w:pStyle w:val="Akapitzlist"/>
        <w:numPr>
          <w:ilvl w:val="0"/>
          <w:numId w:val="7"/>
        </w:numPr>
        <w:tabs>
          <w:tab w:val="center" w:pos="4536"/>
          <w:tab w:val="right" w:pos="9072"/>
        </w:tabs>
        <w:spacing w:after="120" w:line="360" w:lineRule="auto"/>
        <w:ind w:left="851" w:hanging="425"/>
        <w:jc w:val="both"/>
        <w:rPr>
          <w:rFonts w:ascii="Arial" w:hAnsi="Arial" w:cs="Arial"/>
          <w:iCs/>
          <w:sz w:val="20"/>
          <w:szCs w:val="20"/>
        </w:rPr>
      </w:pPr>
      <w:r>
        <w:rPr>
          <w:rFonts w:ascii="Arial" w:hAnsi="Arial" w:cs="Arial"/>
          <w:iCs/>
          <w:sz w:val="20"/>
          <w:szCs w:val="20"/>
        </w:rPr>
        <w:t>zasady zatwierdzania planów takich zabiegów przez Państwową Inspekcję Ochrony Roślin i Nasiennictwa;</w:t>
      </w:r>
    </w:p>
    <w:p w14:paraId="381D4327" w14:textId="445D101D" w:rsidR="008B5F95" w:rsidRDefault="00923F0D" w:rsidP="00E74A80">
      <w:pPr>
        <w:pStyle w:val="Akapitzlist"/>
        <w:numPr>
          <w:ilvl w:val="0"/>
          <w:numId w:val="7"/>
        </w:numPr>
        <w:tabs>
          <w:tab w:val="center" w:pos="4536"/>
          <w:tab w:val="right" w:pos="9072"/>
        </w:tabs>
        <w:spacing w:after="120" w:line="360" w:lineRule="auto"/>
        <w:ind w:left="851" w:hanging="425"/>
        <w:jc w:val="both"/>
        <w:rPr>
          <w:rFonts w:ascii="Arial" w:hAnsi="Arial" w:cs="Arial"/>
          <w:iCs/>
          <w:sz w:val="20"/>
          <w:szCs w:val="20"/>
        </w:rPr>
      </w:pPr>
      <w:r>
        <w:rPr>
          <w:rFonts w:ascii="Arial" w:hAnsi="Arial" w:cs="Arial"/>
          <w:iCs/>
          <w:sz w:val="20"/>
          <w:szCs w:val="20"/>
        </w:rPr>
        <w:t>sposoby ostrzegania o wykonywaniu takich zabiegów osób, które mogłyby być narażone na przypadkowy kontakt ze środkiem ochrony roślin;</w:t>
      </w:r>
    </w:p>
    <w:p w14:paraId="55A5F081" w14:textId="413FFF9A" w:rsidR="008B5F95" w:rsidRDefault="00923F0D" w:rsidP="00E74A80">
      <w:pPr>
        <w:pStyle w:val="Akapitzlist"/>
        <w:numPr>
          <w:ilvl w:val="0"/>
          <w:numId w:val="7"/>
        </w:numPr>
        <w:tabs>
          <w:tab w:val="center" w:pos="4536"/>
          <w:tab w:val="right" w:pos="9072"/>
        </w:tabs>
        <w:spacing w:after="120" w:line="360" w:lineRule="auto"/>
        <w:ind w:left="851" w:hanging="425"/>
        <w:jc w:val="both"/>
        <w:rPr>
          <w:rFonts w:ascii="Arial" w:hAnsi="Arial" w:cs="Arial"/>
          <w:iCs/>
          <w:sz w:val="20"/>
          <w:szCs w:val="20"/>
        </w:rPr>
      </w:pPr>
      <w:r>
        <w:rPr>
          <w:rFonts w:ascii="Arial" w:hAnsi="Arial" w:cs="Arial"/>
          <w:iCs/>
          <w:sz w:val="20"/>
          <w:szCs w:val="20"/>
        </w:rPr>
        <w:t>warunki, w jakich zabiegi takie mogą się odbywać, w tym w odniesieniu do warunków atmosferycznych,</w:t>
      </w:r>
    </w:p>
    <w:p w14:paraId="5A086DB0" w14:textId="77777777" w:rsidR="008B5F95" w:rsidRDefault="00923F0D" w:rsidP="00E74A80">
      <w:pPr>
        <w:pStyle w:val="Akapitzlist"/>
        <w:numPr>
          <w:ilvl w:val="0"/>
          <w:numId w:val="7"/>
        </w:numPr>
        <w:tabs>
          <w:tab w:val="center" w:pos="4536"/>
          <w:tab w:val="right" w:pos="9072"/>
        </w:tabs>
        <w:spacing w:after="120" w:line="360" w:lineRule="auto"/>
        <w:ind w:left="851" w:hanging="425"/>
        <w:jc w:val="both"/>
        <w:rPr>
          <w:rFonts w:ascii="Arial" w:hAnsi="Arial" w:cs="Arial"/>
          <w:iCs/>
          <w:sz w:val="20"/>
          <w:szCs w:val="20"/>
        </w:rPr>
      </w:pPr>
      <w:r>
        <w:rPr>
          <w:rFonts w:ascii="Arial" w:hAnsi="Arial" w:cs="Arial"/>
          <w:iCs/>
          <w:sz w:val="20"/>
          <w:szCs w:val="20"/>
        </w:rPr>
        <w:t xml:space="preserve">wymagania dotyczące wyposażenia statku powietrznego (w urządzenia wykorzystujące sygnał GPS do naprowadzania statku powietrznego na ścieżkę zabiegu oraz rozpoczęcia i zakończenia oprysku). </w:t>
      </w:r>
    </w:p>
    <w:p w14:paraId="1064D733" w14:textId="2AE0E27E"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Zabiegi agrolotnicze w Polsce są wykonywane tylko i wyłącznie w lasach, które zajmują 29,</w:t>
      </w:r>
      <w:r w:rsidR="0016309C">
        <w:rPr>
          <w:rFonts w:ascii="Arial" w:hAnsi="Arial" w:cs="Arial"/>
        </w:rPr>
        <w:t>6</w:t>
      </w:r>
      <w:r>
        <w:rPr>
          <w:rFonts w:ascii="Arial" w:hAnsi="Arial" w:cs="Arial"/>
        </w:rPr>
        <w:t>% terytorium kraju i rosną na obszarze 9,</w:t>
      </w:r>
      <w:r w:rsidR="0016309C">
        <w:rPr>
          <w:rFonts w:ascii="Arial" w:hAnsi="Arial" w:cs="Arial"/>
        </w:rPr>
        <w:t>26</w:t>
      </w:r>
      <w:r>
        <w:rPr>
          <w:rFonts w:ascii="Arial" w:hAnsi="Arial" w:cs="Arial"/>
        </w:rPr>
        <w:t xml:space="preserve"> mln ha</w:t>
      </w:r>
      <w:r w:rsidR="004C428F">
        <w:rPr>
          <w:rFonts w:ascii="Arial" w:hAnsi="Arial" w:cs="Arial"/>
        </w:rPr>
        <w:t xml:space="preserve"> (dane GUS </w:t>
      </w:r>
      <w:r w:rsidR="00F10C9D">
        <w:rPr>
          <w:rFonts w:ascii="Arial" w:hAnsi="Arial" w:cs="Arial"/>
        </w:rPr>
        <w:t>–</w:t>
      </w:r>
      <w:r w:rsidR="004702CF">
        <w:rPr>
          <w:rFonts w:ascii="Arial" w:hAnsi="Arial" w:cs="Arial"/>
        </w:rPr>
        <w:t xml:space="preserve"> </w:t>
      </w:r>
      <w:r w:rsidR="00B93E3A">
        <w:rPr>
          <w:rFonts w:ascii="Arial" w:hAnsi="Arial" w:cs="Arial"/>
        </w:rPr>
        <w:t xml:space="preserve">Leśnictwo w </w:t>
      </w:r>
      <w:r w:rsidR="004C428F">
        <w:rPr>
          <w:rFonts w:ascii="Arial" w:hAnsi="Arial" w:cs="Arial"/>
        </w:rPr>
        <w:t>2020</w:t>
      </w:r>
      <w:r w:rsidR="00B93E3A">
        <w:rPr>
          <w:rFonts w:ascii="Arial" w:hAnsi="Arial" w:cs="Arial"/>
        </w:rPr>
        <w:t xml:space="preserve"> r.)</w:t>
      </w:r>
      <w:r>
        <w:rPr>
          <w:rFonts w:ascii="Arial" w:hAnsi="Arial" w:cs="Arial"/>
        </w:rPr>
        <w:t xml:space="preserve">. Zabiegi te są wykonywane głównie przeciwko brudnicy mniszce (Lymantria monacha), barczatce sosnówce (Dendrolimus pini), strzygoni choinówce (Panolis flammea), osnui gwiaździstej (Acantholyda posticalis), borecznikom sosnowym (Diptrion sp.), chrabąszczowatym (Melolontha sp.), zwójkowatym (Tortricidae) i miernikowcowatym (Geometridae). </w:t>
      </w:r>
    </w:p>
    <w:p w14:paraId="222AA17B" w14:textId="6A61675B" w:rsidR="002974D3" w:rsidRPr="002974D3" w:rsidRDefault="002974D3" w:rsidP="002974D3">
      <w:pPr>
        <w:pStyle w:val="NormalnyWeb"/>
        <w:tabs>
          <w:tab w:val="left" w:pos="284"/>
        </w:tabs>
        <w:spacing w:beforeAutospacing="0" w:after="120" w:afterAutospacing="0" w:line="360" w:lineRule="auto"/>
        <w:ind w:firstLine="284"/>
        <w:jc w:val="both"/>
        <w:rPr>
          <w:rFonts w:ascii="Arial" w:hAnsi="Arial" w:cs="Arial"/>
        </w:rPr>
      </w:pPr>
      <w:r w:rsidRPr="002974D3">
        <w:rPr>
          <w:rFonts w:ascii="Arial" w:hAnsi="Arial" w:cs="Arial"/>
        </w:rPr>
        <w:t>W 2023 r</w:t>
      </w:r>
      <w:r w:rsidR="00877500">
        <w:rPr>
          <w:rFonts w:ascii="Arial" w:hAnsi="Arial" w:cs="Arial"/>
        </w:rPr>
        <w:t>.</w:t>
      </w:r>
      <w:r w:rsidRPr="002974D3">
        <w:rPr>
          <w:rFonts w:ascii="Arial" w:hAnsi="Arial" w:cs="Arial"/>
        </w:rPr>
        <w:t xml:space="preserve"> wojewódzcy inspektorzy ochrony roślin i nasiennictwa wydali 34 decyzje zatwierdzające plany zabiegów agrolotniczych. W województwie wielkopolskim wystąpiło nieprzewidziane zagrożenie ze strony organizmów szkodliwych, które skutkowało wykonaniem zabiegów agrolotniczych w trybie art. 39 ust. 8 ustawy o środkach ochrony roślin.</w:t>
      </w:r>
    </w:p>
    <w:p w14:paraId="07A08657" w14:textId="676074B8" w:rsidR="008B5F95" w:rsidRDefault="002974D3" w:rsidP="002974D3">
      <w:pPr>
        <w:pStyle w:val="NormalnyWeb"/>
        <w:tabs>
          <w:tab w:val="left" w:pos="284"/>
        </w:tabs>
        <w:spacing w:beforeAutospacing="0" w:after="120" w:afterAutospacing="0" w:line="360" w:lineRule="auto"/>
        <w:ind w:firstLine="284"/>
        <w:jc w:val="both"/>
        <w:rPr>
          <w:rFonts w:ascii="Arial" w:hAnsi="Arial" w:cs="Arial"/>
        </w:rPr>
      </w:pPr>
      <w:r w:rsidRPr="002974D3">
        <w:rPr>
          <w:rFonts w:ascii="Arial" w:hAnsi="Arial" w:cs="Arial"/>
        </w:rPr>
        <w:t>Do zwalczania organizmów szkodliwych w drzewostanach iglastych i liściastych użyto środki ochrony roślin: Mospilan 20 SP (1</w:t>
      </w:r>
      <w:r>
        <w:rPr>
          <w:rFonts w:ascii="Arial" w:hAnsi="Arial" w:cs="Arial"/>
        </w:rPr>
        <w:t>8 009,52</w:t>
      </w:r>
      <w:r w:rsidRPr="002974D3">
        <w:rPr>
          <w:rFonts w:ascii="Arial" w:hAnsi="Arial" w:cs="Arial"/>
        </w:rPr>
        <w:t xml:space="preserve"> kg) oraz Foray 76 B (189 602,69 l).</w:t>
      </w:r>
      <w:r w:rsidR="00923F0D">
        <w:rPr>
          <w:rFonts w:ascii="Arial" w:hAnsi="Arial" w:cs="Arial"/>
        </w:rPr>
        <w:t xml:space="preserve"> </w:t>
      </w:r>
    </w:p>
    <w:p w14:paraId="4A54BD37" w14:textId="66A21A0A" w:rsidR="00BB0794" w:rsidRPr="00BB0794" w:rsidRDefault="00BB0794" w:rsidP="00BB0794">
      <w:pPr>
        <w:tabs>
          <w:tab w:val="center" w:pos="4536"/>
          <w:tab w:val="right" w:pos="9072"/>
        </w:tabs>
        <w:spacing w:after="120" w:line="360" w:lineRule="auto"/>
        <w:ind w:firstLine="357"/>
        <w:jc w:val="both"/>
        <w:rPr>
          <w:rFonts w:ascii="Arial" w:hAnsi="Arial" w:cs="Arial"/>
        </w:rPr>
      </w:pPr>
      <w:r w:rsidRPr="00BB0794">
        <w:rPr>
          <w:rFonts w:ascii="Arial" w:hAnsi="Arial" w:cs="Arial"/>
          <w:bCs/>
        </w:rPr>
        <w:t>Corocznie inspektorzy Państwowej Inspekcji Ochrony Roślin i Nasiennictwa przeprowadz</w:t>
      </w:r>
      <w:r>
        <w:rPr>
          <w:rFonts w:ascii="Arial" w:hAnsi="Arial" w:cs="Arial"/>
          <w:bCs/>
        </w:rPr>
        <w:t>ają</w:t>
      </w:r>
      <w:r w:rsidRPr="00BB0794">
        <w:rPr>
          <w:rFonts w:ascii="Arial" w:hAnsi="Arial" w:cs="Arial"/>
          <w:bCs/>
        </w:rPr>
        <w:t xml:space="preserve"> kontrole planowane produkcji leśnej i interwencyjne, w tym w odniesieniu do zabiegów wykonywanych przy </w:t>
      </w:r>
      <w:r w:rsidRPr="00BB0794">
        <w:rPr>
          <w:rFonts w:ascii="Arial" w:hAnsi="Arial" w:cs="Arial"/>
        </w:rPr>
        <w:t>zastosowaniu statków powietrznych.</w:t>
      </w:r>
    </w:p>
    <w:p w14:paraId="02BB652E" w14:textId="72719CEE" w:rsidR="00BB0794" w:rsidRPr="00BB0794" w:rsidRDefault="00BB0794" w:rsidP="00BB0794">
      <w:pPr>
        <w:tabs>
          <w:tab w:val="center" w:pos="4536"/>
          <w:tab w:val="right" w:pos="9072"/>
        </w:tabs>
        <w:spacing w:after="120" w:line="360" w:lineRule="auto"/>
        <w:ind w:firstLine="357"/>
        <w:jc w:val="both"/>
        <w:rPr>
          <w:rFonts w:ascii="Arial" w:hAnsi="Arial" w:cs="Arial"/>
          <w:bCs/>
        </w:rPr>
      </w:pPr>
      <w:r>
        <w:rPr>
          <w:rFonts w:ascii="Arial" w:hAnsi="Arial" w:cs="Arial"/>
          <w:bCs/>
        </w:rPr>
        <w:t>W 2023 r. p</w:t>
      </w:r>
      <w:r w:rsidRPr="00BB0794">
        <w:rPr>
          <w:rFonts w:ascii="Arial" w:hAnsi="Arial" w:cs="Arial"/>
          <w:bCs/>
        </w:rPr>
        <w:t>rzeprowadzo</w:t>
      </w:r>
      <w:r w:rsidRPr="00BB0794">
        <w:rPr>
          <w:rFonts w:ascii="Arial" w:hAnsi="Arial" w:cs="Arial"/>
        </w:rPr>
        <w:t xml:space="preserve">no </w:t>
      </w:r>
      <w:r w:rsidR="00877500">
        <w:rPr>
          <w:rFonts w:ascii="Arial" w:hAnsi="Arial" w:cs="Arial"/>
        </w:rPr>
        <w:t>47</w:t>
      </w:r>
      <w:r w:rsidRPr="00BB0794">
        <w:rPr>
          <w:rFonts w:ascii="Arial" w:hAnsi="Arial" w:cs="Arial"/>
        </w:rPr>
        <w:t xml:space="preserve"> kontroli produkcji leśnej objętej zabiegami agrolotniczymi</w:t>
      </w:r>
      <w:r w:rsidRPr="00BB0794">
        <w:rPr>
          <w:rFonts w:ascii="Arial" w:hAnsi="Arial" w:cs="Arial"/>
          <w:bCs/>
        </w:rPr>
        <w:t>.</w:t>
      </w:r>
    </w:p>
    <w:p w14:paraId="6A2549B5" w14:textId="65F07F74" w:rsidR="00BB0794" w:rsidRPr="00BB0794" w:rsidRDefault="00BB0794" w:rsidP="00BB0794">
      <w:pPr>
        <w:tabs>
          <w:tab w:val="center" w:pos="4536"/>
          <w:tab w:val="right" w:pos="9072"/>
        </w:tabs>
        <w:spacing w:after="120" w:line="360" w:lineRule="auto"/>
        <w:ind w:firstLine="357"/>
        <w:jc w:val="both"/>
        <w:rPr>
          <w:rFonts w:ascii="Arial" w:hAnsi="Arial" w:cs="Arial"/>
        </w:rPr>
      </w:pPr>
      <w:r w:rsidRPr="00BB0794">
        <w:rPr>
          <w:rFonts w:ascii="Arial" w:hAnsi="Arial" w:cs="Arial"/>
          <w:bCs/>
        </w:rPr>
        <w:t xml:space="preserve">Szczegółowe dane na temat zabiegów agrolotniczych przedstawia tabela </w:t>
      </w:r>
      <w:r w:rsidR="00003D51">
        <w:rPr>
          <w:rFonts w:ascii="Arial" w:hAnsi="Arial" w:cs="Arial"/>
          <w:bCs/>
        </w:rPr>
        <w:t xml:space="preserve">5 </w:t>
      </w:r>
      <w:r w:rsidRPr="00BB0794">
        <w:rPr>
          <w:rFonts w:ascii="Arial" w:hAnsi="Arial" w:cs="Arial"/>
          <w:bCs/>
        </w:rPr>
        <w:t>poniżej</w:t>
      </w:r>
    </w:p>
    <w:tbl>
      <w:tblPr>
        <w:tblStyle w:val="Tabela-Siatka"/>
        <w:tblW w:w="9067" w:type="dxa"/>
        <w:tblLook w:val="04A0" w:firstRow="1" w:lastRow="0" w:firstColumn="1" w:lastColumn="0" w:noHBand="0" w:noVBand="1"/>
      </w:tblPr>
      <w:tblGrid>
        <w:gridCol w:w="2972"/>
        <w:gridCol w:w="1219"/>
        <w:gridCol w:w="1219"/>
        <w:gridCol w:w="1219"/>
        <w:gridCol w:w="1219"/>
        <w:gridCol w:w="1219"/>
      </w:tblGrid>
      <w:tr w:rsidR="009E130E" w:rsidRPr="00BB0794" w14:paraId="38A4F515" w14:textId="07D292AF" w:rsidTr="001E0779">
        <w:trPr>
          <w:trHeight w:val="442"/>
        </w:trPr>
        <w:tc>
          <w:tcPr>
            <w:tcW w:w="2972" w:type="dxa"/>
            <w:vAlign w:val="center"/>
          </w:tcPr>
          <w:p w14:paraId="3389A735" w14:textId="77777777" w:rsidR="009E130E" w:rsidRPr="00BB0794" w:rsidRDefault="009E130E" w:rsidP="00BB0794">
            <w:pPr>
              <w:widowControl/>
              <w:spacing w:after="200" w:line="276" w:lineRule="auto"/>
              <w:jc w:val="center"/>
              <w:rPr>
                <w:rFonts w:ascii="Arial" w:eastAsiaTheme="minorHAnsi" w:hAnsi="Arial" w:cs="Arial"/>
                <w:b/>
                <w:color w:val="000000"/>
                <w:lang w:eastAsia="en-US"/>
              </w:rPr>
            </w:pPr>
            <w:r w:rsidRPr="00BB0794">
              <w:rPr>
                <w:rFonts w:ascii="Arial" w:eastAsiaTheme="minorHAnsi" w:hAnsi="Arial" w:cs="Arial"/>
                <w:b/>
                <w:color w:val="000000"/>
                <w:lang w:eastAsia="en-US"/>
              </w:rPr>
              <w:lastRenderedPageBreak/>
              <w:t>Rok</w:t>
            </w:r>
          </w:p>
        </w:tc>
        <w:tc>
          <w:tcPr>
            <w:tcW w:w="1219" w:type="dxa"/>
            <w:vAlign w:val="center"/>
          </w:tcPr>
          <w:p w14:paraId="372DD341" w14:textId="77777777" w:rsidR="009E130E" w:rsidRPr="00BB0794" w:rsidRDefault="009E130E" w:rsidP="00BB0794">
            <w:pPr>
              <w:widowControl/>
              <w:spacing w:after="200" w:line="276" w:lineRule="auto"/>
              <w:jc w:val="center"/>
              <w:rPr>
                <w:rFonts w:ascii="Arial" w:eastAsiaTheme="minorHAnsi" w:hAnsi="Arial" w:cs="Arial"/>
                <w:b/>
                <w:color w:val="000000"/>
                <w:lang w:eastAsia="en-US"/>
              </w:rPr>
            </w:pPr>
            <w:r w:rsidRPr="00BB0794">
              <w:rPr>
                <w:rFonts w:ascii="Arial" w:eastAsiaTheme="minorHAnsi" w:hAnsi="Arial" w:cs="Arial"/>
                <w:b/>
                <w:color w:val="000000"/>
                <w:lang w:eastAsia="en-US"/>
              </w:rPr>
              <w:t>2019</w:t>
            </w:r>
          </w:p>
        </w:tc>
        <w:tc>
          <w:tcPr>
            <w:tcW w:w="1219" w:type="dxa"/>
            <w:vAlign w:val="center"/>
          </w:tcPr>
          <w:p w14:paraId="740E3EE6" w14:textId="77777777" w:rsidR="009E130E" w:rsidRPr="00BB0794" w:rsidRDefault="009E130E" w:rsidP="00BB0794">
            <w:pPr>
              <w:widowControl/>
              <w:spacing w:after="200" w:line="276" w:lineRule="auto"/>
              <w:jc w:val="center"/>
              <w:rPr>
                <w:rFonts w:ascii="Arial" w:eastAsiaTheme="minorHAnsi" w:hAnsi="Arial" w:cs="Arial"/>
                <w:b/>
                <w:color w:val="000000"/>
                <w:lang w:eastAsia="en-US"/>
              </w:rPr>
            </w:pPr>
            <w:r w:rsidRPr="00BB0794">
              <w:rPr>
                <w:rFonts w:ascii="Arial" w:eastAsiaTheme="minorHAnsi" w:hAnsi="Arial" w:cs="Arial"/>
                <w:b/>
                <w:color w:val="000000"/>
                <w:lang w:eastAsia="en-US"/>
              </w:rPr>
              <w:t>2020</w:t>
            </w:r>
          </w:p>
        </w:tc>
        <w:tc>
          <w:tcPr>
            <w:tcW w:w="1219" w:type="dxa"/>
            <w:vAlign w:val="center"/>
          </w:tcPr>
          <w:p w14:paraId="618FF909" w14:textId="77777777" w:rsidR="009E130E" w:rsidRPr="00BB0794" w:rsidRDefault="009E130E" w:rsidP="00BB0794">
            <w:pPr>
              <w:widowControl/>
              <w:spacing w:after="200" w:line="276" w:lineRule="auto"/>
              <w:jc w:val="center"/>
              <w:rPr>
                <w:rFonts w:ascii="Arial" w:eastAsiaTheme="minorHAnsi" w:hAnsi="Arial" w:cs="Arial"/>
                <w:b/>
                <w:color w:val="000000"/>
                <w:lang w:eastAsia="en-US"/>
              </w:rPr>
            </w:pPr>
            <w:r w:rsidRPr="00BB0794">
              <w:rPr>
                <w:rFonts w:ascii="Arial" w:eastAsiaTheme="minorHAnsi" w:hAnsi="Arial" w:cs="Arial"/>
                <w:b/>
                <w:color w:val="000000"/>
                <w:lang w:eastAsia="en-US"/>
              </w:rPr>
              <w:t>2021</w:t>
            </w:r>
          </w:p>
        </w:tc>
        <w:tc>
          <w:tcPr>
            <w:tcW w:w="1219" w:type="dxa"/>
            <w:vAlign w:val="center"/>
          </w:tcPr>
          <w:p w14:paraId="6B51B54B" w14:textId="77777777" w:rsidR="009E130E" w:rsidRPr="00BB0794" w:rsidRDefault="009E130E" w:rsidP="00BB0794">
            <w:pPr>
              <w:widowControl/>
              <w:spacing w:after="200" w:line="276" w:lineRule="auto"/>
              <w:jc w:val="center"/>
              <w:rPr>
                <w:rFonts w:ascii="Arial" w:eastAsiaTheme="minorHAnsi" w:hAnsi="Arial" w:cs="Arial"/>
                <w:b/>
                <w:color w:val="000000"/>
                <w:lang w:eastAsia="en-US"/>
              </w:rPr>
            </w:pPr>
            <w:r w:rsidRPr="00BB0794">
              <w:rPr>
                <w:rFonts w:ascii="Arial" w:eastAsiaTheme="minorHAnsi" w:hAnsi="Arial" w:cs="Arial"/>
                <w:b/>
                <w:color w:val="000000"/>
                <w:lang w:eastAsia="en-US"/>
              </w:rPr>
              <w:t>2022</w:t>
            </w:r>
          </w:p>
        </w:tc>
        <w:tc>
          <w:tcPr>
            <w:tcW w:w="1219" w:type="dxa"/>
          </w:tcPr>
          <w:p w14:paraId="3451EF69" w14:textId="5659F2C5" w:rsidR="009E130E" w:rsidRPr="00BB0794" w:rsidRDefault="009E130E" w:rsidP="00BB0794">
            <w:pPr>
              <w:widowControl/>
              <w:spacing w:after="200" w:line="276" w:lineRule="auto"/>
              <w:jc w:val="center"/>
              <w:rPr>
                <w:rFonts w:ascii="Arial" w:eastAsiaTheme="minorHAnsi" w:hAnsi="Arial" w:cs="Arial"/>
                <w:b/>
                <w:color w:val="000000"/>
                <w:lang w:eastAsia="en-US"/>
              </w:rPr>
            </w:pPr>
            <w:r>
              <w:rPr>
                <w:rFonts w:ascii="Arial" w:eastAsiaTheme="minorHAnsi" w:hAnsi="Arial" w:cs="Arial"/>
                <w:b/>
                <w:color w:val="000000"/>
                <w:lang w:eastAsia="en-US"/>
              </w:rPr>
              <w:t>2023</w:t>
            </w:r>
          </w:p>
        </w:tc>
      </w:tr>
      <w:tr w:rsidR="009E130E" w:rsidRPr="00BB0794" w14:paraId="5E009AC2" w14:textId="5018422C" w:rsidTr="001E0779">
        <w:trPr>
          <w:trHeight w:val="817"/>
        </w:trPr>
        <w:tc>
          <w:tcPr>
            <w:tcW w:w="2972" w:type="dxa"/>
          </w:tcPr>
          <w:p w14:paraId="2B5B03C4" w14:textId="77777777" w:rsidR="009E130E" w:rsidRPr="00BB0794" w:rsidRDefault="009E130E" w:rsidP="00877500">
            <w:pPr>
              <w:tabs>
                <w:tab w:val="left" w:pos="284"/>
              </w:tabs>
              <w:spacing w:beforeAutospacing="1" w:after="120" w:afterAutospacing="1" w:line="360" w:lineRule="auto"/>
              <w:rPr>
                <w:rFonts w:ascii="Arial" w:hAnsi="Arial" w:cs="Arial"/>
              </w:rPr>
            </w:pPr>
            <w:r w:rsidRPr="00BB0794">
              <w:rPr>
                <w:rFonts w:ascii="Arial" w:hAnsi="Arial" w:cs="Arial"/>
              </w:rPr>
              <w:t>powierzchnia zabiegów agrolotniczych w ha</w:t>
            </w:r>
          </w:p>
        </w:tc>
        <w:tc>
          <w:tcPr>
            <w:tcW w:w="1219" w:type="dxa"/>
            <w:vAlign w:val="center"/>
          </w:tcPr>
          <w:p w14:paraId="3542B648"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233 945</w:t>
            </w:r>
          </w:p>
        </w:tc>
        <w:tc>
          <w:tcPr>
            <w:tcW w:w="1219" w:type="dxa"/>
            <w:vAlign w:val="center"/>
          </w:tcPr>
          <w:p w14:paraId="5B57C6DD" w14:textId="77777777" w:rsidR="009E130E" w:rsidRPr="00BB0794" w:rsidRDefault="009E130E" w:rsidP="00BB0794">
            <w:pPr>
              <w:tabs>
                <w:tab w:val="left" w:pos="284"/>
              </w:tabs>
              <w:spacing w:beforeAutospacing="1" w:after="120" w:afterAutospacing="1" w:line="360" w:lineRule="auto"/>
              <w:jc w:val="right"/>
              <w:rPr>
                <w:rFonts w:ascii="Arial" w:hAnsi="Arial" w:cs="Arial"/>
              </w:rPr>
            </w:pPr>
            <w:bookmarkStart w:id="16" w:name="_Hlk120005595"/>
            <w:r w:rsidRPr="00BB0794">
              <w:rPr>
                <w:rFonts w:ascii="Arial" w:hAnsi="Arial" w:cs="Arial"/>
              </w:rPr>
              <w:t>48 869</w:t>
            </w:r>
            <w:bookmarkEnd w:id="16"/>
          </w:p>
        </w:tc>
        <w:tc>
          <w:tcPr>
            <w:tcW w:w="1219" w:type="dxa"/>
            <w:vAlign w:val="center"/>
          </w:tcPr>
          <w:p w14:paraId="5174FCE7"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64 834</w:t>
            </w:r>
          </w:p>
        </w:tc>
        <w:tc>
          <w:tcPr>
            <w:tcW w:w="1219" w:type="dxa"/>
            <w:vAlign w:val="center"/>
          </w:tcPr>
          <w:p w14:paraId="101703FC" w14:textId="77777777" w:rsidR="009E130E" w:rsidRPr="00BB0794" w:rsidRDefault="009E130E" w:rsidP="00BB0794">
            <w:pPr>
              <w:tabs>
                <w:tab w:val="left" w:pos="284"/>
              </w:tabs>
              <w:spacing w:beforeAutospacing="1" w:after="120" w:afterAutospacing="1" w:line="360" w:lineRule="auto"/>
              <w:jc w:val="right"/>
              <w:rPr>
                <w:rFonts w:ascii="Arial" w:hAnsi="Arial" w:cs="Arial"/>
                <w:bCs/>
                <w:color w:val="000000"/>
              </w:rPr>
            </w:pPr>
            <w:r w:rsidRPr="00BB0794">
              <w:rPr>
                <w:rFonts w:ascii="Arial" w:hAnsi="Arial" w:cs="Arial"/>
              </w:rPr>
              <w:t>109 874</w:t>
            </w:r>
          </w:p>
        </w:tc>
        <w:tc>
          <w:tcPr>
            <w:tcW w:w="1219" w:type="dxa"/>
            <w:vAlign w:val="center"/>
          </w:tcPr>
          <w:p w14:paraId="4DAF6BAC" w14:textId="2EAAA34E" w:rsidR="009E130E" w:rsidRPr="00BB0794" w:rsidRDefault="009E130E" w:rsidP="00C21D46">
            <w:pPr>
              <w:tabs>
                <w:tab w:val="left" w:pos="284"/>
              </w:tabs>
              <w:spacing w:before="100" w:beforeAutospacing="1" w:after="100" w:afterAutospacing="1" w:line="360" w:lineRule="auto"/>
              <w:jc w:val="right"/>
              <w:rPr>
                <w:rFonts w:ascii="Arial" w:hAnsi="Arial" w:cs="Arial"/>
              </w:rPr>
            </w:pPr>
            <w:r>
              <w:rPr>
                <w:rFonts w:ascii="Arial" w:hAnsi="Arial" w:cs="Arial"/>
              </w:rPr>
              <w:t>147 157</w:t>
            </w:r>
          </w:p>
        </w:tc>
      </w:tr>
      <w:tr w:rsidR="009E130E" w:rsidRPr="00BB0794" w14:paraId="0D3882E7" w14:textId="23278E51" w:rsidTr="001E0779">
        <w:tc>
          <w:tcPr>
            <w:tcW w:w="2972" w:type="dxa"/>
          </w:tcPr>
          <w:p w14:paraId="583DF7DD" w14:textId="77777777" w:rsidR="009E130E" w:rsidRPr="00BB0794" w:rsidRDefault="009E130E" w:rsidP="00877500">
            <w:pPr>
              <w:tabs>
                <w:tab w:val="left" w:pos="284"/>
              </w:tabs>
              <w:spacing w:beforeAutospacing="1" w:after="120" w:afterAutospacing="1" w:line="360" w:lineRule="auto"/>
              <w:rPr>
                <w:rFonts w:ascii="Arial" w:hAnsi="Arial" w:cs="Arial"/>
              </w:rPr>
            </w:pPr>
            <w:r w:rsidRPr="00BB0794">
              <w:rPr>
                <w:rFonts w:ascii="Arial" w:hAnsi="Arial" w:cs="Arial"/>
              </w:rPr>
              <w:t>liczba kontroli planowanych produkcji leśnej</w:t>
            </w:r>
          </w:p>
        </w:tc>
        <w:tc>
          <w:tcPr>
            <w:tcW w:w="1219" w:type="dxa"/>
            <w:vAlign w:val="center"/>
          </w:tcPr>
          <w:p w14:paraId="22C3F431"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113</w:t>
            </w:r>
          </w:p>
        </w:tc>
        <w:tc>
          <w:tcPr>
            <w:tcW w:w="1219" w:type="dxa"/>
            <w:vAlign w:val="center"/>
          </w:tcPr>
          <w:p w14:paraId="527BB053"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27</w:t>
            </w:r>
          </w:p>
        </w:tc>
        <w:tc>
          <w:tcPr>
            <w:tcW w:w="1219" w:type="dxa"/>
            <w:vAlign w:val="center"/>
          </w:tcPr>
          <w:p w14:paraId="6E2846A7"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36</w:t>
            </w:r>
          </w:p>
        </w:tc>
        <w:tc>
          <w:tcPr>
            <w:tcW w:w="1219" w:type="dxa"/>
            <w:vAlign w:val="center"/>
          </w:tcPr>
          <w:p w14:paraId="1A2B6118"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29</w:t>
            </w:r>
          </w:p>
        </w:tc>
        <w:tc>
          <w:tcPr>
            <w:tcW w:w="1219" w:type="dxa"/>
            <w:vAlign w:val="center"/>
          </w:tcPr>
          <w:p w14:paraId="3F8B8C39" w14:textId="07A45848" w:rsidR="009E130E" w:rsidRPr="00BB0794" w:rsidRDefault="009E130E" w:rsidP="00877500">
            <w:pPr>
              <w:tabs>
                <w:tab w:val="left" w:pos="284"/>
              </w:tabs>
              <w:spacing w:beforeAutospacing="1" w:after="120" w:afterAutospacing="1" w:line="360" w:lineRule="auto"/>
              <w:jc w:val="right"/>
              <w:rPr>
                <w:rFonts w:ascii="Arial" w:hAnsi="Arial" w:cs="Arial"/>
              </w:rPr>
            </w:pPr>
            <w:r>
              <w:rPr>
                <w:rFonts w:ascii="Arial" w:hAnsi="Arial" w:cs="Arial"/>
              </w:rPr>
              <w:t>43</w:t>
            </w:r>
          </w:p>
        </w:tc>
      </w:tr>
      <w:tr w:rsidR="009E130E" w:rsidRPr="00BB0794" w14:paraId="5BCADEB5" w14:textId="79FAC8DD" w:rsidTr="001E0779">
        <w:tc>
          <w:tcPr>
            <w:tcW w:w="2972" w:type="dxa"/>
          </w:tcPr>
          <w:p w14:paraId="4C029FB3" w14:textId="77777777" w:rsidR="009E130E" w:rsidRPr="00BB0794" w:rsidRDefault="009E130E" w:rsidP="00877500">
            <w:pPr>
              <w:tabs>
                <w:tab w:val="left" w:pos="284"/>
              </w:tabs>
              <w:spacing w:beforeAutospacing="1" w:after="120" w:afterAutospacing="1" w:line="360" w:lineRule="auto"/>
              <w:rPr>
                <w:rFonts w:ascii="Arial" w:hAnsi="Arial" w:cs="Arial"/>
              </w:rPr>
            </w:pPr>
            <w:r w:rsidRPr="00BB0794">
              <w:rPr>
                <w:rFonts w:ascii="Arial" w:hAnsi="Arial" w:cs="Arial"/>
              </w:rPr>
              <w:t>liczba kontroli interwencyjnych</w:t>
            </w:r>
          </w:p>
        </w:tc>
        <w:tc>
          <w:tcPr>
            <w:tcW w:w="1219" w:type="dxa"/>
            <w:vAlign w:val="center"/>
          </w:tcPr>
          <w:p w14:paraId="1AA2A88C"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3</w:t>
            </w:r>
          </w:p>
        </w:tc>
        <w:tc>
          <w:tcPr>
            <w:tcW w:w="1219" w:type="dxa"/>
            <w:vAlign w:val="center"/>
          </w:tcPr>
          <w:p w14:paraId="6D28C385"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1</w:t>
            </w:r>
          </w:p>
        </w:tc>
        <w:tc>
          <w:tcPr>
            <w:tcW w:w="1219" w:type="dxa"/>
            <w:vAlign w:val="center"/>
          </w:tcPr>
          <w:p w14:paraId="4FE1BC27"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1</w:t>
            </w:r>
          </w:p>
        </w:tc>
        <w:tc>
          <w:tcPr>
            <w:tcW w:w="1219" w:type="dxa"/>
            <w:vAlign w:val="center"/>
          </w:tcPr>
          <w:p w14:paraId="21FC014E" w14:textId="77777777" w:rsidR="009E130E" w:rsidRPr="00BB0794" w:rsidRDefault="009E130E" w:rsidP="00BB0794">
            <w:pPr>
              <w:tabs>
                <w:tab w:val="left" w:pos="284"/>
              </w:tabs>
              <w:spacing w:beforeAutospacing="1" w:after="120" w:afterAutospacing="1" w:line="360" w:lineRule="auto"/>
              <w:jc w:val="right"/>
              <w:rPr>
                <w:rFonts w:ascii="Arial" w:hAnsi="Arial" w:cs="Arial"/>
              </w:rPr>
            </w:pPr>
            <w:r w:rsidRPr="00BB0794">
              <w:rPr>
                <w:rFonts w:ascii="Arial" w:hAnsi="Arial" w:cs="Arial"/>
              </w:rPr>
              <w:t>1</w:t>
            </w:r>
          </w:p>
        </w:tc>
        <w:tc>
          <w:tcPr>
            <w:tcW w:w="1219" w:type="dxa"/>
            <w:vAlign w:val="center"/>
          </w:tcPr>
          <w:p w14:paraId="24F8D0AE" w14:textId="18B95009" w:rsidR="009E130E" w:rsidRPr="00BB0794" w:rsidRDefault="009E130E" w:rsidP="00877500">
            <w:pPr>
              <w:tabs>
                <w:tab w:val="left" w:pos="284"/>
              </w:tabs>
              <w:spacing w:beforeAutospacing="1" w:after="120" w:afterAutospacing="1" w:line="360" w:lineRule="auto"/>
              <w:jc w:val="right"/>
              <w:rPr>
                <w:rFonts w:ascii="Arial" w:hAnsi="Arial" w:cs="Arial"/>
              </w:rPr>
            </w:pPr>
            <w:r>
              <w:rPr>
                <w:rFonts w:ascii="Arial" w:hAnsi="Arial" w:cs="Arial"/>
              </w:rPr>
              <w:t>4</w:t>
            </w:r>
          </w:p>
        </w:tc>
      </w:tr>
    </w:tbl>
    <w:p w14:paraId="7C9E197A" w14:textId="77777777" w:rsidR="00BB0794" w:rsidRDefault="00BB0794" w:rsidP="002974D3">
      <w:pPr>
        <w:pStyle w:val="NormalnyWeb"/>
        <w:tabs>
          <w:tab w:val="left" w:pos="284"/>
        </w:tabs>
        <w:spacing w:beforeAutospacing="0" w:after="120" w:afterAutospacing="0" w:line="360" w:lineRule="auto"/>
        <w:ind w:firstLine="284"/>
        <w:jc w:val="both"/>
        <w:rPr>
          <w:rFonts w:ascii="Arial" w:hAnsi="Arial" w:cs="Arial"/>
        </w:rPr>
      </w:pPr>
    </w:p>
    <w:p w14:paraId="3B299B8A" w14:textId="77777777" w:rsidR="008B5F95" w:rsidRDefault="00923F0D" w:rsidP="00BB0794">
      <w:pPr>
        <w:pStyle w:val="Nagwek1"/>
        <w:numPr>
          <w:ilvl w:val="3"/>
          <w:numId w:val="2"/>
        </w:numPr>
        <w:tabs>
          <w:tab w:val="left" w:pos="2552"/>
        </w:tabs>
        <w:ind w:left="284" w:hanging="426"/>
        <w:jc w:val="both"/>
        <w:rPr>
          <w:i w:val="0"/>
          <w:sz w:val="22"/>
          <w:szCs w:val="22"/>
        </w:rPr>
      </w:pPr>
      <w:bookmarkStart w:id="17" w:name="_Toc193716389"/>
      <w:r>
        <w:rPr>
          <w:i w:val="0"/>
          <w:sz w:val="22"/>
          <w:szCs w:val="22"/>
        </w:rPr>
        <w:t>Działanie 6. Ostrzeganie osób postronnych o zabiegach ochrony roślin</w:t>
      </w:r>
      <w:bookmarkEnd w:id="17"/>
    </w:p>
    <w:p w14:paraId="4640D818"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Ryzyko związane ze stosowaniem środków ochrony roślin dotyczy nie tylko operatorów sprzętu do aplikacji tych środków oraz konsumentów płodów rolnych, ale także osób postronnych, które przypadkowo mogą być narażone na kontakt ze środkami ochrony roślin, nieświadomie wkraczając na obszar objęty zabiegiem. </w:t>
      </w:r>
    </w:p>
    <w:p w14:paraId="40AEFE30"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 przypadkowy kontakt ze środkami ochrony roślin mogą być także narażone zwierzęta gospodarskie, w tym pszczoły miodne. W związku z powyższym zostały przyjęte rozwiązania prawne, przewidujące ostrzeganie osób postronnych o wykonywanych zabiegach ochrony roślin. Działanie to służy osiągnięciu celów określonych w art. 10 dyrektywy 2009/128/WE. </w:t>
      </w:r>
    </w:p>
    <w:p w14:paraId="562185DC" w14:textId="4404A54B" w:rsidR="00BE6229" w:rsidRPr="00BE6229" w:rsidRDefault="00923F0D" w:rsidP="00BE6229">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Szczegółowe rozwiązania w tym zakresie zostały przyjęte w odniesieniu do zabiegów agrolotniczych wykonywan</w:t>
      </w:r>
      <w:r w:rsidR="009755EA">
        <w:rPr>
          <w:rFonts w:ascii="Arial" w:hAnsi="Arial" w:cs="Arial"/>
        </w:rPr>
        <w:t>ych</w:t>
      </w:r>
      <w:r>
        <w:rPr>
          <w:rFonts w:ascii="Arial" w:hAnsi="Arial" w:cs="Arial"/>
        </w:rPr>
        <w:t xml:space="preserve"> na dużych obszarach leśnych</w:t>
      </w:r>
      <w:r w:rsidR="00BE6229">
        <w:rPr>
          <w:rFonts w:ascii="Arial" w:hAnsi="Arial" w:cs="Arial"/>
        </w:rPr>
        <w:t xml:space="preserve"> tj. w </w:t>
      </w:r>
      <w:r>
        <w:rPr>
          <w:rFonts w:ascii="Arial" w:hAnsi="Arial" w:cs="Arial"/>
        </w:rPr>
        <w:t>rozporządzeniu Ministra Rolnictwa i Rozwoju Wsi z</w:t>
      </w:r>
      <w:r w:rsidR="002371ED">
        <w:rPr>
          <w:rFonts w:ascii="Arial" w:hAnsi="Arial" w:cs="Arial"/>
        </w:rPr>
        <w:t> </w:t>
      </w:r>
      <w:r>
        <w:rPr>
          <w:rFonts w:ascii="Arial" w:hAnsi="Arial" w:cs="Arial"/>
        </w:rPr>
        <w:t xml:space="preserve">dnia 22 maja 2013 r. w sprawie sposobu postępowania przy stosowaniu i przechowywaniu środków ochrony roślin. </w:t>
      </w:r>
      <w:r w:rsidR="00BE6229" w:rsidRPr="00BE6229">
        <w:rPr>
          <w:rFonts w:ascii="Arial" w:hAnsi="Arial" w:cs="Arial"/>
        </w:rPr>
        <w:t>Ponadto wszystkie etykiety środków ochrony roślin zawierają wymóg informowania o</w:t>
      </w:r>
      <w:r w:rsidR="002371ED">
        <w:rPr>
          <w:rFonts w:ascii="Arial" w:hAnsi="Arial" w:cs="Arial"/>
        </w:rPr>
        <w:t> </w:t>
      </w:r>
      <w:r w:rsidR="00BE6229" w:rsidRPr="00BE6229">
        <w:rPr>
          <w:rFonts w:ascii="Arial" w:hAnsi="Arial" w:cs="Arial"/>
        </w:rPr>
        <w:t xml:space="preserve">zabiegach osób, które zwrócą się o taką informację. </w:t>
      </w:r>
    </w:p>
    <w:p w14:paraId="3C4D900F" w14:textId="72184B24" w:rsidR="008F2D94" w:rsidRDefault="00BE6229" w:rsidP="00BE6229">
      <w:pPr>
        <w:pStyle w:val="NormalnyWeb"/>
        <w:tabs>
          <w:tab w:val="left" w:pos="284"/>
        </w:tabs>
        <w:spacing w:beforeAutospacing="0" w:after="120" w:afterAutospacing="0" w:line="360" w:lineRule="auto"/>
        <w:ind w:firstLine="284"/>
        <w:jc w:val="both"/>
        <w:rPr>
          <w:rFonts w:ascii="Arial" w:hAnsi="Arial" w:cs="Arial"/>
        </w:rPr>
      </w:pPr>
      <w:r w:rsidRPr="00BE6229">
        <w:rPr>
          <w:rFonts w:ascii="Arial" w:hAnsi="Arial" w:cs="Arial"/>
        </w:rPr>
        <w:t xml:space="preserve">W ramach realizacji działania </w:t>
      </w:r>
      <w:r>
        <w:rPr>
          <w:rFonts w:ascii="Arial" w:hAnsi="Arial" w:cs="Arial"/>
        </w:rPr>
        <w:t>w 2023</w:t>
      </w:r>
      <w:r w:rsidR="00E45FA7">
        <w:rPr>
          <w:rFonts w:ascii="Arial" w:hAnsi="Arial" w:cs="Arial"/>
        </w:rPr>
        <w:t> </w:t>
      </w:r>
      <w:r>
        <w:rPr>
          <w:rFonts w:ascii="Arial" w:hAnsi="Arial" w:cs="Arial"/>
        </w:rPr>
        <w:t>r. i</w:t>
      </w:r>
      <w:r w:rsidRPr="00BE6229">
        <w:rPr>
          <w:rFonts w:ascii="Arial" w:hAnsi="Arial" w:cs="Arial"/>
        </w:rPr>
        <w:t xml:space="preserve">nspektorzy </w:t>
      </w:r>
      <w:r w:rsidR="001E0779">
        <w:rPr>
          <w:rFonts w:ascii="Arial" w:hAnsi="Arial" w:cs="Arial"/>
        </w:rPr>
        <w:t xml:space="preserve">Państwowej Inspekcji </w:t>
      </w:r>
      <w:r w:rsidRPr="00BE6229">
        <w:rPr>
          <w:rFonts w:ascii="Arial" w:hAnsi="Arial" w:cs="Arial"/>
        </w:rPr>
        <w:t>Ochrony Roślin i</w:t>
      </w:r>
      <w:r w:rsidR="001E0779">
        <w:rPr>
          <w:rFonts w:ascii="Arial" w:hAnsi="Arial" w:cs="Arial"/>
        </w:rPr>
        <w:t> </w:t>
      </w:r>
      <w:r w:rsidRPr="00BE6229">
        <w:rPr>
          <w:rFonts w:ascii="Arial" w:hAnsi="Arial" w:cs="Arial"/>
        </w:rPr>
        <w:t>Nasiennictwa prowadzili kontrole stosowania środków ochrony roślin, w zakresie informowania o</w:t>
      </w:r>
      <w:r w:rsidR="001E0779">
        <w:rPr>
          <w:rFonts w:ascii="Arial" w:hAnsi="Arial" w:cs="Arial"/>
        </w:rPr>
        <w:t> </w:t>
      </w:r>
      <w:r w:rsidRPr="00BE6229">
        <w:rPr>
          <w:rFonts w:ascii="Arial" w:hAnsi="Arial" w:cs="Arial"/>
        </w:rPr>
        <w:t xml:space="preserve">planowanych zabiegach ochrony roślin. </w:t>
      </w:r>
      <w:r w:rsidRPr="00FC1388">
        <w:rPr>
          <w:rFonts w:ascii="Arial" w:hAnsi="Arial" w:cs="Arial"/>
        </w:rPr>
        <w:t>Nie odnotowano nieprawidłowości w tym obszarz</w:t>
      </w:r>
      <w:r w:rsidR="008F2D94">
        <w:rPr>
          <w:rFonts w:ascii="Arial" w:hAnsi="Arial" w:cs="Arial"/>
        </w:rPr>
        <w:t>e.</w:t>
      </w:r>
    </w:p>
    <w:p w14:paraId="1DB84779" w14:textId="77777777" w:rsidR="008B5F95" w:rsidRDefault="00923F0D" w:rsidP="007E7FB1">
      <w:pPr>
        <w:pStyle w:val="Nagwek1"/>
        <w:numPr>
          <w:ilvl w:val="3"/>
          <w:numId w:val="2"/>
        </w:numPr>
        <w:tabs>
          <w:tab w:val="left" w:pos="2552"/>
        </w:tabs>
        <w:ind w:left="284" w:hanging="426"/>
        <w:jc w:val="both"/>
        <w:rPr>
          <w:i w:val="0"/>
          <w:sz w:val="22"/>
          <w:szCs w:val="22"/>
        </w:rPr>
      </w:pPr>
      <w:bookmarkStart w:id="18" w:name="_Toc193716390"/>
      <w:r>
        <w:rPr>
          <w:i w:val="0"/>
          <w:sz w:val="22"/>
          <w:szCs w:val="22"/>
        </w:rPr>
        <w:t>Działanie 7. Środki ochrony środowiska wodnego i wody pitnej</w:t>
      </w:r>
      <w:bookmarkEnd w:id="18"/>
    </w:p>
    <w:p w14:paraId="419ABBEF"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Niewłaściwie stosowane środki ochrony roślin, przenikając do naturalnych zbiorników i cieków wodnych, przyczyniają się do skażenia tego środowiska. Stanowi to zagrożenie zarówno dla organizmów wodnych, jak i dla człowieka, w różny sposób korzystającego z zasobów wodnych (do spożycia, w celach rekreacji). Niektóre z tych środków mogą także kumulować się w osadach dennych i być wykrywane w wodzie po długim czasie od ich zastosowania.</w:t>
      </w:r>
    </w:p>
    <w:p w14:paraId="68288488"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związku z powyższym, mając na uwadze, że działanie to służy osiągnięciu celów art. 11 dyrektywy 2009/128/WE, zostały przyjęte regulacje mające na celu ochronę środowiska wodnego przed ewentualnymi negatywnymi skutkami niewłaściwego wykonywania zabiegów z użyciem środków ochrony roślin. Zagadnienia te zostały uregulowane w ustawie z dnia 8 marca 2013 r. o środkach ochrony roślin oraz w rozporządzeniu Ministra Rolnictwa i Rozwoju Wsi z dnia 22 maja 2013 r. w sprawie sposobu postępowania przy stosowaniu i przechowywaniu środków ochrony roślin i rozporządzeniu </w:t>
      </w:r>
      <w:r>
        <w:rPr>
          <w:rFonts w:ascii="Arial" w:hAnsi="Arial" w:cs="Arial"/>
        </w:rPr>
        <w:lastRenderedPageBreak/>
        <w:t xml:space="preserve">Ministra Rolnictwa i Rozwoju Wsi z dnia 31 marca 2014 r. w sprawie warunków stosowania środków ochrony roślin. Przepisy te regulują warunki samego stosowania środków ochrony roślin (np. maksymalną prędkość wiatru, przy jakiej można wykonać zabieg, tak aby wyeliminować ryzyko zniesienia cieczy użytkowej, szerokość stref buforowych wokół zbiorników i cieków wodnych, a także powierzchni nieprzepuszczalnych, stwarzających ryzyko skażeń punktowych w przypadku spłukania środków ochrony roślin), jak również określają minimalne odległości od zbiorników i cieków wodnych, w jakich można wykonywać czynności, z którymi wiąże się największe ryzyko skażenia środowiska wodnego (jak przechowywanie środków ochrony roślin, napełnianie i mycie sprzętu przeznaczonego do stosowania środków ochrony roślin). </w:t>
      </w:r>
    </w:p>
    <w:p w14:paraId="757144E6" w14:textId="05CC58D6"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Regulacje dotyczące ochrony środowiska wodnego zawierają także przepisy ustawy z dnia 20 lipca 2017 r. – Prawo wodne (Dz. U. </w:t>
      </w:r>
      <w:r w:rsidR="00F10C9D">
        <w:rPr>
          <w:rFonts w:ascii="Arial" w:hAnsi="Arial" w:cs="Arial"/>
        </w:rPr>
        <w:t>z 202</w:t>
      </w:r>
      <w:r w:rsidR="0017032B">
        <w:rPr>
          <w:rFonts w:ascii="Arial" w:hAnsi="Arial" w:cs="Arial"/>
        </w:rPr>
        <w:t>2</w:t>
      </w:r>
      <w:r w:rsidR="00F10C9D">
        <w:rPr>
          <w:rFonts w:ascii="Arial" w:hAnsi="Arial" w:cs="Arial"/>
        </w:rPr>
        <w:t xml:space="preserve"> r. </w:t>
      </w:r>
      <w:r>
        <w:rPr>
          <w:rFonts w:ascii="Arial" w:hAnsi="Arial" w:cs="Arial"/>
        </w:rPr>
        <w:t xml:space="preserve">poz. </w:t>
      </w:r>
      <w:r w:rsidR="00F10C9D">
        <w:rPr>
          <w:rFonts w:ascii="Arial" w:hAnsi="Arial" w:cs="Arial"/>
        </w:rPr>
        <w:t>2</w:t>
      </w:r>
      <w:r w:rsidR="0017032B">
        <w:rPr>
          <w:rFonts w:ascii="Arial" w:hAnsi="Arial" w:cs="Arial"/>
        </w:rPr>
        <w:t>625</w:t>
      </w:r>
      <w:r>
        <w:rPr>
          <w:rFonts w:ascii="Arial" w:hAnsi="Arial" w:cs="Arial"/>
        </w:rPr>
        <w:t xml:space="preserve">, z późn. zm.). Tym samym zostały wykonane zobowiązania regulacyjne wynikające z postanowień dyrektywy 2009/128/WE. </w:t>
      </w:r>
    </w:p>
    <w:p w14:paraId="2C62CA4D" w14:textId="207FBC54"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ramach działania b</w:t>
      </w:r>
      <w:r w:rsidR="00000BF9">
        <w:rPr>
          <w:rFonts w:ascii="Arial" w:hAnsi="Arial" w:cs="Arial"/>
        </w:rPr>
        <w:t>yły</w:t>
      </w:r>
      <w:r>
        <w:rPr>
          <w:rFonts w:ascii="Arial" w:hAnsi="Arial" w:cs="Arial"/>
        </w:rPr>
        <w:t xml:space="preserve"> prowadzone następujące zadania. </w:t>
      </w:r>
    </w:p>
    <w:p w14:paraId="64F7C5A9" w14:textId="77777777" w:rsidR="008B5F95" w:rsidRDefault="00923F0D">
      <w:pPr>
        <w:pStyle w:val="Nagwek2"/>
        <w:jc w:val="both"/>
        <w:rPr>
          <w:i w:val="0"/>
          <w:sz w:val="20"/>
          <w:szCs w:val="20"/>
        </w:rPr>
      </w:pPr>
      <w:bookmarkStart w:id="19" w:name="_Toc193716391"/>
      <w:r>
        <w:rPr>
          <w:i w:val="0"/>
          <w:sz w:val="20"/>
          <w:szCs w:val="20"/>
        </w:rPr>
        <w:t xml:space="preserve">Zadanie 1. </w:t>
      </w:r>
      <w:bookmarkStart w:id="20" w:name="_Toc341876091"/>
      <w:bookmarkStart w:id="21" w:name="_Toc301334612"/>
      <w:bookmarkStart w:id="22" w:name="_Toc300916224"/>
      <w:r>
        <w:rPr>
          <w:i w:val="0"/>
          <w:sz w:val="20"/>
          <w:szCs w:val="20"/>
        </w:rPr>
        <w:t>Prowadzenie monitoringu wód powierzchniowych, podziemnych i osadów dennych</w:t>
      </w:r>
      <w:bookmarkEnd w:id="19"/>
      <w:bookmarkEnd w:id="20"/>
      <w:bookmarkEnd w:id="21"/>
      <w:bookmarkEnd w:id="22"/>
      <w:r>
        <w:rPr>
          <w:i w:val="0"/>
          <w:sz w:val="20"/>
          <w:szCs w:val="20"/>
        </w:rPr>
        <w:t xml:space="preserve"> </w:t>
      </w:r>
    </w:p>
    <w:p w14:paraId="0AB8C7F7" w14:textId="6D80ECD1" w:rsidR="00582E28" w:rsidRDefault="00582E28" w:rsidP="001E0779">
      <w:pPr>
        <w:pStyle w:val="NormalnyWeb"/>
        <w:tabs>
          <w:tab w:val="left" w:pos="284"/>
        </w:tabs>
        <w:spacing w:before="120" w:beforeAutospacing="0" w:after="120" w:afterAutospacing="0" w:line="360" w:lineRule="auto"/>
        <w:ind w:firstLine="284"/>
        <w:jc w:val="both"/>
        <w:rPr>
          <w:rFonts w:ascii="Arial" w:hAnsi="Arial" w:cs="Arial"/>
        </w:rPr>
      </w:pPr>
      <w:r w:rsidRPr="00582E28">
        <w:rPr>
          <w:rFonts w:ascii="Arial" w:hAnsi="Arial" w:cs="Arial"/>
        </w:rPr>
        <w:t xml:space="preserve">Państwowy monitoring środowiska (PMŚ) </w:t>
      </w:r>
      <w:r w:rsidR="008A4CC4">
        <w:rPr>
          <w:rFonts w:ascii="Arial" w:hAnsi="Arial" w:cs="Arial"/>
        </w:rPr>
        <w:t xml:space="preserve">to system </w:t>
      </w:r>
      <w:r w:rsidR="00BA709F">
        <w:rPr>
          <w:rFonts w:ascii="Arial" w:hAnsi="Arial" w:cs="Arial"/>
        </w:rPr>
        <w:t>utworzony na podsta</w:t>
      </w:r>
      <w:r w:rsidR="00EB5E6A">
        <w:rPr>
          <w:rFonts w:ascii="Arial" w:hAnsi="Arial" w:cs="Arial"/>
        </w:rPr>
        <w:t>wie</w:t>
      </w:r>
      <w:r w:rsidRPr="00582E28">
        <w:rPr>
          <w:rFonts w:ascii="Arial" w:hAnsi="Arial" w:cs="Arial"/>
        </w:rPr>
        <w:t xml:space="preserve"> ustaw</w:t>
      </w:r>
      <w:r w:rsidR="00EB5E6A">
        <w:rPr>
          <w:rFonts w:ascii="Arial" w:hAnsi="Arial" w:cs="Arial"/>
        </w:rPr>
        <w:t>y</w:t>
      </w:r>
      <w:r w:rsidRPr="00582E28">
        <w:rPr>
          <w:rFonts w:ascii="Arial" w:hAnsi="Arial" w:cs="Arial"/>
        </w:rPr>
        <w:t xml:space="preserve"> z dnia 20 lipca 1991 r</w:t>
      </w:r>
      <w:r w:rsidR="008D56EB">
        <w:rPr>
          <w:rFonts w:ascii="Arial" w:hAnsi="Arial" w:cs="Arial"/>
        </w:rPr>
        <w:t>.</w:t>
      </w:r>
      <w:r w:rsidRPr="00582E28">
        <w:rPr>
          <w:rFonts w:ascii="Arial" w:hAnsi="Arial" w:cs="Arial"/>
        </w:rPr>
        <w:t xml:space="preserve"> o Inspekcji Ochrony Środowiska (Dz. U. z </w:t>
      </w:r>
      <w:r w:rsidR="00F10C9D">
        <w:rPr>
          <w:rFonts w:ascii="Arial" w:hAnsi="Arial" w:cs="Arial"/>
        </w:rPr>
        <w:t>2021</w:t>
      </w:r>
      <w:r w:rsidR="00F10C9D" w:rsidRPr="00582E28">
        <w:rPr>
          <w:rFonts w:ascii="Arial" w:hAnsi="Arial" w:cs="Arial"/>
        </w:rPr>
        <w:t xml:space="preserve"> </w:t>
      </w:r>
      <w:r w:rsidRPr="00582E28">
        <w:rPr>
          <w:rFonts w:ascii="Arial" w:hAnsi="Arial" w:cs="Arial"/>
        </w:rPr>
        <w:t xml:space="preserve">r. poz. </w:t>
      </w:r>
      <w:r w:rsidR="00F10C9D">
        <w:rPr>
          <w:rFonts w:ascii="Arial" w:hAnsi="Arial" w:cs="Arial"/>
        </w:rPr>
        <w:t>1070,</w:t>
      </w:r>
      <w:r w:rsidR="00F10C9D" w:rsidRPr="00582E28">
        <w:rPr>
          <w:rFonts w:ascii="Arial" w:hAnsi="Arial" w:cs="Arial"/>
        </w:rPr>
        <w:t xml:space="preserve"> </w:t>
      </w:r>
      <w:r w:rsidRPr="00582E28">
        <w:rPr>
          <w:rFonts w:ascii="Arial" w:hAnsi="Arial" w:cs="Arial"/>
        </w:rPr>
        <w:t>z późn. zm.) w celu zapewnienia wiarygodnych informacji o stanie środowiska.</w:t>
      </w:r>
      <w:r w:rsidR="00BA6D3F">
        <w:rPr>
          <w:rFonts w:ascii="Arial" w:hAnsi="Arial" w:cs="Arial"/>
        </w:rPr>
        <w:t xml:space="preserve"> </w:t>
      </w:r>
      <w:r w:rsidR="007F1D63">
        <w:rPr>
          <w:rFonts w:ascii="Arial" w:hAnsi="Arial" w:cs="Arial"/>
        </w:rPr>
        <w:t xml:space="preserve">Zgodnie z </w:t>
      </w:r>
      <w:r w:rsidRPr="00582E28">
        <w:rPr>
          <w:rFonts w:ascii="Arial" w:hAnsi="Arial" w:cs="Arial"/>
        </w:rPr>
        <w:t xml:space="preserve">art. 23 ust. 1 </w:t>
      </w:r>
      <w:r w:rsidR="00BA6D3F">
        <w:rPr>
          <w:rFonts w:ascii="Arial" w:hAnsi="Arial" w:cs="Arial"/>
        </w:rPr>
        <w:t xml:space="preserve">ww. </w:t>
      </w:r>
      <w:r w:rsidRPr="00582E28">
        <w:rPr>
          <w:rFonts w:ascii="Arial" w:hAnsi="Arial" w:cs="Arial"/>
        </w:rPr>
        <w:t>ustawy jest systemem: pomiarów, ocen i prognoz stanu środowiska oraz gromadzenia, przetwarzania i rozpowszechniania informacji o środowisku.</w:t>
      </w:r>
      <w:r w:rsidR="00AF480F">
        <w:rPr>
          <w:rFonts w:ascii="Arial" w:hAnsi="Arial" w:cs="Arial"/>
        </w:rPr>
        <w:t xml:space="preserve"> </w:t>
      </w:r>
      <w:r w:rsidRPr="00582E28">
        <w:rPr>
          <w:rFonts w:ascii="Arial" w:hAnsi="Arial" w:cs="Arial"/>
        </w:rPr>
        <w:t>Gromadzone informacje służą wspomaganiu działań na rzecz ochrony środowiska przez</w:t>
      </w:r>
      <w:r w:rsidR="00FD5DF8">
        <w:rPr>
          <w:rFonts w:ascii="Arial" w:hAnsi="Arial" w:cs="Arial"/>
        </w:rPr>
        <w:t xml:space="preserve"> </w:t>
      </w:r>
      <w:r w:rsidRPr="00582E28">
        <w:rPr>
          <w:rFonts w:ascii="Arial" w:hAnsi="Arial" w:cs="Arial"/>
        </w:rPr>
        <w:t>systematyczne informowanie organów administracji i społeczeństwa o:</w:t>
      </w:r>
    </w:p>
    <w:p w14:paraId="253DF3A0" w14:textId="737B7152" w:rsidR="00FD5DF8" w:rsidRDefault="00FD5DF8" w:rsidP="001E0779">
      <w:pPr>
        <w:tabs>
          <w:tab w:val="center" w:pos="4536"/>
          <w:tab w:val="right" w:pos="9072"/>
        </w:tabs>
        <w:spacing w:after="120" w:line="360" w:lineRule="auto"/>
        <w:ind w:left="851" w:hanging="426"/>
        <w:jc w:val="both"/>
        <w:rPr>
          <w:rFonts w:ascii="Arial" w:hAnsi="Arial" w:cs="Arial"/>
        </w:rPr>
      </w:pPr>
      <w:r>
        <w:rPr>
          <w:rFonts w:ascii="Arial" w:hAnsi="Arial" w:cs="Arial"/>
        </w:rPr>
        <w:t xml:space="preserve">1) </w:t>
      </w:r>
      <w:r>
        <w:rPr>
          <w:rFonts w:ascii="Arial" w:hAnsi="Arial" w:cs="Arial"/>
        </w:rPr>
        <w:tab/>
        <w:t>jakości elementów przyrodniczych, dotrzymywaniu standardów jakości określonych przepisami oraz obszarach występowania przekroczeń tych standardów;</w:t>
      </w:r>
    </w:p>
    <w:p w14:paraId="54B8054F" w14:textId="2988B067" w:rsidR="00FD5DF8" w:rsidRDefault="00FD5DF8" w:rsidP="00F24AB0">
      <w:pPr>
        <w:tabs>
          <w:tab w:val="center" w:pos="4536"/>
          <w:tab w:val="right" w:pos="9072"/>
        </w:tabs>
        <w:spacing w:before="120" w:after="120" w:line="360" w:lineRule="auto"/>
        <w:ind w:left="851" w:hanging="426"/>
        <w:jc w:val="both"/>
        <w:rPr>
          <w:rFonts w:ascii="Arial" w:hAnsi="Arial" w:cs="Arial"/>
        </w:rPr>
      </w:pPr>
      <w:r>
        <w:rPr>
          <w:rFonts w:ascii="Arial" w:hAnsi="Arial" w:cs="Arial"/>
        </w:rPr>
        <w:t xml:space="preserve">2) </w:t>
      </w:r>
      <w:r>
        <w:rPr>
          <w:rFonts w:ascii="Arial" w:hAnsi="Arial" w:cs="Arial"/>
        </w:rPr>
        <w:tab/>
        <w:t>występujących zmianach jakości elementów przyrodniczych, przyczynach tych zmian, w tym powiązaniach przyczynowo-skutkowych występujących pomiędzy emisjami i stanem elementów przyrodniczych.</w:t>
      </w:r>
    </w:p>
    <w:p w14:paraId="0A178504" w14:textId="4EE1F68B" w:rsidR="00582E28" w:rsidRPr="00582E28" w:rsidRDefault="00C73FA3" w:rsidP="00582E28">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PM</w:t>
      </w:r>
      <w:r w:rsidR="00F10C9D">
        <w:rPr>
          <w:rFonts w:ascii="Arial" w:hAnsi="Arial" w:cs="Arial"/>
        </w:rPr>
        <w:t>Ś</w:t>
      </w:r>
      <w:r w:rsidR="00582E28" w:rsidRPr="00582E28">
        <w:rPr>
          <w:rFonts w:ascii="Arial" w:hAnsi="Arial" w:cs="Arial"/>
        </w:rPr>
        <w:t>, zgodnie z ustawą z dnia 20 lipca 1991 r. o Inspekcji Ochrony Środowiska</w:t>
      </w:r>
      <w:r w:rsidR="00F10C9D">
        <w:rPr>
          <w:rFonts w:ascii="Arial" w:hAnsi="Arial" w:cs="Arial"/>
        </w:rPr>
        <w:t>,</w:t>
      </w:r>
      <w:r w:rsidR="00582E28" w:rsidRPr="00582E28">
        <w:rPr>
          <w:rFonts w:ascii="Arial" w:hAnsi="Arial" w:cs="Arial"/>
        </w:rPr>
        <w:t xml:space="preserve"> jest prowadzony przez Inspekcję Ochrony Środowiska.</w:t>
      </w:r>
    </w:p>
    <w:p w14:paraId="025BDEA7" w14:textId="242C7824" w:rsidR="00582E28" w:rsidRPr="00582E28" w:rsidRDefault="00582E28" w:rsidP="00582E28">
      <w:pPr>
        <w:pStyle w:val="NormalnyWeb"/>
        <w:tabs>
          <w:tab w:val="left" w:pos="284"/>
        </w:tabs>
        <w:spacing w:beforeAutospacing="0" w:after="120" w:afterAutospacing="0" w:line="360" w:lineRule="auto"/>
        <w:ind w:firstLine="284"/>
        <w:jc w:val="both"/>
        <w:rPr>
          <w:rFonts w:ascii="Arial" w:hAnsi="Arial" w:cs="Arial"/>
        </w:rPr>
      </w:pPr>
      <w:r w:rsidRPr="00582E28">
        <w:rPr>
          <w:rFonts w:ascii="Arial" w:hAnsi="Arial" w:cs="Arial"/>
        </w:rPr>
        <w:t>W ramach tego systemu jest prowadzony monitoring wód powierzchniowych i podziemnych.</w:t>
      </w:r>
      <w:r w:rsidR="00527DBD">
        <w:rPr>
          <w:rFonts w:ascii="Arial" w:hAnsi="Arial" w:cs="Arial"/>
        </w:rPr>
        <w:t xml:space="preserve"> </w:t>
      </w:r>
      <w:r w:rsidRPr="00582E28">
        <w:rPr>
          <w:rFonts w:ascii="Arial" w:hAnsi="Arial" w:cs="Arial"/>
        </w:rPr>
        <w:t>Regulacje dotyczące badań monitoringowych są zawarte w rozporządzeniu Ministra Infrastruktury z</w:t>
      </w:r>
      <w:r w:rsidR="001D6DE1">
        <w:rPr>
          <w:rFonts w:ascii="Arial" w:hAnsi="Arial" w:cs="Arial"/>
        </w:rPr>
        <w:t> </w:t>
      </w:r>
      <w:r w:rsidRPr="00582E28">
        <w:rPr>
          <w:rFonts w:ascii="Arial" w:hAnsi="Arial" w:cs="Arial"/>
        </w:rPr>
        <w:t>dnia 13 lipca 2021 r. w sprawie form i sposobu prowadzenia monitoringu jednolitych części wód powierzchniowych i podziemnych (Dz. U. poz. 1576).</w:t>
      </w:r>
      <w:r w:rsidR="00D839C2">
        <w:rPr>
          <w:rFonts w:ascii="Arial" w:hAnsi="Arial" w:cs="Arial"/>
        </w:rPr>
        <w:t xml:space="preserve"> </w:t>
      </w:r>
      <w:r w:rsidRPr="00582E28">
        <w:rPr>
          <w:rFonts w:ascii="Arial" w:hAnsi="Arial" w:cs="Arial"/>
        </w:rPr>
        <w:t>Szczegółowe regulacje dotyczące oceny stanu wód podziemnych są zawarte w rozporządzeniu Ministra Gospodarki Morskiej i Żeglugi Śródlądowej z</w:t>
      </w:r>
      <w:r w:rsidR="00633EA2">
        <w:rPr>
          <w:rFonts w:ascii="Arial" w:hAnsi="Arial" w:cs="Arial"/>
        </w:rPr>
        <w:t> </w:t>
      </w:r>
      <w:r w:rsidRPr="00582E28">
        <w:rPr>
          <w:rFonts w:ascii="Arial" w:hAnsi="Arial" w:cs="Arial"/>
        </w:rPr>
        <w:t>dnia 11 października 2019</w:t>
      </w:r>
      <w:r w:rsidR="00963535">
        <w:rPr>
          <w:rFonts w:ascii="Arial" w:hAnsi="Arial" w:cs="Arial"/>
        </w:rPr>
        <w:t xml:space="preserve"> </w:t>
      </w:r>
      <w:r w:rsidRPr="00582E28">
        <w:rPr>
          <w:rFonts w:ascii="Arial" w:hAnsi="Arial" w:cs="Arial"/>
        </w:rPr>
        <w:t>r. w sprawie kryteriów i sposobu oceny stanu jednolitych części wód podziemnych (Dz. U. poz. 2148), natomiast szczegółowe regulacje dotyczące oceny stanu wód powierzchniowych są zawarte w rozporządzeniu Ministra Infrastruktury z dnia 25</w:t>
      </w:r>
      <w:r w:rsidR="001D6DE1">
        <w:rPr>
          <w:rFonts w:ascii="Arial" w:hAnsi="Arial" w:cs="Arial"/>
        </w:rPr>
        <w:t> </w:t>
      </w:r>
      <w:r w:rsidRPr="00582E28">
        <w:rPr>
          <w:rFonts w:ascii="Arial" w:hAnsi="Arial" w:cs="Arial"/>
        </w:rPr>
        <w:t>czerwca 2021</w:t>
      </w:r>
      <w:r w:rsidR="00633EA2">
        <w:rPr>
          <w:rFonts w:ascii="Arial" w:hAnsi="Arial" w:cs="Arial"/>
        </w:rPr>
        <w:t> </w:t>
      </w:r>
      <w:r w:rsidRPr="00582E28">
        <w:rPr>
          <w:rFonts w:ascii="Arial" w:hAnsi="Arial" w:cs="Arial"/>
        </w:rPr>
        <w:t>r. w</w:t>
      </w:r>
      <w:r w:rsidR="00633EA2">
        <w:rPr>
          <w:rFonts w:ascii="Arial" w:hAnsi="Arial" w:cs="Arial"/>
        </w:rPr>
        <w:t> </w:t>
      </w:r>
      <w:r w:rsidRPr="00582E28">
        <w:rPr>
          <w:rFonts w:ascii="Arial" w:hAnsi="Arial" w:cs="Arial"/>
        </w:rPr>
        <w:t>sprawie klasyfikacji stanu ekologicznego, potencjału ekologicznego i</w:t>
      </w:r>
      <w:r w:rsidR="001D6DE1">
        <w:rPr>
          <w:rFonts w:ascii="Arial" w:hAnsi="Arial" w:cs="Arial"/>
        </w:rPr>
        <w:t> </w:t>
      </w:r>
      <w:r w:rsidRPr="00582E28">
        <w:rPr>
          <w:rFonts w:ascii="Arial" w:hAnsi="Arial" w:cs="Arial"/>
        </w:rPr>
        <w:t xml:space="preserve">stanu chemicznego oraz sposobu klasyfikacji stanu jednolitych części wód powierzchniowych, a także środowiskowych norm </w:t>
      </w:r>
      <w:r w:rsidRPr="00582E28">
        <w:rPr>
          <w:rFonts w:ascii="Arial" w:hAnsi="Arial" w:cs="Arial"/>
        </w:rPr>
        <w:lastRenderedPageBreak/>
        <w:t>jakości dla substancji priorytetowych (Dz. U. poz. 1475).</w:t>
      </w:r>
    </w:p>
    <w:p w14:paraId="19797055" w14:textId="7E7720D2" w:rsidR="00582E28" w:rsidRPr="00582E28" w:rsidRDefault="00582E28" w:rsidP="00582E28">
      <w:pPr>
        <w:pStyle w:val="NormalnyWeb"/>
        <w:tabs>
          <w:tab w:val="left" w:pos="284"/>
        </w:tabs>
        <w:spacing w:beforeAutospacing="0" w:after="120" w:afterAutospacing="0" w:line="360" w:lineRule="auto"/>
        <w:ind w:firstLine="284"/>
        <w:jc w:val="both"/>
        <w:rPr>
          <w:rFonts w:ascii="Arial" w:hAnsi="Arial" w:cs="Arial"/>
        </w:rPr>
      </w:pPr>
      <w:r w:rsidRPr="00582E28">
        <w:rPr>
          <w:rFonts w:ascii="Arial" w:hAnsi="Arial" w:cs="Arial"/>
        </w:rPr>
        <w:t>Monitoring jakości wód jest prowadzony z uwzględnieniem wymagań określonych w dyrektywie 2000/60/WE Parlamentu Europejskiego i Rady z dnia 23 października 2000 r. ustanawiającej ramy wspólnotowego działania w dziedzinie polityki wodnej (Dz. Urz. WE L 327 z 22.12.2000, str. 1, z późn. zm. – Dz. Urz. UE Polskie wydanie specjalne rozdz. 15, t. 5, str. 275), tzw. Ramowej Dyrektywie Wodnej oraz w przypadku wód podziemnych – w dyrektywie 2006/118/WE Parlamentu Europejskiego i Rady z</w:t>
      </w:r>
      <w:r w:rsidR="00633EA2">
        <w:rPr>
          <w:rFonts w:ascii="Arial" w:hAnsi="Arial" w:cs="Arial"/>
        </w:rPr>
        <w:t> </w:t>
      </w:r>
      <w:r w:rsidRPr="00582E28">
        <w:rPr>
          <w:rFonts w:ascii="Arial" w:hAnsi="Arial" w:cs="Arial"/>
        </w:rPr>
        <w:t>dnia 12 grudnia 2006 r. w sprawie ochrony wód podziemnych przed zanieczyszczeniem i</w:t>
      </w:r>
      <w:r w:rsidR="00633EA2">
        <w:rPr>
          <w:rFonts w:ascii="Arial" w:hAnsi="Arial" w:cs="Arial"/>
        </w:rPr>
        <w:t> </w:t>
      </w:r>
      <w:r w:rsidRPr="00582E28">
        <w:rPr>
          <w:rFonts w:ascii="Arial" w:hAnsi="Arial" w:cs="Arial"/>
        </w:rPr>
        <w:t>pogorszeniem ich stanu (Dz. Urz. UE L 372 z 27.12.2006, str. 19, z późn. zm.).</w:t>
      </w:r>
    </w:p>
    <w:p w14:paraId="62D7212E" w14:textId="4DA8510D" w:rsidR="00582E28" w:rsidRDefault="00582E28" w:rsidP="00582E28">
      <w:pPr>
        <w:pStyle w:val="NormalnyWeb"/>
        <w:tabs>
          <w:tab w:val="left" w:pos="284"/>
        </w:tabs>
        <w:spacing w:beforeAutospacing="0" w:after="120" w:afterAutospacing="0" w:line="360" w:lineRule="auto"/>
        <w:ind w:firstLine="284"/>
        <w:jc w:val="both"/>
        <w:rPr>
          <w:rFonts w:ascii="Arial" w:hAnsi="Arial" w:cs="Arial"/>
        </w:rPr>
      </w:pPr>
      <w:r w:rsidRPr="00582E28">
        <w:rPr>
          <w:rFonts w:ascii="Arial" w:hAnsi="Arial" w:cs="Arial"/>
        </w:rPr>
        <w:t>Program monitoringu jakości wód powierzchniowych jest realizowany w ramach:</w:t>
      </w:r>
    </w:p>
    <w:p w14:paraId="2884D14E" w14:textId="7677ADA0" w:rsidR="009044FA" w:rsidRDefault="009044FA" w:rsidP="00F24AB0">
      <w:pPr>
        <w:numPr>
          <w:ilvl w:val="0"/>
          <w:numId w:val="3"/>
        </w:numPr>
        <w:tabs>
          <w:tab w:val="left" w:pos="851"/>
          <w:tab w:val="center" w:pos="4536"/>
          <w:tab w:val="right" w:pos="9072"/>
        </w:tabs>
        <w:spacing w:before="120" w:after="120" w:line="360" w:lineRule="auto"/>
        <w:ind w:left="851" w:hanging="425"/>
        <w:jc w:val="both"/>
        <w:rPr>
          <w:rFonts w:ascii="Arial" w:hAnsi="Arial" w:cs="Arial"/>
        </w:rPr>
      </w:pPr>
      <w:r>
        <w:rPr>
          <w:rFonts w:ascii="Arial" w:hAnsi="Arial" w:cs="Arial"/>
        </w:rPr>
        <w:t>monitoringu diagnostycznego</w:t>
      </w:r>
      <w:r w:rsidR="00501358">
        <w:rPr>
          <w:rFonts w:ascii="Arial" w:hAnsi="Arial" w:cs="Arial"/>
        </w:rPr>
        <w:t>,</w:t>
      </w:r>
      <w:r>
        <w:rPr>
          <w:rFonts w:ascii="Arial" w:hAnsi="Arial" w:cs="Arial"/>
        </w:rPr>
        <w:t xml:space="preserve"> </w:t>
      </w:r>
    </w:p>
    <w:p w14:paraId="0A5E6173" w14:textId="684CC0BE" w:rsidR="009044FA" w:rsidRDefault="009044FA" w:rsidP="00F24AB0">
      <w:pPr>
        <w:numPr>
          <w:ilvl w:val="0"/>
          <w:numId w:val="3"/>
        </w:numPr>
        <w:tabs>
          <w:tab w:val="left" w:pos="851"/>
          <w:tab w:val="center" w:pos="4536"/>
          <w:tab w:val="right" w:pos="9072"/>
        </w:tabs>
        <w:spacing w:before="120" w:after="120" w:line="360" w:lineRule="auto"/>
        <w:ind w:left="851" w:hanging="425"/>
        <w:jc w:val="both"/>
        <w:rPr>
          <w:rFonts w:ascii="Arial" w:hAnsi="Arial" w:cs="Arial"/>
        </w:rPr>
      </w:pPr>
      <w:r>
        <w:rPr>
          <w:rFonts w:ascii="Arial" w:hAnsi="Arial" w:cs="Arial"/>
        </w:rPr>
        <w:t>monitoringu operacyjnego</w:t>
      </w:r>
      <w:r w:rsidR="00501358">
        <w:rPr>
          <w:rFonts w:ascii="Arial" w:hAnsi="Arial" w:cs="Arial"/>
        </w:rPr>
        <w:t>,</w:t>
      </w:r>
      <w:r>
        <w:rPr>
          <w:rFonts w:ascii="Arial" w:hAnsi="Arial" w:cs="Arial"/>
        </w:rPr>
        <w:t xml:space="preserve"> </w:t>
      </w:r>
    </w:p>
    <w:p w14:paraId="61CD3086" w14:textId="638B2F55" w:rsidR="009044FA" w:rsidRDefault="009044FA" w:rsidP="00F24AB0">
      <w:pPr>
        <w:numPr>
          <w:ilvl w:val="0"/>
          <w:numId w:val="3"/>
        </w:numPr>
        <w:tabs>
          <w:tab w:val="left" w:pos="851"/>
          <w:tab w:val="center" w:pos="4536"/>
          <w:tab w:val="right" w:pos="9072"/>
        </w:tabs>
        <w:spacing w:before="120" w:after="120" w:line="360" w:lineRule="auto"/>
        <w:ind w:left="851" w:hanging="425"/>
        <w:jc w:val="both"/>
        <w:rPr>
          <w:rFonts w:ascii="Arial" w:hAnsi="Arial" w:cs="Arial"/>
        </w:rPr>
      </w:pPr>
      <w:r>
        <w:rPr>
          <w:rFonts w:ascii="Arial" w:hAnsi="Arial" w:cs="Arial"/>
        </w:rPr>
        <w:t>monitoringu badawczego</w:t>
      </w:r>
      <w:r w:rsidR="00501358">
        <w:rPr>
          <w:rFonts w:ascii="Arial" w:hAnsi="Arial" w:cs="Arial"/>
        </w:rPr>
        <w:t>,</w:t>
      </w:r>
    </w:p>
    <w:p w14:paraId="17CB63EB" w14:textId="6DA3C8D0" w:rsidR="009044FA" w:rsidRDefault="009044FA" w:rsidP="00F24AB0">
      <w:pPr>
        <w:numPr>
          <w:ilvl w:val="0"/>
          <w:numId w:val="3"/>
        </w:numPr>
        <w:tabs>
          <w:tab w:val="left" w:pos="851"/>
          <w:tab w:val="center" w:pos="4536"/>
          <w:tab w:val="right" w:pos="9072"/>
        </w:tabs>
        <w:spacing w:before="120" w:after="120" w:line="360" w:lineRule="auto"/>
        <w:ind w:left="851" w:hanging="425"/>
        <w:jc w:val="both"/>
        <w:rPr>
          <w:rFonts w:ascii="Arial" w:hAnsi="Arial" w:cs="Arial"/>
        </w:rPr>
      </w:pPr>
      <w:r>
        <w:rPr>
          <w:rFonts w:ascii="Arial" w:hAnsi="Arial" w:cs="Arial"/>
        </w:rPr>
        <w:t>monitoringu obszarów chronionych</w:t>
      </w:r>
    </w:p>
    <w:p w14:paraId="70C4DCAD" w14:textId="1D04A03A" w:rsidR="00FC40BA" w:rsidRPr="00FC40BA" w:rsidRDefault="009044FA" w:rsidP="00E74A80">
      <w:pPr>
        <w:pStyle w:val="Akapitzlist"/>
        <w:numPr>
          <w:ilvl w:val="0"/>
          <w:numId w:val="12"/>
        </w:numPr>
        <w:tabs>
          <w:tab w:val="center" w:pos="4536"/>
          <w:tab w:val="right" w:pos="9072"/>
        </w:tabs>
        <w:spacing w:before="120" w:after="120" w:line="360" w:lineRule="auto"/>
        <w:ind w:left="851" w:hanging="425"/>
        <w:jc w:val="both"/>
        <w:rPr>
          <w:rFonts w:ascii="Arial" w:hAnsi="Arial" w:cs="Arial"/>
          <w:sz w:val="20"/>
          <w:szCs w:val="20"/>
        </w:rPr>
      </w:pPr>
      <w:r>
        <w:rPr>
          <w:rFonts w:ascii="Arial" w:hAnsi="Arial" w:cs="Arial"/>
          <w:sz w:val="20"/>
          <w:szCs w:val="20"/>
        </w:rPr>
        <w:t xml:space="preserve">zgodnie z wymaganiami zawartymi </w:t>
      </w:r>
      <w:r w:rsidR="00DC673D">
        <w:rPr>
          <w:rFonts w:ascii="Arial" w:hAnsi="Arial" w:cs="Arial"/>
          <w:sz w:val="20"/>
          <w:szCs w:val="20"/>
        </w:rPr>
        <w:t xml:space="preserve">w </w:t>
      </w:r>
      <w:r w:rsidR="006401F3" w:rsidRPr="006401F3">
        <w:rPr>
          <w:rFonts w:ascii="Arial" w:hAnsi="Arial" w:cs="Arial"/>
          <w:sz w:val="20"/>
          <w:szCs w:val="20"/>
        </w:rPr>
        <w:t>rozporządzeniu Ministra Infrastruktury z dnia 13 lipca 2021</w:t>
      </w:r>
      <w:r w:rsidR="00CE378C">
        <w:rPr>
          <w:rFonts w:ascii="Arial" w:hAnsi="Arial" w:cs="Arial"/>
          <w:sz w:val="20"/>
          <w:szCs w:val="20"/>
        </w:rPr>
        <w:t> </w:t>
      </w:r>
      <w:r w:rsidR="006401F3" w:rsidRPr="006401F3">
        <w:rPr>
          <w:rFonts w:ascii="Arial" w:hAnsi="Arial" w:cs="Arial"/>
          <w:sz w:val="20"/>
          <w:szCs w:val="20"/>
        </w:rPr>
        <w:t>r. w sprawie form i sposobu prowadzenia monitoringu jednolitych części</w:t>
      </w:r>
      <w:r w:rsidR="006401F3">
        <w:rPr>
          <w:rFonts w:ascii="Arial" w:hAnsi="Arial" w:cs="Arial"/>
          <w:sz w:val="20"/>
          <w:szCs w:val="20"/>
        </w:rPr>
        <w:t xml:space="preserve"> wód </w:t>
      </w:r>
      <w:r w:rsidR="00675F1E" w:rsidRPr="00675F1E">
        <w:rPr>
          <w:rFonts w:ascii="Arial" w:hAnsi="Arial" w:cs="Arial"/>
          <w:sz w:val="20"/>
          <w:szCs w:val="20"/>
        </w:rPr>
        <w:t>powierzchniowych i podziemnych</w:t>
      </w:r>
      <w:r w:rsidR="00FB2818">
        <w:rPr>
          <w:rFonts w:ascii="Arial" w:hAnsi="Arial" w:cs="Arial"/>
          <w:sz w:val="20"/>
          <w:szCs w:val="20"/>
        </w:rPr>
        <w:t>,</w:t>
      </w:r>
    </w:p>
    <w:p w14:paraId="3E1A1F0C" w14:textId="297A6404" w:rsidR="00582E28" w:rsidRPr="00582E28" w:rsidRDefault="00FB2818" w:rsidP="001E0779">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n</w:t>
      </w:r>
      <w:r w:rsidR="00582E28" w:rsidRPr="00582E28">
        <w:rPr>
          <w:rFonts w:ascii="Arial" w:hAnsi="Arial" w:cs="Arial"/>
        </w:rPr>
        <w:t>atomiast program monitoringu jakości wód podziemnych jest realizowany w ramach:</w:t>
      </w:r>
    </w:p>
    <w:p w14:paraId="0B25D32C" w14:textId="680EE641" w:rsidR="00582E28" w:rsidRPr="00F24AB0" w:rsidRDefault="00582E28" w:rsidP="00E74A80">
      <w:pPr>
        <w:pStyle w:val="Akapitzlist"/>
        <w:numPr>
          <w:ilvl w:val="1"/>
          <w:numId w:val="18"/>
        </w:numPr>
        <w:tabs>
          <w:tab w:val="left" w:pos="851"/>
          <w:tab w:val="center" w:pos="4536"/>
          <w:tab w:val="right" w:pos="9072"/>
        </w:tabs>
        <w:spacing w:before="120" w:after="120" w:line="360" w:lineRule="auto"/>
        <w:ind w:left="851" w:hanging="425"/>
        <w:jc w:val="both"/>
        <w:rPr>
          <w:rFonts w:ascii="Arial" w:hAnsi="Arial" w:cs="Arial"/>
          <w:sz w:val="20"/>
          <w:szCs w:val="20"/>
        </w:rPr>
      </w:pPr>
      <w:r w:rsidRPr="00F24AB0">
        <w:rPr>
          <w:rFonts w:ascii="Arial" w:hAnsi="Arial" w:cs="Arial"/>
          <w:sz w:val="20"/>
          <w:szCs w:val="20"/>
        </w:rPr>
        <w:t>monitoringu diagnostycznego;</w:t>
      </w:r>
    </w:p>
    <w:p w14:paraId="45230139" w14:textId="0FFEAB35" w:rsidR="00582E28" w:rsidRPr="00F24AB0" w:rsidRDefault="00582E28" w:rsidP="00E74A80">
      <w:pPr>
        <w:pStyle w:val="Akapitzlist"/>
        <w:numPr>
          <w:ilvl w:val="1"/>
          <w:numId w:val="18"/>
        </w:numPr>
        <w:tabs>
          <w:tab w:val="left" w:pos="851"/>
          <w:tab w:val="center" w:pos="4536"/>
          <w:tab w:val="right" w:pos="9072"/>
        </w:tabs>
        <w:spacing w:before="120" w:after="120" w:line="360" w:lineRule="auto"/>
        <w:ind w:left="851" w:hanging="425"/>
        <w:jc w:val="both"/>
        <w:rPr>
          <w:rFonts w:ascii="Arial" w:hAnsi="Arial" w:cs="Arial"/>
          <w:sz w:val="20"/>
          <w:szCs w:val="20"/>
        </w:rPr>
      </w:pPr>
      <w:r w:rsidRPr="00F24AB0">
        <w:rPr>
          <w:rFonts w:ascii="Arial" w:hAnsi="Arial" w:cs="Arial"/>
          <w:sz w:val="20"/>
          <w:szCs w:val="20"/>
        </w:rPr>
        <w:t>monitoringu operacyjnego;</w:t>
      </w:r>
    </w:p>
    <w:p w14:paraId="6AF2B10F" w14:textId="5D431345" w:rsidR="00582E28" w:rsidRPr="00CE378C" w:rsidRDefault="00582E28" w:rsidP="00E74A80">
      <w:pPr>
        <w:pStyle w:val="Akapitzlist"/>
        <w:numPr>
          <w:ilvl w:val="0"/>
          <w:numId w:val="12"/>
        </w:numPr>
        <w:tabs>
          <w:tab w:val="center" w:pos="4536"/>
          <w:tab w:val="right" w:pos="9072"/>
        </w:tabs>
        <w:spacing w:before="120" w:after="120" w:line="360" w:lineRule="auto"/>
        <w:ind w:left="851" w:hanging="425"/>
        <w:jc w:val="both"/>
        <w:rPr>
          <w:rFonts w:ascii="Arial" w:hAnsi="Arial" w:cs="Arial"/>
          <w:sz w:val="20"/>
          <w:szCs w:val="20"/>
        </w:rPr>
      </w:pPr>
      <w:r w:rsidRPr="00CE378C">
        <w:rPr>
          <w:rFonts w:ascii="Arial" w:hAnsi="Arial" w:cs="Arial"/>
          <w:sz w:val="20"/>
          <w:szCs w:val="20"/>
        </w:rPr>
        <w:t>zgodnie z wymaganiami zawartymi w rozporządzeniu Ministra Infrastruktury z dnia 13 lipca 2021</w:t>
      </w:r>
      <w:r w:rsidR="00CE378C">
        <w:rPr>
          <w:rFonts w:ascii="Arial" w:hAnsi="Arial" w:cs="Arial"/>
          <w:sz w:val="20"/>
          <w:szCs w:val="20"/>
        </w:rPr>
        <w:t> </w:t>
      </w:r>
      <w:r w:rsidRPr="00CE378C">
        <w:rPr>
          <w:rFonts w:ascii="Arial" w:hAnsi="Arial" w:cs="Arial"/>
          <w:sz w:val="20"/>
          <w:szCs w:val="20"/>
        </w:rPr>
        <w:t>r. w sprawie form i sposobu prowadzenia monitoringu jednolitych części wód</w:t>
      </w:r>
      <w:r w:rsidR="00CE378C">
        <w:rPr>
          <w:rFonts w:ascii="Arial" w:hAnsi="Arial" w:cs="Arial"/>
          <w:sz w:val="20"/>
          <w:szCs w:val="20"/>
        </w:rPr>
        <w:t xml:space="preserve"> </w:t>
      </w:r>
      <w:r w:rsidR="00CE378C" w:rsidRPr="00CE378C">
        <w:rPr>
          <w:rFonts w:ascii="Arial" w:hAnsi="Arial" w:cs="Arial"/>
          <w:sz w:val="20"/>
          <w:szCs w:val="20"/>
        </w:rPr>
        <w:t>powierzchniowych i podziemnych lub jego aktualizacji</w:t>
      </w:r>
      <w:r w:rsidR="00CE378C">
        <w:rPr>
          <w:rFonts w:ascii="Arial" w:hAnsi="Arial" w:cs="Arial"/>
          <w:sz w:val="20"/>
          <w:szCs w:val="20"/>
        </w:rPr>
        <w:t>.</w:t>
      </w:r>
    </w:p>
    <w:p w14:paraId="5E3A4477" w14:textId="7CCF6C28" w:rsidR="00582E28" w:rsidRPr="00582E28" w:rsidRDefault="00582E28" w:rsidP="00582E28">
      <w:pPr>
        <w:pStyle w:val="NormalnyWeb"/>
        <w:tabs>
          <w:tab w:val="left" w:pos="284"/>
        </w:tabs>
        <w:spacing w:beforeAutospacing="0" w:after="120" w:afterAutospacing="0" w:line="360" w:lineRule="auto"/>
        <w:ind w:firstLine="284"/>
        <w:jc w:val="both"/>
        <w:rPr>
          <w:rFonts w:ascii="Arial" w:hAnsi="Arial" w:cs="Arial"/>
        </w:rPr>
      </w:pPr>
      <w:r w:rsidRPr="00582E28">
        <w:rPr>
          <w:rFonts w:ascii="Arial" w:hAnsi="Arial" w:cs="Arial"/>
        </w:rPr>
        <w:t xml:space="preserve">W ramach poszczególnych rodzajów monitoringu jakości wód powierzchniowych prowadzone </w:t>
      </w:r>
      <w:r w:rsidR="00FB3AE3" w:rsidRPr="00582E28">
        <w:rPr>
          <w:rFonts w:ascii="Arial" w:hAnsi="Arial" w:cs="Arial"/>
        </w:rPr>
        <w:t xml:space="preserve">są </w:t>
      </w:r>
      <w:r w:rsidRPr="00582E28">
        <w:rPr>
          <w:rFonts w:ascii="Arial" w:hAnsi="Arial" w:cs="Arial"/>
        </w:rPr>
        <w:t>badania wskaźników biologicznych, fizykochemicznych i chemicznych</w:t>
      </w:r>
      <w:r w:rsidR="00FB3AE3">
        <w:rPr>
          <w:rFonts w:ascii="Arial" w:hAnsi="Arial" w:cs="Arial"/>
        </w:rPr>
        <w:t>,</w:t>
      </w:r>
      <w:r w:rsidRPr="00582E28">
        <w:rPr>
          <w:rFonts w:ascii="Arial" w:hAnsi="Arial" w:cs="Arial"/>
        </w:rPr>
        <w:t xml:space="preserve"> wykonywane przez oddziały Centralnego Laboratorium Badawczego </w:t>
      </w:r>
      <w:r w:rsidR="00FB3AE3" w:rsidRPr="00582E28">
        <w:rPr>
          <w:rFonts w:ascii="Arial" w:hAnsi="Arial" w:cs="Arial"/>
        </w:rPr>
        <w:t>G</w:t>
      </w:r>
      <w:r w:rsidR="00FB3AE3">
        <w:rPr>
          <w:rFonts w:ascii="Arial" w:hAnsi="Arial" w:cs="Arial"/>
        </w:rPr>
        <w:t>łównego Inspektoratu Ochrony Środowiska</w:t>
      </w:r>
      <w:r w:rsidR="00FB3AE3" w:rsidRPr="00582E28">
        <w:rPr>
          <w:rFonts w:ascii="Arial" w:hAnsi="Arial" w:cs="Arial"/>
        </w:rPr>
        <w:t xml:space="preserve"> </w:t>
      </w:r>
      <w:r w:rsidRPr="00582E28">
        <w:rPr>
          <w:rFonts w:ascii="Arial" w:hAnsi="Arial" w:cs="Arial"/>
        </w:rPr>
        <w:t xml:space="preserve">oraz </w:t>
      </w:r>
      <w:r w:rsidR="00FB3AE3">
        <w:rPr>
          <w:rFonts w:ascii="Arial" w:hAnsi="Arial" w:cs="Arial"/>
        </w:rPr>
        <w:t xml:space="preserve">badania </w:t>
      </w:r>
      <w:r w:rsidRPr="00582E28">
        <w:rPr>
          <w:rFonts w:ascii="Arial" w:hAnsi="Arial" w:cs="Arial"/>
        </w:rPr>
        <w:t>wskaźników hydromorfologicznych prowadzone przez służbę hydrologiczno-meteorologiczną. W</w:t>
      </w:r>
      <w:r w:rsidR="00FB3AE3">
        <w:rPr>
          <w:rFonts w:ascii="Arial" w:hAnsi="Arial" w:cs="Arial"/>
        </w:rPr>
        <w:t> </w:t>
      </w:r>
      <w:r w:rsidRPr="00582E28">
        <w:rPr>
          <w:rFonts w:ascii="Arial" w:hAnsi="Arial" w:cs="Arial"/>
        </w:rPr>
        <w:t>ramach monitoringu jakości wód podziemnych prowadzone są badania wskaźników fizykochemicznych ogólnych, nieorganicznych i organicznych (w tym pestycydów).</w:t>
      </w:r>
    </w:p>
    <w:p w14:paraId="433E8BE1" w14:textId="158D5F0E" w:rsidR="00582E28" w:rsidRPr="00582E28" w:rsidRDefault="00582E28" w:rsidP="00582E28">
      <w:pPr>
        <w:pStyle w:val="NormalnyWeb"/>
        <w:tabs>
          <w:tab w:val="left" w:pos="284"/>
        </w:tabs>
        <w:spacing w:beforeAutospacing="0" w:after="120" w:afterAutospacing="0" w:line="360" w:lineRule="auto"/>
        <w:ind w:firstLine="284"/>
        <w:jc w:val="both"/>
        <w:rPr>
          <w:rFonts w:ascii="Arial" w:hAnsi="Arial" w:cs="Arial"/>
        </w:rPr>
      </w:pPr>
      <w:r w:rsidRPr="00582E28">
        <w:rPr>
          <w:rFonts w:ascii="Arial" w:hAnsi="Arial" w:cs="Arial"/>
        </w:rPr>
        <w:t>Badania osadów dennych rzek i jezior są wykonywane w ramach monitoringu wód</w:t>
      </w:r>
      <w:r w:rsidR="006736D0">
        <w:rPr>
          <w:rFonts w:ascii="Arial" w:hAnsi="Arial" w:cs="Arial"/>
        </w:rPr>
        <w:t xml:space="preserve"> </w:t>
      </w:r>
      <w:r w:rsidRPr="00582E28">
        <w:rPr>
          <w:rFonts w:ascii="Arial" w:hAnsi="Arial" w:cs="Arial"/>
        </w:rPr>
        <w:t>powierzchniowych. Bezpośredni nadzór nad realizacją programu badań sprawuje Główny Inspektor Ochrony Środowiska.</w:t>
      </w:r>
    </w:p>
    <w:p w14:paraId="106AE52B" w14:textId="3F5BB3D9" w:rsidR="00582E28" w:rsidRPr="00582E28" w:rsidRDefault="00582E28" w:rsidP="00211DAC">
      <w:pPr>
        <w:pStyle w:val="NormalnyWeb"/>
        <w:tabs>
          <w:tab w:val="left" w:pos="284"/>
        </w:tabs>
        <w:spacing w:beforeAutospacing="0" w:after="120" w:afterAutospacing="0" w:line="360" w:lineRule="auto"/>
        <w:ind w:firstLine="284"/>
        <w:jc w:val="both"/>
        <w:rPr>
          <w:rFonts w:ascii="Arial" w:hAnsi="Arial" w:cs="Arial"/>
        </w:rPr>
      </w:pPr>
      <w:r w:rsidRPr="00582E28">
        <w:rPr>
          <w:rFonts w:ascii="Arial" w:hAnsi="Arial" w:cs="Arial"/>
        </w:rPr>
        <w:t xml:space="preserve">W ramach </w:t>
      </w:r>
      <w:r w:rsidR="00C73FA3">
        <w:rPr>
          <w:rFonts w:ascii="Arial" w:hAnsi="Arial" w:cs="Arial"/>
        </w:rPr>
        <w:t>PMŚ</w:t>
      </w:r>
      <w:r w:rsidRPr="00582E28">
        <w:rPr>
          <w:rFonts w:ascii="Arial" w:hAnsi="Arial" w:cs="Arial"/>
        </w:rPr>
        <w:t xml:space="preserve"> są prowadzone badania substancji</w:t>
      </w:r>
      <w:r w:rsidR="00C51ED7">
        <w:rPr>
          <w:rFonts w:ascii="Arial" w:hAnsi="Arial" w:cs="Arial"/>
        </w:rPr>
        <w:t xml:space="preserve"> </w:t>
      </w:r>
      <w:r w:rsidRPr="00582E28">
        <w:rPr>
          <w:rFonts w:ascii="Arial" w:hAnsi="Arial" w:cs="Arial"/>
        </w:rPr>
        <w:t>priorytetowych, wśród których są substancje lub grupy substancji, które występują bądź występowały w środkach ochrony roślin lub służą lub służyły do ich produkcji.</w:t>
      </w:r>
    </w:p>
    <w:p w14:paraId="4004B894" w14:textId="77777777" w:rsidR="00A62BA7" w:rsidRPr="00C6291E" w:rsidRDefault="00A62BA7" w:rsidP="00211DAC">
      <w:pPr>
        <w:pStyle w:val="Nagwek3"/>
        <w:numPr>
          <w:ilvl w:val="0"/>
          <w:numId w:val="0"/>
        </w:numPr>
        <w:spacing w:before="0" w:after="120" w:line="360" w:lineRule="auto"/>
        <w:ind w:left="709"/>
        <w:rPr>
          <w:i w:val="0"/>
          <w:sz w:val="20"/>
          <w:szCs w:val="20"/>
        </w:rPr>
      </w:pPr>
      <w:bookmarkStart w:id="23" w:name="_Toc193716392"/>
      <w:r w:rsidRPr="00C6291E">
        <w:rPr>
          <w:i w:val="0"/>
          <w:sz w:val="20"/>
          <w:szCs w:val="20"/>
        </w:rPr>
        <w:lastRenderedPageBreak/>
        <w:t>Podzadanie 1. Wody powierzchniowe</w:t>
      </w:r>
      <w:bookmarkEnd w:id="23"/>
      <w:r w:rsidRPr="00C6291E">
        <w:rPr>
          <w:i w:val="0"/>
          <w:sz w:val="20"/>
          <w:szCs w:val="20"/>
        </w:rPr>
        <w:t xml:space="preserve"> </w:t>
      </w:r>
    </w:p>
    <w:p w14:paraId="545CDC66" w14:textId="7D5A435E" w:rsidR="005B7EE0" w:rsidRDefault="005B7EE0" w:rsidP="0000723E">
      <w:pPr>
        <w:pStyle w:val="NormalnyWeb"/>
        <w:tabs>
          <w:tab w:val="left" w:pos="284"/>
        </w:tabs>
        <w:spacing w:beforeAutospacing="0" w:after="120" w:afterAutospacing="0" w:line="360" w:lineRule="auto"/>
        <w:ind w:firstLine="284"/>
        <w:jc w:val="both"/>
        <w:rPr>
          <w:rFonts w:ascii="Arial" w:hAnsi="Arial" w:cs="Arial"/>
        </w:rPr>
      </w:pPr>
      <w:r w:rsidRPr="005B7EE0">
        <w:rPr>
          <w:rFonts w:ascii="Arial" w:hAnsi="Arial" w:cs="Arial"/>
        </w:rPr>
        <w:t xml:space="preserve">W ramach monitoringu diagnostycznego, operacyjnego, badawczego oraz monitoringu obszarów chronionych w jednolitych częściach wód rzek i jezior, wód przejściowych i przybrzeżnych, </w:t>
      </w:r>
      <w:r w:rsidRPr="001E0779">
        <w:rPr>
          <w:rFonts w:ascii="Arial" w:hAnsi="Arial" w:cs="Arial"/>
          <w:b/>
        </w:rPr>
        <w:t xml:space="preserve">Inspekcja Ochrony Środowiska </w:t>
      </w:r>
      <w:r w:rsidR="001E0779" w:rsidRPr="001E0779">
        <w:rPr>
          <w:rFonts w:ascii="Arial" w:hAnsi="Arial" w:cs="Arial"/>
          <w:b/>
        </w:rPr>
        <w:t>w 2023 r.</w:t>
      </w:r>
      <w:r w:rsidR="001E0779">
        <w:rPr>
          <w:rFonts w:ascii="Arial" w:hAnsi="Arial" w:cs="Arial"/>
        </w:rPr>
        <w:t xml:space="preserve"> </w:t>
      </w:r>
      <w:r w:rsidRPr="005B7EE0">
        <w:rPr>
          <w:rFonts w:ascii="Arial" w:hAnsi="Arial" w:cs="Arial"/>
        </w:rPr>
        <w:t xml:space="preserve">realizowała badania określone w programach </w:t>
      </w:r>
      <w:r w:rsidR="00C73FA3">
        <w:rPr>
          <w:rFonts w:ascii="Arial" w:hAnsi="Arial" w:cs="Arial"/>
        </w:rPr>
        <w:t>PMŚ</w:t>
      </w:r>
      <w:r w:rsidRPr="005B7EE0">
        <w:rPr>
          <w:rFonts w:ascii="Arial" w:hAnsi="Arial" w:cs="Arial"/>
        </w:rPr>
        <w:t xml:space="preserve">. </w:t>
      </w:r>
      <w:r w:rsidR="00313A90">
        <w:rPr>
          <w:rFonts w:ascii="Arial" w:hAnsi="Arial" w:cs="Arial"/>
        </w:rPr>
        <w:t>K</w:t>
      </w:r>
      <w:r w:rsidRPr="005B7EE0">
        <w:rPr>
          <w:rFonts w:ascii="Arial" w:hAnsi="Arial" w:cs="Arial"/>
        </w:rPr>
        <w:t xml:space="preserve">ontynuowane </w:t>
      </w:r>
      <w:r w:rsidR="00313A90">
        <w:rPr>
          <w:rFonts w:ascii="Arial" w:hAnsi="Arial" w:cs="Arial"/>
        </w:rPr>
        <w:t xml:space="preserve">były </w:t>
      </w:r>
      <w:r w:rsidRPr="005B7EE0">
        <w:rPr>
          <w:rFonts w:ascii="Arial" w:hAnsi="Arial" w:cs="Arial"/>
        </w:rPr>
        <w:t xml:space="preserve">badania elementów biologicznych stanowiących podstawę oceny stanu ekologicznego – kluczowego elementu decydującego o stanie ekologicznym jednolitych części wód. W ramach </w:t>
      </w:r>
      <w:r w:rsidRPr="00384B05">
        <w:rPr>
          <w:rFonts w:ascii="Arial" w:hAnsi="Arial" w:cs="Arial"/>
        </w:rPr>
        <w:t>monitoringu chemicznego b</w:t>
      </w:r>
      <w:r w:rsidR="001D3108">
        <w:rPr>
          <w:rFonts w:ascii="Arial" w:hAnsi="Arial" w:cs="Arial"/>
        </w:rPr>
        <w:t>yły</w:t>
      </w:r>
      <w:r w:rsidRPr="00384B05">
        <w:rPr>
          <w:rFonts w:ascii="Arial" w:hAnsi="Arial" w:cs="Arial"/>
        </w:rPr>
        <w:t xml:space="preserve"> prowadzone badania substancji szczególnie szkodliwych dla środowiska wodnego (substancje priorytetowe). Pestycydy z listy substancji priorytetowych, badane w wodach i</w:t>
      </w:r>
      <w:r w:rsidR="001E0779">
        <w:rPr>
          <w:rFonts w:ascii="Arial" w:hAnsi="Arial" w:cs="Arial"/>
        </w:rPr>
        <w:t> </w:t>
      </w:r>
      <w:r w:rsidRPr="00384B05">
        <w:rPr>
          <w:rFonts w:ascii="Arial" w:hAnsi="Arial" w:cs="Arial"/>
        </w:rPr>
        <w:t>biocie to: alachlor, atrazyna, chlorfenwinfos, chloropiryfos (chloropiryfos etylowy), diuron, endosulfan</w:t>
      </w:r>
      <w:r w:rsidRPr="005B7EE0">
        <w:rPr>
          <w:rFonts w:ascii="Arial" w:hAnsi="Arial" w:cs="Arial"/>
        </w:rPr>
        <w:t>, heksachlorocykloheksan, izoproturon, pentachlorofenol, symazyna, związki tributylocyny, trifluralina, dikofol, chinoksyfen, aklonifen, bifenoks, cybutryna, cypermetryna, dichlorfos, heptachlor i epoksyd heptachloru, terbutryna.</w:t>
      </w:r>
    </w:p>
    <w:p w14:paraId="4DF330C5" w14:textId="70BDC96C" w:rsidR="001D3108" w:rsidRPr="001D3108"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1D3108">
        <w:rPr>
          <w:rFonts w:ascii="Arial" w:hAnsi="Arial" w:cs="Arial"/>
          <w:b/>
          <w:bCs/>
        </w:rPr>
        <w:t>Monitoring wód rzecznych</w:t>
      </w:r>
      <w:r w:rsidRPr="001D3108">
        <w:rPr>
          <w:rFonts w:ascii="Arial" w:hAnsi="Arial" w:cs="Arial"/>
        </w:rPr>
        <w:t xml:space="preserve"> (w tym zbiorników zaporowych) </w:t>
      </w:r>
      <w:r w:rsidRPr="001D3108">
        <w:rPr>
          <w:rFonts w:ascii="Arial" w:hAnsi="Arial" w:cs="Arial"/>
          <w:b/>
          <w:bCs/>
        </w:rPr>
        <w:t>w 2023 r.</w:t>
      </w:r>
      <w:r w:rsidRPr="001D3108">
        <w:rPr>
          <w:rFonts w:ascii="Arial" w:hAnsi="Arial" w:cs="Arial"/>
        </w:rPr>
        <w:t xml:space="preserve"> był prowadzony w 2</w:t>
      </w:r>
      <w:r w:rsidR="002371ED">
        <w:rPr>
          <w:rFonts w:ascii="Arial" w:hAnsi="Arial" w:cs="Arial"/>
        </w:rPr>
        <w:t> </w:t>
      </w:r>
      <w:r w:rsidRPr="001D3108">
        <w:rPr>
          <w:rFonts w:ascii="Arial" w:hAnsi="Arial" w:cs="Arial"/>
        </w:rPr>
        <w:t xml:space="preserve">348 punktach pomiarowo-kontrolnych położonych na jednolitych częściach wód powierzchniowych rzecznych. </w:t>
      </w:r>
    </w:p>
    <w:p w14:paraId="05A2D4A7" w14:textId="62E067F1" w:rsidR="001D3108" w:rsidRPr="001D3108"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1D3108">
        <w:rPr>
          <w:rFonts w:ascii="Arial" w:hAnsi="Arial" w:cs="Arial"/>
        </w:rPr>
        <w:t>Spośród badanych pestycydów (łącznie wykonano badania na obecność 28 pestycydów), w</w:t>
      </w:r>
      <w:r>
        <w:rPr>
          <w:rFonts w:ascii="Arial" w:hAnsi="Arial" w:cs="Arial"/>
        </w:rPr>
        <w:t> </w:t>
      </w:r>
      <w:r w:rsidRPr="001D3108">
        <w:rPr>
          <w:rFonts w:ascii="Arial" w:hAnsi="Arial" w:cs="Arial"/>
        </w:rPr>
        <w:t xml:space="preserve">stężeniach powyżej granicy oznaczalności odnotowano następujące substancje: chloropyrifos (0,009-0,08 µg/l), suma heksachlorocykloheksan (HCH) ((0,009-0,01 µg/l), symazynę (0,38-0,64 µg/l), związki tributylocyny (0,00012-0,00058 µg/l), pojedyncze aklonifen (0,036 µg/l) i cybutrynę (0,00205 µg/l), cypermetrynę (0,00003- 0,000495 µg/l), dichlorfos (0,00019-0,00058 µg/l), heptachlor i jego epoksyd (wartości 0,00002 µg/l), terbutrynę (0,0233-0,111µg/l) oraz DDT calkowity (pojedynczy 0,1789  µg/l). </w:t>
      </w:r>
    </w:p>
    <w:p w14:paraId="52C4D166" w14:textId="2DB963B1" w:rsidR="001D3108" w:rsidRPr="001D3108"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1D3108">
        <w:rPr>
          <w:rFonts w:ascii="Arial" w:hAnsi="Arial" w:cs="Arial"/>
        </w:rPr>
        <w:t>Na ogół stężenia te nie przekraczały wartości środowiskowych norm jakości dla dobrego stanu chemicznego jednolitych części wód powierzchniowych, wg rozporządzenia Ministra Infrastruktury z</w:t>
      </w:r>
      <w:r w:rsidR="00CB2FDE">
        <w:rPr>
          <w:rFonts w:ascii="Arial" w:hAnsi="Arial" w:cs="Arial"/>
        </w:rPr>
        <w:t> </w:t>
      </w:r>
      <w:r w:rsidRPr="001D3108">
        <w:rPr>
          <w:rFonts w:ascii="Arial" w:hAnsi="Arial" w:cs="Arial"/>
        </w:rPr>
        <w:t>dnia 25 czerwca 2021 r. w sprawie klasyfikacji stanu ekologicznego, potencjału ekologicznego i stanu chemicznego oraz sposobu klasyfikacji stanu jednolitych części wód powierzchniowych, a także środowiskowych norm jakości dla substancji priorytetowych (Dz. U. poz. 1475). Przekroczenia dotyczyły chlorfenwinfosu, HCH, związków tributylocyny, cypermetryny, dichlorfosu i heptachloru i jego epoksydu.</w:t>
      </w:r>
    </w:p>
    <w:p w14:paraId="63A221E0" w14:textId="1DBD9404" w:rsidR="001D3108" w:rsidRPr="001D3108"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1D3108">
        <w:rPr>
          <w:rFonts w:ascii="Arial" w:hAnsi="Arial" w:cs="Arial"/>
        </w:rPr>
        <w:t>W 2023</w:t>
      </w:r>
      <w:r w:rsidR="00CB2FDE">
        <w:rPr>
          <w:rFonts w:ascii="Arial" w:hAnsi="Arial" w:cs="Arial"/>
        </w:rPr>
        <w:t> r.</w:t>
      </w:r>
      <w:r w:rsidRPr="001D3108">
        <w:rPr>
          <w:rFonts w:ascii="Arial" w:hAnsi="Arial" w:cs="Arial"/>
        </w:rPr>
        <w:t xml:space="preserve"> na zlecenie Głównego Inspektora Ochrony Środowiska prowadzony był monitoring substancji szczególnie szkodliwych dla środowiska wodnego zawartych na czwartej liście obserwacyjnej. Zadanie to jest realizacją zobowiązań wynikających z dyrektywy 2008/105/WE zmienionej dyrektywą 2013/39/WE. Mechanizm listy obserwacyjnej utworzony tą dyrektywą pozwala na gromadzenie danych z monitorowania obejmującego całą Unię Europejską, w celu wspierania przyszłych działań Komisji Europejskiej i Wspólnotowego Centrum Badawczego (JRC) w zakresie szeregowania substancji pod względem ich negatywnego wpływu na ekosystemy wodne, a także zdrowie i życie ludzi oraz opracowywania nowych aktów legislacyjnych w tym zakresie. </w:t>
      </w:r>
    </w:p>
    <w:p w14:paraId="5DFA76D3" w14:textId="6F3DF38E" w:rsidR="001D3108" w:rsidRPr="001D3108"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1D3108">
        <w:rPr>
          <w:rFonts w:ascii="Arial" w:hAnsi="Arial" w:cs="Arial"/>
        </w:rPr>
        <w:t xml:space="preserve">Komisja Europejska ustanowiła czwartą listę obserwacyjną w drodze decyzji wykonawczej (UE) 2022/1307, obejmując nią 26 związków organicznych, które należy monitorować w matrycy wodnej. Badania substancji określonych czwartą listą obserwacyjną w wodach powierzchniowych w Polsce </w:t>
      </w:r>
      <w:r w:rsidRPr="001D3108">
        <w:rPr>
          <w:rFonts w:ascii="Arial" w:hAnsi="Arial" w:cs="Arial"/>
        </w:rPr>
        <w:lastRenderedPageBreak/>
        <w:t>prowadzone były w całym 2023</w:t>
      </w:r>
      <w:r w:rsidR="00CB2FDE">
        <w:rPr>
          <w:rFonts w:ascii="Arial" w:hAnsi="Arial" w:cs="Arial"/>
        </w:rPr>
        <w:t xml:space="preserve"> r.</w:t>
      </w:r>
      <w:r w:rsidRPr="001D3108">
        <w:rPr>
          <w:rFonts w:ascii="Arial" w:hAnsi="Arial" w:cs="Arial"/>
        </w:rPr>
        <w:t xml:space="preserve">, w sześciu seriach pomiarowych, w 19 punktach pomiarowo-kontrolnych. </w:t>
      </w:r>
    </w:p>
    <w:p w14:paraId="6CAD5E6E" w14:textId="77777777" w:rsidR="001D3108" w:rsidRPr="001D3108"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1D3108">
        <w:rPr>
          <w:rFonts w:ascii="Arial" w:hAnsi="Arial" w:cs="Arial"/>
        </w:rPr>
        <w:t>Wśród badanych substancji były również związki organiczne będące składnikami środków ochrony roślin, takich jak: fungicydy, herbicydy i insektycydy.</w:t>
      </w:r>
    </w:p>
    <w:p w14:paraId="520CA3BC" w14:textId="77777777" w:rsidR="001D3108" w:rsidRPr="00CB2FDE"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W odniesieniu do wyników oznaczeń w ramach prowadzonego monitoringu w przypadku dwóch substancji otrzymano wyniki powyżej raportowanego LOQ:</w:t>
      </w:r>
    </w:p>
    <w:p w14:paraId="49F25437" w14:textId="2B03B6F4" w:rsidR="001D3108" w:rsidRPr="00CB2FDE" w:rsidRDefault="001D3108" w:rsidP="00E74A80">
      <w:pPr>
        <w:pStyle w:val="Akapitzlist"/>
        <w:numPr>
          <w:ilvl w:val="0"/>
          <w:numId w:val="12"/>
        </w:numPr>
        <w:tabs>
          <w:tab w:val="center" w:pos="4536"/>
          <w:tab w:val="right" w:pos="9072"/>
        </w:tabs>
        <w:spacing w:before="120" w:after="120" w:line="360" w:lineRule="auto"/>
        <w:ind w:left="851" w:hanging="425"/>
        <w:jc w:val="both"/>
        <w:rPr>
          <w:rFonts w:ascii="Arial" w:hAnsi="Arial" w:cs="Arial"/>
          <w:sz w:val="20"/>
          <w:szCs w:val="20"/>
        </w:rPr>
      </w:pPr>
      <w:r w:rsidRPr="00CB2FDE">
        <w:rPr>
          <w:rFonts w:ascii="Arial" w:hAnsi="Arial" w:cs="Arial"/>
          <w:sz w:val="20"/>
          <w:szCs w:val="20"/>
        </w:rPr>
        <w:t>fungicydy – azoksystrobina (84 wyniki co stanowi 73,7% wszystkich wyników),</w:t>
      </w:r>
    </w:p>
    <w:p w14:paraId="7095918D" w14:textId="6D7608F8" w:rsidR="001D3108" w:rsidRPr="00CB2FDE" w:rsidRDefault="001D3108" w:rsidP="00E74A80">
      <w:pPr>
        <w:pStyle w:val="Akapitzlist"/>
        <w:numPr>
          <w:ilvl w:val="0"/>
          <w:numId w:val="12"/>
        </w:numPr>
        <w:tabs>
          <w:tab w:val="center" w:pos="4536"/>
          <w:tab w:val="right" w:pos="9072"/>
        </w:tabs>
        <w:spacing w:before="120" w:after="120" w:line="360" w:lineRule="auto"/>
        <w:ind w:left="851" w:hanging="425"/>
        <w:jc w:val="both"/>
        <w:rPr>
          <w:rFonts w:ascii="Arial" w:hAnsi="Arial" w:cs="Arial"/>
          <w:sz w:val="20"/>
          <w:szCs w:val="20"/>
        </w:rPr>
      </w:pPr>
      <w:r w:rsidRPr="00CB2FDE">
        <w:rPr>
          <w:rFonts w:ascii="Arial" w:hAnsi="Arial" w:cs="Arial"/>
          <w:sz w:val="20"/>
          <w:szCs w:val="20"/>
        </w:rPr>
        <w:t>herbicyd – diflufenikan (11 wyników co stanowi 9,6% wszystkich wyników).</w:t>
      </w:r>
    </w:p>
    <w:p w14:paraId="34FDCAAE" w14:textId="77777777" w:rsidR="001D3108" w:rsidRPr="00CB2FDE"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Natomiast, w żadnym punkcie pomiarowo-kontrolnym, jak również w żadnej z serii pomiarowych, nie oznaczono (wyniki poniżej raportowanego LOQ) następujących substancji:</w:t>
      </w:r>
    </w:p>
    <w:p w14:paraId="075543D1" w14:textId="16182B1D" w:rsidR="001D3108" w:rsidRPr="00CB2FDE" w:rsidRDefault="001D3108" w:rsidP="00E74A80">
      <w:pPr>
        <w:pStyle w:val="Akapitzlist"/>
        <w:numPr>
          <w:ilvl w:val="0"/>
          <w:numId w:val="12"/>
        </w:numPr>
        <w:tabs>
          <w:tab w:val="center" w:pos="4536"/>
          <w:tab w:val="right" w:pos="9072"/>
        </w:tabs>
        <w:spacing w:before="120" w:after="120" w:line="360" w:lineRule="auto"/>
        <w:ind w:left="851" w:hanging="425"/>
        <w:jc w:val="both"/>
        <w:rPr>
          <w:rFonts w:ascii="Arial" w:hAnsi="Arial" w:cs="Arial"/>
          <w:sz w:val="20"/>
          <w:szCs w:val="20"/>
        </w:rPr>
      </w:pPr>
      <w:r w:rsidRPr="00CB2FDE">
        <w:rPr>
          <w:rFonts w:ascii="Arial" w:hAnsi="Arial" w:cs="Arial"/>
          <w:sz w:val="20"/>
          <w:szCs w:val="20"/>
        </w:rPr>
        <w:t>insektycydy – fipronil,</w:t>
      </w:r>
    </w:p>
    <w:p w14:paraId="6D174ACA" w14:textId="1B7603F3" w:rsidR="001D3108" w:rsidRPr="00CB2FDE" w:rsidRDefault="001D3108" w:rsidP="00E74A80">
      <w:pPr>
        <w:pStyle w:val="Akapitzlist"/>
        <w:numPr>
          <w:ilvl w:val="0"/>
          <w:numId w:val="12"/>
        </w:numPr>
        <w:tabs>
          <w:tab w:val="center" w:pos="4536"/>
          <w:tab w:val="right" w:pos="9072"/>
        </w:tabs>
        <w:spacing w:before="120" w:after="120" w:line="360" w:lineRule="auto"/>
        <w:ind w:left="851" w:hanging="425"/>
        <w:jc w:val="both"/>
        <w:rPr>
          <w:rFonts w:ascii="Arial" w:hAnsi="Arial" w:cs="Arial"/>
          <w:sz w:val="20"/>
          <w:szCs w:val="20"/>
        </w:rPr>
      </w:pPr>
      <w:r w:rsidRPr="00CB2FDE">
        <w:rPr>
          <w:rFonts w:ascii="Arial" w:hAnsi="Arial" w:cs="Arial"/>
          <w:sz w:val="20"/>
          <w:szCs w:val="20"/>
        </w:rPr>
        <w:t>fungicydy - dimoksystrobina, famoksadon.</w:t>
      </w:r>
    </w:p>
    <w:p w14:paraId="5103E5C4" w14:textId="319D2B7C" w:rsidR="001D3108" w:rsidRDefault="001D3108" w:rsidP="001D3108">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b/>
          <w:bCs/>
        </w:rPr>
        <w:t>W ramach monitoringu jezior w 2023 r.</w:t>
      </w:r>
      <w:r w:rsidRPr="001D3108">
        <w:rPr>
          <w:rFonts w:ascii="Arial" w:hAnsi="Arial" w:cs="Arial"/>
        </w:rPr>
        <w:t xml:space="preserve"> badania wykonano w 452 jednolitych częściach wód powierzchniowych jeziornych. Spośród badanych pestycydów (łącznie wykonano badania na obecność 27 pestycydów), w stężeniach powyżej granicy oznaczalności odnotowano 4 substancje: symazynę (0,67-0,33 µg/l); cybutrynę (pojedynczy wynik 0,00092 µg/l);  cypermetrynę (0,000031- 0,00042 µg/l), oraz heptachlor i epoksyd heptachloru (pojedynczy 0,00002 µg/l). W niemal wszystkich przypadkach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Przekroczenia zaobserwowano dla dwóch substancji: cypermetryny (w dwóch jcwp) oraz dichlorfosu (w 1 jcwp).</w:t>
      </w:r>
    </w:p>
    <w:p w14:paraId="21F9CA7B" w14:textId="77777777" w:rsidR="00504813" w:rsidRDefault="00504813" w:rsidP="0000723E">
      <w:pPr>
        <w:pStyle w:val="Nagwek3"/>
        <w:numPr>
          <w:ilvl w:val="0"/>
          <w:numId w:val="0"/>
        </w:numPr>
        <w:spacing w:before="0" w:after="120" w:line="360" w:lineRule="auto"/>
        <w:ind w:left="709"/>
        <w:rPr>
          <w:i w:val="0"/>
          <w:sz w:val="20"/>
          <w:szCs w:val="20"/>
        </w:rPr>
      </w:pPr>
      <w:bookmarkStart w:id="24" w:name="_Toc193716393"/>
      <w:r>
        <w:rPr>
          <w:i w:val="0"/>
          <w:sz w:val="20"/>
          <w:szCs w:val="20"/>
        </w:rPr>
        <w:t>Podzadanie 2. Wody podziemne</w:t>
      </w:r>
      <w:bookmarkEnd w:id="24"/>
    </w:p>
    <w:p w14:paraId="6C8C2C6C" w14:textId="77777777" w:rsidR="00CB2FDE" w:rsidRP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 xml:space="preserve">W ramach krajowego monitoringu jakości wód podziemnych były prowadzone badania zawartości związków organicznych, w tym pestycydów. </w:t>
      </w:r>
    </w:p>
    <w:p w14:paraId="58910F90" w14:textId="7590ED34" w:rsid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W 2023 r. w 77 punktach pomiarowych zostały przeprowadzone dwukrotnie – wiosną i jesienią – badania zawartości 260 pestycydów. W ramach prac analitycznych  wykonano 40</w:t>
      </w:r>
      <w:r w:rsidR="00203A6B">
        <w:rPr>
          <w:rFonts w:ascii="Arial" w:hAnsi="Arial" w:cs="Arial"/>
        </w:rPr>
        <w:t xml:space="preserve"> </w:t>
      </w:r>
      <w:r w:rsidRPr="00CB2FDE">
        <w:rPr>
          <w:rFonts w:ascii="Arial" w:hAnsi="Arial" w:cs="Arial"/>
        </w:rPr>
        <w:t>040 oznaczeń (20</w:t>
      </w:r>
      <w:r w:rsidR="00203A6B">
        <w:rPr>
          <w:rFonts w:ascii="Arial" w:hAnsi="Arial" w:cs="Arial"/>
        </w:rPr>
        <w:t> </w:t>
      </w:r>
      <w:r w:rsidRPr="00CB2FDE">
        <w:rPr>
          <w:rFonts w:ascii="Arial" w:hAnsi="Arial" w:cs="Arial"/>
        </w:rPr>
        <w:t>020 wiosną i 20</w:t>
      </w:r>
      <w:r w:rsidR="00203A6B">
        <w:rPr>
          <w:rFonts w:ascii="Arial" w:hAnsi="Arial" w:cs="Arial"/>
        </w:rPr>
        <w:t> </w:t>
      </w:r>
      <w:r w:rsidRPr="00CB2FDE">
        <w:rPr>
          <w:rFonts w:ascii="Arial" w:hAnsi="Arial" w:cs="Arial"/>
        </w:rPr>
        <w:t>020 jesienią) następujących związków z grupy pestycydów:</w:t>
      </w:r>
    </w:p>
    <w:p w14:paraId="500EF515" w14:textId="1F781239"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pochodne triazyny: atrazyna, cyjanazyna, prometryna, symazyna, terbutylazyna, terbutryna;</w:t>
      </w:r>
    </w:p>
    <w:p w14:paraId="68DD0470" w14:textId="659D360F"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pestycdydy chloroorganiczne: aldryna, DDD-p.p, DDE-p.p, DDT-o.p, DDT-p.p, dieldryna, dichlobenyl, endosulfan I, endosulfan II, alfa -HCH, beta- HCH, delta - HCH, heptachlor, epoksyd heptachloru, heksachlorobenzen, lindan (gamma-HCH), metoksychlor;</w:t>
      </w:r>
    </w:p>
    <w:p w14:paraId="0200266A" w14:textId="51CAF5B7"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pyretroidy: bifentryna, cypermetryna, deltametryna, fenpropatryna, permetryna, tetrametryna;</w:t>
      </w:r>
    </w:p>
    <w:p w14:paraId="5ACE6F4C" w14:textId="503125BE"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tiokarbaminiany: cykloat, prosulfokarb, tri-allat;</w:t>
      </w:r>
    </w:p>
    <w:p w14:paraId="3C9098B2" w14:textId="742FD35F"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lastRenderedPageBreak/>
        <w:t>pestycydy fosforoorganiczne: acefat, azynofos metylowy, bromofos etylowy, chlorfenwinfos, chloropiryfos, chloropiryfos metylowy, diazynon, dichlorfos, dikrotofos, dimetoat, EPN, etion, fenamifos, fenitrotion, fention, glifosat, malation, metamidofos, mewinfos, monokrotofos, paration etylowy, fosalon, fosmet, pirymifos metylowy, profenofos, protiofos, tetrachlorwinfos, trichlorfon;</w:t>
      </w:r>
    </w:p>
    <w:p w14:paraId="123EA63B" w14:textId="7043A386"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karbaminiany: aldikarb, bendiokarb, karbaryl, karbofuran, chloroprofam, fenoksykarb, formetanat, furatiokarb, izoprokarb, metiokarb, metomyl i triodikarb, oksamyl, pirymikarb, propoksur;</w:t>
      </w:r>
    </w:p>
    <w:p w14:paraId="087BD671" w14:textId="0E77E77A"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pirazole: fluksapiroksad, pentiopyrad;</w:t>
      </w:r>
    </w:p>
    <w:p w14:paraId="11DE5896" w14:textId="4C495028"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pochodne kwasu fenoksyoctowego: 2,4-D, MCPA;</w:t>
      </w:r>
    </w:p>
    <w:p w14:paraId="19F93A6D" w14:textId="72F9924D"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pozostałe pestycydy: 2,4-DB, abamektyna, acetamipryd, acetochlor, acibenzolar-S-metylowy, aklonifen, alachlor, alfa-cypermetryna, aminopyralid, amitraza, azakonazol, azoksystrobina, benalaksyl, bentazon, bifenazat, bifenoks, bitertanol, boskalid, bromacyl, bromukonazol, bupirymat, buprofezyna, karbendazym, karboksyna, karfentrazon etylowy, chlorantraniliprol, chlorydazon, chlorotoluron, chlorosulfuron, kletodym, chizalofop-P etylu, chlofentezyna, chlomazon, chlopyralid, klotianidyna, cyjazofamid, cymoksanil, cyprokonazol, cyprodynil, cyromazyna, DEET, desmedifam, dikamba, dichlofluanid, dichlorprop-P, dietofenkarb, difenokonazol, diflubenzuron, diflufenikan, dimetachlor, dimetamid, dimetomorf, dimoksystrobina, dinikonazol, diuron, dodyna, epoksykonazol, etyrymol, etfumesat, etoksazol, famoksadon, fenamidon, fenarymol, fenazachin, fenbukonazol, fenheksamid, fenpropidyna, fenpropimorf, fenpirazamina, fenpiroksymat, fipronil, flonikamid (IKI-220), fluazyfop-P, fluazynam, flubendiamina, fludioksonil, flufenacet, flufenoksuron, fluometuron, fluopikolid, fluopyram, fluoksastrobina, fluchinkonazol, fluroksypyr, flusilazol, flutolanil, flutriafol, forchlorofenuron, fuberidazol, furalaksyl, glufosynat amonowy, haloksyfop-p, heksakonazol, heksaflumuron, heksytiazoks, imazalil, imazamoks, imidaklopryd, indoksakarb, ipkonazol, iprodion, iprowalikarb, izofenfos metylowy, izoproturon, izoksaben, izoksaflutol, krezoksym metylowy, lenacyl, linuron, lufenuron, mandipropamid, MCPB, mekoprop, mepanipirym, mezotrion, metaflumizon, metalaksyl, metamitron, metazachlor, metkonazol, metoksyfenozyd, metobromuron, metolachlor, metrybuzyna, mychlobutanil, napropamid, nikosulfuron, nitenpyram, nowaluron, oksadiksyl, paklobutrazol, penkonazol, pencykuron, pendimetalina, pentachlorobenzen, petoksamid, fenmedifam, pikloram, pikoksystrobina, prochloraz, propachizafop, propachlor, propamokarb, propargit, propikonazol, propyzamid, protiokonazol, pimetrozyna, piraklostrobina, pyrazofos, pirydaben, pirymetanil, pyriproksyfen, chinomerak, chinoksyfen, S-Metolachlor, spinosad, spirodiklofen, spiromesifen, spirotetramat, spiroksamina, tebukonazol, tebufenozyd, tebufenpirad, teflubenzuron, tetrakonazol, tiabendazol, tiachlopryd, tiametoksam, tiofanat metylowy, tiuram, tolchlofos metylowy, tolilofluanid, triadimefon, triadimenol, trifloksystrobina, triflumizol, triflumuron, trifluralina, trineksapak etylu,  tritikonazol, zoksamid.</w:t>
      </w:r>
    </w:p>
    <w:p w14:paraId="09432977" w14:textId="0ADE639E" w:rsidR="00CB2FDE" w:rsidRP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203A6B">
        <w:rPr>
          <w:rFonts w:ascii="Arial" w:hAnsi="Arial" w:cs="Arial"/>
          <w:b/>
          <w:bCs/>
        </w:rPr>
        <w:lastRenderedPageBreak/>
        <w:t>Wyniki badań przeprowadzonych wiosną 2023 r.</w:t>
      </w:r>
      <w:r w:rsidRPr="00CB2FDE">
        <w:rPr>
          <w:rFonts w:ascii="Arial" w:hAnsi="Arial" w:cs="Arial"/>
        </w:rPr>
        <w:t xml:space="preserve"> wykazały, że w 51 punktach pomiarowych (spośród 77 punktów objętych badaniami) zawartość pestycydów była poniżej granicy oznaczalności, a</w:t>
      </w:r>
      <w:r w:rsidR="00203A6B">
        <w:rPr>
          <w:rFonts w:ascii="Arial" w:hAnsi="Arial" w:cs="Arial"/>
        </w:rPr>
        <w:t> </w:t>
      </w:r>
      <w:r w:rsidRPr="00CB2FDE">
        <w:rPr>
          <w:rFonts w:ascii="Arial" w:hAnsi="Arial" w:cs="Arial"/>
        </w:rPr>
        <w:t xml:space="preserve">w 26 punktach wartości powyżej granicy oznaczalności. </w:t>
      </w:r>
    </w:p>
    <w:p w14:paraId="709A60BE" w14:textId="72B3F9E8" w:rsidR="00CB2FDE" w:rsidRP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W odniesieniu do poszczególnych pestycydów i sumy pestycydów w 9 punktach pomiarowych zostały przekroczone wartości progowe dobrego stanu chemicznego wód podziemnych (wg</w:t>
      </w:r>
      <w:r w:rsidR="00203A6B">
        <w:rPr>
          <w:rFonts w:ascii="Arial" w:hAnsi="Arial" w:cs="Arial"/>
        </w:rPr>
        <w:t> </w:t>
      </w:r>
      <w:r w:rsidRPr="00CB2FDE">
        <w:rPr>
          <w:rFonts w:ascii="Arial" w:hAnsi="Arial" w:cs="Arial"/>
        </w:rPr>
        <w:t>rozporządzenia Ministra Gospodarki Morskiej i  Żeglugi Śródlądowej z dnia 11 października 2019 r. w sprawie kryteriów i sposobu oceny stanu jednolitych części wód podziemnych):</w:t>
      </w:r>
    </w:p>
    <w:p w14:paraId="6D7E40CC" w14:textId="451FF98A"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5 punktach wartości stężeń DEET osiągnęły wartości w zakresie IV klasy jakości;</w:t>
      </w:r>
    </w:p>
    <w:p w14:paraId="1F88C1FB" w14:textId="0ED44D7E"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1 punkcie zarówno wartość stężenia DEET jak i suma pestycydów osiągnęły wartości w</w:t>
      </w:r>
      <w:r w:rsidR="00203A6B">
        <w:rPr>
          <w:rFonts w:ascii="Arial" w:hAnsi="Arial" w:cs="Arial"/>
        </w:rPr>
        <w:t> </w:t>
      </w:r>
      <w:r w:rsidRPr="00CB2FDE">
        <w:rPr>
          <w:rFonts w:ascii="Arial" w:hAnsi="Arial" w:cs="Arial"/>
        </w:rPr>
        <w:t>zakresie IV klasy jakości;</w:t>
      </w:r>
    </w:p>
    <w:p w14:paraId="5C867500" w14:textId="538594E5"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 xml:space="preserve">w 1 punkcie zarówno wartość stężenia DEET jak i </w:t>
      </w:r>
      <w:r w:rsidR="00E45FA7">
        <w:rPr>
          <w:rFonts w:ascii="Arial" w:hAnsi="Arial" w:cs="Arial"/>
        </w:rPr>
        <w:t>c</w:t>
      </w:r>
      <w:r w:rsidRPr="00CB2FDE">
        <w:rPr>
          <w:rFonts w:ascii="Arial" w:hAnsi="Arial" w:cs="Arial"/>
        </w:rPr>
        <w:t>hlopyralid osiągnęły wartości w zakresie IV klasy jakości;</w:t>
      </w:r>
    </w:p>
    <w:p w14:paraId="2D437165" w14:textId="4E2ACF66"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1 punkcie zarówno wartość stężenia DEET, bentazonu jak i suma pestycydów osiągnęły wartości w zakresie IV klasy jakości;</w:t>
      </w:r>
    </w:p>
    <w:p w14:paraId="0F61F4DA" w14:textId="7C8A0426"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 xml:space="preserve">w 1 punkcie zarówno wartość stężenia DEET, tebukonazolu, bentazonu jak i suma pestycydów osiągnęły wartości w zakresie IV klasy jakości. </w:t>
      </w:r>
    </w:p>
    <w:p w14:paraId="3BFB1BC6" w14:textId="77777777" w:rsidR="00CB2FDE" w:rsidRP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Maksymalna oznaczona wartość stężenia wyniosła 1,27 µg/l i dotyczyła wyżej wspomnianego bentazonu.</w:t>
      </w:r>
    </w:p>
    <w:p w14:paraId="2B6546D5" w14:textId="77777777" w:rsidR="00CB2FDE" w:rsidRP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Związki z grupy pestycydów, dla których odnotowano wartości równe lub powyżej granicy oznaczalności to: delta-HCH, atrazyna, bentazon, chlopyralid, chlorotoluron, chlorydazon, DEET, etfumesat, fenmedifam, glifosat, izoproturon, karbendazym, lenacyl, napropamid, symazyna, tebukonazol.</w:t>
      </w:r>
    </w:p>
    <w:p w14:paraId="675B334A" w14:textId="5F27F3E6" w:rsidR="00CB2FDE" w:rsidRP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203A6B">
        <w:rPr>
          <w:rFonts w:ascii="Arial" w:hAnsi="Arial" w:cs="Arial"/>
          <w:b/>
          <w:bCs/>
        </w:rPr>
        <w:t>Wyniki badań przeprowadzonych jesienią 2023 r.</w:t>
      </w:r>
      <w:r w:rsidRPr="00CB2FDE">
        <w:rPr>
          <w:rFonts w:ascii="Arial" w:hAnsi="Arial" w:cs="Arial"/>
        </w:rPr>
        <w:t xml:space="preserve"> wykazały, że w 43 punktach pomiarowych (spośród 77 punktów objętych badaniami) zawartość pestycydów była poniżej granicy oznaczalności, a</w:t>
      </w:r>
      <w:r w:rsidR="00203A6B">
        <w:rPr>
          <w:rFonts w:ascii="Arial" w:hAnsi="Arial" w:cs="Arial"/>
        </w:rPr>
        <w:t> </w:t>
      </w:r>
      <w:r w:rsidRPr="00CB2FDE">
        <w:rPr>
          <w:rFonts w:ascii="Arial" w:hAnsi="Arial" w:cs="Arial"/>
        </w:rPr>
        <w:t xml:space="preserve">w 34 punktach wartości powyżej granicy oznaczalności. </w:t>
      </w:r>
    </w:p>
    <w:p w14:paraId="30CB9CE3" w14:textId="06672637" w:rsidR="00CB2FDE" w:rsidRP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W odniesieniu do poszczególnych pestycydów i sumy pestycydów w 17 punktach pomiarowych zostały przekroczone wartości progowe dobrego stanu chemicznego wód podziemnych (wg</w:t>
      </w:r>
      <w:r w:rsidR="00203A6B">
        <w:rPr>
          <w:rFonts w:ascii="Arial" w:hAnsi="Arial" w:cs="Arial"/>
        </w:rPr>
        <w:t> </w:t>
      </w:r>
      <w:r w:rsidRPr="00CB2FDE">
        <w:rPr>
          <w:rFonts w:ascii="Arial" w:hAnsi="Arial" w:cs="Arial"/>
        </w:rPr>
        <w:t>rozporządzenia Ministra Gospodarki Morskiej i  Żeglugi Śródlądowej z dnia 11 października 2019 r. w sprawie kryteriów i sposobu oceny stanu jednolitych części wód podziemnych):</w:t>
      </w:r>
    </w:p>
    <w:p w14:paraId="0E4E85BD" w14:textId="17428964"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4 punktach wartości stężeń DEET osiągnęły wartości w zakresie IV klasy jakości;</w:t>
      </w:r>
    </w:p>
    <w:p w14:paraId="756D4BE5" w14:textId="2CC44FE9"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1 punkcie wartość stężenia chlopralidu osiągnęła wartość w zakresie IV klasy jakości;</w:t>
      </w:r>
    </w:p>
    <w:p w14:paraId="7D057EC8" w14:textId="15AAFCE1"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1 punkcie wartość stężenia izoproturonu osiągnęła wartość w zakresie IV klasy jakości;</w:t>
      </w:r>
    </w:p>
    <w:p w14:paraId="56DDC2C1" w14:textId="737F8480"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7 punktach zarówno wartość stężenia DEET jak i suma pestycydów osiągnęły wartości w</w:t>
      </w:r>
      <w:r w:rsidR="00EA2038">
        <w:rPr>
          <w:rFonts w:ascii="Arial" w:hAnsi="Arial" w:cs="Arial"/>
        </w:rPr>
        <w:t> </w:t>
      </w:r>
      <w:r w:rsidRPr="00CB2FDE">
        <w:rPr>
          <w:rFonts w:ascii="Arial" w:hAnsi="Arial" w:cs="Arial"/>
        </w:rPr>
        <w:t>zakresie IV klasy jakości;</w:t>
      </w:r>
    </w:p>
    <w:p w14:paraId="148548F2" w14:textId="0A875901"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 xml:space="preserve">w 1 punkcie zarówno wartość stężenia bentazonu jak i suma pestycydów osiągnęły wartości </w:t>
      </w:r>
      <w:r w:rsidRPr="00CB2FDE">
        <w:rPr>
          <w:rFonts w:ascii="Arial" w:hAnsi="Arial" w:cs="Arial"/>
        </w:rPr>
        <w:lastRenderedPageBreak/>
        <w:t>w</w:t>
      </w:r>
      <w:r w:rsidR="00EA2038">
        <w:rPr>
          <w:rFonts w:ascii="Arial" w:hAnsi="Arial" w:cs="Arial"/>
        </w:rPr>
        <w:t> </w:t>
      </w:r>
      <w:r w:rsidRPr="00CB2FDE">
        <w:rPr>
          <w:rFonts w:ascii="Arial" w:hAnsi="Arial" w:cs="Arial"/>
        </w:rPr>
        <w:t>zakresie IV klasy jakości;</w:t>
      </w:r>
    </w:p>
    <w:p w14:paraId="584C35CB" w14:textId="0DA1AB03"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1 punkcie zarówno wartość stężenia chlopyralidu, DEET jak i suma pestycydów osiągnęły wartości w zakresie IV klasy jakości;</w:t>
      </w:r>
    </w:p>
    <w:p w14:paraId="7EB88A54" w14:textId="0684FFCF"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1 punkcie zarówno wartość stężenia bentazonu, DEET, glifosatu jak i suma pestycydów osiągnęły wartości w zakresie IV klasy jakości;</w:t>
      </w:r>
    </w:p>
    <w:p w14:paraId="089FB3B4" w14:textId="0732EB95" w:rsidR="00CB2FDE" w:rsidRPr="00CB2FDE" w:rsidRDefault="00CB2FDE"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B2FDE">
        <w:rPr>
          <w:rFonts w:ascii="Arial" w:hAnsi="Arial" w:cs="Arial"/>
        </w:rPr>
        <w:t>w 1 punkcie zarówno wartość stężenia alfa-cypermetryny, cypermetryny, DEET jak i suma pestycydów osiągnęły wartości w zakresie IV klasy jakości.</w:t>
      </w:r>
    </w:p>
    <w:p w14:paraId="71BDA52D" w14:textId="77777777" w:rsidR="00CB2FDE" w:rsidRP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Maksymalna oznaczona wartość stężenia wyniosła 1,83 µg/l i dotyczyła wyżej wspomnianego bentazonu.</w:t>
      </w:r>
    </w:p>
    <w:p w14:paraId="5108B12F" w14:textId="1376B6AC" w:rsidR="00CB2FDE" w:rsidRDefault="00CB2FDE" w:rsidP="00CB2FDE">
      <w:pPr>
        <w:pStyle w:val="NormalnyWeb"/>
        <w:tabs>
          <w:tab w:val="left" w:pos="284"/>
        </w:tabs>
        <w:spacing w:beforeAutospacing="0" w:after="120" w:afterAutospacing="0" w:line="360" w:lineRule="auto"/>
        <w:ind w:firstLine="284"/>
        <w:jc w:val="both"/>
        <w:rPr>
          <w:rFonts w:ascii="Arial" w:hAnsi="Arial" w:cs="Arial"/>
        </w:rPr>
      </w:pPr>
      <w:r w:rsidRPr="00CB2FDE">
        <w:rPr>
          <w:rFonts w:ascii="Arial" w:hAnsi="Arial" w:cs="Arial"/>
        </w:rPr>
        <w:t>Związki z grupy pestycydów, dla których odnotowano wartości równe lub powyżej granicy oznaczalności to: 2,4-DB, delta-HCH, atrazyna, bentazon, chlopyralid, chlorotoluron, chlorydazon, cypermetryna, alfa-cypermetryna, DEET, dimoksystrobina, glifosat, glufosynat amonowy, izoproturon, karbendazym, napropamid, permetryna, symazyna, tebukonazol, tiabendazol.</w:t>
      </w:r>
    </w:p>
    <w:p w14:paraId="637E92B3" w14:textId="77777777" w:rsidR="00D2414D" w:rsidRDefault="00D2414D" w:rsidP="0000723E">
      <w:pPr>
        <w:pStyle w:val="Nagwek3"/>
        <w:numPr>
          <w:ilvl w:val="0"/>
          <w:numId w:val="0"/>
        </w:numPr>
        <w:tabs>
          <w:tab w:val="left" w:pos="2410"/>
        </w:tabs>
        <w:spacing w:before="0" w:after="120" w:line="360" w:lineRule="auto"/>
        <w:ind w:left="709"/>
        <w:rPr>
          <w:i w:val="0"/>
          <w:sz w:val="20"/>
          <w:szCs w:val="20"/>
        </w:rPr>
      </w:pPr>
      <w:bookmarkStart w:id="25" w:name="_Toc193716394"/>
      <w:r>
        <w:rPr>
          <w:i w:val="0"/>
          <w:sz w:val="20"/>
          <w:szCs w:val="20"/>
        </w:rPr>
        <w:t>Podzadanie 3. Osady denne</w:t>
      </w:r>
      <w:bookmarkEnd w:id="25"/>
    </w:p>
    <w:p w14:paraId="1DA6C699" w14:textId="2DD2D672" w:rsidR="00CD2CDA" w:rsidRPr="00CD2CDA" w:rsidRDefault="00CD2CDA" w:rsidP="00CD2CDA">
      <w:pPr>
        <w:pStyle w:val="NormalnyWeb"/>
        <w:tabs>
          <w:tab w:val="left" w:pos="284"/>
        </w:tabs>
        <w:spacing w:beforeAutospacing="0" w:after="120" w:afterAutospacing="0" w:line="360" w:lineRule="auto"/>
        <w:ind w:firstLine="284"/>
        <w:jc w:val="both"/>
        <w:rPr>
          <w:rFonts w:ascii="Arial" w:hAnsi="Arial" w:cs="Arial"/>
        </w:rPr>
      </w:pPr>
      <w:r w:rsidRPr="00CD2CDA">
        <w:rPr>
          <w:rFonts w:ascii="Arial" w:hAnsi="Arial" w:cs="Arial"/>
        </w:rPr>
        <w:t xml:space="preserve">Monitoring osadów dennych rzek i jezior </w:t>
      </w:r>
      <w:r>
        <w:rPr>
          <w:rFonts w:ascii="Arial" w:hAnsi="Arial" w:cs="Arial"/>
        </w:rPr>
        <w:t>był</w:t>
      </w:r>
      <w:r w:rsidRPr="00CD2CDA">
        <w:rPr>
          <w:rFonts w:ascii="Arial" w:hAnsi="Arial" w:cs="Arial"/>
        </w:rPr>
        <w:t xml:space="preserve"> prowadzony w reprezentatywnych punktach pomiarowo-kontrolnych monitoringu jednolitych części wód powierzchniowych. Monitoring osadów dennych </w:t>
      </w:r>
      <w:r>
        <w:rPr>
          <w:rFonts w:ascii="Arial" w:hAnsi="Arial" w:cs="Arial"/>
        </w:rPr>
        <w:t>był</w:t>
      </w:r>
      <w:r w:rsidRPr="00CD2CDA">
        <w:rPr>
          <w:rFonts w:ascii="Arial" w:hAnsi="Arial" w:cs="Arial"/>
        </w:rPr>
        <w:t xml:space="preserve"> prowadzony zgodnie z założeniami Ramowej Dyrektywy Wodnej i dyrektywy Parlamentu Europejskiego i Rady 2013/39/UE z dnia 12 sierpnia 2013 r. zmieniającej dyrektywy 2000/60/WE i 2008/105/WE w</w:t>
      </w:r>
      <w:r>
        <w:rPr>
          <w:rFonts w:ascii="Arial" w:hAnsi="Arial" w:cs="Arial"/>
        </w:rPr>
        <w:t> </w:t>
      </w:r>
      <w:r w:rsidRPr="00CD2CDA">
        <w:rPr>
          <w:rFonts w:ascii="Arial" w:hAnsi="Arial" w:cs="Arial"/>
        </w:rPr>
        <w:t xml:space="preserve">zakresie substancji priorytetowych w dziedzinie polityki wodnej (Dz. Urz. UE L 226 z 24.08.2013, str. 1) oraz nastawiony m.in. na analizę długoterminową trendów zmian stężeń substancji ulegających akumulacji w osadach. W ramach monitoringu osadów dennych rzek i jezior badane </w:t>
      </w:r>
      <w:r>
        <w:rPr>
          <w:rFonts w:ascii="Arial" w:hAnsi="Arial" w:cs="Arial"/>
        </w:rPr>
        <w:t>były</w:t>
      </w:r>
      <w:r w:rsidRPr="00CD2CDA">
        <w:rPr>
          <w:rFonts w:ascii="Arial" w:hAnsi="Arial" w:cs="Arial"/>
        </w:rPr>
        <w:t xml:space="preserve"> trwałe zanieczyszczenia organiczne (w tym pestycydy). </w:t>
      </w:r>
    </w:p>
    <w:p w14:paraId="221D8FA9" w14:textId="2F2C06B1" w:rsidR="00CD2CDA" w:rsidRPr="00CD2CDA" w:rsidRDefault="00CD2CDA" w:rsidP="00CD2CDA">
      <w:pPr>
        <w:pStyle w:val="NormalnyWeb"/>
        <w:tabs>
          <w:tab w:val="left" w:pos="284"/>
        </w:tabs>
        <w:spacing w:beforeAutospacing="0" w:after="120" w:afterAutospacing="0" w:line="360" w:lineRule="auto"/>
        <w:ind w:firstLine="284"/>
        <w:jc w:val="both"/>
        <w:rPr>
          <w:rFonts w:ascii="Arial" w:hAnsi="Arial" w:cs="Arial"/>
        </w:rPr>
      </w:pPr>
      <w:r w:rsidRPr="00DE543F">
        <w:rPr>
          <w:rFonts w:ascii="Arial" w:hAnsi="Arial" w:cs="Arial"/>
          <w:b/>
          <w:bCs/>
        </w:rPr>
        <w:t>Monitoring osadów dennych rzek i jezior w 2023 r.</w:t>
      </w:r>
      <w:r w:rsidRPr="00CD2CDA">
        <w:rPr>
          <w:rFonts w:ascii="Arial" w:hAnsi="Arial" w:cs="Arial"/>
        </w:rPr>
        <w:t xml:space="preserve"> przeprowadzono w 410 punktach pomiarowo-kontrolnych, w tym 228 zlokalizowanych na rzekach oraz kanałach rzecznych i 182 na jeziorach. Zbadano między innymi zawartość związków organicznych będących składnikami środków ochrony roślin, takich jak:</w:t>
      </w:r>
    </w:p>
    <w:p w14:paraId="631D0316" w14:textId="56E99F38" w:rsidR="00CD2CDA" w:rsidRPr="00CD2CDA" w:rsidRDefault="00CD2CDA"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D2CDA">
        <w:rPr>
          <w:rFonts w:ascii="Arial" w:hAnsi="Arial" w:cs="Arial"/>
        </w:rPr>
        <w:t>polichlorowanych bifenyli (kongenery o nr 28, 52, 101, 118, 138, 153, 180), heksachlorobenzen, α-HCH, β-HCH, γ-HCH, δ-HCH, pentachlorobenzen, heptachlor i epoksyd heptachloru, aldryna, endryna, dieldryna, izodryna, endosulfan, DDT (w tym izomer para-para), p,p’-DDE, p,p’-DDD – we wszystkich 410 punktach pomiarowo-kontrolnych,</w:t>
      </w:r>
    </w:p>
    <w:p w14:paraId="6B0C41C6" w14:textId="2088DA59" w:rsidR="00CD2CDA" w:rsidRPr="00CD2CDA" w:rsidRDefault="00CD2CDA"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CD2CDA">
        <w:rPr>
          <w:rFonts w:ascii="Arial" w:hAnsi="Arial" w:cs="Arial"/>
        </w:rPr>
        <w:t>alachlor, chlorfenwinfos, chlorpiryfos, pentachlorofenol, związki tributylocyny (kation tributylocyny), trifluralina, dikofol, chinoksyfen, aklonifen, bifenoks, cybutryna, cypermetryna, chlordekon, heksabromodifenol, toksafen – w wybranych 180 punktach pomiarowo-kontrolnych.</w:t>
      </w:r>
    </w:p>
    <w:p w14:paraId="50444084" w14:textId="77777777" w:rsidR="00CD2CDA" w:rsidRPr="00CD2CDA" w:rsidRDefault="00CD2CDA" w:rsidP="00CD2CDA">
      <w:pPr>
        <w:pStyle w:val="NormalnyWeb"/>
        <w:tabs>
          <w:tab w:val="left" w:pos="284"/>
        </w:tabs>
        <w:spacing w:beforeAutospacing="0" w:after="120" w:afterAutospacing="0" w:line="360" w:lineRule="auto"/>
        <w:ind w:firstLine="284"/>
        <w:jc w:val="both"/>
        <w:rPr>
          <w:rFonts w:ascii="Arial" w:hAnsi="Arial" w:cs="Arial"/>
        </w:rPr>
      </w:pPr>
      <w:bookmarkStart w:id="26" w:name="_Hlk181104992"/>
      <w:r w:rsidRPr="00CD2CDA">
        <w:rPr>
          <w:rFonts w:ascii="Arial" w:hAnsi="Arial" w:cs="Arial"/>
        </w:rPr>
        <w:t xml:space="preserve">Wyniki badań osadów rzek i kanałów rzecznych wykazały występowanie wszystkich tych związków w stężeniach poniżej granicy oznaczalności. </w:t>
      </w:r>
    </w:p>
    <w:bookmarkEnd w:id="26"/>
    <w:p w14:paraId="656BDDE5" w14:textId="36F8D996" w:rsidR="00CD2CDA" w:rsidRPr="00CD2CDA" w:rsidRDefault="00CD2CDA" w:rsidP="00CD2CDA">
      <w:pPr>
        <w:pStyle w:val="NormalnyWeb"/>
        <w:tabs>
          <w:tab w:val="left" w:pos="284"/>
        </w:tabs>
        <w:spacing w:beforeAutospacing="0" w:after="120" w:afterAutospacing="0" w:line="360" w:lineRule="auto"/>
        <w:ind w:firstLine="284"/>
        <w:jc w:val="both"/>
        <w:rPr>
          <w:rFonts w:ascii="Arial" w:hAnsi="Arial" w:cs="Arial"/>
        </w:rPr>
      </w:pPr>
      <w:r w:rsidRPr="00CD2CDA">
        <w:rPr>
          <w:rFonts w:ascii="Arial" w:hAnsi="Arial" w:cs="Arial"/>
        </w:rPr>
        <w:t xml:space="preserve">Badania osadów jeziornych wykazały stężenia prawie wszystkich pestycydów poniżej granicy </w:t>
      </w:r>
      <w:r w:rsidRPr="00CD2CDA">
        <w:rPr>
          <w:rFonts w:ascii="Arial" w:hAnsi="Arial" w:cs="Arial"/>
        </w:rPr>
        <w:lastRenderedPageBreak/>
        <w:t>oznaczalności. Wyższe zawartości zaobserwowano jedynie dla związków tributylocyny, których zawartość w 74 próbkach znajdowała się w przedziale od 0,00005 mg/kg do 0,041 mg/kg, natomiast w</w:t>
      </w:r>
      <w:r>
        <w:rPr>
          <w:rFonts w:ascii="Arial" w:hAnsi="Arial" w:cs="Arial"/>
        </w:rPr>
        <w:t> </w:t>
      </w:r>
      <w:r w:rsidRPr="00CD2CDA">
        <w:rPr>
          <w:rFonts w:ascii="Arial" w:hAnsi="Arial" w:cs="Arial"/>
        </w:rPr>
        <w:t>pozostałych badanych 39 punktach ich stężenie w osadach kształtowało się poniżej granicy oznaczalności tj. &lt;0,00001 mg/kg. Związki tributylocyny oznaczane były w osadach jeziornych pochodzących ze 113 stanowisk pomiarowych.</w:t>
      </w:r>
    </w:p>
    <w:p w14:paraId="3EAC564D" w14:textId="77777777" w:rsidR="008B5F95" w:rsidRDefault="00923F0D">
      <w:pPr>
        <w:pStyle w:val="Nagwek2"/>
        <w:rPr>
          <w:i w:val="0"/>
          <w:sz w:val="20"/>
          <w:szCs w:val="20"/>
        </w:rPr>
      </w:pPr>
      <w:bookmarkStart w:id="27" w:name="_Toc193716395"/>
      <w:r>
        <w:rPr>
          <w:i w:val="0"/>
          <w:sz w:val="20"/>
          <w:szCs w:val="20"/>
        </w:rPr>
        <w:t xml:space="preserve">Zadanie 2. Prowadzenie monitoringu </w:t>
      </w:r>
      <w:bookmarkStart w:id="28" w:name="_Toc341876090"/>
      <w:bookmarkStart w:id="29" w:name="_Toc301334611"/>
      <w:bookmarkStart w:id="30" w:name="_Toc300916223"/>
      <w:r>
        <w:rPr>
          <w:i w:val="0"/>
          <w:sz w:val="20"/>
          <w:szCs w:val="20"/>
        </w:rPr>
        <w:t>wody przeznaczonej do spożycia przez ludzi</w:t>
      </w:r>
      <w:bookmarkEnd w:id="27"/>
      <w:bookmarkEnd w:id="28"/>
      <w:bookmarkEnd w:id="29"/>
      <w:bookmarkEnd w:id="30"/>
    </w:p>
    <w:p w14:paraId="7477A422" w14:textId="09CCD22A"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Nadzór nad jakością wody przeznaczonej do spożycia przez ludzi sprawuje Państwowa Inspekcja Sanitarna na podstawie ustawy z dnia 14 marca 1985 r. o Państwowej Inspekcji Sanitarnej (Dz. U. z 20</w:t>
      </w:r>
      <w:r w:rsidR="00B633A9">
        <w:rPr>
          <w:rFonts w:ascii="Arial" w:hAnsi="Arial" w:cs="Arial"/>
        </w:rPr>
        <w:t>2</w:t>
      </w:r>
      <w:r w:rsidR="000A7B0D">
        <w:rPr>
          <w:rFonts w:ascii="Arial" w:hAnsi="Arial" w:cs="Arial"/>
        </w:rPr>
        <w:t>4</w:t>
      </w:r>
      <w:r>
        <w:rPr>
          <w:rFonts w:ascii="Arial" w:hAnsi="Arial" w:cs="Arial"/>
        </w:rPr>
        <w:t xml:space="preserve"> r. poz. </w:t>
      </w:r>
      <w:r w:rsidR="000A7B0D">
        <w:rPr>
          <w:rFonts w:ascii="Arial" w:hAnsi="Arial" w:cs="Arial"/>
        </w:rPr>
        <w:t>416</w:t>
      </w:r>
      <w:r>
        <w:rPr>
          <w:rFonts w:ascii="Arial" w:hAnsi="Arial" w:cs="Arial"/>
        </w:rPr>
        <w:t>) oraz ustawy z dnia 7 czerwca 2001 r. o zbiorowym zaopatrzeniu w</w:t>
      </w:r>
      <w:r w:rsidR="000A7B0D">
        <w:rPr>
          <w:rFonts w:ascii="Arial" w:hAnsi="Arial" w:cs="Arial"/>
        </w:rPr>
        <w:t xml:space="preserve"> </w:t>
      </w:r>
      <w:r>
        <w:rPr>
          <w:rFonts w:ascii="Arial" w:hAnsi="Arial" w:cs="Arial"/>
        </w:rPr>
        <w:t>wodę i zbiorowym odprowadzaniu ścieków (Dz. U. z 20</w:t>
      </w:r>
      <w:r w:rsidR="00676ADC">
        <w:rPr>
          <w:rFonts w:ascii="Arial" w:hAnsi="Arial" w:cs="Arial"/>
        </w:rPr>
        <w:t>2</w:t>
      </w:r>
      <w:r w:rsidR="006644BE">
        <w:rPr>
          <w:rFonts w:ascii="Arial" w:hAnsi="Arial" w:cs="Arial"/>
        </w:rPr>
        <w:t>4</w:t>
      </w:r>
      <w:r>
        <w:rPr>
          <w:rFonts w:ascii="Arial" w:hAnsi="Arial" w:cs="Arial"/>
        </w:rPr>
        <w:t xml:space="preserve"> r. poz. </w:t>
      </w:r>
      <w:r w:rsidR="006644BE">
        <w:rPr>
          <w:rFonts w:ascii="Arial" w:hAnsi="Arial" w:cs="Arial"/>
        </w:rPr>
        <w:t>757</w:t>
      </w:r>
      <w:r>
        <w:rPr>
          <w:rFonts w:ascii="Arial" w:hAnsi="Arial" w:cs="Arial"/>
        </w:rPr>
        <w:t>).</w:t>
      </w:r>
    </w:p>
    <w:p w14:paraId="2CE0963A" w14:textId="77777777"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Zgodnie z art. 5 ustawy z dnia 7 czerwca 2001 r. o zbiorowym zaopatrzeniu w wodę i zbiorowym odprowadzaniu ścieków przedsiębiorstwo wodociągowo-kanalizacyjne jest obowiązane do zapewnienia m.in. należytej jakości dostarczanej wody oraz prowadzenia regularnej kontroli wewnętrznej w ramach zbiorowego zaopatrzenia w wodę. Rozporządzenie Ministra Zdrowia z dnia 7 grudnia 2017 r. w sprawie jakości wody przeznaczonej do spożycia przez ludzi (Dz. U. poz. 2294) wprowadza ponadto obowiązek zapewnienia wody odpowiedniej jakości przez prowadzenie wewnętrznej kontroli jakości wody przez podmioty dostarczające lub wykorzystujące wodę pochodzącą z indywidualnego ujęcia w ramach działalności gospodarczej lub w budynkach użyteczności publicznej, budynkach zamieszkania zbiorowego lub w podmiotach działających na rynku spożywczym, wykorzystujących wodę. Zasady prowadzenia monitoringu, który służy sprawowaniu bieżącego nadzoru nad jakością wody przeznaczonej do spożycia przez ludzi przez regularne badanie wody i dostarczanie informacji niezbędnych do jej oceny, są określone przepisami rozporządzenia Ministra Zdrowia z dnia 7 grudnia 2017 r. w sprawie jakości wody przeznaczonej do spożycia przez ludzi. Badania jakości wody do spożycia wykonują laboratoria Państwowej Inspekcji Sanitarnej lub inne laboratoria o udokumentowanym systemie jakości badań, zatwierdzonym przez organy  Państwowej Inspekcji Sanitarnej, stosownie do ustawy z dnia 7 czerwca 2001 r. o zbiorowym zaopatrzeniu w wodę i zbiorowym odprowadzaniu ścieków.</w:t>
      </w:r>
    </w:p>
    <w:p w14:paraId="3EEFFBDF" w14:textId="77777777"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 xml:space="preserve">Badania jakości wody w zakresie m.in. pestycydów i sumy pestycydów są wykonywane w ramach prowadzenia programu monitoringu jakości wody, który obejmuje wyniki badań jakości wody uzyskane w ramach wewnętrznej kontroli jakości wody przeprowadzanej przez przedsiębiorstwa wodociągowo-kanalizacyjne oraz podmioty dostarczające lub wykorzystujące wodę pochodzącą z indywidualnego ujęcia w ramach działalności gospodarczej lub w budynkach użyteczności publicznej, budynkach zamieszkania zbiorowego lub w podmiotach działających na rynku spożywczym, wykorzystujących wodę, jak również w ramach prowadzonego przez organy Państwowej Inspekcji Sanitarnej nadzoru nad jakością wody. Prowadzony monitoring służy przekazywaniu informacji niezbędnych do oceny zgodności z wymaganiami określonymi w rozporządzeniu Ministra Zdrowia z dnia 7 grudnia 2017 r. w sprawie jakości wody przeznaczonej do spożycia przez ludzi w aspekcie zagrożeń zdrowotnych, jakie mogą powodować zanieczyszczenia pojawiające się w wodzie. Próbki do badań jakości wody są pobierane zgodnie z harmonogramem na dany rok z określoną częstotliwością. Minimalna częstotliwość </w:t>
      </w:r>
      <w:r>
        <w:rPr>
          <w:rFonts w:ascii="Arial" w:hAnsi="Arial" w:cs="Arial"/>
        </w:rPr>
        <w:lastRenderedPageBreak/>
        <w:t>pobierania próbek do badań jakości wody zależy od objętości dostarczanej lub produkowanej wody w danej strefie zaopatrzenia.</w:t>
      </w:r>
    </w:p>
    <w:p w14:paraId="179E7AD2" w14:textId="6C6A69D2"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Organy Państwowej Inspekcji Sanitarnej oraz podmioty zbiorowego zaopatrzenia w wodę przeznaczoną do spożycia przez ludzi wykonują, zgodnie z załącznikiem nr 1</w:t>
      </w:r>
      <w:r w:rsidR="00347823">
        <w:rPr>
          <w:rFonts w:ascii="Arial" w:hAnsi="Arial" w:cs="Arial"/>
        </w:rPr>
        <w:t xml:space="preserve"> </w:t>
      </w:r>
      <w:r w:rsidR="00E15DA4">
        <w:rPr>
          <w:rFonts w:ascii="Arial" w:hAnsi="Arial" w:cs="Arial"/>
        </w:rPr>
        <w:t>część</w:t>
      </w:r>
      <w:r>
        <w:rPr>
          <w:rFonts w:ascii="Arial" w:hAnsi="Arial" w:cs="Arial"/>
        </w:rPr>
        <w:t xml:space="preserve"> B do rozporządzenia Ministra Zdrowia z dnia 7 grudnia 2017 r. w sprawie jakości wody przeznaczonej do spożycia przez ludzi, badania pestycydów i sumy pestycydów w wodzie przeznaczonej do spożycia przez ludzi w zakresie, w jakim na danych obszarach ich występowanie jest wysoce prawdopodobne. Oznaczana jest obecność pestycydów, których występowania w wodzie można oczekiwać. Zakres prowadzenia badań jakości wody przeznaczonej do spożycia przez ludzi ustala właściwy państwowy powiatowy</w:t>
      </w:r>
      <w:r w:rsidR="00E15DA4" w:rsidRPr="00E15DA4">
        <w:t xml:space="preserve"> </w:t>
      </w:r>
      <w:r w:rsidR="00E15DA4" w:rsidRPr="00E15DA4">
        <w:rPr>
          <w:rFonts w:ascii="Arial" w:hAnsi="Arial" w:cs="Arial"/>
        </w:rPr>
        <w:t>inspektor sanitarny</w:t>
      </w:r>
      <w:r>
        <w:rPr>
          <w:rFonts w:ascii="Arial" w:hAnsi="Arial" w:cs="Arial"/>
        </w:rPr>
        <w:t xml:space="preserve"> lub państwowy graniczny inspektor sanitarny po uwzględnieniu różnych czynników jak np. jakość i rodzaj ujmowanej wody, stosowane metody uzdatniania wody, materiały użyte do budowy sieci wodociągowej oraz zanieczyszczenia występujące w środowisku.</w:t>
      </w:r>
    </w:p>
    <w:p w14:paraId="278925FF" w14:textId="3C17ED7D" w:rsidR="000A7B0D" w:rsidRDefault="000A7B0D" w:rsidP="00921D8D">
      <w:pPr>
        <w:pStyle w:val="NormalnyWeb"/>
        <w:tabs>
          <w:tab w:val="left" w:pos="284"/>
        </w:tabs>
        <w:spacing w:beforeAutospacing="0" w:after="120" w:afterAutospacing="0" w:line="360" w:lineRule="auto"/>
        <w:ind w:firstLine="284"/>
        <w:jc w:val="both"/>
        <w:rPr>
          <w:rFonts w:ascii="Arial" w:hAnsi="Arial" w:cs="Arial"/>
        </w:rPr>
      </w:pPr>
      <w:r w:rsidRPr="00921D8D">
        <w:rPr>
          <w:rFonts w:ascii="Arial" w:hAnsi="Arial" w:cs="Arial"/>
          <w:b/>
          <w:bCs/>
        </w:rPr>
        <w:t xml:space="preserve">Monitoring jakości wody do spożycia </w:t>
      </w:r>
      <w:r w:rsidRPr="00921D8D">
        <w:rPr>
          <w:rFonts w:ascii="Arial" w:hAnsi="Arial" w:cs="Arial"/>
        </w:rPr>
        <w:t>prowadzony był</w:t>
      </w:r>
      <w:r w:rsidRPr="00921D8D">
        <w:rPr>
          <w:rFonts w:ascii="Arial" w:hAnsi="Arial" w:cs="Arial"/>
          <w:b/>
          <w:bCs/>
        </w:rPr>
        <w:t xml:space="preserve"> w 2023 r.</w:t>
      </w:r>
      <w:r w:rsidRPr="00F16D77">
        <w:rPr>
          <w:rFonts w:ascii="Arial" w:hAnsi="Arial" w:cs="Arial"/>
        </w:rPr>
        <w:t xml:space="preserve"> przez organy Państwowej Inspekcji</w:t>
      </w:r>
      <w:r>
        <w:rPr>
          <w:rFonts w:ascii="Arial" w:hAnsi="Arial" w:cs="Arial"/>
        </w:rPr>
        <w:t xml:space="preserve"> </w:t>
      </w:r>
      <w:r w:rsidRPr="00F16D77">
        <w:rPr>
          <w:rFonts w:ascii="Arial" w:hAnsi="Arial" w:cs="Arial"/>
        </w:rPr>
        <w:t>Sanitarnej w ramach bieżącego nadzoru nad jakością wody, jak i przez dostawców wody</w:t>
      </w:r>
      <w:r>
        <w:rPr>
          <w:rFonts w:ascii="Arial" w:hAnsi="Arial" w:cs="Arial"/>
        </w:rPr>
        <w:t xml:space="preserve"> </w:t>
      </w:r>
      <w:r w:rsidRPr="00F16D77">
        <w:rPr>
          <w:rFonts w:ascii="Arial" w:hAnsi="Arial" w:cs="Arial"/>
        </w:rPr>
        <w:t>w</w:t>
      </w:r>
      <w:r w:rsidR="00921D8D">
        <w:rPr>
          <w:rFonts w:ascii="Arial" w:hAnsi="Arial" w:cs="Arial"/>
        </w:rPr>
        <w:t> </w:t>
      </w:r>
      <w:r w:rsidRPr="00F16D77">
        <w:rPr>
          <w:rFonts w:ascii="Arial" w:hAnsi="Arial" w:cs="Arial"/>
        </w:rPr>
        <w:t xml:space="preserve">ramach kontroli wewnętrznej. Podstawą nadzoru nad jakością wody przeznaczonej do spożycia przez ludzi </w:t>
      </w:r>
      <w:r>
        <w:rPr>
          <w:rFonts w:ascii="Arial" w:hAnsi="Arial" w:cs="Arial"/>
        </w:rPr>
        <w:t>była</w:t>
      </w:r>
      <w:r w:rsidRPr="00F16D77">
        <w:rPr>
          <w:rFonts w:ascii="Arial" w:hAnsi="Arial" w:cs="Arial"/>
        </w:rPr>
        <w:t xml:space="preserve"> ocena zgodności z wymaganiami określonymi w rozporządzeniu</w:t>
      </w:r>
      <w:r>
        <w:rPr>
          <w:rFonts w:ascii="Arial" w:hAnsi="Arial" w:cs="Arial"/>
        </w:rPr>
        <w:t xml:space="preserve"> </w:t>
      </w:r>
      <w:r w:rsidRPr="00F16D77">
        <w:rPr>
          <w:rFonts w:ascii="Arial" w:hAnsi="Arial" w:cs="Arial"/>
        </w:rPr>
        <w:t>Ministra Zdrowia z dnia 7</w:t>
      </w:r>
      <w:r w:rsidR="00921D8D">
        <w:rPr>
          <w:rFonts w:ascii="Arial" w:hAnsi="Arial" w:cs="Arial"/>
        </w:rPr>
        <w:t> </w:t>
      </w:r>
      <w:r w:rsidRPr="00F16D77">
        <w:rPr>
          <w:rFonts w:ascii="Arial" w:hAnsi="Arial" w:cs="Arial"/>
        </w:rPr>
        <w:t>grudnia 2017 r. w aspekcie zagrożeń zdrowotnych w celu</w:t>
      </w:r>
      <w:r>
        <w:rPr>
          <w:rFonts w:ascii="Arial" w:hAnsi="Arial" w:cs="Arial"/>
        </w:rPr>
        <w:t xml:space="preserve"> </w:t>
      </w:r>
      <w:r w:rsidRPr="00F16D77">
        <w:rPr>
          <w:rFonts w:ascii="Arial" w:hAnsi="Arial" w:cs="Arial"/>
        </w:rPr>
        <w:t>określenia czy spożywana woda jest czysta i bezpieczna dla zdrowia ludzkiego. Realizowany</w:t>
      </w:r>
      <w:r>
        <w:rPr>
          <w:rFonts w:ascii="Arial" w:hAnsi="Arial" w:cs="Arial"/>
        </w:rPr>
        <w:t xml:space="preserve"> </w:t>
      </w:r>
      <w:r w:rsidRPr="00F16D77">
        <w:rPr>
          <w:rFonts w:ascii="Arial" w:hAnsi="Arial" w:cs="Arial"/>
        </w:rPr>
        <w:t>monitoring odbywał się poprzez regularne badanie wody i dostarczanie</w:t>
      </w:r>
      <w:r>
        <w:rPr>
          <w:rFonts w:ascii="Arial" w:hAnsi="Arial" w:cs="Arial"/>
        </w:rPr>
        <w:t xml:space="preserve"> </w:t>
      </w:r>
      <w:r w:rsidRPr="00F16D77">
        <w:rPr>
          <w:rFonts w:ascii="Arial" w:hAnsi="Arial" w:cs="Arial"/>
        </w:rPr>
        <w:t>informacji niezbędnych do jej oceny. Organy Państwowej Inspekcji Sanitarnej prowadziły</w:t>
      </w:r>
      <w:r>
        <w:rPr>
          <w:rFonts w:ascii="Arial" w:hAnsi="Arial" w:cs="Arial"/>
        </w:rPr>
        <w:t xml:space="preserve"> </w:t>
      </w:r>
      <w:r w:rsidRPr="00F16D77">
        <w:rPr>
          <w:rFonts w:ascii="Arial" w:hAnsi="Arial" w:cs="Arial"/>
        </w:rPr>
        <w:t>badania jakości wody zgodnie z ustalonym planem działania na dany rok. Dostawcy wody</w:t>
      </w:r>
      <w:r>
        <w:rPr>
          <w:rFonts w:ascii="Arial" w:hAnsi="Arial" w:cs="Arial"/>
        </w:rPr>
        <w:t xml:space="preserve"> </w:t>
      </w:r>
      <w:r w:rsidRPr="00F16D77">
        <w:rPr>
          <w:rFonts w:ascii="Arial" w:hAnsi="Arial" w:cs="Arial"/>
        </w:rPr>
        <w:t>prowadzili natomiast badania na podstawie uzgodnionych z organami Państwowej Inspekcji</w:t>
      </w:r>
      <w:r>
        <w:rPr>
          <w:rFonts w:ascii="Arial" w:hAnsi="Arial" w:cs="Arial"/>
        </w:rPr>
        <w:t xml:space="preserve"> </w:t>
      </w:r>
      <w:r w:rsidRPr="00F16D77">
        <w:rPr>
          <w:rFonts w:ascii="Arial" w:hAnsi="Arial" w:cs="Arial"/>
        </w:rPr>
        <w:t>Sanitarnej harmonogramów pobierania próbek wody, zgodnie z częstotliwością i zakresem</w:t>
      </w:r>
      <w:r>
        <w:rPr>
          <w:rFonts w:ascii="Arial" w:hAnsi="Arial" w:cs="Arial"/>
        </w:rPr>
        <w:t xml:space="preserve"> </w:t>
      </w:r>
      <w:r w:rsidRPr="00F16D77">
        <w:rPr>
          <w:rFonts w:ascii="Arial" w:hAnsi="Arial" w:cs="Arial"/>
        </w:rPr>
        <w:t>określonymi w prawie krajowym. Badania jakości wody przeznaczonej do spożycia przez</w:t>
      </w:r>
      <w:r>
        <w:rPr>
          <w:rFonts w:ascii="Arial" w:hAnsi="Arial" w:cs="Arial"/>
        </w:rPr>
        <w:t xml:space="preserve"> </w:t>
      </w:r>
      <w:r w:rsidRPr="00F16D77">
        <w:rPr>
          <w:rFonts w:ascii="Arial" w:hAnsi="Arial" w:cs="Arial"/>
        </w:rPr>
        <w:t>ludzi wykonywane były przez laboratoria Państwowej Inspekcji Sanitarnej lub inne</w:t>
      </w:r>
      <w:r>
        <w:rPr>
          <w:rFonts w:ascii="Arial" w:hAnsi="Arial" w:cs="Arial"/>
        </w:rPr>
        <w:t xml:space="preserve"> </w:t>
      </w:r>
      <w:r w:rsidRPr="00F16D77">
        <w:rPr>
          <w:rFonts w:ascii="Arial" w:hAnsi="Arial" w:cs="Arial"/>
        </w:rPr>
        <w:t>laboratoria o udokumentowanym systemie jakości prowadzonych badań wody,</w:t>
      </w:r>
      <w:r>
        <w:rPr>
          <w:rFonts w:ascii="Arial" w:hAnsi="Arial" w:cs="Arial"/>
        </w:rPr>
        <w:t xml:space="preserve"> </w:t>
      </w:r>
      <w:r w:rsidRPr="00F16D77">
        <w:rPr>
          <w:rFonts w:ascii="Arial" w:hAnsi="Arial" w:cs="Arial"/>
        </w:rPr>
        <w:t>zatwierdzonym przez Państwową Inspekcję Sanitarną (zgodnie z art. 12 ust. 4 ustawy z dnia</w:t>
      </w:r>
      <w:r>
        <w:rPr>
          <w:rFonts w:ascii="Arial" w:hAnsi="Arial" w:cs="Arial"/>
        </w:rPr>
        <w:t xml:space="preserve"> </w:t>
      </w:r>
      <w:r w:rsidRPr="00F16D77">
        <w:rPr>
          <w:rFonts w:ascii="Arial" w:hAnsi="Arial" w:cs="Arial"/>
        </w:rPr>
        <w:t>z dnia 7 czerwca 2001</w:t>
      </w:r>
      <w:r w:rsidR="00E45FA7">
        <w:rPr>
          <w:rFonts w:ascii="Arial" w:hAnsi="Arial" w:cs="Arial"/>
        </w:rPr>
        <w:t> </w:t>
      </w:r>
      <w:r w:rsidRPr="00F16D77">
        <w:rPr>
          <w:rFonts w:ascii="Arial" w:hAnsi="Arial" w:cs="Arial"/>
        </w:rPr>
        <w:t>r. o zbiorowym zaopatrzeniu w wodę i zbiorowym odprowadzaniu</w:t>
      </w:r>
      <w:r>
        <w:rPr>
          <w:rFonts w:ascii="Arial" w:hAnsi="Arial" w:cs="Arial"/>
        </w:rPr>
        <w:t xml:space="preserve"> </w:t>
      </w:r>
      <w:r w:rsidRPr="00F16D77">
        <w:rPr>
          <w:rFonts w:ascii="Arial" w:hAnsi="Arial" w:cs="Arial"/>
        </w:rPr>
        <w:t>ścieków). Sprawozdania z badań realizowanych przez dostawców wody były na bieżąco</w:t>
      </w:r>
      <w:r>
        <w:rPr>
          <w:rFonts w:ascii="Arial" w:hAnsi="Arial" w:cs="Arial"/>
        </w:rPr>
        <w:t xml:space="preserve"> </w:t>
      </w:r>
      <w:r w:rsidRPr="00F16D77">
        <w:rPr>
          <w:rFonts w:ascii="Arial" w:hAnsi="Arial" w:cs="Arial"/>
        </w:rPr>
        <w:t>przekazywane organom Państwowej Inspekcji Sanitarnej, które analizowały wyniki badań</w:t>
      </w:r>
      <w:r>
        <w:rPr>
          <w:rFonts w:ascii="Arial" w:hAnsi="Arial" w:cs="Arial"/>
        </w:rPr>
        <w:t xml:space="preserve"> </w:t>
      </w:r>
      <w:r w:rsidRPr="00F16D77">
        <w:rPr>
          <w:rFonts w:ascii="Arial" w:hAnsi="Arial" w:cs="Arial"/>
        </w:rPr>
        <w:t>jakości wody, stwierdzały jej przydatność do spożycia oraz weryfikowały terminowość</w:t>
      </w:r>
      <w:r>
        <w:rPr>
          <w:rFonts w:ascii="Arial" w:hAnsi="Arial" w:cs="Arial"/>
        </w:rPr>
        <w:t xml:space="preserve"> </w:t>
      </w:r>
      <w:r w:rsidRPr="00F16D77">
        <w:rPr>
          <w:rFonts w:ascii="Arial" w:hAnsi="Arial" w:cs="Arial"/>
        </w:rPr>
        <w:t>przekazywania sprawozdań.</w:t>
      </w:r>
    </w:p>
    <w:p w14:paraId="5069A901" w14:textId="7215180E" w:rsidR="000A7B0D" w:rsidRDefault="009C79BE" w:rsidP="00921D8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w:t>
      </w:r>
      <w:r w:rsidR="000A7B0D" w:rsidRPr="00F16D77">
        <w:rPr>
          <w:rFonts w:ascii="Arial" w:hAnsi="Arial" w:cs="Arial"/>
        </w:rPr>
        <w:t>akres</w:t>
      </w:r>
      <w:r>
        <w:rPr>
          <w:rFonts w:ascii="Arial" w:hAnsi="Arial" w:cs="Arial"/>
        </w:rPr>
        <w:t xml:space="preserve"> </w:t>
      </w:r>
      <w:r w:rsidR="000A7B0D" w:rsidRPr="00F16D77">
        <w:rPr>
          <w:rFonts w:ascii="Arial" w:hAnsi="Arial" w:cs="Arial"/>
        </w:rPr>
        <w:t>oznaczanych pestycydów w wodzie ustalany był indywidualnie przez właściwych</w:t>
      </w:r>
      <w:r>
        <w:rPr>
          <w:rFonts w:ascii="Arial" w:hAnsi="Arial" w:cs="Arial"/>
        </w:rPr>
        <w:t xml:space="preserve"> </w:t>
      </w:r>
      <w:r w:rsidR="000A7B0D" w:rsidRPr="00F16D77">
        <w:rPr>
          <w:rFonts w:ascii="Arial" w:hAnsi="Arial" w:cs="Arial"/>
        </w:rPr>
        <w:t>państwowych inspektorów sanitarnych po uwzględnieniu szeregu czynników, w tym</w:t>
      </w:r>
      <w:r>
        <w:rPr>
          <w:rFonts w:ascii="Arial" w:hAnsi="Arial" w:cs="Arial"/>
        </w:rPr>
        <w:t xml:space="preserve"> </w:t>
      </w:r>
      <w:r w:rsidR="000A7B0D" w:rsidRPr="00F16D77">
        <w:rPr>
          <w:rFonts w:ascii="Arial" w:hAnsi="Arial" w:cs="Arial"/>
        </w:rPr>
        <w:t>stosowanych lokalnie środków ochrony roślin oraz na podstawie prewencyjnej oceny</w:t>
      </w:r>
      <w:r>
        <w:rPr>
          <w:rFonts w:ascii="Arial" w:hAnsi="Arial" w:cs="Arial"/>
        </w:rPr>
        <w:t xml:space="preserve"> </w:t>
      </w:r>
      <w:r w:rsidR="000A7B0D" w:rsidRPr="00F16D77">
        <w:rPr>
          <w:rFonts w:ascii="Arial" w:hAnsi="Arial" w:cs="Arial"/>
        </w:rPr>
        <w:t>zagrożeń dokonywanej poprzez analizę zanieczyszczeń przenikających do poszczególnych</w:t>
      </w:r>
      <w:r>
        <w:rPr>
          <w:rFonts w:ascii="Arial" w:hAnsi="Arial" w:cs="Arial"/>
        </w:rPr>
        <w:t xml:space="preserve"> </w:t>
      </w:r>
      <w:r w:rsidR="000A7B0D" w:rsidRPr="00F16D77">
        <w:rPr>
          <w:rFonts w:ascii="Arial" w:hAnsi="Arial" w:cs="Arial"/>
        </w:rPr>
        <w:t>ujęć wód, ustalonych na podstawie lokalnych danych o sprzedaży lub stosowaniu środków</w:t>
      </w:r>
      <w:r>
        <w:rPr>
          <w:rFonts w:ascii="Arial" w:hAnsi="Arial" w:cs="Arial"/>
        </w:rPr>
        <w:t xml:space="preserve"> </w:t>
      </w:r>
      <w:r w:rsidR="000A7B0D" w:rsidRPr="00F16D77">
        <w:rPr>
          <w:rFonts w:ascii="Arial" w:hAnsi="Arial" w:cs="Arial"/>
        </w:rPr>
        <w:t>ochrony roślin. Dane te były pozyskiwane od dystrybutorów, firm lub ośrodków doradztwa</w:t>
      </w:r>
      <w:r>
        <w:rPr>
          <w:rFonts w:ascii="Arial" w:hAnsi="Arial" w:cs="Arial"/>
        </w:rPr>
        <w:t xml:space="preserve"> </w:t>
      </w:r>
      <w:r w:rsidR="000A7B0D" w:rsidRPr="00F16D77">
        <w:rPr>
          <w:rFonts w:ascii="Arial" w:hAnsi="Arial" w:cs="Arial"/>
        </w:rPr>
        <w:t>rolniczego w zakresie sprzedaży pestycydów. Sprawozdania z badań jakości wody były na</w:t>
      </w:r>
      <w:r>
        <w:rPr>
          <w:rFonts w:ascii="Arial" w:hAnsi="Arial" w:cs="Arial"/>
        </w:rPr>
        <w:t xml:space="preserve"> </w:t>
      </w:r>
      <w:r w:rsidR="000A7B0D" w:rsidRPr="00F16D77">
        <w:rPr>
          <w:rFonts w:ascii="Arial" w:hAnsi="Arial" w:cs="Arial"/>
        </w:rPr>
        <w:t>bieżąco przekazywane organom Państwowej Inspekcji Sanitarnej przez dostawców wody,</w:t>
      </w:r>
      <w:r>
        <w:rPr>
          <w:rFonts w:ascii="Arial" w:hAnsi="Arial" w:cs="Arial"/>
        </w:rPr>
        <w:t xml:space="preserve"> </w:t>
      </w:r>
      <w:r w:rsidR="000A7B0D" w:rsidRPr="00F16D77">
        <w:rPr>
          <w:rFonts w:ascii="Arial" w:hAnsi="Arial" w:cs="Arial"/>
        </w:rPr>
        <w:t>które weryfikowały terminowość ich przekazywania, analizowały wyniki badań jakości</w:t>
      </w:r>
      <w:r>
        <w:rPr>
          <w:rFonts w:ascii="Arial" w:hAnsi="Arial" w:cs="Arial"/>
        </w:rPr>
        <w:t xml:space="preserve"> </w:t>
      </w:r>
      <w:r w:rsidR="000A7B0D" w:rsidRPr="00F16D77">
        <w:rPr>
          <w:rFonts w:ascii="Arial" w:hAnsi="Arial" w:cs="Arial"/>
        </w:rPr>
        <w:t>wody oraz określały przydatność wody do spożycia.</w:t>
      </w:r>
    </w:p>
    <w:p w14:paraId="28CB1FB9" w14:textId="767D4C5B" w:rsidR="000A7B0D" w:rsidRPr="00F16D77" w:rsidRDefault="000A7B0D" w:rsidP="00921D8D">
      <w:pPr>
        <w:pStyle w:val="NormalnyWeb"/>
        <w:tabs>
          <w:tab w:val="left" w:pos="284"/>
        </w:tabs>
        <w:spacing w:beforeAutospacing="0" w:after="120" w:afterAutospacing="0" w:line="360" w:lineRule="auto"/>
        <w:ind w:firstLine="284"/>
        <w:jc w:val="both"/>
        <w:rPr>
          <w:rFonts w:ascii="Arial" w:hAnsi="Arial" w:cs="Arial"/>
        </w:rPr>
      </w:pPr>
      <w:r w:rsidRPr="00F16D77">
        <w:rPr>
          <w:rFonts w:ascii="Arial" w:hAnsi="Arial" w:cs="Arial"/>
        </w:rPr>
        <w:t>W 2023</w:t>
      </w:r>
      <w:r w:rsidR="00E45FA7">
        <w:rPr>
          <w:rFonts w:ascii="Arial" w:hAnsi="Arial" w:cs="Arial"/>
        </w:rPr>
        <w:t> </w:t>
      </w:r>
      <w:r w:rsidRPr="00F16D77">
        <w:rPr>
          <w:rFonts w:ascii="Arial" w:hAnsi="Arial" w:cs="Arial"/>
        </w:rPr>
        <w:t>r.</w:t>
      </w:r>
      <w:r w:rsidR="009C79BE">
        <w:rPr>
          <w:rFonts w:ascii="Arial" w:hAnsi="Arial" w:cs="Arial"/>
        </w:rPr>
        <w:t>,</w:t>
      </w:r>
      <w:r w:rsidRPr="00F16D77">
        <w:rPr>
          <w:rFonts w:ascii="Arial" w:hAnsi="Arial" w:cs="Arial"/>
        </w:rPr>
        <w:t xml:space="preserve"> </w:t>
      </w:r>
      <w:r w:rsidR="009C79BE">
        <w:rPr>
          <w:rFonts w:ascii="Arial" w:hAnsi="Arial" w:cs="Arial"/>
        </w:rPr>
        <w:t xml:space="preserve">podobnie jak w latach 2020-2022, </w:t>
      </w:r>
      <w:r w:rsidRPr="00F16D77">
        <w:rPr>
          <w:rFonts w:ascii="Arial" w:hAnsi="Arial" w:cs="Arial"/>
        </w:rPr>
        <w:t xml:space="preserve">w województwie dolnośląskim nadal występowały </w:t>
      </w:r>
      <w:r w:rsidRPr="00F16D77">
        <w:rPr>
          <w:rFonts w:ascii="Arial" w:hAnsi="Arial" w:cs="Arial"/>
        </w:rPr>
        <w:lastRenderedPageBreak/>
        <w:t>przekroczenia w zakresie</w:t>
      </w:r>
      <w:r w:rsidR="009C79BE">
        <w:rPr>
          <w:rFonts w:ascii="Arial" w:hAnsi="Arial" w:cs="Arial"/>
        </w:rPr>
        <w:t xml:space="preserve"> </w:t>
      </w:r>
      <w:r w:rsidRPr="00F16D77">
        <w:rPr>
          <w:rFonts w:ascii="Arial" w:hAnsi="Arial" w:cs="Arial"/>
        </w:rPr>
        <w:t>pestycydu o nazwie chloridazon-desfenyl i sumy pestycydów w wodzie przeznaczonej do</w:t>
      </w:r>
      <w:r w:rsidR="009C79BE">
        <w:rPr>
          <w:rFonts w:ascii="Arial" w:hAnsi="Arial" w:cs="Arial"/>
        </w:rPr>
        <w:t xml:space="preserve"> </w:t>
      </w:r>
      <w:r w:rsidRPr="00F16D77">
        <w:rPr>
          <w:rFonts w:ascii="Arial" w:hAnsi="Arial" w:cs="Arial"/>
        </w:rPr>
        <w:t>spożycia przez ludzi dostarczanej przez trzy wodociągi (dwa wodociągi w powiecie</w:t>
      </w:r>
      <w:r w:rsidR="009C79BE">
        <w:rPr>
          <w:rFonts w:ascii="Arial" w:hAnsi="Arial" w:cs="Arial"/>
        </w:rPr>
        <w:t xml:space="preserve"> </w:t>
      </w:r>
      <w:r w:rsidRPr="00F16D77">
        <w:rPr>
          <w:rFonts w:ascii="Arial" w:hAnsi="Arial" w:cs="Arial"/>
        </w:rPr>
        <w:t>wrocławskim, gmina Długołęka i jeden wodociąg w powiecie wołowskim, gmina Wińsko).</w:t>
      </w:r>
    </w:p>
    <w:p w14:paraId="631D58F8" w14:textId="37ED5879" w:rsidR="000A7B0D" w:rsidRDefault="000A7B0D" w:rsidP="00921D8D">
      <w:pPr>
        <w:pStyle w:val="NormalnyWeb"/>
        <w:tabs>
          <w:tab w:val="left" w:pos="284"/>
        </w:tabs>
        <w:spacing w:beforeAutospacing="0" w:after="120" w:afterAutospacing="0" w:line="360" w:lineRule="auto"/>
        <w:ind w:firstLine="284"/>
        <w:jc w:val="both"/>
        <w:rPr>
          <w:rFonts w:ascii="Arial" w:hAnsi="Arial" w:cs="Arial"/>
        </w:rPr>
      </w:pPr>
      <w:r w:rsidRPr="00F16D77">
        <w:rPr>
          <w:rFonts w:ascii="Arial" w:hAnsi="Arial" w:cs="Arial"/>
        </w:rPr>
        <w:t>Substancja o nazwie chloridazon-desfenyl, jest związkiem, który powstaje na drodze</w:t>
      </w:r>
      <w:r w:rsidR="009C79BE">
        <w:rPr>
          <w:rFonts w:ascii="Arial" w:hAnsi="Arial" w:cs="Arial"/>
        </w:rPr>
        <w:t xml:space="preserve"> </w:t>
      </w:r>
      <w:r w:rsidRPr="00F16D77">
        <w:rPr>
          <w:rFonts w:ascii="Arial" w:hAnsi="Arial" w:cs="Arial"/>
        </w:rPr>
        <w:t>zachodzących w roślinach uprawnych oraz w środowisku przemian substancji macierzystej</w:t>
      </w:r>
      <w:r w:rsidR="009C79BE">
        <w:rPr>
          <w:rFonts w:ascii="Arial" w:hAnsi="Arial" w:cs="Arial"/>
        </w:rPr>
        <w:t xml:space="preserve"> </w:t>
      </w:r>
      <w:r w:rsidRPr="00F16D77">
        <w:rPr>
          <w:rFonts w:ascii="Arial" w:hAnsi="Arial" w:cs="Arial"/>
        </w:rPr>
        <w:t>– chloridazonu, herbicydu z grupy pirydazonów. Chloridazon stosowany jest w ochronie</w:t>
      </w:r>
      <w:r w:rsidR="009C79BE">
        <w:rPr>
          <w:rFonts w:ascii="Arial" w:hAnsi="Arial" w:cs="Arial"/>
        </w:rPr>
        <w:t xml:space="preserve"> </w:t>
      </w:r>
      <w:r w:rsidRPr="00F16D77">
        <w:rPr>
          <w:rFonts w:ascii="Arial" w:hAnsi="Arial" w:cs="Arial"/>
        </w:rPr>
        <w:t>wielu upraw, głównie buraków cukrowych i pastewnych, buraka ćwikłowego, cebuli,</w:t>
      </w:r>
      <w:r w:rsidR="009C79BE">
        <w:rPr>
          <w:rFonts w:ascii="Arial" w:hAnsi="Arial" w:cs="Arial"/>
        </w:rPr>
        <w:t xml:space="preserve"> </w:t>
      </w:r>
      <w:r w:rsidRPr="00F16D77">
        <w:rPr>
          <w:rFonts w:ascii="Arial" w:hAnsi="Arial" w:cs="Arial"/>
        </w:rPr>
        <w:t>czosnku, szalotki oraz roślin ozdobnych. W środowisku, w</w:t>
      </w:r>
      <w:r w:rsidR="00921D8D">
        <w:rPr>
          <w:rFonts w:ascii="Arial" w:hAnsi="Arial" w:cs="Arial"/>
        </w:rPr>
        <w:t> </w:t>
      </w:r>
      <w:r w:rsidRPr="00F16D77">
        <w:rPr>
          <w:rFonts w:ascii="Arial" w:hAnsi="Arial" w:cs="Arial"/>
        </w:rPr>
        <w:t>którym pestycyd ten jest</w:t>
      </w:r>
      <w:r w:rsidR="009C79BE">
        <w:rPr>
          <w:rFonts w:ascii="Arial" w:hAnsi="Arial" w:cs="Arial"/>
        </w:rPr>
        <w:t xml:space="preserve"> </w:t>
      </w:r>
      <w:r w:rsidRPr="00F16D77">
        <w:rPr>
          <w:rFonts w:ascii="Arial" w:hAnsi="Arial" w:cs="Arial"/>
        </w:rPr>
        <w:t>stosowany, w zachodzącym procesie degradacji ulega rozkładowi głównie do chloridazonu-desfenyl, który w kolejnych zmianach zachodzących w środowisku może prowadzić do</w:t>
      </w:r>
      <w:r w:rsidR="00921D8D">
        <w:rPr>
          <w:rFonts w:ascii="Arial" w:hAnsi="Arial" w:cs="Arial"/>
        </w:rPr>
        <w:t xml:space="preserve"> </w:t>
      </w:r>
      <w:r w:rsidRPr="00F16D77">
        <w:rPr>
          <w:rFonts w:ascii="Arial" w:hAnsi="Arial" w:cs="Arial"/>
        </w:rPr>
        <w:t>powstania znacznie mniejszych ilości drugiego metabolitu chloridazonu jakim jest</w:t>
      </w:r>
      <w:r w:rsidR="009C79BE">
        <w:rPr>
          <w:rFonts w:ascii="Arial" w:hAnsi="Arial" w:cs="Arial"/>
        </w:rPr>
        <w:t xml:space="preserve"> </w:t>
      </w:r>
      <w:r w:rsidRPr="00F16D77">
        <w:rPr>
          <w:rFonts w:ascii="Arial" w:hAnsi="Arial" w:cs="Arial"/>
        </w:rPr>
        <w:t>chloridazon-metyl-desfenyl. Zachodzące w środowisku glebowym przemiany, pozbawiają</w:t>
      </w:r>
      <w:r w:rsidR="009C79BE">
        <w:rPr>
          <w:rFonts w:ascii="Arial" w:hAnsi="Arial" w:cs="Arial"/>
        </w:rPr>
        <w:t xml:space="preserve"> </w:t>
      </w:r>
      <w:r w:rsidRPr="00F16D77">
        <w:rPr>
          <w:rFonts w:ascii="Arial" w:hAnsi="Arial" w:cs="Arial"/>
        </w:rPr>
        <w:t>oba metabolity aktywności pestycydu, zwiększając jednocześnie ich trwałość w</w:t>
      </w:r>
      <w:r w:rsidR="009C79BE">
        <w:rPr>
          <w:rFonts w:ascii="Arial" w:hAnsi="Arial" w:cs="Arial"/>
        </w:rPr>
        <w:t xml:space="preserve"> </w:t>
      </w:r>
      <w:r w:rsidRPr="00F16D77">
        <w:rPr>
          <w:rFonts w:ascii="Arial" w:hAnsi="Arial" w:cs="Arial"/>
        </w:rPr>
        <w:t>środowisku, zwiększając rozpuszczalność w</w:t>
      </w:r>
      <w:r w:rsidR="00921D8D">
        <w:rPr>
          <w:rFonts w:ascii="Arial" w:hAnsi="Arial" w:cs="Arial"/>
        </w:rPr>
        <w:t> </w:t>
      </w:r>
      <w:r w:rsidRPr="00F16D77">
        <w:rPr>
          <w:rFonts w:ascii="Arial" w:hAnsi="Arial" w:cs="Arial"/>
        </w:rPr>
        <w:t>wodzie i mobilność w glebie. Metabolity</w:t>
      </w:r>
      <w:r w:rsidR="009C79BE">
        <w:rPr>
          <w:rFonts w:ascii="Arial" w:hAnsi="Arial" w:cs="Arial"/>
        </w:rPr>
        <w:t xml:space="preserve"> </w:t>
      </w:r>
      <w:r w:rsidRPr="00F16D77">
        <w:rPr>
          <w:rFonts w:ascii="Arial" w:hAnsi="Arial" w:cs="Arial"/>
        </w:rPr>
        <w:t>cechują się znacznym potencjałem przenikania do wód podziemnych, w których</w:t>
      </w:r>
      <w:r w:rsidR="009C79BE">
        <w:rPr>
          <w:rFonts w:ascii="Arial" w:hAnsi="Arial" w:cs="Arial"/>
        </w:rPr>
        <w:t xml:space="preserve"> </w:t>
      </w:r>
      <w:r w:rsidRPr="00F16D77">
        <w:rPr>
          <w:rFonts w:ascii="Arial" w:hAnsi="Arial" w:cs="Arial"/>
        </w:rPr>
        <w:t>stwierdzane bywają często i występują z reguły w stężeniach wielokrotnie wyższych niż</w:t>
      </w:r>
      <w:r w:rsidR="009C79BE">
        <w:rPr>
          <w:rFonts w:ascii="Arial" w:hAnsi="Arial" w:cs="Arial"/>
        </w:rPr>
        <w:t xml:space="preserve"> </w:t>
      </w:r>
      <w:r w:rsidRPr="00F16D77">
        <w:rPr>
          <w:rFonts w:ascii="Arial" w:hAnsi="Arial" w:cs="Arial"/>
        </w:rPr>
        <w:t>substancja macierzysta (chloridazon) i w największym stopniu dotyczy to metabolitu</w:t>
      </w:r>
      <w:r w:rsidR="00921D8D">
        <w:rPr>
          <w:rFonts w:ascii="Arial" w:hAnsi="Arial" w:cs="Arial"/>
        </w:rPr>
        <w:t xml:space="preserve"> </w:t>
      </w:r>
      <w:r w:rsidRPr="00F16D77">
        <w:rPr>
          <w:rFonts w:ascii="Arial" w:hAnsi="Arial" w:cs="Arial"/>
        </w:rPr>
        <w:t>chloridazon-desfenyl.</w:t>
      </w:r>
    </w:p>
    <w:p w14:paraId="35DA97D7" w14:textId="77777777" w:rsidR="008B5F95" w:rsidRDefault="00923F0D">
      <w:pPr>
        <w:pStyle w:val="Nagwek2"/>
        <w:jc w:val="both"/>
        <w:rPr>
          <w:i w:val="0"/>
          <w:sz w:val="20"/>
          <w:szCs w:val="20"/>
        </w:rPr>
      </w:pPr>
      <w:bookmarkStart w:id="31" w:name="_Toc193716396"/>
      <w:r>
        <w:rPr>
          <w:i w:val="0"/>
          <w:sz w:val="20"/>
          <w:szCs w:val="20"/>
        </w:rPr>
        <w:t>Zadanie 3. Badanie wpływu chemicznej ochrony roślin na stan wód powierzchniowych</w:t>
      </w:r>
      <w:bookmarkEnd w:id="31"/>
      <w:r>
        <w:rPr>
          <w:i w:val="0"/>
          <w:sz w:val="20"/>
          <w:szCs w:val="20"/>
        </w:rPr>
        <w:t xml:space="preserve"> </w:t>
      </w:r>
    </w:p>
    <w:p w14:paraId="1DFFECDF"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Państwowy monitoring wód powierzchniowych, podziemnych i osadów dennych koncentruje się na zbieraniu danych o stanie jednolitych części wód powierzchniowych w celu wydawania wieloaspektowych i kompleksowych ocen między innymi na potrzeby wypełnienia celów planistycznych w gospodarowaniu wodami. Monitoring ten, ze względu na ograniczone spektrum badanych substancji wynikające z uwarunkowań prawnych, nie obejmuje badań stosowanych środków ochrony roślin. </w:t>
      </w:r>
    </w:p>
    <w:p w14:paraId="69FBD6FD" w14:textId="0E5CCA28"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 tego uzupełni</w:t>
      </w:r>
      <w:r w:rsidR="00E45FA7">
        <w:rPr>
          <w:rFonts w:ascii="Arial" w:hAnsi="Arial" w:cs="Arial"/>
        </w:rPr>
        <w:t>enia</w:t>
      </w:r>
      <w:r>
        <w:rPr>
          <w:rFonts w:ascii="Arial" w:hAnsi="Arial" w:cs="Arial"/>
        </w:rPr>
        <w:t xml:space="preserve"> monitoring</w:t>
      </w:r>
      <w:r w:rsidR="00E45FA7">
        <w:rPr>
          <w:rFonts w:ascii="Arial" w:hAnsi="Arial" w:cs="Arial"/>
        </w:rPr>
        <w:t>u o</w:t>
      </w:r>
      <w:r>
        <w:rPr>
          <w:rFonts w:ascii="Arial" w:hAnsi="Arial" w:cs="Arial"/>
        </w:rPr>
        <w:t xml:space="preserve"> jak największą liczbę substancji czynnych, występujących obecnie w środkach ochrony roślin</w:t>
      </w:r>
      <w:r w:rsidR="00E45FA7">
        <w:rPr>
          <w:rFonts w:ascii="Arial" w:hAnsi="Arial" w:cs="Arial"/>
        </w:rPr>
        <w:t xml:space="preserve">, </w:t>
      </w:r>
      <w:r>
        <w:rPr>
          <w:rFonts w:ascii="Arial" w:hAnsi="Arial" w:cs="Arial"/>
        </w:rPr>
        <w:t xml:space="preserve">w ramach </w:t>
      </w:r>
      <w:r w:rsidR="002233DE">
        <w:rPr>
          <w:rFonts w:ascii="Arial" w:hAnsi="Arial" w:cs="Arial"/>
        </w:rPr>
        <w:t>dotacji celow</w:t>
      </w:r>
      <w:r w:rsidR="002954CE">
        <w:rPr>
          <w:rFonts w:ascii="Arial" w:hAnsi="Arial" w:cs="Arial"/>
        </w:rPr>
        <w:t>ych</w:t>
      </w:r>
      <w:r>
        <w:rPr>
          <w:rFonts w:ascii="Arial" w:hAnsi="Arial" w:cs="Arial"/>
        </w:rPr>
        <w:t xml:space="preserve"> </w:t>
      </w:r>
      <w:r w:rsidR="00690DEA">
        <w:rPr>
          <w:rFonts w:ascii="Arial" w:hAnsi="Arial" w:cs="Arial"/>
        </w:rPr>
        <w:t xml:space="preserve">udzielonych przez Ministra Rolnictwa i Rozwoju Wsi </w:t>
      </w:r>
      <w:r w:rsidR="00E45FA7">
        <w:rPr>
          <w:rFonts w:ascii="Arial" w:hAnsi="Arial" w:cs="Arial"/>
        </w:rPr>
        <w:t xml:space="preserve">prowadzony był </w:t>
      </w:r>
      <w:r>
        <w:rPr>
          <w:rFonts w:ascii="Arial" w:hAnsi="Arial" w:cs="Arial"/>
        </w:rPr>
        <w:t xml:space="preserve">monitoring pozostałości środków ochrony roślin w wodach powierzchniowych przez </w:t>
      </w:r>
      <w:r w:rsidR="006F2688">
        <w:rPr>
          <w:rFonts w:ascii="Arial" w:hAnsi="Arial" w:cs="Arial"/>
        </w:rPr>
        <w:t>IOR</w:t>
      </w:r>
      <w:r w:rsidR="00346127">
        <w:rPr>
          <w:rFonts w:ascii="Arial" w:hAnsi="Arial" w:cs="Arial"/>
        </w:rPr>
        <w:t xml:space="preserve"> </w:t>
      </w:r>
      <w:r w:rsidR="00A85B5C">
        <w:rPr>
          <w:rFonts w:ascii="Arial" w:hAnsi="Arial" w:cs="Arial"/>
        </w:rPr>
        <w:t>–</w:t>
      </w:r>
      <w:r w:rsidR="00346127">
        <w:rPr>
          <w:rFonts w:ascii="Arial" w:hAnsi="Arial" w:cs="Arial"/>
        </w:rPr>
        <w:t xml:space="preserve"> </w:t>
      </w:r>
      <w:r w:rsidR="00A85B5C">
        <w:rPr>
          <w:rFonts w:ascii="Arial" w:hAnsi="Arial" w:cs="Arial"/>
        </w:rPr>
        <w:t>PIB</w:t>
      </w:r>
      <w:r>
        <w:rPr>
          <w:rFonts w:ascii="Arial" w:hAnsi="Arial" w:cs="Arial"/>
        </w:rPr>
        <w:t xml:space="preserve"> oraz </w:t>
      </w:r>
      <w:r w:rsidR="006F2688">
        <w:rPr>
          <w:rFonts w:ascii="Arial" w:hAnsi="Arial" w:cs="Arial"/>
        </w:rPr>
        <w:t>IO</w:t>
      </w:r>
      <w:r w:rsidR="00346127">
        <w:rPr>
          <w:rFonts w:ascii="Arial" w:hAnsi="Arial" w:cs="Arial"/>
        </w:rPr>
        <w:t xml:space="preserve"> </w:t>
      </w:r>
      <w:r w:rsidR="00A85B5C">
        <w:rPr>
          <w:rFonts w:ascii="Arial" w:hAnsi="Arial" w:cs="Arial"/>
        </w:rPr>
        <w:t>–</w:t>
      </w:r>
      <w:r w:rsidR="00346127">
        <w:rPr>
          <w:rFonts w:ascii="Arial" w:hAnsi="Arial" w:cs="Arial"/>
        </w:rPr>
        <w:t xml:space="preserve"> </w:t>
      </w:r>
      <w:r w:rsidR="00A85B5C">
        <w:rPr>
          <w:rFonts w:ascii="Arial" w:hAnsi="Arial" w:cs="Arial"/>
        </w:rPr>
        <w:t>PIB</w:t>
      </w:r>
      <w:r w:rsidR="00E35F20" w:rsidRPr="00E35F20">
        <w:rPr>
          <w:rFonts w:ascii="Arial" w:hAnsi="Arial" w:cs="Arial"/>
        </w:rPr>
        <w:t xml:space="preserve"> </w:t>
      </w:r>
      <w:r>
        <w:rPr>
          <w:rFonts w:ascii="Arial" w:hAnsi="Arial" w:cs="Arial"/>
        </w:rPr>
        <w:t>we współpracy z</w:t>
      </w:r>
      <w:r w:rsidR="00E45FA7">
        <w:rPr>
          <w:rFonts w:ascii="Arial" w:hAnsi="Arial" w:cs="Arial"/>
        </w:rPr>
        <w:t> </w:t>
      </w:r>
      <w:r>
        <w:rPr>
          <w:rFonts w:ascii="Arial" w:hAnsi="Arial" w:cs="Arial"/>
        </w:rPr>
        <w:t>wojewódzkimi inspektoratami ochrony środowiska na podstawie porozumień lub ustaleń pomiędzy ww. instytutami i</w:t>
      </w:r>
      <w:r w:rsidR="000326FF">
        <w:rPr>
          <w:rFonts w:ascii="Arial" w:hAnsi="Arial" w:cs="Arial"/>
        </w:rPr>
        <w:t> </w:t>
      </w:r>
      <w:r>
        <w:rPr>
          <w:rFonts w:ascii="Arial" w:hAnsi="Arial" w:cs="Arial"/>
        </w:rPr>
        <w:t xml:space="preserve">wojewódzkimi inspektoratami ochrony środowiska </w:t>
      </w:r>
    </w:p>
    <w:p w14:paraId="05C1ABB0" w14:textId="6AC23609" w:rsidR="00921D8D" w:rsidRPr="00925BCD" w:rsidRDefault="00921D8D" w:rsidP="00921D8D">
      <w:pPr>
        <w:pStyle w:val="NormalnyWeb"/>
        <w:tabs>
          <w:tab w:val="left" w:pos="284"/>
        </w:tabs>
        <w:spacing w:before="120" w:beforeAutospacing="0" w:after="120" w:afterAutospacing="0" w:line="360" w:lineRule="auto"/>
        <w:ind w:firstLine="284"/>
        <w:jc w:val="both"/>
        <w:rPr>
          <w:rFonts w:ascii="Arial" w:hAnsi="Arial" w:cs="Arial"/>
          <w:b/>
          <w:bCs/>
          <w:i/>
        </w:rPr>
      </w:pPr>
      <w:bookmarkStart w:id="32" w:name="_Toc3465052"/>
      <w:bookmarkStart w:id="33" w:name="_Hlk181187393"/>
      <w:r w:rsidRPr="00925BCD">
        <w:rPr>
          <w:rFonts w:ascii="Arial" w:hAnsi="Arial" w:cs="Arial"/>
          <w:b/>
          <w:bCs/>
          <w:i/>
        </w:rPr>
        <w:t xml:space="preserve">Badania prowadzone w ramach </w:t>
      </w:r>
      <w:r w:rsidR="00B1359E">
        <w:rPr>
          <w:rFonts w:ascii="Arial" w:hAnsi="Arial" w:cs="Arial"/>
          <w:b/>
          <w:bCs/>
          <w:i/>
        </w:rPr>
        <w:t xml:space="preserve">dotacji celowej </w:t>
      </w:r>
      <w:r w:rsidR="00C92929">
        <w:rPr>
          <w:rFonts w:ascii="Arial" w:hAnsi="Arial" w:cs="Arial"/>
          <w:b/>
          <w:bCs/>
          <w:i/>
        </w:rPr>
        <w:t xml:space="preserve">przez </w:t>
      </w:r>
      <w:r w:rsidRPr="00925BCD">
        <w:rPr>
          <w:rFonts w:ascii="Arial" w:hAnsi="Arial" w:cs="Arial"/>
          <w:b/>
          <w:bCs/>
          <w:i/>
        </w:rPr>
        <w:t xml:space="preserve">Instytut Ochrony Roślin – PIB </w:t>
      </w:r>
      <w:bookmarkEnd w:id="32"/>
    </w:p>
    <w:bookmarkEnd w:id="33"/>
    <w:p w14:paraId="7719E3AA" w14:textId="55CC9B7D" w:rsidR="003E660A" w:rsidRPr="00A833AB" w:rsidRDefault="003E660A" w:rsidP="00A833AB">
      <w:pPr>
        <w:pStyle w:val="NormalnyWeb"/>
        <w:tabs>
          <w:tab w:val="left" w:pos="284"/>
        </w:tabs>
        <w:spacing w:beforeAutospacing="0" w:after="120" w:afterAutospacing="0" w:line="360" w:lineRule="auto"/>
        <w:ind w:firstLine="284"/>
        <w:jc w:val="both"/>
        <w:rPr>
          <w:rFonts w:ascii="Arial" w:hAnsi="Arial" w:cs="Arial"/>
        </w:rPr>
      </w:pPr>
      <w:r w:rsidRPr="00C92929">
        <w:rPr>
          <w:rFonts w:ascii="Arial" w:hAnsi="Arial" w:cs="Arial"/>
          <w:b/>
          <w:bCs/>
        </w:rPr>
        <w:t>W 2023 r.</w:t>
      </w:r>
      <w:r>
        <w:rPr>
          <w:rFonts w:ascii="Arial" w:hAnsi="Arial" w:cs="Arial"/>
        </w:rPr>
        <w:t xml:space="preserve"> b</w:t>
      </w:r>
      <w:r w:rsidRPr="003E660A">
        <w:rPr>
          <w:rFonts w:ascii="Arial" w:hAnsi="Arial" w:cs="Arial"/>
        </w:rPr>
        <w:t>adania na obecność pozostałości środków ochrony roślin w wodach powierzchniowych obejmowały cały obszar Polski, z wyłączeniem województw łódzkiego i mazowieckiego</w:t>
      </w:r>
      <w:r w:rsidR="00E45FA7">
        <w:rPr>
          <w:rFonts w:ascii="Arial" w:hAnsi="Arial" w:cs="Arial"/>
        </w:rPr>
        <w:t xml:space="preserve"> (badanie realizowane przez IO </w:t>
      </w:r>
      <w:r w:rsidR="0049161C">
        <w:rPr>
          <w:rFonts w:ascii="Arial" w:hAnsi="Arial" w:cs="Arial"/>
        </w:rPr>
        <w:t xml:space="preserve">– </w:t>
      </w:r>
      <w:r w:rsidR="0049161C" w:rsidRPr="00CA6220">
        <w:rPr>
          <w:rFonts w:ascii="Arial" w:eastAsia="Calibri" w:hAnsi="Arial" w:cs="Arial"/>
          <w:lang w:eastAsia="en-US"/>
        </w:rPr>
        <w:t>PIB</w:t>
      </w:r>
      <w:r w:rsidR="00E45FA7">
        <w:rPr>
          <w:rFonts w:ascii="Arial" w:hAnsi="Arial" w:cs="Arial"/>
        </w:rPr>
        <w:t>)</w:t>
      </w:r>
      <w:r w:rsidRPr="003E660A">
        <w:rPr>
          <w:rFonts w:ascii="Arial" w:hAnsi="Arial" w:cs="Arial"/>
        </w:rPr>
        <w:t>. We współpracy z Głównym Inspektoratem Ochrony Środowiska (GIOŚ) i</w:t>
      </w:r>
      <w:r w:rsidR="00E45FA7">
        <w:rPr>
          <w:rFonts w:ascii="Arial" w:hAnsi="Arial" w:cs="Arial"/>
        </w:rPr>
        <w:t> </w:t>
      </w:r>
      <w:r w:rsidRPr="003E660A">
        <w:rPr>
          <w:rFonts w:ascii="Arial" w:hAnsi="Arial" w:cs="Arial"/>
        </w:rPr>
        <w:t>wojewódzkimi Oddziałami Centralnego Laboratorium Badawczego GIOŚ wytypowano od 5 do 10 punktów pomiarowo-kontrolnych (ppk) zlokalizowanych w zlewniach rzek na obszarze tych województw. Pobór próbek wód z wyznaczonych miejsc zaplanowano w jednomiesięcznych odstępach czasu od kwietnia do października</w:t>
      </w:r>
      <w:r w:rsidR="00E45FA7">
        <w:rPr>
          <w:rFonts w:ascii="Arial" w:hAnsi="Arial" w:cs="Arial"/>
        </w:rPr>
        <w:t>.</w:t>
      </w:r>
      <w:r w:rsidRPr="003E660A">
        <w:rPr>
          <w:rFonts w:ascii="Arial" w:hAnsi="Arial" w:cs="Arial"/>
        </w:rPr>
        <w:t xml:space="preserve"> </w:t>
      </w:r>
    </w:p>
    <w:p w14:paraId="647CBF40" w14:textId="1BB5416B" w:rsidR="00A90296" w:rsidRDefault="00E45FA7" w:rsidP="00A833A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w:t>
      </w:r>
      <w:r w:rsidR="00A833AB" w:rsidRPr="00A833AB">
        <w:rPr>
          <w:rFonts w:ascii="Arial" w:hAnsi="Arial" w:cs="Arial"/>
        </w:rPr>
        <w:t>rzebadano 450 próbek wód powierzchniowych pobranych z rzek i kanałów z 76 punktów pomiarowo-kontrolnych (ppk). Badaniami objęto łącznie 331 substancj</w:t>
      </w:r>
      <w:r w:rsidR="00A90296">
        <w:rPr>
          <w:rFonts w:ascii="Arial" w:hAnsi="Arial" w:cs="Arial"/>
        </w:rPr>
        <w:t>i</w:t>
      </w:r>
      <w:r w:rsidR="00A833AB" w:rsidRPr="00A833AB">
        <w:rPr>
          <w:rFonts w:ascii="Arial" w:hAnsi="Arial" w:cs="Arial"/>
        </w:rPr>
        <w:t xml:space="preserve"> czynn</w:t>
      </w:r>
      <w:r w:rsidR="00A90296">
        <w:rPr>
          <w:rFonts w:ascii="Arial" w:hAnsi="Arial" w:cs="Arial"/>
        </w:rPr>
        <w:t>ych</w:t>
      </w:r>
      <w:r w:rsidR="00A833AB" w:rsidRPr="00A833AB">
        <w:rPr>
          <w:rFonts w:ascii="Arial" w:hAnsi="Arial" w:cs="Arial"/>
        </w:rPr>
        <w:t xml:space="preserve"> środków ochrony </w:t>
      </w:r>
      <w:r w:rsidR="00A833AB" w:rsidRPr="00A833AB">
        <w:rPr>
          <w:rFonts w:ascii="Arial" w:hAnsi="Arial" w:cs="Arial"/>
        </w:rPr>
        <w:lastRenderedPageBreak/>
        <w:t>roślin oraz niektóre ich główne produkty przemian. W wodach powierzchniowych ogółem wykryto 64 związki w 220 próbkach tj. 49% wszystkich pobranych z</w:t>
      </w:r>
      <w:r w:rsidR="00C92929">
        <w:rPr>
          <w:rFonts w:ascii="Arial" w:hAnsi="Arial" w:cs="Arial"/>
        </w:rPr>
        <w:t> </w:t>
      </w:r>
      <w:r w:rsidR="00A833AB" w:rsidRPr="00A833AB">
        <w:rPr>
          <w:rFonts w:ascii="Arial" w:hAnsi="Arial" w:cs="Arial"/>
        </w:rPr>
        <w:t>oznaczonymi  pozostałościami, w</w:t>
      </w:r>
      <w:r w:rsidR="00C92929">
        <w:rPr>
          <w:rFonts w:ascii="Arial" w:hAnsi="Arial" w:cs="Arial"/>
        </w:rPr>
        <w:t> </w:t>
      </w:r>
      <w:r w:rsidR="00A833AB" w:rsidRPr="00A833AB">
        <w:rPr>
          <w:rFonts w:ascii="Arial" w:hAnsi="Arial" w:cs="Arial"/>
        </w:rPr>
        <w:t>tym 33 herbicydy (52%), 19 fungicydów (30%), 11 insektycydów (17%) i 1 metabolit (1%). Biorąc pod uwagę częstotliwość wykryć w próbkach wód powierzchniowych oznaczono pozostałości środków ochrony roślin w sumie 685 razy, z czego 488 wykryć przypadało na herbicydy (71%), 160 na fungicydy (23%) oraz 33 na insektycydy (5%), ponadto 4-krotnie stwierdzono produkty przemian pestycydów (1%). W</w:t>
      </w:r>
      <w:r>
        <w:rPr>
          <w:rFonts w:ascii="Arial" w:hAnsi="Arial" w:cs="Arial"/>
        </w:rPr>
        <w:t> </w:t>
      </w:r>
      <w:r w:rsidR="00A833AB" w:rsidRPr="00A833AB">
        <w:rPr>
          <w:rFonts w:ascii="Arial" w:hAnsi="Arial" w:cs="Arial"/>
        </w:rPr>
        <w:t xml:space="preserve">próbkach wód najczęściej wykrywano 2 substancje chwastobójcze: nikosulfuron (12%) i MCPA (10,1%) oraz substancję grzybobójczą – tebukonazol (9,9%). Najwyższe pozostałości środków ochrony roślin, zarówno dla pojedynczych substancji jak i sum ich stężeń wykryto w Strudze Toruńskiej Bacha (ppk zlewnia eksperymentalna Koniczynka), województwo kujawsko-pomorskie w terminach majowym i czerwcowym. </w:t>
      </w:r>
      <w:r w:rsidR="00A833AB" w:rsidRPr="004E469F">
        <w:rPr>
          <w:rFonts w:ascii="Arial" w:hAnsi="Arial" w:cs="Arial"/>
        </w:rPr>
        <w:t>Najwyższe sumy stężeń we wspomnianym ppk wynosiły 69,8 µg/l</w:t>
      </w:r>
      <w:r w:rsidR="00123A06" w:rsidRPr="004E469F">
        <w:rPr>
          <w:rFonts w:ascii="Arial" w:hAnsi="Arial" w:cs="Arial"/>
        </w:rPr>
        <w:t xml:space="preserve"> </w:t>
      </w:r>
      <w:r w:rsidR="00A833AB" w:rsidRPr="004E469F">
        <w:rPr>
          <w:rFonts w:ascii="Arial" w:hAnsi="Arial" w:cs="Arial"/>
        </w:rPr>
        <w:t>w</w:t>
      </w:r>
      <w:r w:rsidR="00C92929" w:rsidRPr="004E469F">
        <w:rPr>
          <w:rFonts w:ascii="Arial" w:hAnsi="Arial" w:cs="Arial"/>
        </w:rPr>
        <w:t> </w:t>
      </w:r>
      <w:r w:rsidR="00A833AB" w:rsidRPr="004E469F">
        <w:rPr>
          <w:rFonts w:ascii="Arial" w:hAnsi="Arial" w:cs="Arial"/>
        </w:rPr>
        <w:t>maju oraz 73,2 µg/l w czerwcu. Za wysokie sumy w maju odpowiedzialne były pozostałości herbicydów metolachloru-S, nikosulfuronu i terbytylazyny, natomiast w czerwcu pozostałości insektycydu dimetoat i</w:t>
      </w:r>
      <w:r w:rsidR="004E469F" w:rsidRPr="004E469F">
        <w:rPr>
          <w:rFonts w:ascii="Arial" w:hAnsi="Arial" w:cs="Arial"/>
        </w:rPr>
        <w:t> </w:t>
      </w:r>
      <w:r w:rsidR="00A833AB" w:rsidRPr="004E469F">
        <w:rPr>
          <w:rFonts w:ascii="Arial" w:hAnsi="Arial" w:cs="Arial"/>
        </w:rPr>
        <w:t xml:space="preserve">chwastobójczych etofumesatu, lanacylu oraz terbutylazyny. </w:t>
      </w:r>
      <w:r w:rsidR="00123A06" w:rsidRPr="004E469F">
        <w:rPr>
          <w:rFonts w:ascii="Arial" w:hAnsi="Arial" w:cs="Arial"/>
        </w:rPr>
        <w:t>W</w:t>
      </w:r>
      <w:r w:rsidR="00A833AB" w:rsidRPr="004E469F">
        <w:rPr>
          <w:rFonts w:ascii="Arial" w:hAnsi="Arial" w:cs="Arial"/>
        </w:rPr>
        <w:t xml:space="preserve">ysokie sumy stężeń pestycydów oznaczono </w:t>
      </w:r>
      <w:r w:rsidR="00123A06" w:rsidRPr="004E469F">
        <w:rPr>
          <w:rFonts w:ascii="Arial" w:hAnsi="Arial" w:cs="Arial"/>
        </w:rPr>
        <w:t xml:space="preserve">w lipcu także </w:t>
      </w:r>
      <w:r w:rsidR="00A833AB" w:rsidRPr="004E469F">
        <w:rPr>
          <w:rFonts w:ascii="Arial" w:hAnsi="Arial" w:cs="Arial"/>
        </w:rPr>
        <w:t xml:space="preserve">na wielkopolskim odcinku Baryczy (ppk Odolanów) </w:t>
      </w:r>
      <w:r w:rsidR="00123A06" w:rsidRPr="004E469F">
        <w:rPr>
          <w:rFonts w:ascii="Arial" w:hAnsi="Arial" w:cs="Arial"/>
        </w:rPr>
        <w:t xml:space="preserve">– </w:t>
      </w:r>
      <w:r w:rsidR="00A833AB" w:rsidRPr="004E469F">
        <w:rPr>
          <w:rFonts w:ascii="Arial" w:hAnsi="Arial" w:cs="Arial"/>
        </w:rPr>
        <w:t>8,0 µg/l (</w:t>
      </w:r>
      <w:r w:rsidR="00123A06" w:rsidRPr="004E469F">
        <w:rPr>
          <w:rFonts w:ascii="Arial" w:hAnsi="Arial" w:cs="Arial"/>
        </w:rPr>
        <w:t>gł</w:t>
      </w:r>
      <w:r w:rsidR="004E469F" w:rsidRPr="004E469F">
        <w:rPr>
          <w:rFonts w:ascii="Arial" w:hAnsi="Arial" w:cs="Arial"/>
        </w:rPr>
        <w:t>ó</w:t>
      </w:r>
      <w:r w:rsidR="00123A06" w:rsidRPr="004E469F">
        <w:rPr>
          <w:rFonts w:ascii="Arial" w:hAnsi="Arial" w:cs="Arial"/>
        </w:rPr>
        <w:t>wnie</w:t>
      </w:r>
      <w:r w:rsidR="00A833AB" w:rsidRPr="004E469F">
        <w:rPr>
          <w:rFonts w:ascii="Arial" w:hAnsi="Arial" w:cs="Arial"/>
        </w:rPr>
        <w:t xml:space="preserve"> pozostałość nikosulfuronu)</w:t>
      </w:r>
      <w:r w:rsidR="00123A06" w:rsidRPr="004E469F">
        <w:rPr>
          <w:rFonts w:ascii="Arial" w:hAnsi="Arial" w:cs="Arial"/>
        </w:rPr>
        <w:t xml:space="preserve">, </w:t>
      </w:r>
      <w:r w:rsidR="00A833AB" w:rsidRPr="004E469F">
        <w:rPr>
          <w:rFonts w:ascii="Arial" w:hAnsi="Arial" w:cs="Arial"/>
        </w:rPr>
        <w:t>w</w:t>
      </w:r>
      <w:r w:rsidR="00CB103B" w:rsidRPr="004E469F">
        <w:rPr>
          <w:rFonts w:ascii="Arial" w:hAnsi="Arial" w:cs="Arial"/>
        </w:rPr>
        <w:t> </w:t>
      </w:r>
      <w:r w:rsidR="00A833AB" w:rsidRPr="004E469F">
        <w:rPr>
          <w:rFonts w:ascii="Arial" w:hAnsi="Arial" w:cs="Arial"/>
        </w:rPr>
        <w:t xml:space="preserve">rzece Ucherka (ppk Rudka, woj. lubelskie) </w:t>
      </w:r>
      <w:r w:rsidR="00123A06" w:rsidRPr="004E469F">
        <w:rPr>
          <w:rFonts w:ascii="Arial" w:hAnsi="Arial" w:cs="Arial"/>
        </w:rPr>
        <w:t xml:space="preserve">– </w:t>
      </w:r>
      <w:r w:rsidR="00A833AB" w:rsidRPr="004E469F">
        <w:rPr>
          <w:rFonts w:ascii="Arial" w:hAnsi="Arial" w:cs="Arial"/>
        </w:rPr>
        <w:t>ponad 5,0 µg/l (</w:t>
      </w:r>
      <w:r w:rsidR="00123A06" w:rsidRPr="004E469F">
        <w:rPr>
          <w:rFonts w:ascii="Arial" w:hAnsi="Arial" w:cs="Arial"/>
        </w:rPr>
        <w:t>gł</w:t>
      </w:r>
      <w:r w:rsidR="004E469F" w:rsidRPr="004E469F">
        <w:rPr>
          <w:rFonts w:ascii="Arial" w:hAnsi="Arial" w:cs="Arial"/>
        </w:rPr>
        <w:t>ó</w:t>
      </w:r>
      <w:r w:rsidR="00123A06" w:rsidRPr="004E469F">
        <w:rPr>
          <w:rFonts w:ascii="Arial" w:hAnsi="Arial" w:cs="Arial"/>
        </w:rPr>
        <w:t xml:space="preserve">wnie </w:t>
      </w:r>
      <w:r w:rsidR="00A833AB" w:rsidRPr="004E469F">
        <w:rPr>
          <w:rFonts w:ascii="Arial" w:hAnsi="Arial" w:cs="Arial"/>
        </w:rPr>
        <w:t>metazachlor)</w:t>
      </w:r>
      <w:r w:rsidR="00123A06" w:rsidRPr="004E469F">
        <w:rPr>
          <w:rFonts w:ascii="Arial" w:hAnsi="Arial" w:cs="Arial"/>
        </w:rPr>
        <w:t>,</w:t>
      </w:r>
      <w:r w:rsidR="00A833AB" w:rsidRPr="004E469F">
        <w:rPr>
          <w:rFonts w:ascii="Arial" w:hAnsi="Arial" w:cs="Arial"/>
        </w:rPr>
        <w:t xml:space="preserve"> w rzece Wisłok ppk Tryńcza</w:t>
      </w:r>
      <w:r w:rsidR="00123A06" w:rsidRPr="004E469F">
        <w:rPr>
          <w:rFonts w:ascii="Arial" w:hAnsi="Arial" w:cs="Arial"/>
        </w:rPr>
        <w:t xml:space="preserve"> (</w:t>
      </w:r>
      <w:r w:rsidR="00A833AB" w:rsidRPr="004E469F">
        <w:rPr>
          <w:rFonts w:ascii="Arial" w:hAnsi="Arial" w:cs="Arial"/>
        </w:rPr>
        <w:t>woj. podkarpackie</w:t>
      </w:r>
      <w:r w:rsidR="00123A06" w:rsidRPr="004E469F">
        <w:rPr>
          <w:rFonts w:ascii="Arial" w:hAnsi="Arial" w:cs="Arial"/>
        </w:rPr>
        <w:t>)</w:t>
      </w:r>
      <w:r w:rsidR="00A833AB" w:rsidRPr="004E469F">
        <w:rPr>
          <w:rFonts w:ascii="Arial" w:hAnsi="Arial" w:cs="Arial"/>
        </w:rPr>
        <w:t xml:space="preserve"> </w:t>
      </w:r>
      <w:r w:rsidR="00123A06" w:rsidRPr="004E469F">
        <w:rPr>
          <w:rFonts w:ascii="Arial" w:hAnsi="Arial" w:cs="Arial"/>
        </w:rPr>
        <w:t xml:space="preserve">– o zbliżonej wartości oraz w </w:t>
      </w:r>
      <w:r w:rsidR="00A833AB" w:rsidRPr="004E469F">
        <w:rPr>
          <w:rFonts w:ascii="Arial" w:hAnsi="Arial" w:cs="Arial"/>
        </w:rPr>
        <w:t>Odr</w:t>
      </w:r>
      <w:r w:rsidR="00123A06" w:rsidRPr="004E469F">
        <w:rPr>
          <w:rFonts w:ascii="Arial" w:hAnsi="Arial" w:cs="Arial"/>
        </w:rPr>
        <w:t>ze (</w:t>
      </w:r>
      <w:r w:rsidR="00A833AB" w:rsidRPr="004E469F">
        <w:rPr>
          <w:rFonts w:ascii="Arial" w:hAnsi="Arial" w:cs="Arial"/>
        </w:rPr>
        <w:t>ppk Połęcko</w:t>
      </w:r>
      <w:r w:rsidR="00123A06" w:rsidRPr="004E469F">
        <w:rPr>
          <w:rFonts w:ascii="Arial" w:hAnsi="Arial" w:cs="Arial"/>
        </w:rPr>
        <w:t xml:space="preserve">) – 6,9 µg/l. Natomiast w czerwcu </w:t>
      </w:r>
      <w:r w:rsidR="00A833AB" w:rsidRPr="004E469F">
        <w:rPr>
          <w:rFonts w:ascii="Arial" w:hAnsi="Arial" w:cs="Arial"/>
        </w:rPr>
        <w:t xml:space="preserve">w Warcie </w:t>
      </w:r>
      <w:r w:rsidR="00123A06" w:rsidRPr="004E469F">
        <w:rPr>
          <w:rFonts w:ascii="Arial" w:hAnsi="Arial" w:cs="Arial"/>
        </w:rPr>
        <w:t>(</w:t>
      </w:r>
      <w:r w:rsidR="00A833AB" w:rsidRPr="004E469F">
        <w:rPr>
          <w:rFonts w:ascii="Arial" w:hAnsi="Arial" w:cs="Arial"/>
        </w:rPr>
        <w:t>ppk Wiórek woj. wielkopolskie</w:t>
      </w:r>
      <w:r w:rsidR="00123A06" w:rsidRPr="004E469F">
        <w:rPr>
          <w:rFonts w:ascii="Arial" w:hAnsi="Arial" w:cs="Arial"/>
        </w:rPr>
        <w:t>)</w:t>
      </w:r>
      <w:r w:rsidR="00A833AB" w:rsidRPr="004E469F">
        <w:rPr>
          <w:rFonts w:ascii="Arial" w:hAnsi="Arial" w:cs="Arial"/>
        </w:rPr>
        <w:t xml:space="preserve"> odnotowano sumę </w:t>
      </w:r>
      <w:r w:rsidR="00123A06" w:rsidRPr="004E469F">
        <w:rPr>
          <w:rFonts w:ascii="Arial" w:hAnsi="Arial" w:cs="Arial"/>
        </w:rPr>
        <w:t xml:space="preserve">o wartości </w:t>
      </w:r>
      <w:r w:rsidR="00A833AB" w:rsidRPr="004E469F">
        <w:rPr>
          <w:rFonts w:ascii="Arial" w:hAnsi="Arial" w:cs="Arial"/>
        </w:rPr>
        <w:t>4,5 µg/l.</w:t>
      </w:r>
    </w:p>
    <w:p w14:paraId="3FC1CA25" w14:textId="48E29E2E" w:rsidR="00EF66BA" w:rsidRDefault="00EF66BA" w:rsidP="00A833A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Zestawiając wyniki w odniesieniu do</w:t>
      </w:r>
      <w:r w:rsidR="00A833AB" w:rsidRPr="00A833AB">
        <w:rPr>
          <w:rFonts w:ascii="Arial" w:hAnsi="Arial" w:cs="Arial"/>
        </w:rPr>
        <w:t xml:space="preserve"> </w:t>
      </w:r>
      <w:r>
        <w:rPr>
          <w:rFonts w:ascii="Arial" w:hAnsi="Arial" w:cs="Arial"/>
        </w:rPr>
        <w:t>r</w:t>
      </w:r>
      <w:r w:rsidR="00A833AB" w:rsidRPr="00A833AB">
        <w:rPr>
          <w:rFonts w:ascii="Arial" w:hAnsi="Arial" w:cs="Arial"/>
        </w:rPr>
        <w:t>ozporządzeni</w:t>
      </w:r>
      <w:r>
        <w:rPr>
          <w:rFonts w:ascii="Arial" w:hAnsi="Arial" w:cs="Arial"/>
        </w:rPr>
        <w:t>a</w:t>
      </w:r>
      <w:r w:rsidR="00A833AB" w:rsidRPr="00A833AB">
        <w:rPr>
          <w:rFonts w:ascii="Arial" w:hAnsi="Arial" w:cs="Arial"/>
        </w:rPr>
        <w:t xml:space="preserve"> Ministra Gospodarki Morskiej i Żeglugi Śródlądowej </w:t>
      </w:r>
      <w:bookmarkStart w:id="34" w:name="_Hlk181190714"/>
      <w:r w:rsidR="00A833AB" w:rsidRPr="00A833AB">
        <w:rPr>
          <w:rFonts w:ascii="Arial" w:hAnsi="Arial" w:cs="Arial"/>
        </w:rPr>
        <w:t xml:space="preserve">z dnia 29 sierpnia 2019 r. w sprawie wymagań, jakimi powinny odpowiadać wody powierzchniowe wykorzystywane do zaopatrzenia ludności w wodę przeznaczoną do spożycia przez ludzi (Dz.U. 1747) </w:t>
      </w:r>
      <w:bookmarkEnd w:id="34"/>
      <w:r w:rsidR="00A833AB" w:rsidRPr="00A833AB">
        <w:rPr>
          <w:rFonts w:ascii="Arial" w:hAnsi="Arial" w:cs="Arial"/>
        </w:rPr>
        <w:t xml:space="preserve">422 próbki tj. 93,8,% wszystkich pobranych spełniło wymagania dla najwyższej kategorii czystości wód powierzchniowych A1 (suma wykrytych pozostałości poniżej 1 µg/l), 17 próbek (3,8%) klasyfikowało się w kategorii A2 (suma pozostałości 1 do 2,5 µg/l) oraz 4 próbki (0,9%) znalazły się w kategorii A3 (suma 2,5 do 5 µg/l), natomiast 7 próbek (1,5%) wykraczało poza wymagania kwalifikacji (powyżej 5 µg/l). </w:t>
      </w:r>
    </w:p>
    <w:p w14:paraId="47A78B32" w14:textId="6336C8A6" w:rsidR="00921D8D" w:rsidRDefault="00A833AB" w:rsidP="00A833AB">
      <w:pPr>
        <w:pStyle w:val="NormalnyWeb"/>
        <w:tabs>
          <w:tab w:val="left" w:pos="284"/>
        </w:tabs>
        <w:spacing w:beforeAutospacing="0" w:after="120" w:afterAutospacing="0" w:line="360" w:lineRule="auto"/>
        <w:ind w:firstLine="284"/>
        <w:jc w:val="both"/>
        <w:rPr>
          <w:rFonts w:ascii="Arial" w:hAnsi="Arial" w:cs="Arial"/>
        </w:rPr>
      </w:pPr>
      <w:r w:rsidRPr="00A833AB">
        <w:rPr>
          <w:rFonts w:ascii="Arial" w:hAnsi="Arial" w:cs="Arial"/>
        </w:rPr>
        <w:t xml:space="preserve">Odnosząc się do </w:t>
      </w:r>
      <w:r w:rsidR="00E45FA7">
        <w:rPr>
          <w:rFonts w:ascii="Arial" w:hAnsi="Arial" w:cs="Arial"/>
        </w:rPr>
        <w:t>r</w:t>
      </w:r>
      <w:r w:rsidRPr="00A833AB">
        <w:rPr>
          <w:rFonts w:ascii="Arial" w:hAnsi="Arial" w:cs="Arial"/>
        </w:rPr>
        <w:t>ozporządzenia Ministra Zdrowia z dnia 7 grudnia 2017 r. w sprawie jakości wody przeznaczonej do spożycia przez ludzi (Dz.U. 2017 poz. 2294) 202 oznaczenia pojedynczej substancji z wszystkich 685 potwierdzonych oznaczeń tj. 29,5% przekraczało graniczną wartość 0,1 µg/l. Natomiast w przypadku drugiej części wymagań, dotyczącej sumy stężeń pozostałości wykrytych s.cz. w pojedynczej próbce, 57 próbek wód z pozyskanych 450 czyli 12,7% wszystkich było wyższe od dopuszczalnej sumy wynoszącej 0,5 µg/l. Maksymalna liczba substancji – 18 została stwierdzona w</w:t>
      </w:r>
      <w:r w:rsidR="00C92929">
        <w:rPr>
          <w:rFonts w:ascii="Arial" w:hAnsi="Arial" w:cs="Arial"/>
        </w:rPr>
        <w:t> </w:t>
      </w:r>
      <w:r w:rsidRPr="00A833AB">
        <w:rPr>
          <w:rFonts w:ascii="Arial" w:hAnsi="Arial" w:cs="Arial"/>
        </w:rPr>
        <w:t>maju w próbce wody z rzeki Orla (ppk Lila, woj. wielkopolskie). Najmniej substancji czynnych środków ochrony roślin znaleziono w próbkach wód z województw pomorskiego, lubuskiego i podlaskiego, z kolei najwięcej s.cz. wykryto w zlewniach rzek województw wielkopolskiego, kujawsko-pomorskiego i</w:t>
      </w:r>
      <w:r w:rsidR="00C92929">
        <w:rPr>
          <w:rFonts w:ascii="Arial" w:hAnsi="Arial" w:cs="Arial"/>
        </w:rPr>
        <w:t> </w:t>
      </w:r>
      <w:r w:rsidRPr="00A833AB">
        <w:rPr>
          <w:rFonts w:ascii="Arial" w:hAnsi="Arial" w:cs="Arial"/>
        </w:rPr>
        <w:t>dolnośląskiego. W 16 ppk (3 zlewnie w woj. lubuskim, po dwie w woj. podlaskim, śląskim, świętokrzyskim, warmińsko-mazurskim i zachodniopomorskim oraz pojedyncze zlewnie w woj. dolnośląskim, podkarpackim i pomorskim) w żadnym z terminów poboru próbek nie wykryto pozostałości poszukiwanych substancji na poziomie wyższym od dolnej granicy oznaczalności.</w:t>
      </w:r>
    </w:p>
    <w:p w14:paraId="6FCC64A2" w14:textId="77777777" w:rsidR="00E45FA7" w:rsidRPr="002B5013" w:rsidRDefault="00E45FA7" w:rsidP="00E45FA7">
      <w:pPr>
        <w:widowControl/>
        <w:tabs>
          <w:tab w:val="left" w:pos="284"/>
        </w:tabs>
        <w:suppressAutoHyphens/>
        <w:autoSpaceDN w:val="0"/>
        <w:spacing w:after="120" w:line="360" w:lineRule="auto"/>
        <w:ind w:firstLine="284"/>
        <w:jc w:val="center"/>
        <w:textAlignment w:val="baseline"/>
        <w:rPr>
          <w:rFonts w:ascii="Arial" w:eastAsiaTheme="minorHAnsi" w:hAnsi="Arial" w:cs="Arial"/>
          <w:i/>
          <w:lang w:eastAsia="en-US"/>
        </w:rPr>
      </w:pPr>
      <w:r w:rsidRPr="002B5013">
        <w:rPr>
          <w:rFonts w:ascii="Arial" w:eastAsiaTheme="minorHAnsi" w:hAnsi="Arial" w:cs="Arial"/>
          <w:i/>
          <w:lang w:eastAsia="en-US"/>
        </w:rPr>
        <w:lastRenderedPageBreak/>
        <w:t>Wyniki badań w 202</w:t>
      </w:r>
      <w:r>
        <w:rPr>
          <w:rFonts w:ascii="Arial" w:eastAsiaTheme="minorHAnsi" w:hAnsi="Arial" w:cs="Arial"/>
          <w:i/>
          <w:lang w:eastAsia="en-US"/>
        </w:rPr>
        <w:t>3</w:t>
      </w:r>
      <w:r w:rsidRPr="002B5013">
        <w:rPr>
          <w:rFonts w:ascii="Arial" w:eastAsiaTheme="minorHAnsi" w:hAnsi="Arial" w:cs="Arial"/>
          <w:i/>
          <w:lang w:eastAsia="en-US"/>
        </w:rPr>
        <w:t xml:space="preserve"> r. w odniesieniu do rozporządzenia Ministra Gospodarki Morskiej i Żeglugi Śródlądowej </w:t>
      </w:r>
    </w:p>
    <w:p w14:paraId="1D9E636A" w14:textId="235AA497" w:rsidR="002B5013" w:rsidRPr="002B5013" w:rsidRDefault="002B5013" w:rsidP="002B5013">
      <w:pPr>
        <w:widowControl/>
        <w:tabs>
          <w:tab w:val="left" w:pos="284"/>
        </w:tabs>
        <w:suppressAutoHyphens/>
        <w:autoSpaceDN w:val="0"/>
        <w:spacing w:after="120" w:line="360" w:lineRule="auto"/>
        <w:ind w:firstLine="284"/>
        <w:jc w:val="center"/>
        <w:textAlignment w:val="baseline"/>
        <w:rPr>
          <w:rFonts w:ascii="Arial" w:eastAsiaTheme="minorHAnsi" w:hAnsi="Arial" w:cs="Arial"/>
          <w:lang w:eastAsia="en-US"/>
        </w:rPr>
      </w:pPr>
      <w:r w:rsidRPr="002B5013">
        <w:rPr>
          <w:rFonts w:ascii="Arial" w:eastAsiaTheme="minorHAnsi" w:hAnsi="Arial" w:cs="Arial"/>
          <w:noProof/>
        </w:rPr>
        <w:drawing>
          <wp:inline distT="0" distB="0" distL="0" distR="0" wp14:anchorId="43EB45C4" wp14:editId="57A1E6B6">
            <wp:extent cx="4196726" cy="2114220"/>
            <wp:effectExtent l="0" t="0" r="13335" b="635"/>
            <wp:docPr id="1600251292" name="Wykres 1600251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7B8C42" w14:textId="77777777" w:rsidR="00921D8D" w:rsidRDefault="00921D8D">
      <w:pPr>
        <w:pStyle w:val="NormalnyWeb"/>
        <w:tabs>
          <w:tab w:val="left" w:pos="284"/>
        </w:tabs>
        <w:spacing w:beforeAutospacing="0" w:after="120" w:afterAutospacing="0" w:line="360" w:lineRule="auto"/>
        <w:ind w:firstLine="284"/>
        <w:jc w:val="both"/>
        <w:rPr>
          <w:rFonts w:ascii="Arial" w:hAnsi="Arial" w:cs="Arial"/>
        </w:rPr>
      </w:pPr>
    </w:p>
    <w:p w14:paraId="3ADF4533" w14:textId="41485244" w:rsidR="00772CDA" w:rsidRPr="00925BCD" w:rsidRDefault="00772CDA" w:rsidP="00772CDA">
      <w:pPr>
        <w:pStyle w:val="NormalnyWeb"/>
        <w:tabs>
          <w:tab w:val="left" w:pos="284"/>
        </w:tabs>
        <w:spacing w:before="120" w:beforeAutospacing="0" w:after="120" w:afterAutospacing="0" w:line="360" w:lineRule="auto"/>
        <w:ind w:firstLine="284"/>
        <w:jc w:val="both"/>
        <w:rPr>
          <w:rFonts w:ascii="Arial" w:hAnsi="Arial" w:cs="Arial"/>
          <w:b/>
          <w:bCs/>
          <w:i/>
        </w:rPr>
      </w:pPr>
      <w:r w:rsidRPr="00925BCD">
        <w:rPr>
          <w:rFonts w:ascii="Arial" w:hAnsi="Arial" w:cs="Arial"/>
          <w:b/>
          <w:bCs/>
          <w:i/>
        </w:rPr>
        <w:t xml:space="preserve">Badania prowadzone w ramach </w:t>
      </w:r>
      <w:r>
        <w:rPr>
          <w:rFonts w:ascii="Arial" w:hAnsi="Arial" w:cs="Arial"/>
          <w:b/>
          <w:bCs/>
          <w:i/>
        </w:rPr>
        <w:t xml:space="preserve">dotacji celowej przez </w:t>
      </w:r>
      <w:r w:rsidRPr="00925BCD">
        <w:rPr>
          <w:rFonts w:ascii="Arial" w:hAnsi="Arial" w:cs="Arial"/>
          <w:b/>
          <w:bCs/>
          <w:i/>
        </w:rPr>
        <w:t>Instytut O</w:t>
      </w:r>
      <w:r>
        <w:rPr>
          <w:rFonts w:ascii="Arial" w:hAnsi="Arial" w:cs="Arial"/>
          <w:b/>
          <w:bCs/>
          <w:i/>
        </w:rPr>
        <w:t>grodnictwa</w:t>
      </w:r>
      <w:r w:rsidRPr="00925BCD">
        <w:rPr>
          <w:rFonts w:ascii="Arial" w:hAnsi="Arial" w:cs="Arial"/>
          <w:b/>
          <w:bCs/>
          <w:i/>
        </w:rPr>
        <w:t xml:space="preserve"> – PIB </w:t>
      </w:r>
    </w:p>
    <w:p w14:paraId="42DD9043" w14:textId="052F232C" w:rsidR="00772CDA" w:rsidRPr="00772CDA" w:rsidRDefault="00772CDA" w:rsidP="00772CDA">
      <w:pPr>
        <w:pStyle w:val="NormalnyWeb"/>
        <w:tabs>
          <w:tab w:val="left" w:pos="284"/>
        </w:tabs>
        <w:spacing w:beforeAutospacing="0" w:after="120" w:afterAutospacing="0" w:line="360" w:lineRule="auto"/>
        <w:ind w:firstLine="284"/>
        <w:jc w:val="both"/>
        <w:rPr>
          <w:rFonts w:ascii="Arial" w:hAnsi="Arial" w:cs="Arial"/>
        </w:rPr>
      </w:pPr>
      <w:r w:rsidRPr="00772CDA">
        <w:rPr>
          <w:rFonts w:ascii="Arial" w:hAnsi="Arial" w:cs="Arial"/>
        </w:rPr>
        <w:t>W 2023</w:t>
      </w:r>
      <w:r w:rsidR="00E45FA7">
        <w:rPr>
          <w:rFonts w:ascii="Arial" w:hAnsi="Arial" w:cs="Arial"/>
        </w:rPr>
        <w:t xml:space="preserve"> r.</w:t>
      </w:r>
      <w:r w:rsidRPr="00772CDA">
        <w:rPr>
          <w:rFonts w:ascii="Arial" w:hAnsi="Arial" w:cs="Arial"/>
        </w:rPr>
        <w:t>, w ramach współpracy z Wojewódzkimi Inspektoratami Ochrony Środowiska w</w:t>
      </w:r>
      <w:r w:rsidR="00C51069">
        <w:rPr>
          <w:rFonts w:ascii="Arial" w:hAnsi="Arial" w:cs="Arial"/>
        </w:rPr>
        <w:t> </w:t>
      </w:r>
      <w:r w:rsidRPr="00772CDA">
        <w:rPr>
          <w:rFonts w:ascii="Arial" w:hAnsi="Arial" w:cs="Arial"/>
        </w:rPr>
        <w:t>Warszawie (oddział WIOŚ w Radomiu) i w Łodzi (oddział WIOŚ w Piotrkowie Trybunalskim) zostały ustalone punkty poboru próbek, z każdego województwa po 20 miejsc poboru, obejmujące Wisłę i jej dorzecza z obszaru od Wilgi do Warszawy, z których periodycznie od maja do września dostarczono łącznie do analiz 200 próbek.</w:t>
      </w:r>
    </w:p>
    <w:p w14:paraId="3427E777" w14:textId="1A158F47" w:rsidR="00772CDA" w:rsidRDefault="00772CDA" w:rsidP="00772CDA">
      <w:pPr>
        <w:pStyle w:val="NormalnyWeb"/>
        <w:tabs>
          <w:tab w:val="left" w:pos="284"/>
        </w:tabs>
        <w:spacing w:beforeAutospacing="0" w:after="120" w:afterAutospacing="0" w:line="360" w:lineRule="auto"/>
        <w:ind w:firstLine="284"/>
        <w:jc w:val="both"/>
        <w:rPr>
          <w:rFonts w:ascii="Arial" w:hAnsi="Arial" w:cs="Arial"/>
        </w:rPr>
      </w:pPr>
      <w:r w:rsidRPr="00772CDA">
        <w:rPr>
          <w:rFonts w:ascii="Arial" w:hAnsi="Arial" w:cs="Arial"/>
        </w:rPr>
        <w:t>Próbki analizowano dwiema metodami analitycznymi: przy użyciu chromatografu cieczowego z</w:t>
      </w:r>
      <w:r w:rsidR="00B70405">
        <w:rPr>
          <w:rFonts w:ascii="Arial" w:hAnsi="Arial" w:cs="Arial"/>
        </w:rPr>
        <w:t> </w:t>
      </w:r>
      <w:r w:rsidRPr="00772CDA">
        <w:rPr>
          <w:rFonts w:ascii="Arial" w:hAnsi="Arial" w:cs="Arial"/>
        </w:rPr>
        <w:t xml:space="preserve">podwójnym detektorem masowym (LC-MS/MS) i akredytowanej na tym sprzęcie metody PB-02 oraz akredytowaną metodą PB-03: „Oznaczanie pestycydów w wodzie przy użyciu GC-MS/MS”. Analizy obejmowały łącznie możliwość detekcji 201 substancji czynnych środków ochrony roślin, ich izomerów i metabolitów, z czułością co najmniej 0,1 - 0,05 µg/L. </w:t>
      </w:r>
    </w:p>
    <w:p w14:paraId="4187DED2" w14:textId="11C6AEC4" w:rsidR="00772CDA" w:rsidRPr="00772CDA" w:rsidRDefault="00B70405" w:rsidP="00772CDA">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Wyniki badań wykazały, że w</w:t>
      </w:r>
      <w:r w:rsidR="00CC4E64" w:rsidRPr="00CC4E64">
        <w:rPr>
          <w:rFonts w:ascii="Arial" w:hAnsi="Arial" w:cs="Arial"/>
        </w:rPr>
        <w:t xml:space="preserve"> 93 próbkach, czyli w 47% ogółu analizowanych, nie stwierdzono obecności analizowanych pozostałości środków ochrony roślin. W 41 próbkach, czyli w 20% wykryto pozostałości, których suma wynosiła poniżej 0,1μg/L, w 49 próbkach., czyli w 25% wykryto pozostałości, których suma wynosiła między 0,1 a 0,5μg/L. W 10 próbkach, czyli w 5% wykryto pozostałości, których suma wynosiła między 0,5 a 1,0μg/L. Wyniki badań wskazują</w:t>
      </w:r>
      <w:r w:rsidR="00C01C97">
        <w:rPr>
          <w:rFonts w:ascii="Arial" w:hAnsi="Arial" w:cs="Arial"/>
        </w:rPr>
        <w:t xml:space="preserve"> zatem</w:t>
      </w:r>
      <w:r w:rsidR="00CC4E64" w:rsidRPr="00CC4E64">
        <w:rPr>
          <w:rFonts w:ascii="Arial" w:hAnsi="Arial" w:cs="Arial"/>
        </w:rPr>
        <w:t xml:space="preserve">, że 96,5% prób można zakwalifikować do kategorii A1 jakości wody, </w:t>
      </w:r>
      <w:r w:rsidR="00772CDA" w:rsidRPr="00772CDA">
        <w:rPr>
          <w:rFonts w:ascii="Arial" w:hAnsi="Arial" w:cs="Arial"/>
        </w:rPr>
        <w:t>wg rozporządzenia Ministra Gospodarki Morskiej i Żeglugi Śródlądowej</w:t>
      </w:r>
      <w:r w:rsidRPr="00B70405">
        <w:rPr>
          <w:rFonts w:ascii="Arial" w:hAnsi="Arial" w:cs="Arial"/>
        </w:rPr>
        <w:t xml:space="preserve"> </w:t>
      </w:r>
      <w:r w:rsidRPr="00A833AB">
        <w:rPr>
          <w:rFonts w:ascii="Arial" w:hAnsi="Arial" w:cs="Arial"/>
        </w:rPr>
        <w:t>z</w:t>
      </w:r>
      <w:r w:rsidR="00A76C8C">
        <w:rPr>
          <w:rFonts w:ascii="Arial" w:hAnsi="Arial" w:cs="Arial"/>
        </w:rPr>
        <w:t> </w:t>
      </w:r>
      <w:r w:rsidRPr="00A833AB">
        <w:rPr>
          <w:rFonts w:ascii="Arial" w:hAnsi="Arial" w:cs="Arial"/>
        </w:rPr>
        <w:t>dnia 29 sierpnia 2019 r. w sprawie wymagań, jakimi powinny odpowiadać wody powierzchniowe wykorzystywane do zaopatrzenia ludności w wodę przeznaczoną do spożycia przez ludzi (Dz.U. poz. 1747)</w:t>
      </w:r>
      <w:r>
        <w:rPr>
          <w:rFonts w:ascii="Arial" w:hAnsi="Arial" w:cs="Arial"/>
        </w:rPr>
        <w:t>.</w:t>
      </w:r>
      <w:r w:rsidR="00772CDA" w:rsidRPr="00772CDA">
        <w:rPr>
          <w:rFonts w:ascii="Arial" w:hAnsi="Arial" w:cs="Arial"/>
        </w:rPr>
        <w:t xml:space="preserve"> W pozostałych 7 próbkach wody wykryto: w 6 próbkach pozostałości, których suma wynosiła między 1,0 a 2,5 µg/L, co kwalifikowało te próbki wody do kategorii A2, w jednej próbce pozostałości, których suma wynosiła między 2,5 a 5 µg/L, co kwalifikowało te próbki do kategorii A3 jakości wody. </w:t>
      </w:r>
    </w:p>
    <w:p w14:paraId="714CEE48" w14:textId="6DE5C890" w:rsidR="00772CDA" w:rsidRDefault="00772CDA" w:rsidP="00772CDA">
      <w:pPr>
        <w:pStyle w:val="NormalnyWeb"/>
        <w:tabs>
          <w:tab w:val="left" w:pos="284"/>
        </w:tabs>
        <w:spacing w:beforeAutospacing="0" w:after="120" w:afterAutospacing="0" w:line="360" w:lineRule="auto"/>
        <w:ind w:firstLine="284"/>
        <w:jc w:val="both"/>
        <w:rPr>
          <w:rFonts w:ascii="Arial" w:hAnsi="Arial" w:cs="Arial"/>
        </w:rPr>
      </w:pPr>
      <w:r w:rsidRPr="00772CDA">
        <w:rPr>
          <w:rFonts w:ascii="Arial" w:hAnsi="Arial" w:cs="Arial"/>
        </w:rPr>
        <w:t xml:space="preserve">Ogółem w 54% badanych próbek wody (107 próbek) stwierdzono obecność 20 różnych substancji aktywnych środków ochrony roślin. Najczęściej wykrywanymi substancjami były herbicydy MCPA (w 70 </w:t>
      </w:r>
      <w:r w:rsidRPr="00772CDA">
        <w:rPr>
          <w:rFonts w:ascii="Arial" w:hAnsi="Arial" w:cs="Arial"/>
        </w:rPr>
        <w:lastRenderedPageBreak/>
        <w:t>próbkach) i bentazon (w 45 próbkach). Relatywnie najwięcej pozostałości w każdym miesiącu stwierdzano w punkcie poboru: nr PL01S0901_1411 „Moszczanka - Godaszewice”,  PL01S0901_1408 „Wolbórka - Tomaszów Mazowiecki” oraz PL01S0701_1142 „Utrata - Kistki, uj. do Bzury”, gdzie wykrywano 8 różnych pestycydów w ilości od 0,01 do 1,6 µg/L. W ośmiu punktach poboru nie wykryto żadnych z badanych pestycydów.</w:t>
      </w:r>
    </w:p>
    <w:p w14:paraId="3C81F2BF" w14:textId="77777777" w:rsidR="005B39A0" w:rsidRDefault="005B39A0" w:rsidP="005B39A0">
      <w:pPr>
        <w:spacing w:before="120"/>
        <w:jc w:val="center"/>
        <w:rPr>
          <w:rFonts w:ascii="Arial" w:eastAsia="Calibri" w:hAnsi="Arial" w:cs="Arial"/>
        </w:rPr>
      </w:pPr>
      <w:r w:rsidRPr="00C51069">
        <w:rPr>
          <w:rFonts w:ascii="Arial" w:eastAsia="Calibri" w:hAnsi="Arial" w:cs="Arial"/>
        </w:rPr>
        <w:t>Ogólna ocena pozostałości środków ochrony roślin w próbkach wody</w:t>
      </w:r>
    </w:p>
    <w:p w14:paraId="3AD40508" w14:textId="77777777" w:rsidR="00772CDA" w:rsidRPr="00A01770" w:rsidRDefault="00772CDA" w:rsidP="00772CDA">
      <w:pPr>
        <w:ind w:hanging="23"/>
        <w:jc w:val="both"/>
        <w:rPr>
          <w:rFonts w:asciiTheme="majorBidi" w:hAnsiTheme="majorBidi" w:cstheme="majorBidi"/>
          <w:bCs/>
          <w:sz w:val="24"/>
          <w:szCs w:val="24"/>
        </w:rPr>
      </w:pPr>
    </w:p>
    <w:p w14:paraId="72D1E157" w14:textId="78F688F7" w:rsidR="00772CDA" w:rsidRPr="00A01770" w:rsidRDefault="00772CDA" w:rsidP="00772CDA">
      <w:pPr>
        <w:jc w:val="center"/>
        <w:rPr>
          <w:rFonts w:asciiTheme="majorBidi" w:eastAsia="Calibri" w:hAnsiTheme="majorBidi" w:cstheme="majorBidi"/>
          <w:b/>
          <w:bCs/>
          <w:sz w:val="24"/>
          <w:szCs w:val="24"/>
          <w:lang w:val="en-US"/>
        </w:rPr>
      </w:pPr>
      <w:r w:rsidRPr="00A01770">
        <w:rPr>
          <w:rFonts w:asciiTheme="majorBidi" w:eastAsia="Calibri" w:hAnsiTheme="majorBidi" w:cstheme="majorBidi"/>
          <w:bCs/>
          <w:noProof/>
          <w:sz w:val="24"/>
          <w:szCs w:val="24"/>
        </w:rPr>
        <w:drawing>
          <wp:inline distT="0" distB="0" distL="0" distR="0" wp14:anchorId="470685BE" wp14:editId="590401A9">
            <wp:extent cx="5142840" cy="2505350"/>
            <wp:effectExtent l="0" t="0" r="1270" b="9525"/>
            <wp:docPr id="2090438210" name="Wykres 2090438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88AAB3" w14:textId="77777777" w:rsidR="00B70405" w:rsidRDefault="00B70405" w:rsidP="00C51069">
      <w:pPr>
        <w:spacing w:before="120"/>
        <w:jc w:val="center"/>
        <w:rPr>
          <w:rFonts w:ascii="Arial" w:eastAsia="Calibri" w:hAnsi="Arial" w:cs="Arial"/>
        </w:rPr>
      </w:pPr>
    </w:p>
    <w:p w14:paraId="7D739C1F" w14:textId="77777777" w:rsidR="008B5F95" w:rsidRDefault="00923F0D">
      <w:pPr>
        <w:pStyle w:val="Nagwek2"/>
        <w:jc w:val="both"/>
        <w:rPr>
          <w:i w:val="0"/>
          <w:sz w:val="20"/>
          <w:szCs w:val="20"/>
        </w:rPr>
      </w:pPr>
      <w:bookmarkStart w:id="35" w:name="_Toc341876117"/>
      <w:bookmarkStart w:id="36" w:name="_Toc193716397"/>
      <w:r>
        <w:rPr>
          <w:i w:val="0"/>
          <w:sz w:val="20"/>
          <w:szCs w:val="20"/>
        </w:rPr>
        <w:t>Zadanie 4. Nadzór nad środkami ochrony roślin zawierającymi substancje czynne, które powinny być objęte szczególnym monitoringiem</w:t>
      </w:r>
      <w:bookmarkEnd w:id="35"/>
      <w:bookmarkEnd w:id="36"/>
    </w:p>
    <w:p w14:paraId="573946E6"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Zgodnie z art. 1 rozporządzenia wykonawczego Komisji (UE) nr 540/2011 z dnia 25 maja 2011 r. w sprawie wykonania rozporządzenia Parlamentu Europejskiego i Rady (WE) nr 1107/2009 w odniesieniu do wykazu zatwierdzonych substancji czynnych (Dz. Urz. UE L 153 z 11.06.2011, str. 1, z późn. zm.) substancje czynne wymienione w załączniku do tego rozporządzenia zostają zatwierdzone do stosowania w środkach ochrony roślin. W załączniku do rozporządzenia zostały również przedstawione szczególne wymagania dotyczące danej substancji czynnej oraz informacje czy dana substancja czynna powinna zostać objęta szczególnym programem monitorowania w związku z większym ryzykiem związanym ze stosowaniem środków ochrony roślin.</w:t>
      </w:r>
    </w:p>
    <w:p w14:paraId="0D0786D6" w14:textId="51C11DB8" w:rsidR="003D7996" w:rsidRDefault="003D7996" w:rsidP="003D7996">
      <w:pPr>
        <w:tabs>
          <w:tab w:val="left" w:pos="284"/>
        </w:tabs>
        <w:spacing w:after="120" w:line="360" w:lineRule="auto"/>
        <w:ind w:firstLine="284"/>
        <w:jc w:val="both"/>
        <w:rPr>
          <w:rFonts w:ascii="Arial" w:hAnsi="Arial" w:cs="Arial"/>
        </w:rPr>
      </w:pPr>
      <w:r w:rsidRPr="003D7996">
        <w:rPr>
          <w:rFonts w:ascii="Arial" w:hAnsi="Arial" w:cs="Arial"/>
        </w:rPr>
        <w:t xml:space="preserve">W latach 2015–2017 w ramach programu wieloletniego „Ochrona roślin uprawnych z uwzględnieniem bezpieczeństwa żywności oraz ograniczenia strat w plonach i zagrożeń dla zdrowia ludzi, zwierząt domowych i środowiska”, realizowanego przez Instytut Ochrony Roślin – PIB, opracowano zestaw wskaźników </w:t>
      </w:r>
      <w:r w:rsidR="00C15494" w:rsidRPr="00C15494">
        <w:rPr>
          <w:rFonts w:ascii="Arial" w:hAnsi="Arial" w:cs="Arial"/>
        </w:rPr>
        <w:t>sprzedażow</w:t>
      </w:r>
      <w:r w:rsidR="007722E1">
        <w:rPr>
          <w:rFonts w:ascii="Arial" w:hAnsi="Arial" w:cs="Arial"/>
        </w:rPr>
        <w:t>ych</w:t>
      </w:r>
      <w:r w:rsidR="00C15494" w:rsidRPr="00C15494">
        <w:rPr>
          <w:rFonts w:ascii="Arial" w:hAnsi="Arial" w:cs="Arial"/>
        </w:rPr>
        <w:t xml:space="preserve"> z grupy „E” i „F”</w:t>
      </w:r>
      <w:r w:rsidR="007722E1">
        <w:rPr>
          <w:rFonts w:ascii="Arial" w:hAnsi="Arial" w:cs="Arial"/>
        </w:rPr>
        <w:t xml:space="preserve"> które</w:t>
      </w:r>
      <w:r w:rsidR="00C15494" w:rsidRPr="00C15494">
        <w:rPr>
          <w:rFonts w:ascii="Arial" w:hAnsi="Arial" w:cs="Arial"/>
        </w:rPr>
        <w:t xml:space="preserve"> informują o udziale substancji priorytetowych w dziedzinie polityki wodnej i substancji wymagających programów monitorowania w</w:t>
      </w:r>
      <w:r w:rsidR="007722E1">
        <w:rPr>
          <w:rFonts w:ascii="Arial" w:hAnsi="Arial" w:cs="Arial"/>
        </w:rPr>
        <w:t> </w:t>
      </w:r>
      <w:r w:rsidR="00C15494" w:rsidRPr="00C15494">
        <w:rPr>
          <w:rFonts w:ascii="Arial" w:hAnsi="Arial" w:cs="Arial"/>
        </w:rPr>
        <w:t>sprzedaży sumarycznej (wskaźniki struktury sprzedaży WSSPW i WSSMonit. wyrażone w %), oraz o</w:t>
      </w:r>
      <w:r w:rsidR="007722E1">
        <w:rPr>
          <w:rFonts w:ascii="Arial" w:hAnsi="Arial" w:cs="Arial"/>
        </w:rPr>
        <w:t> </w:t>
      </w:r>
      <w:r w:rsidR="00C15494" w:rsidRPr="00C15494">
        <w:rPr>
          <w:rFonts w:ascii="Arial" w:hAnsi="Arial" w:cs="Arial"/>
        </w:rPr>
        <w:t>wielkości sprzedaży tych substancji (WSPW i WSMonit. wyrażone w Mg).</w:t>
      </w:r>
    </w:p>
    <w:p w14:paraId="789E01F8" w14:textId="77777777" w:rsidR="005B39A0" w:rsidRDefault="005B39A0" w:rsidP="003D7996">
      <w:pPr>
        <w:tabs>
          <w:tab w:val="left" w:pos="284"/>
        </w:tabs>
        <w:spacing w:after="120" w:line="360" w:lineRule="auto"/>
        <w:ind w:firstLine="284"/>
        <w:jc w:val="both"/>
        <w:rPr>
          <w:rFonts w:ascii="Arial" w:hAnsi="Arial" w:cs="Arial"/>
        </w:rPr>
      </w:pPr>
    </w:p>
    <w:p w14:paraId="52E20994" w14:textId="14DE69C3" w:rsidR="008A33AB" w:rsidRDefault="008A33AB" w:rsidP="008A33AB">
      <w:pPr>
        <w:widowControl/>
        <w:spacing w:before="120"/>
        <w:ind w:left="993" w:hanging="993"/>
        <w:rPr>
          <w:rFonts w:ascii="Calibri" w:eastAsia="Calibri" w:hAnsi="Calibri"/>
          <w:i/>
          <w:sz w:val="22"/>
          <w:szCs w:val="22"/>
          <w:lang w:eastAsia="en-US"/>
        </w:rPr>
      </w:pPr>
      <w:r w:rsidRPr="001C3237">
        <w:rPr>
          <w:rFonts w:ascii="Calibri" w:eastAsia="Calibri" w:hAnsi="Calibri"/>
          <w:i/>
          <w:sz w:val="22"/>
          <w:szCs w:val="22"/>
          <w:lang w:eastAsia="en-US"/>
        </w:rPr>
        <w:lastRenderedPageBreak/>
        <w:t xml:space="preserve">Tabela </w:t>
      </w:r>
      <w:r w:rsidR="000231D3">
        <w:rPr>
          <w:rFonts w:ascii="Calibri" w:eastAsia="Calibri" w:hAnsi="Calibri"/>
          <w:i/>
          <w:sz w:val="22"/>
          <w:szCs w:val="22"/>
          <w:lang w:eastAsia="en-US"/>
        </w:rPr>
        <w:t>6</w:t>
      </w:r>
      <w:r w:rsidRPr="001C3237">
        <w:rPr>
          <w:rFonts w:ascii="Calibri" w:eastAsia="Calibri" w:hAnsi="Calibri"/>
          <w:i/>
          <w:sz w:val="22"/>
          <w:szCs w:val="22"/>
          <w:lang w:eastAsia="en-US"/>
        </w:rPr>
        <w:t>. Wyniki obliczeń wskaźników sprzedaży substancji priorytetowych w dziedzinie polityki wodnej (wskaźniki „E” - WS</w:t>
      </w:r>
      <w:r w:rsidRPr="001C3237">
        <w:rPr>
          <w:rFonts w:ascii="Calibri" w:eastAsia="Calibri" w:hAnsi="Calibri"/>
          <w:i/>
          <w:sz w:val="22"/>
          <w:szCs w:val="22"/>
          <w:vertAlign w:val="subscript"/>
          <w:lang w:eastAsia="en-US"/>
        </w:rPr>
        <w:t>PW</w:t>
      </w:r>
      <w:r w:rsidRPr="001C3237">
        <w:rPr>
          <w:rFonts w:ascii="Calibri" w:eastAsia="Calibri" w:hAnsi="Calibri"/>
          <w:i/>
          <w:sz w:val="22"/>
          <w:szCs w:val="22"/>
          <w:lang w:eastAsia="en-US"/>
        </w:rPr>
        <w:t xml:space="preserve"> i WSS</w:t>
      </w:r>
      <w:r w:rsidRPr="001C3237">
        <w:rPr>
          <w:rFonts w:ascii="Calibri" w:eastAsia="Calibri" w:hAnsi="Calibri"/>
          <w:i/>
          <w:sz w:val="22"/>
          <w:szCs w:val="22"/>
          <w:vertAlign w:val="subscript"/>
          <w:lang w:eastAsia="en-US"/>
        </w:rPr>
        <w:t>PW</w:t>
      </w:r>
      <w:r w:rsidRPr="001C3237">
        <w:rPr>
          <w:rFonts w:ascii="Calibri" w:eastAsia="Calibri" w:hAnsi="Calibri"/>
          <w:i/>
          <w:sz w:val="22"/>
          <w:szCs w:val="22"/>
          <w:lang w:eastAsia="en-US"/>
        </w:rPr>
        <w:t>) dla lat 2015-2023</w:t>
      </w:r>
    </w:p>
    <w:p w14:paraId="338C148A" w14:textId="77777777" w:rsidR="005B39A0" w:rsidRPr="001C3237" w:rsidRDefault="005B39A0" w:rsidP="008A33AB">
      <w:pPr>
        <w:widowControl/>
        <w:spacing w:before="120"/>
        <w:ind w:left="993" w:hanging="993"/>
        <w:rPr>
          <w:rFonts w:ascii="Calibri" w:eastAsia="Calibri" w:hAnsi="Calibri"/>
          <w:i/>
          <w:sz w:val="22"/>
          <w:szCs w:val="22"/>
          <w:lang w:eastAsia="en-US"/>
        </w:rPr>
      </w:pPr>
    </w:p>
    <w:tbl>
      <w:tblPr>
        <w:tblW w:w="9138" w:type="dxa"/>
        <w:jc w:val="center"/>
        <w:tblLayout w:type="fixed"/>
        <w:tblCellMar>
          <w:left w:w="10" w:type="dxa"/>
          <w:right w:w="10" w:type="dxa"/>
        </w:tblCellMar>
        <w:tblLook w:val="0000" w:firstRow="0" w:lastRow="0" w:firstColumn="0" w:lastColumn="0" w:noHBand="0" w:noVBand="0"/>
      </w:tblPr>
      <w:tblGrid>
        <w:gridCol w:w="1167"/>
        <w:gridCol w:w="2657"/>
        <w:gridCol w:w="2657"/>
        <w:gridCol w:w="2657"/>
      </w:tblGrid>
      <w:tr w:rsidR="008A33AB" w:rsidRPr="001C3237" w14:paraId="47479CEE" w14:textId="77777777" w:rsidTr="00D4307B">
        <w:trPr>
          <w:trHeight w:val="567"/>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49661A9"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Rok</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2D63A4"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 xml:space="preserve">Wskaźnik wielkości sprzedaży </w:t>
            </w:r>
            <w:r w:rsidRPr="001C3237">
              <w:rPr>
                <w:b/>
                <w:bCs/>
                <w:kern w:val="2"/>
                <w:sz w:val="22"/>
                <w:szCs w:val="22"/>
              </w:rPr>
              <w:t>WS</w:t>
            </w:r>
            <w:r w:rsidRPr="001C3237">
              <w:rPr>
                <w:b/>
                <w:bCs/>
                <w:kern w:val="2"/>
                <w:sz w:val="22"/>
                <w:szCs w:val="22"/>
                <w:vertAlign w:val="subscript"/>
              </w:rPr>
              <w:t>PW</w:t>
            </w:r>
            <w:r w:rsidRPr="001C3237">
              <w:rPr>
                <w:bCs/>
                <w:kern w:val="2"/>
                <w:sz w:val="22"/>
                <w:szCs w:val="22"/>
              </w:rPr>
              <w:t xml:space="preserve"> [Mg]</w:t>
            </w:r>
          </w:p>
        </w:tc>
        <w:tc>
          <w:tcPr>
            <w:tcW w:w="2657" w:type="dxa"/>
            <w:tcBorders>
              <w:top w:val="single" w:sz="4" w:space="0" w:color="auto"/>
              <w:left w:val="single" w:sz="4" w:space="0" w:color="auto"/>
              <w:bottom w:val="single" w:sz="4" w:space="0" w:color="auto"/>
              <w:right w:val="single" w:sz="4" w:space="0" w:color="auto"/>
            </w:tcBorders>
            <w:vAlign w:val="center"/>
          </w:tcPr>
          <w:p w14:paraId="60545CD9" w14:textId="77777777" w:rsidR="008A33AB" w:rsidRPr="001C3237" w:rsidRDefault="008A33AB" w:rsidP="00D4307B">
            <w:pPr>
              <w:widowControl/>
              <w:suppressAutoHyphens/>
              <w:jc w:val="center"/>
              <w:rPr>
                <w:kern w:val="2"/>
                <w:sz w:val="22"/>
                <w:szCs w:val="22"/>
              </w:rPr>
            </w:pPr>
            <w:r w:rsidRPr="001C3237">
              <w:rPr>
                <w:bCs/>
                <w:kern w:val="2"/>
                <w:sz w:val="22"/>
                <w:szCs w:val="22"/>
              </w:rPr>
              <w:t xml:space="preserve">Sumaryczna sprzedaż substancji czynnych </w:t>
            </w:r>
            <w:r w:rsidRPr="001C3237">
              <w:rPr>
                <w:b/>
                <w:bCs/>
                <w:kern w:val="2"/>
                <w:sz w:val="22"/>
                <w:szCs w:val="22"/>
              </w:rPr>
              <w:t>S</w:t>
            </w:r>
            <w:r w:rsidRPr="001C3237">
              <w:rPr>
                <w:bCs/>
                <w:kern w:val="2"/>
                <w:sz w:val="22"/>
                <w:szCs w:val="22"/>
              </w:rPr>
              <w:t xml:space="preserve"> [Mg]</w:t>
            </w:r>
          </w:p>
        </w:tc>
        <w:tc>
          <w:tcPr>
            <w:tcW w:w="2657" w:type="dxa"/>
            <w:tcBorders>
              <w:top w:val="single" w:sz="4" w:space="0" w:color="auto"/>
              <w:left w:val="single" w:sz="4" w:space="0" w:color="auto"/>
              <w:bottom w:val="single" w:sz="4" w:space="0" w:color="auto"/>
              <w:right w:val="single" w:sz="4" w:space="0" w:color="auto"/>
            </w:tcBorders>
            <w:vAlign w:val="center"/>
          </w:tcPr>
          <w:p w14:paraId="1F7ADB9B" w14:textId="77777777" w:rsidR="008A33AB" w:rsidRPr="001C3237" w:rsidRDefault="008A33AB" w:rsidP="00D4307B">
            <w:pPr>
              <w:widowControl/>
              <w:suppressAutoHyphens/>
              <w:jc w:val="center"/>
              <w:rPr>
                <w:kern w:val="2"/>
                <w:sz w:val="22"/>
                <w:szCs w:val="22"/>
              </w:rPr>
            </w:pPr>
            <w:r w:rsidRPr="001C3237">
              <w:rPr>
                <w:bCs/>
                <w:kern w:val="2"/>
                <w:sz w:val="22"/>
                <w:szCs w:val="22"/>
              </w:rPr>
              <w:t xml:space="preserve">Wskaźnik struktury sprzedaży </w:t>
            </w:r>
            <w:r w:rsidRPr="001C3237">
              <w:rPr>
                <w:b/>
                <w:bCs/>
                <w:kern w:val="2"/>
                <w:sz w:val="22"/>
                <w:szCs w:val="22"/>
              </w:rPr>
              <w:t>WSS</w:t>
            </w:r>
            <w:r w:rsidRPr="001C3237">
              <w:rPr>
                <w:b/>
                <w:bCs/>
                <w:kern w:val="2"/>
                <w:sz w:val="22"/>
                <w:szCs w:val="22"/>
                <w:vertAlign w:val="subscript"/>
              </w:rPr>
              <w:t>PW</w:t>
            </w:r>
            <w:r w:rsidRPr="001C3237">
              <w:rPr>
                <w:bCs/>
                <w:kern w:val="2"/>
                <w:sz w:val="22"/>
                <w:szCs w:val="22"/>
              </w:rPr>
              <w:t xml:space="preserve"> [%]</w:t>
            </w:r>
          </w:p>
        </w:tc>
      </w:tr>
      <w:tr w:rsidR="008A33AB" w:rsidRPr="001C3237" w14:paraId="072A35F4"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15C2536"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2015</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0C5EC8" w14:textId="77777777" w:rsidR="008A33AB" w:rsidRPr="001C3237" w:rsidRDefault="008A33AB" w:rsidP="00D4307B">
            <w:pPr>
              <w:widowControl/>
              <w:suppressAutoHyphens/>
              <w:jc w:val="center"/>
              <w:rPr>
                <w:rFonts w:eastAsia="Lucida Sans Unicode"/>
                <w:kern w:val="2"/>
                <w:sz w:val="22"/>
                <w:szCs w:val="22"/>
                <w:lang w:eastAsia="en-US"/>
              </w:rPr>
            </w:pPr>
            <w:r w:rsidRPr="001C3237">
              <w:rPr>
                <w:kern w:val="2"/>
                <w:sz w:val="22"/>
                <w:szCs w:val="22"/>
              </w:rPr>
              <w:t>1552,85</w:t>
            </w:r>
          </w:p>
        </w:tc>
        <w:tc>
          <w:tcPr>
            <w:tcW w:w="2657" w:type="dxa"/>
            <w:tcBorders>
              <w:top w:val="single" w:sz="4" w:space="0" w:color="auto"/>
              <w:left w:val="single" w:sz="4" w:space="0" w:color="auto"/>
              <w:bottom w:val="single" w:sz="4" w:space="0" w:color="auto"/>
              <w:right w:val="single" w:sz="4" w:space="0" w:color="auto"/>
            </w:tcBorders>
            <w:vAlign w:val="center"/>
          </w:tcPr>
          <w:p w14:paraId="609D1A83" w14:textId="77777777" w:rsidR="008A33AB" w:rsidRPr="001C3237" w:rsidRDefault="008A33AB" w:rsidP="00D4307B">
            <w:pPr>
              <w:widowControl/>
              <w:suppressAutoHyphens/>
              <w:jc w:val="center"/>
              <w:rPr>
                <w:kern w:val="2"/>
                <w:sz w:val="22"/>
                <w:szCs w:val="22"/>
              </w:rPr>
            </w:pPr>
            <w:r w:rsidRPr="001C3237">
              <w:rPr>
                <w:kern w:val="2"/>
                <w:sz w:val="22"/>
                <w:szCs w:val="22"/>
              </w:rPr>
              <w:t>24006,14</w:t>
            </w:r>
          </w:p>
        </w:tc>
        <w:tc>
          <w:tcPr>
            <w:tcW w:w="2657" w:type="dxa"/>
            <w:tcBorders>
              <w:top w:val="single" w:sz="4" w:space="0" w:color="auto"/>
              <w:left w:val="single" w:sz="4" w:space="0" w:color="auto"/>
              <w:bottom w:val="single" w:sz="4" w:space="0" w:color="auto"/>
              <w:right w:val="single" w:sz="4" w:space="0" w:color="auto"/>
            </w:tcBorders>
            <w:vAlign w:val="center"/>
          </w:tcPr>
          <w:p w14:paraId="060EF719" w14:textId="77777777" w:rsidR="008A33AB" w:rsidRPr="001C3237" w:rsidRDefault="008A33AB" w:rsidP="00D4307B">
            <w:pPr>
              <w:widowControl/>
              <w:suppressAutoHyphens/>
              <w:jc w:val="center"/>
              <w:rPr>
                <w:kern w:val="2"/>
                <w:sz w:val="22"/>
                <w:szCs w:val="22"/>
              </w:rPr>
            </w:pPr>
            <w:r w:rsidRPr="001C3237">
              <w:rPr>
                <w:kern w:val="2"/>
                <w:sz w:val="22"/>
                <w:szCs w:val="22"/>
              </w:rPr>
              <w:t>6,47</w:t>
            </w:r>
          </w:p>
        </w:tc>
      </w:tr>
      <w:tr w:rsidR="008A33AB" w:rsidRPr="001C3237" w14:paraId="5A12D5CD"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79648A22"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2016</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438E8" w14:textId="77777777" w:rsidR="008A33AB" w:rsidRPr="001C3237" w:rsidRDefault="008A33AB" w:rsidP="00D4307B">
            <w:pPr>
              <w:widowControl/>
              <w:suppressAutoHyphens/>
              <w:jc w:val="center"/>
              <w:rPr>
                <w:rFonts w:eastAsia="Lucida Sans Unicode"/>
                <w:kern w:val="2"/>
                <w:sz w:val="22"/>
                <w:szCs w:val="22"/>
                <w:lang w:eastAsia="en-US"/>
              </w:rPr>
            </w:pPr>
            <w:r w:rsidRPr="001C3237">
              <w:rPr>
                <w:kern w:val="2"/>
                <w:sz w:val="22"/>
                <w:szCs w:val="22"/>
              </w:rPr>
              <w:t>1228,44</w:t>
            </w:r>
          </w:p>
        </w:tc>
        <w:tc>
          <w:tcPr>
            <w:tcW w:w="2657" w:type="dxa"/>
            <w:tcBorders>
              <w:top w:val="single" w:sz="4" w:space="0" w:color="auto"/>
              <w:left w:val="single" w:sz="4" w:space="0" w:color="auto"/>
              <w:bottom w:val="single" w:sz="4" w:space="0" w:color="auto"/>
              <w:right w:val="single" w:sz="4" w:space="0" w:color="auto"/>
            </w:tcBorders>
            <w:vAlign w:val="center"/>
          </w:tcPr>
          <w:p w14:paraId="1FD7EE2E" w14:textId="77777777" w:rsidR="008A33AB" w:rsidRPr="001C3237" w:rsidRDefault="008A33AB" w:rsidP="00D4307B">
            <w:pPr>
              <w:widowControl/>
              <w:suppressAutoHyphens/>
              <w:jc w:val="center"/>
              <w:rPr>
                <w:kern w:val="2"/>
                <w:sz w:val="22"/>
                <w:szCs w:val="22"/>
              </w:rPr>
            </w:pPr>
            <w:r w:rsidRPr="001C3237">
              <w:rPr>
                <w:kern w:val="2"/>
                <w:sz w:val="22"/>
                <w:szCs w:val="22"/>
              </w:rPr>
              <w:t>24462,51</w:t>
            </w:r>
          </w:p>
        </w:tc>
        <w:tc>
          <w:tcPr>
            <w:tcW w:w="2657" w:type="dxa"/>
            <w:tcBorders>
              <w:top w:val="single" w:sz="4" w:space="0" w:color="auto"/>
              <w:left w:val="single" w:sz="4" w:space="0" w:color="auto"/>
              <w:bottom w:val="single" w:sz="4" w:space="0" w:color="auto"/>
              <w:right w:val="single" w:sz="4" w:space="0" w:color="auto"/>
            </w:tcBorders>
            <w:vAlign w:val="center"/>
          </w:tcPr>
          <w:p w14:paraId="39D922A5" w14:textId="77777777" w:rsidR="008A33AB" w:rsidRPr="001C3237" w:rsidRDefault="008A33AB" w:rsidP="00D4307B">
            <w:pPr>
              <w:widowControl/>
              <w:suppressAutoHyphens/>
              <w:jc w:val="center"/>
              <w:rPr>
                <w:kern w:val="2"/>
                <w:sz w:val="22"/>
                <w:szCs w:val="22"/>
              </w:rPr>
            </w:pPr>
            <w:r w:rsidRPr="001C3237">
              <w:rPr>
                <w:kern w:val="2"/>
                <w:sz w:val="22"/>
                <w:szCs w:val="22"/>
              </w:rPr>
              <w:t>5,02</w:t>
            </w:r>
          </w:p>
        </w:tc>
      </w:tr>
      <w:tr w:rsidR="008A33AB" w:rsidRPr="001C3237" w14:paraId="0D9D609B"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A10CB7"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2017</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7189E6" w14:textId="77777777" w:rsidR="008A33AB" w:rsidRPr="001C3237" w:rsidRDefault="008A33AB" w:rsidP="00D4307B">
            <w:pPr>
              <w:widowControl/>
              <w:suppressAutoHyphens/>
              <w:jc w:val="center"/>
              <w:rPr>
                <w:rFonts w:eastAsia="Lucida Sans Unicode"/>
                <w:kern w:val="2"/>
                <w:sz w:val="22"/>
                <w:szCs w:val="22"/>
                <w:lang w:eastAsia="en-US"/>
              </w:rPr>
            </w:pPr>
            <w:r w:rsidRPr="001C3237">
              <w:rPr>
                <w:kern w:val="2"/>
                <w:sz w:val="22"/>
                <w:szCs w:val="22"/>
              </w:rPr>
              <w:t>1119,93</w:t>
            </w:r>
          </w:p>
        </w:tc>
        <w:tc>
          <w:tcPr>
            <w:tcW w:w="2657" w:type="dxa"/>
            <w:tcBorders>
              <w:top w:val="single" w:sz="4" w:space="0" w:color="auto"/>
              <w:left w:val="single" w:sz="4" w:space="0" w:color="auto"/>
              <w:bottom w:val="single" w:sz="4" w:space="0" w:color="auto"/>
              <w:right w:val="single" w:sz="4" w:space="0" w:color="auto"/>
            </w:tcBorders>
            <w:vAlign w:val="center"/>
          </w:tcPr>
          <w:p w14:paraId="1EC3DFA0" w14:textId="77777777" w:rsidR="008A33AB" w:rsidRPr="001C3237" w:rsidRDefault="008A33AB" w:rsidP="00D4307B">
            <w:pPr>
              <w:widowControl/>
              <w:suppressAutoHyphens/>
              <w:jc w:val="center"/>
              <w:rPr>
                <w:kern w:val="2"/>
                <w:sz w:val="22"/>
                <w:szCs w:val="22"/>
              </w:rPr>
            </w:pPr>
            <w:r w:rsidRPr="001C3237">
              <w:rPr>
                <w:kern w:val="2"/>
                <w:sz w:val="22"/>
                <w:szCs w:val="22"/>
              </w:rPr>
              <w:t>25075,08</w:t>
            </w:r>
          </w:p>
        </w:tc>
        <w:tc>
          <w:tcPr>
            <w:tcW w:w="2657" w:type="dxa"/>
            <w:tcBorders>
              <w:top w:val="single" w:sz="4" w:space="0" w:color="auto"/>
              <w:left w:val="single" w:sz="4" w:space="0" w:color="auto"/>
              <w:bottom w:val="single" w:sz="4" w:space="0" w:color="auto"/>
              <w:right w:val="single" w:sz="4" w:space="0" w:color="auto"/>
            </w:tcBorders>
            <w:vAlign w:val="center"/>
          </w:tcPr>
          <w:p w14:paraId="5B66B0E6" w14:textId="77777777" w:rsidR="008A33AB" w:rsidRPr="001C3237" w:rsidRDefault="008A33AB" w:rsidP="00D4307B">
            <w:pPr>
              <w:widowControl/>
              <w:suppressAutoHyphens/>
              <w:jc w:val="center"/>
              <w:rPr>
                <w:kern w:val="2"/>
                <w:sz w:val="22"/>
                <w:szCs w:val="22"/>
              </w:rPr>
            </w:pPr>
            <w:r w:rsidRPr="001C3237">
              <w:rPr>
                <w:kern w:val="2"/>
                <w:sz w:val="22"/>
                <w:szCs w:val="22"/>
              </w:rPr>
              <w:t>4,47</w:t>
            </w:r>
          </w:p>
        </w:tc>
      </w:tr>
      <w:tr w:rsidR="008A33AB" w:rsidRPr="001C3237" w14:paraId="52AD1A6E"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98FCB76"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2018</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7D4DB3" w14:textId="77777777" w:rsidR="008A33AB" w:rsidRPr="001C3237" w:rsidRDefault="008A33AB" w:rsidP="00D4307B">
            <w:pPr>
              <w:widowControl/>
              <w:suppressAutoHyphens/>
              <w:jc w:val="center"/>
              <w:rPr>
                <w:kern w:val="2"/>
                <w:sz w:val="22"/>
                <w:szCs w:val="22"/>
              </w:rPr>
            </w:pPr>
            <w:r w:rsidRPr="001C3237">
              <w:rPr>
                <w:kern w:val="2"/>
                <w:sz w:val="22"/>
                <w:szCs w:val="22"/>
              </w:rPr>
              <w:t>997,91</w:t>
            </w:r>
          </w:p>
        </w:tc>
        <w:tc>
          <w:tcPr>
            <w:tcW w:w="2657" w:type="dxa"/>
            <w:tcBorders>
              <w:top w:val="single" w:sz="4" w:space="0" w:color="auto"/>
              <w:left w:val="single" w:sz="4" w:space="0" w:color="auto"/>
              <w:bottom w:val="single" w:sz="4" w:space="0" w:color="auto"/>
              <w:right w:val="single" w:sz="4" w:space="0" w:color="auto"/>
            </w:tcBorders>
            <w:vAlign w:val="center"/>
          </w:tcPr>
          <w:p w14:paraId="7E1AB214" w14:textId="77777777" w:rsidR="008A33AB" w:rsidRPr="001C3237" w:rsidRDefault="008A33AB" w:rsidP="00D4307B">
            <w:pPr>
              <w:widowControl/>
              <w:suppressAutoHyphens/>
              <w:jc w:val="center"/>
              <w:rPr>
                <w:kern w:val="2"/>
                <w:sz w:val="22"/>
                <w:szCs w:val="22"/>
              </w:rPr>
            </w:pPr>
            <w:r w:rsidRPr="001C3237">
              <w:rPr>
                <w:kern w:val="2"/>
                <w:sz w:val="22"/>
                <w:szCs w:val="22"/>
              </w:rPr>
              <w:t>23178,43</w:t>
            </w:r>
          </w:p>
        </w:tc>
        <w:tc>
          <w:tcPr>
            <w:tcW w:w="2657" w:type="dxa"/>
            <w:tcBorders>
              <w:top w:val="single" w:sz="4" w:space="0" w:color="auto"/>
              <w:left w:val="single" w:sz="4" w:space="0" w:color="auto"/>
              <w:bottom w:val="single" w:sz="4" w:space="0" w:color="auto"/>
              <w:right w:val="single" w:sz="4" w:space="0" w:color="auto"/>
            </w:tcBorders>
            <w:vAlign w:val="center"/>
          </w:tcPr>
          <w:p w14:paraId="612E923D" w14:textId="77777777" w:rsidR="008A33AB" w:rsidRPr="001C3237" w:rsidRDefault="008A33AB" w:rsidP="00D4307B">
            <w:pPr>
              <w:widowControl/>
              <w:suppressAutoHyphens/>
              <w:jc w:val="center"/>
              <w:rPr>
                <w:kern w:val="2"/>
                <w:sz w:val="22"/>
                <w:szCs w:val="22"/>
              </w:rPr>
            </w:pPr>
            <w:r w:rsidRPr="001C3237">
              <w:rPr>
                <w:kern w:val="2"/>
                <w:sz w:val="22"/>
                <w:szCs w:val="22"/>
              </w:rPr>
              <w:t>4,31</w:t>
            </w:r>
          </w:p>
        </w:tc>
      </w:tr>
      <w:tr w:rsidR="008A33AB" w:rsidRPr="001C3237" w14:paraId="7BB667BA"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5DBD9DB"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2019</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4195F9" w14:textId="77777777" w:rsidR="008A33AB" w:rsidRPr="001C3237" w:rsidRDefault="008A33AB" w:rsidP="00D4307B">
            <w:pPr>
              <w:widowControl/>
              <w:suppressAutoHyphens/>
              <w:jc w:val="center"/>
              <w:rPr>
                <w:kern w:val="2"/>
                <w:sz w:val="22"/>
                <w:szCs w:val="22"/>
              </w:rPr>
            </w:pPr>
            <w:r w:rsidRPr="001C3237">
              <w:rPr>
                <w:kern w:val="2"/>
                <w:sz w:val="22"/>
                <w:szCs w:val="22"/>
              </w:rPr>
              <w:t>1975,87</w:t>
            </w:r>
          </w:p>
        </w:tc>
        <w:tc>
          <w:tcPr>
            <w:tcW w:w="2657" w:type="dxa"/>
            <w:tcBorders>
              <w:top w:val="single" w:sz="4" w:space="0" w:color="auto"/>
              <w:left w:val="single" w:sz="4" w:space="0" w:color="auto"/>
              <w:bottom w:val="single" w:sz="4" w:space="0" w:color="auto"/>
              <w:right w:val="single" w:sz="4" w:space="0" w:color="auto"/>
            </w:tcBorders>
            <w:vAlign w:val="center"/>
          </w:tcPr>
          <w:p w14:paraId="6523757B" w14:textId="77777777" w:rsidR="008A33AB" w:rsidRPr="001C3237" w:rsidRDefault="008A33AB" w:rsidP="00D4307B">
            <w:pPr>
              <w:widowControl/>
              <w:suppressAutoHyphens/>
              <w:jc w:val="center"/>
              <w:rPr>
                <w:kern w:val="2"/>
                <w:sz w:val="22"/>
                <w:szCs w:val="22"/>
              </w:rPr>
            </w:pPr>
            <w:r w:rsidRPr="001C3237">
              <w:rPr>
                <w:kern w:val="2"/>
                <w:sz w:val="22"/>
                <w:szCs w:val="22"/>
              </w:rPr>
              <w:t>24280,66</w:t>
            </w:r>
          </w:p>
        </w:tc>
        <w:tc>
          <w:tcPr>
            <w:tcW w:w="2657" w:type="dxa"/>
            <w:tcBorders>
              <w:top w:val="single" w:sz="4" w:space="0" w:color="auto"/>
              <w:left w:val="single" w:sz="4" w:space="0" w:color="auto"/>
              <w:bottom w:val="single" w:sz="4" w:space="0" w:color="auto"/>
              <w:right w:val="single" w:sz="4" w:space="0" w:color="auto"/>
            </w:tcBorders>
            <w:vAlign w:val="center"/>
          </w:tcPr>
          <w:p w14:paraId="1C5ECBA0" w14:textId="77777777" w:rsidR="008A33AB" w:rsidRPr="001C3237" w:rsidRDefault="008A33AB" w:rsidP="00D4307B">
            <w:pPr>
              <w:widowControl/>
              <w:suppressAutoHyphens/>
              <w:jc w:val="center"/>
              <w:rPr>
                <w:kern w:val="2"/>
                <w:sz w:val="22"/>
                <w:szCs w:val="22"/>
              </w:rPr>
            </w:pPr>
            <w:r w:rsidRPr="001C3237">
              <w:rPr>
                <w:kern w:val="2"/>
                <w:sz w:val="22"/>
                <w:szCs w:val="22"/>
              </w:rPr>
              <w:t>8,14</w:t>
            </w:r>
          </w:p>
        </w:tc>
      </w:tr>
      <w:tr w:rsidR="008A33AB" w:rsidRPr="001C3237" w14:paraId="6900EADB"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B64A07"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2020</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42A0F9" w14:textId="77777777" w:rsidR="008A33AB" w:rsidRPr="001C3237" w:rsidRDefault="008A33AB" w:rsidP="00D4307B">
            <w:pPr>
              <w:widowControl/>
              <w:suppressAutoHyphens/>
              <w:jc w:val="center"/>
              <w:rPr>
                <w:kern w:val="2"/>
                <w:sz w:val="22"/>
                <w:szCs w:val="22"/>
              </w:rPr>
            </w:pPr>
            <w:r w:rsidRPr="001C3237">
              <w:rPr>
                <w:kern w:val="2"/>
                <w:sz w:val="22"/>
                <w:szCs w:val="22"/>
              </w:rPr>
              <w:t>206,57</w:t>
            </w:r>
          </w:p>
        </w:tc>
        <w:tc>
          <w:tcPr>
            <w:tcW w:w="2657" w:type="dxa"/>
            <w:tcBorders>
              <w:top w:val="single" w:sz="4" w:space="0" w:color="auto"/>
              <w:left w:val="single" w:sz="4" w:space="0" w:color="auto"/>
              <w:bottom w:val="single" w:sz="4" w:space="0" w:color="auto"/>
              <w:right w:val="single" w:sz="4" w:space="0" w:color="auto"/>
            </w:tcBorders>
            <w:vAlign w:val="center"/>
          </w:tcPr>
          <w:p w14:paraId="2A262D4D" w14:textId="77777777" w:rsidR="008A33AB" w:rsidRPr="001C3237" w:rsidRDefault="008A33AB" w:rsidP="00D4307B">
            <w:pPr>
              <w:widowControl/>
              <w:suppressAutoHyphens/>
              <w:jc w:val="center"/>
              <w:rPr>
                <w:kern w:val="2"/>
                <w:sz w:val="22"/>
                <w:szCs w:val="22"/>
              </w:rPr>
            </w:pPr>
            <w:r w:rsidRPr="001C3237">
              <w:rPr>
                <w:kern w:val="2"/>
                <w:sz w:val="22"/>
                <w:szCs w:val="22"/>
              </w:rPr>
              <w:t>24628,01</w:t>
            </w:r>
          </w:p>
        </w:tc>
        <w:tc>
          <w:tcPr>
            <w:tcW w:w="2657" w:type="dxa"/>
            <w:tcBorders>
              <w:top w:val="single" w:sz="4" w:space="0" w:color="auto"/>
              <w:left w:val="single" w:sz="4" w:space="0" w:color="auto"/>
              <w:bottom w:val="single" w:sz="4" w:space="0" w:color="auto"/>
              <w:right w:val="single" w:sz="4" w:space="0" w:color="auto"/>
            </w:tcBorders>
            <w:vAlign w:val="center"/>
          </w:tcPr>
          <w:p w14:paraId="15A4A955" w14:textId="77777777" w:rsidR="008A33AB" w:rsidRPr="001C3237" w:rsidRDefault="008A33AB" w:rsidP="00D4307B">
            <w:pPr>
              <w:widowControl/>
              <w:suppressAutoHyphens/>
              <w:jc w:val="center"/>
              <w:rPr>
                <w:kern w:val="2"/>
                <w:sz w:val="22"/>
                <w:szCs w:val="22"/>
              </w:rPr>
            </w:pPr>
            <w:r w:rsidRPr="001C3237">
              <w:rPr>
                <w:kern w:val="2"/>
                <w:sz w:val="22"/>
                <w:szCs w:val="22"/>
              </w:rPr>
              <w:t>0,84</w:t>
            </w:r>
          </w:p>
        </w:tc>
      </w:tr>
      <w:tr w:rsidR="008A33AB" w:rsidRPr="001C3237" w14:paraId="79523044"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33ED09D"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2021</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D5F6F1" w14:textId="77777777" w:rsidR="008A33AB" w:rsidRPr="001C3237" w:rsidRDefault="008A33AB" w:rsidP="00D4307B">
            <w:pPr>
              <w:widowControl/>
              <w:suppressAutoHyphens/>
              <w:jc w:val="center"/>
              <w:rPr>
                <w:kern w:val="2"/>
                <w:sz w:val="22"/>
                <w:szCs w:val="22"/>
              </w:rPr>
            </w:pPr>
            <w:r w:rsidRPr="001C3237">
              <w:rPr>
                <w:kern w:val="2"/>
                <w:sz w:val="22"/>
                <w:szCs w:val="22"/>
              </w:rPr>
              <w:t>184,04</w:t>
            </w:r>
          </w:p>
        </w:tc>
        <w:tc>
          <w:tcPr>
            <w:tcW w:w="2657" w:type="dxa"/>
            <w:tcBorders>
              <w:top w:val="single" w:sz="4" w:space="0" w:color="auto"/>
              <w:left w:val="single" w:sz="4" w:space="0" w:color="auto"/>
              <w:bottom w:val="single" w:sz="4" w:space="0" w:color="auto"/>
              <w:right w:val="single" w:sz="4" w:space="0" w:color="auto"/>
            </w:tcBorders>
            <w:vAlign w:val="center"/>
          </w:tcPr>
          <w:p w14:paraId="5A6F6892" w14:textId="77777777" w:rsidR="008A33AB" w:rsidRPr="001C3237" w:rsidRDefault="008A33AB" w:rsidP="00D4307B">
            <w:pPr>
              <w:widowControl/>
              <w:suppressAutoHyphens/>
              <w:jc w:val="center"/>
              <w:rPr>
                <w:kern w:val="2"/>
                <w:sz w:val="22"/>
                <w:szCs w:val="22"/>
              </w:rPr>
            </w:pPr>
            <w:r w:rsidRPr="001C3237">
              <w:rPr>
                <w:kern w:val="2"/>
                <w:sz w:val="22"/>
                <w:szCs w:val="22"/>
              </w:rPr>
              <w:t>26972,68</w:t>
            </w:r>
          </w:p>
        </w:tc>
        <w:tc>
          <w:tcPr>
            <w:tcW w:w="2657" w:type="dxa"/>
            <w:tcBorders>
              <w:top w:val="single" w:sz="4" w:space="0" w:color="auto"/>
              <w:left w:val="single" w:sz="4" w:space="0" w:color="auto"/>
              <w:bottom w:val="single" w:sz="4" w:space="0" w:color="auto"/>
              <w:right w:val="single" w:sz="4" w:space="0" w:color="auto"/>
            </w:tcBorders>
            <w:vAlign w:val="center"/>
          </w:tcPr>
          <w:p w14:paraId="7F0B8DF7" w14:textId="77777777" w:rsidR="008A33AB" w:rsidRPr="001C3237" w:rsidRDefault="008A33AB" w:rsidP="00D4307B">
            <w:pPr>
              <w:widowControl/>
              <w:suppressAutoHyphens/>
              <w:jc w:val="center"/>
              <w:rPr>
                <w:kern w:val="2"/>
                <w:sz w:val="22"/>
                <w:szCs w:val="22"/>
              </w:rPr>
            </w:pPr>
            <w:r w:rsidRPr="001C3237">
              <w:rPr>
                <w:kern w:val="2"/>
                <w:sz w:val="22"/>
                <w:szCs w:val="22"/>
              </w:rPr>
              <w:t>0,68</w:t>
            </w:r>
          </w:p>
        </w:tc>
      </w:tr>
      <w:tr w:rsidR="008A33AB" w:rsidRPr="001C3237" w14:paraId="71BBB604"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112A480"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2022</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3DAFD3" w14:textId="77777777" w:rsidR="008A33AB" w:rsidRPr="001C3237" w:rsidRDefault="008A33AB" w:rsidP="00D4307B">
            <w:pPr>
              <w:widowControl/>
              <w:suppressAutoHyphens/>
              <w:jc w:val="center"/>
              <w:rPr>
                <w:kern w:val="2"/>
                <w:sz w:val="22"/>
                <w:szCs w:val="22"/>
              </w:rPr>
            </w:pPr>
            <w:r w:rsidRPr="001C3237">
              <w:rPr>
                <w:kern w:val="2"/>
                <w:sz w:val="22"/>
                <w:szCs w:val="22"/>
              </w:rPr>
              <w:t>176,89</w:t>
            </w:r>
          </w:p>
        </w:tc>
        <w:tc>
          <w:tcPr>
            <w:tcW w:w="2657" w:type="dxa"/>
            <w:tcBorders>
              <w:top w:val="single" w:sz="4" w:space="0" w:color="auto"/>
              <w:left w:val="single" w:sz="4" w:space="0" w:color="auto"/>
              <w:bottom w:val="single" w:sz="4" w:space="0" w:color="auto"/>
              <w:right w:val="single" w:sz="4" w:space="0" w:color="auto"/>
            </w:tcBorders>
            <w:vAlign w:val="center"/>
          </w:tcPr>
          <w:p w14:paraId="108EE5A8" w14:textId="77777777" w:rsidR="008A33AB" w:rsidRPr="001C3237" w:rsidRDefault="008A33AB" w:rsidP="00D4307B">
            <w:pPr>
              <w:widowControl/>
              <w:suppressAutoHyphens/>
              <w:jc w:val="center"/>
              <w:rPr>
                <w:kern w:val="2"/>
                <w:sz w:val="22"/>
                <w:szCs w:val="22"/>
              </w:rPr>
            </w:pPr>
            <w:r w:rsidRPr="001C3237">
              <w:rPr>
                <w:kern w:val="2"/>
                <w:sz w:val="22"/>
                <w:szCs w:val="22"/>
              </w:rPr>
              <w:t>22320,35</w:t>
            </w:r>
          </w:p>
        </w:tc>
        <w:tc>
          <w:tcPr>
            <w:tcW w:w="2657" w:type="dxa"/>
            <w:tcBorders>
              <w:top w:val="single" w:sz="4" w:space="0" w:color="auto"/>
              <w:left w:val="single" w:sz="4" w:space="0" w:color="auto"/>
              <w:bottom w:val="single" w:sz="4" w:space="0" w:color="auto"/>
              <w:right w:val="single" w:sz="4" w:space="0" w:color="auto"/>
            </w:tcBorders>
            <w:vAlign w:val="center"/>
          </w:tcPr>
          <w:p w14:paraId="550D13C1" w14:textId="77777777" w:rsidR="008A33AB" w:rsidRPr="001C3237" w:rsidRDefault="008A33AB" w:rsidP="00D4307B">
            <w:pPr>
              <w:widowControl/>
              <w:suppressAutoHyphens/>
              <w:jc w:val="center"/>
              <w:rPr>
                <w:kern w:val="2"/>
                <w:sz w:val="22"/>
                <w:szCs w:val="22"/>
              </w:rPr>
            </w:pPr>
            <w:r w:rsidRPr="001C3237">
              <w:rPr>
                <w:kern w:val="2"/>
                <w:sz w:val="22"/>
                <w:szCs w:val="22"/>
              </w:rPr>
              <w:t>0,79</w:t>
            </w:r>
          </w:p>
        </w:tc>
      </w:tr>
      <w:tr w:rsidR="008A33AB" w:rsidRPr="001C3237" w14:paraId="389832C7"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942AEAA" w14:textId="77777777" w:rsidR="008A33AB" w:rsidRPr="001C3237" w:rsidRDefault="008A33AB" w:rsidP="00D4307B">
            <w:pPr>
              <w:widowControl/>
              <w:suppressAutoHyphens/>
              <w:jc w:val="center"/>
              <w:rPr>
                <w:rFonts w:eastAsia="Lucida Sans Unicode"/>
                <w:kern w:val="2"/>
                <w:sz w:val="22"/>
                <w:szCs w:val="22"/>
                <w:lang w:eastAsia="en-US"/>
              </w:rPr>
            </w:pPr>
            <w:r w:rsidRPr="001C3237">
              <w:rPr>
                <w:rFonts w:eastAsia="Lucida Sans Unicode"/>
                <w:kern w:val="2"/>
                <w:sz w:val="22"/>
                <w:szCs w:val="22"/>
                <w:lang w:eastAsia="en-US"/>
              </w:rPr>
              <w:t>2023</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33894D" w14:textId="77777777" w:rsidR="008A33AB" w:rsidRPr="001C3237" w:rsidRDefault="008A33AB" w:rsidP="00D4307B">
            <w:pPr>
              <w:widowControl/>
              <w:jc w:val="center"/>
              <w:rPr>
                <w:rFonts w:ascii="Calibri" w:hAnsi="Calibri"/>
                <w:sz w:val="22"/>
                <w:szCs w:val="22"/>
              </w:rPr>
            </w:pPr>
            <w:r w:rsidRPr="001C3237">
              <w:rPr>
                <w:rFonts w:ascii="Czcionka tekstu podstawowego" w:eastAsia="Calibri" w:hAnsi="Czcionka tekstu podstawowego"/>
                <w:color w:val="000000"/>
                <w:sz w:val="22"/>
                <w:szCs w:val="22"/>
                <w:lang w:eastAsia="en-US"/>
              </w:rPr>
              <w:t>228,14</w:t>
            </w:r>
          </w:p>
        </w:tc>
        <w:tc>
          <w:tcPr>
            <w:tcW w:w="2657" w:type="dxa"/>
            <w:tcBorders>
              <w:top w:val="single" w:sz="4" w:space="0" w:color="auto"/>
              <w:left w:val="single" w:sz="4" w:space="0" w:color="auto"/>
              <w:bottom w:val="single" w:sz="4" w:space="0" w:color="auto"/>
              <w:right w:val="single" w:sz="4" w:space="0" w:color="auto"/>
            </w:tcBorders>
            <w:vAlign w:val="center"/>
          </w:tcPr>
          <w:p w14:paraId="3A2704C6" w14:textId="77777777" w:rsidR="008A33AB" w:rsidRPr="001C3237" w:rsidRDefault="008A33AB" w:rsidP="00D4307B">
            <w:pPr>
              <w:widowControl/>
              <w:jc w:val="center"/>
              <w:rPr>
                <w:rFonts w:ascii="Calibri" w:hAnsi="Calibri"/>
                <w:sz w:val="22"/>
                <w:szCs w:val="22"/>
              </w:rPr>
            </w:pPr>
            <w:r w:rsidRPr="001C3237">
              <w:rPr>
                <w:rFonts w:ascii="Czcionka tekstu podstawowego" w:eastAsia="Calibri" w:hAnsi="Czcionka tekstu podstawowego"/>
                <w:color w:val="000000"/>
                <w:sz w:val="22"/>
                <w:szCs w:val="22"/>
                <w:lang w:eastAsia="en-US"/>
              </w:rPr>
              <w:t>20047,27</w:t>
            </w:r>
          </w:p>
        </w:tc>
        <w:tc>
          <w:tcPr>
            <w:tcW w:w="2657" w:type="dxa"/>
            <w:tcBorders>
              <w:top w:val="single" w:sz="4" w:space="0" w:color="auto"/>
              <w:left w:val="single" w:sz="4" w:space="0" w:color="auto"/>
              <w:bottom w:val="single" w:sz="4" w:space="0" w:color="auto"/>
              <w:right w:val="single" w:sz="4" w:space="0" w:color="auto"/>
            </w:tcBorders>
            <w:vAlign w:val="center"/>
          </w:tcPr>
          <w:p w14:paraId="05EEE372" w14:textId="77777777" w:rsidR="008A33AB" w:rsidRPr="001C3237" w:rsidRDefault="008A33AB" w:rsidP="00D4307B">
            <w:pPr>
              <w:widowControl/>
              <w:suppressAutoHyphens/>
              <w:jc w:val="center"/>
              <w:rPr>
                <w:kern w:val="2"/>
                <w:sz w:val="22"/>
                <w:szCs w:val="22"/>
              </w:rPr>
            </w:pPr>
            <w:r w:rsidRPr="001C3237">
              <w:rPr>
                <w:kern w:val="2"/>
                <w:sz w:val="22"/>
                <w:szCs w:val="22"/>
              </w:rPr>
              <w:t>1,14</w:t>
            </w:r>
          </w:p>
        </w:tc>
      </w:tr>
    </w:tbl>
    <w:p w14:paraId="41E0D622" w14:textId="77777777" w:rsidR="008A33AB" w:rsidRPr="001C3237" w:rsidRDefault="008A33AB" w:rsidP="008A33AB">
      <w:pPr>
        <w:widowControl/>
        <w:ind w:left="992" w:hanging="992"/>
        <w:rPr>
          <w:rFonts w:ascii="Calibri" w:eastAsia="Calibri" w:hAnsi="Calibri"/>
          <w:i/>
          <w:sz w:val="22"/>
          <w:szCs w:val="22"/>
          <w:highlight w:val="yellow"/>
          <w:lang w:eastAsia="en-US"/>
        </w:rPr>
      </w:pPr>
    </w:p>
    <w:p w14:paraId="6983A805" w14:textId="37336FF7" w:rsidR="008A33AB" w:rsidRDefault="008A33AB" w:rsidP="008A33AB">
      <w:pPr>
        <w:widowControl/>
        <w:spacing w:before="120" w:line="276" w:lineRule="auto"/>
        <w:ind w:left="992" w:hanging="992"/>
        <w:rPr>
          <w:rFonts w:ascii="Calibri" w:eastAsia="Calibri" w:hAnsi="Calibri"/>
          <w:i/>
          <w:sz w:val="22"/>
          <w:szCs w:val="22"/>
          <w:lang w:eastAsia="en-US"/>
        </w:rPr>
      </w:pPr>
      <w:r w:rsidRPr="001C3237">
        <w:rPr>
          <w:rFonts w:ascii="Calibri" w:eastAsia="Calibri" w:hAnsi="Calibri"/>
          <w:i/>
          <w:sz w:val="22"/>
          <w:szCs w:val="22"/>
          <w:lang w:eastAsia="en-US"/>
        </w:rPr>
        <w:t>Rys</w:t>
      </w:r>
      <w:r w:rsidR="003A6DA4">
        <w:rPr>
          <w:rFonts w:ascii="Calibri" w:eastAsia="Calibri" w:hAnsi="Calibri"/>
          <w:i/>
          <w:sz w:val="22"/>
          <w:szCs w:val="22"/>
          <w:lang w:eastAsia="en-US"/>
        </w:rPr>
        <w:t>unek</w:t>
      </w:r>
      <w:r w:rsidR="008C0239">
        <w:rPr>
          <w:rFonts w:ascii="Calibri" w:eastAsia="Calibri" w:hAnsi="Calibri"/>
          <w:i/>
          <w:sz w:val="22"/>
          <w:szCs w:val="22"/>
          <w:lang w:eastAsia="en-US"/>
        </w:rPr>
        <w:t xml:space="preserve"> 1</w:t>
      </w:r>
      <w:r w:rsidRPr="001C3237">
        <w:rPr>
          <w:rFonts w:ascii="Calibri" w:eastAsia="Calibri" w:hAnsi="Calibri"/>
          <w:i/>
          <w:sz w:val="22"/>
          <w:szCs w:val="22"/>
          <w:lang w:eastAsia="en-US"/>
        </w:rPr>
        <w:t>. Wskaźniki „E” – WS</w:t>
      </w:r>
      <w:r w:rsidRPr="001C3237">
        <w:rPr>
          <w:rFonts w:ascii="Calibri" w:eastAsia="Calibri" w:hAnsi="Calibri"/>
          <w:i/>
          <w:sz w:val="22"/>
          <w:szCs w:val="22"/>
          <w:vertAlign w:val="subscript"/>
          <w:lang w:eastAsia="en-US"/>
        </w:rPr>
        <w:t>PW</w:t>
      </w:r>
      <w:r w:rsidRPr="001C3237">
        <w:rPr>
          <w:rFonts w:ascii="Calibri" w:eastAsia="Calibri" w:hAnsi="Calibri"/>
          <w:i/>
          <w:sz w:val="22"/>
          <w:szCs w:val="22"/>
          <w:lang w:eastAsia="en-US"/>
        </w:rPr>
        <w:t xml:space="preserve"> i WSS</w:t>
      </w:r>
      <w:r w:rsidRPr="001C3237">
        <w:rPr>
          <w:rFonts w:ascii="Calibri" w:eastAsia="Calibri" w:hAnsi="Calibri"/>
          <w:i/>
          <w:sz w:val="22"/>
          <w:szCs w:val="22"/>
          <w:vertAlign w:val="subscript"/>
          <w:lang w:eastAsia="en-US"/>
        </w:rPr>
        <w:t>PW.</w:t>
      </w:r>
      <w:r w:rsidRPr="001C3237">
        <w:rPr>
          <w:rFonts w:ascii="Calibri" w:eastAsia="Calibri" w:hAnsi="Calibri"/>
          <w:i/>
          <w:sz w:val="22"/>
          <w:szCs w:val="22"/>
          <w:lang w:eastAsia="en-US"/>
        </w:rPr>
        <w:t>w latach 2015-2023</w:t>
      </w:r>
    </w:p>
    <w:p w14:paraId="4B5B307F" w14:textId="77777777" w:rsidR="005B39A0" w:rsidRPr="001C3237" w:rsidRDefault="005B39A0" w:rsidP="008A33AB">
      <w:pPr>
        <w:widowControl/>
        <w:spacing w:before="120" w:line="276" w:lineRule="auto"/>
        <w:ind w:left="992" w:hanging="992"/>
        <w:rPr>
          <w:rFonts w:ascii="Calibri" w:eastAsia="Calibri" w:hAnsi="Calibri"/>
          <w:i/>
          <w:sz w:val="22"/>
          <w:szCs w:val="22"/>
          <w:lang w:eastAsia="en-US"/>
        </w:rPr>
      </w:pPr>
    </w:p>
    <w:p w14:paraId="7AD1C791" w14:textId="77777777" w:rsidR="008A33AB" w:rsidRPr="001C3237" w:rsidRDefault="008A33AB" w:rsidP="008A33AB">
      <w:pPr>
        <w:widowControl/>
        <w:spacing w:after="120"/>
        <w:ind w:left="992" w:hanging="992"/>
        <w:rPr>
          <w:rFonts w:ascii="Calibri" w:eastAsia="Calibri" w:hAnsi="Calibri"/>
          <w:i/>
          <w:sz w:val="22"/>
          <w:szCs w:val="22"/>
          <w:highlight w:val="yellow"/>
          <w:lang w:eastAsia="en-US"/>
        </w:rPr>
      </w:pPr>
      <w:r w:rsidRPr="001C3237">
        <w:rPr>
          <w:rFonts w:ascii="Calibri" w:eastAsia="Calibri" w:hAnsi="Calibri"/>
          <w:noProof/>
          <w:sz w:val="22"/>
          <w:szCs w:val="22"/>
        </w:rPr>
        <w:drawing>
          <wp:inline distT="0" distB="0" distL="0" distR="0" wp14:anchorId="24DF2A7C" wp14:editId="206D9191">
            <wp:extent cx="5760000" cy="2952000"/>
            <wp:effectExtent l="0" t="0" r="12700" b="1270"/>
            <wp:docPr id="649855499" name="Wykres 649855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4ACE74" w14:textId="77777777" w:rsidR="008A33AB" w:rsidRDefault="008A33AB" w:rsidP="008A33AB">
      <w:pPr>
        <w:tabs>
          <w:tab w:val="left" w:pos="284"/>
        </w:tabs>
        <w:spacing w:after="120" w:line="360" w:lineRule="auto"/>
        <w:ind w:firstLine="284"/>
        <w:jc w:val="both"/>
        <w:rPr>
          <w:rFonts w:ascii="Arial" w:hAnsi="Arial" w:cs="Arial"/>
        </w:rPr>
      </w:pPr>
    </w:p>
    <w:p w14:paraId="62807310" w14:textId="676FBEE7" w:rsidR="008A33AB" w:rsidRDefault="00D4610D" w:rsidP="003D7996">
      <w:pPr>
        <w:tabs>
          <w:tab w:val="left" w:pos="284"/>
        </w:tabs>
        <w:spacing w:after="120" w:line="360" w:lineRule="auto"/>
        <w:ind w:firstLine="284"/>
        <w:jc w:val="both"/>
        <w:rPr>
          <w:rFonts w:ascii="Arial" w:hAnsi="Arial" w:cs="Arial"/>
        </w:rPr>
      </w:pPr>
      <w:r w:rsidRPr="00D4610D">
        <w:rPr>
          <w:rFonts w:ascii="Arial" w:hAnsi="Arial" w:cs="Arial"/>
        </w:rPr>
        <w:t>Wskaźniki z grupy „E” wykazywały stałą tendencję spadkową w latach 2015-2018, po czym w roku 2019 nastąpił około dwukrotny wzrost wskaźników struktury i wielkości sprzedaży. Przyczyną wzrostu wskaźników był skokowy wzrost sprzedaży w 2019</w:t>
      </w:r>
      <w:r w:rsidR="005B39A0">
        <w:rPr>
          <w:rFonts w:ascii="Arial" w:hAnsi="Arial" w:cs="Arial"/>
        </w:rPr>
        <w:t> </w:t>
      </w:r>
      <w:r w:rsidRPr="00D4610D">
        <w:rPr>
          <w:rFonts w:ascii="Arial" w:hAnsi="Arial" w:cs="Arial"/>
        </w:rPr>
        <w:t>r. chloropiryfosu będącego jedną z substancji priorytetowych w dziedzinie polityki wodnej. W 2020</w:t>
      </w:r>
      <w:r w:rsidR="005B39A0">
        <w:rPr>
          <w:rFonts w:ascii="Arial" w:hAnsi="Arial" w:cs="Arial"/>
        </w:rPr>
        <w:t> r.</w:t>
      </w:r>
      <w:r w:rsidRPr="00D4610D">
        <w:rPr>
          <w:rFonts w:ascii="Arial" w:hAnsi="Arial" w:cs="Arial"/>
        </w:rPr>
        <w:t xml:space="preserve"> po wycofaniu chloropyrifosu ze sprzedaży wartość wskaźnika spadła prawie 10-krotnie. W 2023 </w:t>
      </w:r>
      <w:r w:rsidR="005B39A0">
        <w:rPr>
          <w:rFonts w:ascii="Arial" w:hAnsi="Arial" w:cs="Arial"/>
        </w:rPr>
        <w:t xml:space="preserve">r. </w:t>
      </w:r>
      <w:r w:rsidRPr="00D4610D">
        <w:rPr>
          <w:rFonts w:ascii="Arial" w:hAnsi="Arial" w:cs="Arial"/>
        </w:rPr>
        <w:t>sprzedaż substancji priorytetowych w</w:t>
      </w:r>
      <w:r w:rsidR="00914669">
        <w:rPr>
          <w:rFonts w:ascii="Arial" w:hAnsi="Arial" w:cs="Arial"/>
        </w:rPr>
        <w:t> </w:t>
      </w:r>
      <w:r w:rsidRPr="00D4610D">
        <w:rPr>
          <w:rFonts w:ascii="Arial" w:hAnsi="Arial" w:cs="Arial"/>
        </w:rPr>
        <w:t>dziedzinie polityki wodnej stanowiła 1,14% całości sprzedaży i była nieco wyższa niż w 2022</w:t>
      </w:r>
      <w:r w:rsidR="005B39A0">
        <w:rPr>
          <w:rFonts w:ascii="Arial" w:hAnsi="Arial" w:cs="Arial"/>
        </w:rPr>
        <w:t xml:space="preserve"> r.</w:t>
      </w:r>
    </w:p>
    <w:p w14:paraId="44FB9C8D" w14:textId="77777777" w:rsidR="005B39A0" w:rsidRDefault="005B39A0" w:rsidP="003D7996">
      <w:pPr>
        <w:tabs>
          <w:tab w:val="left" w:pos="284"/>
        </w:tabs>
        <w:spacing w:after="120" w:line="360" w:lineRule="auto"/>
        <w:ind w:firstLine="284"/>
        <w:jc w:val="both"/>
        <w:rPr>
          <w:rFonts w:ascii="Arial" w:hAnsi="Arial" w:cs="Arial"/>
        </w:rPr>
      </w:pPr>
    </w:p>
    <w:p w14:paraId="454F37A2" w14:textId="1C172F31" w:rsidR="00847500" w:rsidRDefault="00847500" w:rsidP="005B39A0">
      <w:pPr>
        <w:widowControl/>
        <w:spacing w:before="120" w:after="240"/>
        <w:ind w:left="993" w:hanging="993"/>
        <w:rPr>
          <w:rFonts w:ascii="Calibri" w:eastAsia="Calibri" w:hAnsi="Calibri"/>
          <w:i/>
          <w:sz w:val="22"/>
          <w:szCs w:val="22"/>
          <w:lang w:eastAsia="en-US"/>
        </w:rPr>
      </w:pPr>
      <w:r w:rsidRPr="00847500">
        <w:rPr>
          <w:rFonts w:ascii="Calibri" w:eastAsia="Calibri" w:hAnsi="Calibri"/>
          <w:i/>
          <w:sz w:val="22"/>
          <w:szCs w:val="22"/>
          <w:lang w:eastAsia="en-US"/>
        </w:rPr>
        <w:lastRenderedPageBreak/>
        <w:t xml:space="preserve">Tabela </w:t>
      </w:r>
      <w:r w:rsidR="00FA6882">
        <w:rPr>
          <w:rFonts w:ascii="Calibri" w:eastAsia="Calibri" w:hAnsi="Calibri"/>
          <w:i/>
          <w:sz w:val="22"/>
          <w:szCs w:val="22"/>
          <w:lang w:eastAsia="en-US"/>
        </w:rPr>
        <w:t>7</w:t>
      </w:r>
      <w:r w:rsidRPr="00847500">
        <w:rPr>
          <w:rFonts w:ascii="Calibri" w:eastAsia="Calibri" w:hAnsi="Calibri"/>
          <w:i/>
          <w:sz w:val="22"/>
          <w:szCs w:val="22"/>
          <w:lang w:eastAsia="en-US"/>
        </w:rPr>
        <w:t>. Wyniki obliczeń wskaźników sprzedaży substancji czynnych wymagających programów monitorowania (wskaźniki „F” – WS</w:t>
      </w:r>
      <w:r w:rsidRPr="00847500">
        <w:rPr>
          <w:rFonts w:ascii="Calibri" w:eastAsia="Calibri" w:hAnsi="Calibri"/>
          <w:i/>
          <w:sz w:val="22"/>
          <w:szCs w:val="22"/>
          <w:vertAlign w:val="subscript"/>
          <w:lang w:eastAsia="en-US"/>
        </w:rPr>
        <w:t>Monit</w:t>
      </w:r>
      <w:r w:rsidRPr="00847500">
        <w:rPr>
          <w:rFonts w:ascii="Calibri" w:eastAsia="Calibri" w:hAnsi="Calibri"/>
          <w:i/>
          <w:sz w:val="22"/>
          <w:szCs w:val="22"/>
          <w:lang w:eastAsia="en-US"/>
        </w:rPr>
        <w:t>. i WSS</w:t>
      </w:r>
      <w:r w:rsidRPr="00847500">
        <w:rPr>
          <w:rFonts w:ascii="Calibri" w:eastAsia="Calibri" w:hAnsi="Calibri"/>
          <w:i/>
          <w:sz w:val="22"/>
          <w:szCs w:val="22"/>
          <w:vertAlign w:val="subscript"/>
          <w:lang w:eastAsia="en-US"/>
        </w:rPr>
        <w:t>Monit.</w:t>
      </w:r>
      <w:r w:rsidRPr="00847500">
        <w:rPr>
          <w:rFonts w:ascii="Calibri" w:eastAsia="Calibri" w:hAnsi="Calibri"/>
          <w:i/>
          <w:sz w:val="22"/>
          <w:szCs w:val="22"/>
          <w:lang w:eastAsia="en-US"/>
        </w:rPr>
        <w:t>) dla lat 2015-2023</w:t>
      </w:r>
    </w:p>
    <w:tbl>
      <w:tblPr>
        <w:tblW w:w="9138" w:type="dxa"/>
        <w:jc w:val="center"/>
        <w:tblLayout w:type="fixed"/>
        <w:tblCellMar>
          <w:left w:w="10" w:type="dxa"/>
          <w:right w:w="10" w:type="dxa"/>
        </w:tblCellMar>
        <w:tblLook w:val="0000" w:firstRow="0" w:lastRow="0" w:firstColumn="0" w:lastColumn="0" w:noHBand="0" w:noVBand="0"/>
      </w:tblPr>
      <w:tblGrid>
        <w:gridCol w:w="1167"/>
        <w:gridCol w:w="2657"/>
        <w:gridCol w:w="2657"/>
        <w:gridCol w:w="2657"/>
      </w:tblGrid>
      <w:tr w:rsidR="00847500" w:rsidRPr="00847500" w14:paraId="3AFCBF7E" w14:textId="77777777" w:rsidTr="00D4307B">
        <w:trPr>
          <w:trHeight w:val="567"/>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B161819"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Rok</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A72D2E"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 xml:space="preserve">Wskaźnik wielkości sprzedaży </w:t>
            </w:r>
            <w:r w:rsidRPr="00847500">
              <w:rPr>
                <w:b/>
                <w:bCs/>
                <w:kern w:val="2"/>
                <w:sz w:val="22"/>
                <w:szCs w:val="22"/>
              </w:rPr>
              <w:t>WS</w:t>
            </w:r>
            <w:r w:rsidRPr="00847500">
              <w:rPr>
                <w:b/>
                <w:bCs/>
                <w:kern w:val="2"/>
                <w:sz w:val="22"/>
                <w:szCs w:val="22"/>
                <w:vertAlign w:val="subscript"/>
              </w:rPr>
              <w:t>Monit.</w:t>
            </w:r>
            <w:r w:rsidRPr="00847500">
              <w:rPr>
                <w:bCs/>
                <w:kern w:val="2"/>
                <w:sz w:val="22"/>
                <w:szCs w:val="22"/>
              </w:rPr>
              <w:t xml:space="preserve"> [Mg]</w:t>
            </w:r>
          </w:p>
        </w:tc>
        <w:tc>
          <w:tcPr>
            <w:tcW w:w="2657" w:type="dxa"/>
            <w:tcBorders>
              <w:top w:val="single" w:sz="4" w:space="0" w:color="auto"/>
              <w:left w:val="single" w:sz="4" w:space="0" w:color="auto"/>
              <w:bottom w:val="single" w:sz="4" w:space="0" w:color="auto"/>
              <w:right w:val="single" w:sz="4" w:space="0" w:color="auto"/>
            </w:tcBorders>
            <w:vAlign w:val="center"/>
          </w:tcPr>
          <w:p w14:paraId="4D7D1D18" w14:textId="77777777" w:rsidR="00847500" w:rsidRPr="00847500" w:rsidRDefault="00847500" w:rsidP="00847500">
            <w:pPr>
              <w:widowControl/>
              <w:suppressAutoHyphens/>
              <w:jc w:val="center"/>
              <w:rPr>
                <w:kern w:val="2"/>
                <w:sz w:val="22"/>
                <w:szCs w:val="22"/>
              </w:rPr>
            </w:pPr>
            <w:r w:rsidRPr="00847500">
              <w:rPr>
                <w:bCs/>
                <w:kern w:val="2"/>
                <w:sz w:val="22"/>
                <w:szCs w:val="22"/>
              </w:rPr>
              <w:t xml:space="preserve">Sumaryczna sprzedaż substancji czynnych </w:t>
            </w:r>
            <w:r w:rsidRPr="00847500">
              <w:rPr>
                <w:b/>
                <w:bCs/>
                <w:kern w:val="2"/>
                <w:sz w:val="22"/>
                <w:szCs w:val="22"/>
              </w:rPr>
              <w:t>S</w:t>
            </w:r>
            <w:r w:rsidRPr="00847500">
              <w:rPr>
                <w:bCs/>
                <w:kern w:val="2"/>
                <w:sz w:val="22"/>
                <w:szCs w:val="22"/>
              </w:rPr>
              <w:t xml:space="preserve"> [Mg]</w:t>
            </w:r>
          </w:p>
        </w:tc>
        <w:tc>
          <w:tcPr>
            <w:tcW w:w="2657" w:type="dxa"/>
            <w:tcBorders>
              <w:top w:val="single" w:sz="4" w:space="0" w:color="auto"/>
              <w:left w:val="single" w:sz="4" w:space="0" w:color="auto"/>
              <w:bottom w:val="single" w:sz="4" w:space="0" w:color="auto"/>
              <w:right w:val="single" w:sz="4" w:space="0" w:color="auto"/>
            </w:tcBorders>
            <w:vAlign w:val="center"/>
          </w:tcPr>
          <w:p w14:paraId="53D20453" w14:textId="77777777" w:rsidR="00847500" w:rsidRPr="00847500" w:rsidRDefault="00847500" w:rsidP="00847500">
            <w:pPr>
              <w:widowControl/>
              <w:suppressAutoHyphens/>
              <w:jc w:val="center"/>
              <w:rPr>
                <w:kern w:val="2"/>
                <w:sz w:val="22"/>
                <w:szCs w:val="22"/>
              </w:rPr>
            </w:pPr>
            <w:r w:rsidRPr="00847500">
              <w:rPr>
                <w:bCs/>
                <w:kern w:val="2"/>
                <w:sz w:val="22"/>
                <w:szCs w:val="22"/>
              </w:rPr>
              <w:t xml:space="preserve">Wskaźnik struktury sprzedaży </w:t>
            </w:r>
            <w:r w:rsidRPr="00847500">
              <w:rPr>
                <w:b/>
                <w:bCs/>
                <w:kern w:val="2"/>
                <w:sz w:val="22"/>
                <w:szCs w:val="22"/>
              </w:rPr>
              <w:t>WSS</w:t>
            </w:r>
            <w:r w:rsidRPr="00847500">
              <w:rPr>
                <w:b/>
                <w:bCs/>
                <w:kern w:val="2"/>
                <w:sz w:val="22"/>
                <w:szCs w:val="22"/>
                <w:vertAlign w:val="subscript"/>
              </w:rPr>
              <w:t>Monit.</w:t>
            </w:r>
            <w:r w:rsidRPr="00847500">
              <w:rPr>
                <w:bCs/>
                <w:kern w:val="2"/>
                <w:sz w:val="22"/>
                <w:szCs w:val="22"/>
              </w:rPr>
              <w:t xml:space="preserve"> [%]</w:t>
            </w:r>
          </w:p>
        </w:tc>
      </w:tr>
      <w:tr w:rsidR="00847500" w:rsidRPr="00847500" w14:paraId="5D7F9B48"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D4B085D"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2015</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8C851F"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2165,56</w:t>
            </w:r>
          </w:p>
        </w:tc>
        <w:tc>
          <w:tcPr>
            <w:tcW w:w="2657" w:type="dxa"/>
            <w:tcBorders>
              <w:top w:val="single" w:sz="4" w:space="0" w:color="auto"/>
              <w:left w:val="single" w:sz="4" w:space="0" w:color="auto"/>
              <w:bottom w:val="single" w:sz="4" w:space="0" w:color="auto"/>
              <w:right w:val="single" w:sz="4" w:space="0" w:color="auto"/>
            </w:tcBorders>
            <w:vAlign w:val="center"/>
          </w:tcPr>
          <w:p w14:paraId="33DBA59E"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24006,14</w:t>
            </w:r>
          </w:p>
        </w:tc>
        <w:tc>
          <w:tcPr>
            <w:tcW w:w="2657" w:type="dxa"/>
            <w:tcBorders>
              <w:top w:val="single" w:sz="4" w:space="0" w:color="auto"/>
              <w:left w:val="single" w:sz="4" w:space="0" w:color="auto"/>
              <w:bottom w:val="single" w:sz="4" w:space="0" w:color="auto"/>
              <w:right w:val="single" w:sz="4" w:space="0" w:color="auto"/>
            </w:tcBorders>
            <w:vAlign w:val="center"/>
          </w:tcPr>
          <w:p w14:paraId="0C6D7073"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9,02</w:t>
            </w:r>
          </w:p>
        </w:tc>
      </w:tr>
      <w:tr w:rsidR="00847500" w:rsidRPr="00847500" w14:paraId="67784649"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374F925"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2016</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86A7B4"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2002,95</w:t>
            </w:r>
          </w:p>
        </w:tc>
        <w:tc>
          <w:tcPr>
            <w:tcW w:w="2657" w:type="dxa"/>
            <w:tcBorders>
              <w:top w:val="single" w:sz="4" w:space="0" w:color="auto"/>
              <w:left w:val="single" w:sz="4" w:space="0" w:color="auto"/>
              <w:bottom w:val="single" w:sz="4" w:space="0" w:color="auto"/>
              <w:right w:val="single" w:sz="4" w:space="0" w:color="auto"/>
            </w:tcBorders>
            <w:vAlign w:val="center"/>
          </w:tcPr>
          <w:p w14:paraId="7DDC851F"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24462,51</w:t>
            </w:r>
          </w:p>
        </w:tc>
        <w:tc>
          <w:tcPr>
            <w:tcW w:w="2657" w:type="dxa"/>
            <w:tcBorders>
              <w:top w:val="single" w:sz="4" w:space="0" w:color="auto"/>
              <w:left w:val="single" w:sz="4" w:space="0" w:color="auto"/>
              <w:bottom w:val="single" w:sz="4" w:space="0" w:color="auto"/>
              <w:right w:val="single" w:sz="4" w:space="0" w:color="auto"/>
            </w:tcBorders>
            <w:vAlign w:val="center"/>
          </w:tcPr>
          <w:p w14:paraId="0FEBE336"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8,19</w:t>
            </w:r>
          </w:p>
        </w:tc>
      </w:tr>
      <w:tr w:rsidR="00847500" w:rsidRPr="00847500" w14:paraId="52E967FC"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C2D5D27"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2017</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5B5398"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2184,74</w:t>
            </w:r>
          </w:p>
        </w:tc>
        <w:tc>
          <w:tcPr>
            <w:tcW w:w="2657" w:type="dxa"/>
            <w:tcBorders>
              <w:top w:val="single" w:sz="4" w:space="0" w:color="auto"/>
              <w:left w:val="single" w:sz="4" w:space="0" w:color="auto"/>
              <w:bottom w:val="single" w:sz="4" w:space="0" w:color="auto"/>
              <w:right w:val="single" w:sz="4" w:space="0" w:color="auto"/>
            </w:tcBorders>
            <w:vAlign w:val="center"/>
          </w:tcPr>
          <w:p w14:paraId="21A2D16D"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25075,08</w:t>
            </w:r>
          </w:p>
        </w:tc>
        <w:tc>
          <w:tcPr>
            <w:tcW w:w="2657" w:type="dxa"/>
            <w:tcBorders>
              <w:top w:val="single" w:sz="4" w:space="0" w:color="auto"/>
              <w:left w:val="single" w:sz="4" w:space="0" w:color="auto"/>
              <w:bottom w:val="single" w:sz="4" w:space="0" w:color="auto"/>
              <w:right w:val="single" w:sz="4" w:space="0" w:color="auto"/>
            </w:tcBorders>
            <w:vAlign w:val="center"/>
          </w:tcPr>
          <w:p w14:paraId="7E4908F4"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8,71</w:t>
            </w:r>
          </w:p>
        </w:tc>
      </w:tr>
      <w:tr w:rsidR="00847500" w:rsidRPr="00847500" w14:paraId="7A7055C2"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F470563"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2018</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A694CF"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2329,74</w:t>
            </w:r>
          </w:p>
        </w:tc>
        <w:tc>
          <w:tcPr>
            <w:tcW w:w="2657" w:type="dxa"/>
            <w:tcBorders>
              <w:top w:val="single" w:sz="4" w:space="0" w:color="auto"/>
              <w:left w:val="single" w:sz="4" w:space="0" w:color="auto"/>
              <w:bottom w:val="single" w:sz="4" w:space="0" w:color="auto"/>
              <w:right w:val="single" w:sz="4" w:space="0" w:color="auto"/>
            </w:tcBorders>
            <w:vAlign w:val="center"/>
          </w:tcPr>
          <w:p w14:paraId="0BA7ADFB"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23178,43</w:t>
            </w:r>
          </w:p>
        </w:tc>
        <w:tc>
          <w:tcPr>
            <w:tcW w:w="2657" w:type="dxa"/>
            <w:tcBorders>
              <w:top w:val="single" w:sz="4" w:space="0" w:color="auto"/>
              <w:left w:val="single" w:sz="4" w:space="0" w:color="auto"/>
              <w:bottom w:val="single" w:sz="4" w:space="0" w:color="auto"/>
              <w:right w:val="single" w:sz="4" w:space="0" w:color="auto"/>
            </w:tcBorders>
            <w:vAlign w:val="center"/>
          </w:tcPr>
          <w:p w14:paraId="3ACA356C"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10,05</w:t>
            </w:r>
          </w:p>
        </w:tc>
      </w:tr>
      <w:tr w:rsidR="00847500" w:rsidRPr="00847500" w14:paraId="7E89E267"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296F866"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2019</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443E3"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2398,86</w:t>
            </w:r>
          </w:p>
        </w:tc>
        <w:tc>
          <w:tcPr>
            <w:tcW w:w="2657" w:type="dxa"/>
            <w:tcBorders>
              <w:top w:val="single" w:sz="4" w:space="0" w:color="auto"/>
              <w:left w:val="single" w:sz="4" w:space="0" w:color="auto"/>
              <w:bottom w:val="single" w:sz="4" w:space="0" w:color="auto"/>
              <w:right w:val="single" w:sz="4" w:space="0" w:color="auto"/>
            </w:tcBorders>
            <w:vAlign w:val="center"/>
          </w:tcPr>
          <w:p w14:paraId="686D2558"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24280,66</w:t>
            </w:r>
          </w:p>
        </w:tc>
        <w:tc>
          <w:tcPr>
            <w:tcW w:w="2657" w:type="dxa"/>
            <w:tcBorders>
              <w:top w:val="single" w:sz="4" w:space="0" w:color="auto"/>
              <w:left w:val="single" w:sz="4" w:space="0" w:color="auto"/>
              <w:bottom w:val="single" w:sz="4" w:space="0" w:color="auto"/>
              <w:right w:val="single" w:sz="4" w:space="0" w:color="auto"/>
            </w:tcBorders>
            <w:vAlign w:val="center"/>
          </w:tcPr>
          <w:p w14:paraId="3E3E7E8E"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9,88</w:t>
            </w:r>
          </w:p>
        </w:tc>
      </w:tr>
      <w:tr w:rsidR="00847500" w:rsidRPr="00847500" w14:paraId="529FCE20"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ABF7AF0"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2020</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DC03DB"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2506,07</w:t>
            </w:r>
          </w:p>
        </w:tc>
        <w:tc>
          <w:tcPr>
            <w:tcW w:w="2657" w:type="dxa"/>
            <w:tcBorders>
              <w:top w:val="single" w:sz="4" w:space="0" w:color="auto"/>
              <w:left w:val="single" w:sz="4" w:space="0" w:color="auto"/>
              <w:bottom w:val="single" w:sz="4" w:space="0" w:color="auto"/>
              <w:right w:val="single" w:sz="4" w:space="0" w:color="auto"/>
            </w:tcBorders>
            <w:vAlign w:val="center"/>
          </w:tcPr>
          <w:p w14:paraId="098CCB05"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24628,01</w:t>
            </w:r>
          </w:p>
        </w:tc>
        <w:tc>
          <w:tcPr>
            <w:tcW w:w="2657" w:type="dxa"/>
            <w:tcBorders>
              <w:top w:val="single" w:sz="4" w:space="0" w:color="auto"/>
              <w:left w:val="single" w:sz="4" w:space="0" w:color="auto"/>
              <w:bottom w:val="single" w:sz="4" w:space="0" w:color="auto"/>
              <w:right w:val="single" w:sz="4" w:space="0" w:color="auto"/>
            </w:tcBorders>
            <w:vAlign w:val="center"/>
          </w:tcPr>
          <w:p w14:paraId="79552600"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10,18</w:t>
            </w:r>
          </w:p>
        </w:tc>
      </w:tr>
      <w:tr w:rsidR="00847500" w:rsidRPr="00847500" w14:paraId="56EF76FA"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7B392D7"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2021</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152D8E"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3141,12</w:t>
            </w:r>
          </w:p>
        </w:tc>
        <w:tc>
          <w:tcPr>
            <w:tcW w:w="2657" w:type="dxa"/>
            <w:tcBorders>
              <w:top w:val="single" w:sz="4" w:space="0" w:color="auto"/>
              <w:left w:val="single" w:sz="4" w:space="0" w:color="auto"/>
              <w:bottom w:val="single" w:sz="4" w:space="0" w:color="auto"/>
              <w:right w:val="single" w:sz="4" w:space="0" w:color="auto"/>
            </w:tcBorders>
            <w:vAlign w:val="center"/>
          </w:tcPr>
          <w:p w14:paraId="0A816633"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26972,68</w:t>
            </w:r>
          </w:p>
        </w:tc>
        <w:tc>
          <w:tcPr>
            <w:tcW w:w="2657" w:type="dxa"/>
            <w:tcBorders>
              <w:top w:val="single" w:sz="4" w:space="0" w:color="auto"/>
              <w:left w:val="single" w:sz="4" w:space="0" w:color="auto"/>
              <w:bottom w:val="single" w:sz="4" w:space="0" w:color="auto"/>
              <w:right w:val="single" w:sz="4" w:space="0" w:color="auto"/>
            </w:tcBorders>
            <w:vAlign w:val="center"/>
          </w:tcPr>
          <w:p w14:paraId="213A5C31"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11,65</w:t>
            </w:r>
          </w:p>
        </w:tc>
      </w:tr>
      <w:tr w:rsidR="00847500" w:rsidRPr="00847500" w14:paraId="2C4E7A1C"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BB430FC"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2022</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C7F710"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2823,59</w:t>
            </w:r>
          </w:p>
        </w:tc>
        <w:tc>
          <w:tcPr>
            <w:tcW w:w="2657" w:type="dxa"/>
            <w:tcBorders>
              <w:top w:val="single" w:sz="4" w:space="0" w:color="auto"/>
              <w:left w:val="single" w:sz="4" w:space="0" w:color="auto"/>
              <w:bottom w:val="single" w:sz="4" w:space="0" w:color="auto"/>
              <w:right w:val="single" w:sz="4" w:space="0" w:color="auto"/>
            </w:tcBorders>
            <w:vAlign w:val="center"/>
          </w:tcPr>
          <w:p w14:paraId="345DC72D"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22320,35</w:t>
            </w:r>
          </w:p>
        </w:tc>
        <w:tc>
          <w:tcPr>
            <w:tcW w:w="2657" w:type="dxa"/>
            <w:tcBorders>
              <w:top w:val="single" w:sz="4" w:space="0" w:color="auto"/>
              <w:left w:val="single" w:sz="4" w:space="0" w:color="auto"/>
              <w:bottom w:val="single" w:sz="4" w:space="0" w:color="auto"/>
              <w:right w:val="single" w:sz="4" w:space="0" w:color="auto"/>
            </w:tcBorders>
            <w:vAlign w:val="center"/>
          </w:tcPr>
          <w:p w14:paraId="0CAEE331"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12,65</w:t>
            </w:r>
          </w:p>
        </w:tc>
      </w:tr>
      <w:tr w:rsidR="00847500" w:rsidRPr="00847500" w14:paraId="496E37EF" w14:textId="77777777" w:rsidTr="00D4307B">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9AF5D8F"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2023</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A52B8A"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3114,72</w:t>
            </w:r>
          </w:p>
        </w:tc>
        <w:tc>
          <w:tcPr>
            <w:tcW w:w="2657" w:type="dxa"/>
            <w:tcBorders>
              <w:top w:val="single" w:sz="4" w:space="0" w:color="auto"/>
              <w:left w:val="single" w:sz="4" w:space="0" w:color="auto"/>
              <w:bottom w:val="single" w:sz="4" w:space="0" w:color="auto"/>
              <w:right w:val="single" w:sz="4" w:space="0" w:color="auto"/>
            </w:tcBorders>
            <w:vAlign w:val="center"/>
          </w:tcPr>
          <w:p w14:paraId="568418E2"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20047,27</w:t>
            </w:r>
          </w:p>
        </w:tc>
        <w:tc>
          <w:tcPr>
            <w:tcW w:w="2657" w:type="dxa"/>
            <w:tcBorders>
              <w:top w:val="single" w:sz="4" w:space="0" w:color="auto"/>
              <w:left w:val="single" w:sz="4" w:space="0" w:color="auto"/>
              <w:bottom w:val="single" w:sz="4" w:space="0" w:color="auto"/>
              <w:right w:val="single" w:sz="4" w:space="0" w:color="auto"/>
            </w:tcBorders>
            <w:vAlign w:val="center"/>
          </w:tcPr>
          <w:p w14:paraId="24BB8872" w14:textId="77777777" w:rsidR="00847500" w:rsidRPr="00847500" w:rsidRDefault="00847500" w:rsidP="00847500">
            <w:pPr>
              <w:widowControl/>
              <w:suppressAutoHyphens/>
              <w:jc w:val="center"/>
              <w:rPr>
                <w:rFonts w:eastAsia="Lucida Sans Unicode"/>
                <w:kern w:val="2"/>
                <w:sz w:val="22"/>
                <w:szCs w:val="22"/>
                <w:lang w:eastAsia="en-US"/>
              </w:rPr>
            </w:pPr>
            <w:r w:rsidRPr="00847500">
              <w:rPr>
                <w:rFonts w:eastAsia="Lucida Sans Unicode"/>
                <w:kern w:val="2"/>
                <w:sz w:val="22"/>
                <w:szCs w:val="22"/>
                <w:lang w:eastAsia="en-US"/>
              </w:rPr>
              <w:t>15,54</w:t>
            </w:r>
          </w:p>
        </w:tc>
      </w:tr>
    </w:tbl>
    <w:p w14:paraId="60B61EF0" w14:textId="205E2B4C" w:rsidR="005B39A0" w:rsidRPr="00847500" w:rsidRDefault="00847500" w:rsidP="005B39A0">
      <w:pPr>
        <w:widowControl/>
        <w:spacing w:before="240" w:after="240" w:line="276" w:lineRule="auto"/>
        <w:rPr>
          <w:rFonts w:ascii="Calibri" w:eastAsia="Calibri" w:hAnsi="Calibri"/>
          <w:i/>
          <w:sz w:val="22"/>
          <w:szCs w:val="22"/>
          <w:lang w:eastAsia="en-US"/>
        </w:rPr>
      </w:pPr>
      <w:r w:rsidRPr="00847500">
        <w:rPr>
          <w:rFonts w:ascii="Calibri" w:eastAsia="Calibri" w:hAnsi="Calibri"/>
          <w:i/>
          <w:sz w:val="22"/>
          <w:szCs w:val="22"/>
          <w:lang w:eastAsia="en-US"/>
        </w:rPr>
        <w:t>Rys</w:t>
      </w:r>
      <w:r w:rsidR="003A6DA4">
        <w:rPr>
          <w:rFonts w:ascii="Calibri" w:eastAsia="Calibri" w:hAnsi="Calibri"/>
          <w:i/>
          <w:sz w:val="22"/>
          <w:szCs w:val="22"/>
          <w:lang w:eastAsia="en-US"/>
        </w:rPr>
        <w:t>unek</w:t>
      </w:r>
      <w:r w:rsidRPr="00847500">
        <w:rPr>
          <w:rFonts w:ascii="Calibri" w:eastAsia="Calibri" w:hAnsi="Calibri"/>
          <w:i/>
          <w:sz w:val="22"/>
          <w:szCs w:val="22"/>
          <w:lang w:eastAsia="en-US"/>
        </w:rPr>
        <w:t xml:space="preserve"> </w:t>
      </w:r>
      <w:r w:rsidR="00796B2F">
        <w:rPr>
          <w:rFonts w:ascii="Calibri" w:eastAsia="Calibri" w:hAnsi="Calibri"/>
          <w:i/>
          <w:sz w:val="22"/>
          <w:szCs w:val="22"/>
          <w:lang w:eastAsia="en-US"/>
        </w:rPr>
        <w:t>2</w:t>
      </w:r>
      <w:r w:rsidRPr="00847500">
        <w:rPr>
          <w:rFonts w:ascii="Calibri" w:eastAsia="Calibri" w:hAnsi="Calibri"/>
          <w:i/>
          <w:sz w:val="22"/>
          <w:szCs w:val="22"/>
          <w:lang w:eastAsia="en-US"/>
        </w:rPr>
        <w:t>. Wskaźniki „F” – WS</w:t>
      </w:r>
      <w:r w:rsidRPr="00847500">
        <w:rPr>
          <w:rFonts w:ascii="Calibri" w:eastAsia="Calibri" w:hAnsi="Calibri"/>
          <w:i/>
          <w:sz w:val="22"/>
          <w:szCs w:val="22"/>
          <w:vertAlign w:val="subscript"/>
          <w:lang w:eastAsia="en-US"/>
        </w:rPr>
        <w:t>Monit</w:t>
      </w:r>
      <w:r w:rsidRPr="00847500">
        <w:rPr>
          <w:rFonts w:ascii="Calibri" w:eastAsia="Calibri" w:hAnsi="Calibri"/>
          <w:i/>
          <w:sz w:val="22"/>
          <w:szCs w:val="22"/>
          <w:lang w:eastAsia="en-US"/>
        </w:rPr>
        <w:t xml:space="preserve"> i WSS</w:t>
      </w:r>
      <w:r w:rsidRPr="00847500">
        <w:rPr>
          <w:rFonts w:ascii="Calibri" w:eastAsia="Calibri" w:hAnsi="Calibri"/>
          <w:i/>
          <w:sz w:val="22"/>
          <w:szCs w:val="22"/>
          <w:vertAlign w:val="subscript"/>
          <w:lang w:eastAsia="en-US"/>
        </w:rPr>
        <w:t xml:space="preserve">Monit </w:t>
      </w:r>
      <w:r w:rsidRPr="00847500">
        <w:rPr>
          <w:rFonts w:ascii="Calibri" w:eastAsia="Calibri" w:hAnsi="Calibri"/>
          <w:i/>
          <w:sz w:val="22"/>
          <w:szCs w:val="22"/>
          <w:lang w:eastAsia="en-US"/>
        </w:rPr>
        <w:t>w latach 2015-2023</w:t>
      </w:r>
    </w:p>
    <w:p w14:paraId="0D77C31E" w14:textId="1665CB48" w:rsidR="00847500" w:rsidRPr="00847500" w:rsidRDefault="00847500" w:rsidP="00847500">
      <w:pPr>
        <w:widowControl/>
        <w:spacing w:line="276" w:lineRule="auto"/>
        <w:jc w:val="both"/>
        <w:rPr>
          <w:rFonts w:ascii="Calibri" w:eastAsia="Calibri" w:hAnsi="Calibri"/>
          <w:noProof/>
          <w:sz w:val="22"/>
          <w:szCs w:val="22"/>
          <w:highlight w:val="yellow"/>
        </w:rPr>
      </w:pPr>
      <w:r w:rsidRPr="00847500">
        <w:rPr>
          <w:rFonts w:ascii="Calibri" w:eastAsia="Calibri" w:hAnsi="Calibri"/>
          <w:noProof/>
          <w:sz w:val="22"/>
          <w:szCs w:val="22"/>
          <w:highlight w:val="yellow"/>
        </w:rPr>
        <w:drawing>
          <wp:inline distT="0" distB="0" distL="0" distR="0" wp14:anchorId="78CB3949" wp14:editId="038723AD">
            <wp:extent cx="5655538" cy="2679774"/>
            <wp:effectExtent l="0" t="0" r="2540" b="6350"/>
            <wp:docPr id="1560601520" name="Wykres 1560601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994228" w14:textId="4C1D0FE3" w:rsidR="007253B0" w:rsidRPr="00914669" w:rsidRDefault="007253B0" w:rsidP="00914669">
      <w:pPr>
        <w:ind w:firstLine="708"/>
        <w:jc w:val="both"/>
        <w:rPr>
          <w:rFonts w:ascii="Arial" w:hAnsi="Arial" w:cs="Arial"/>
          <w:szCs w:val="24"/>
        </w:rPr>
      </w:pPr>
    </w:p>
    <w:p w14:paraId="539743AA" w14:textId="6874927C" w:rsidR="00EE4D84" w:rsidRDefault="00914669" w:rsidP="00B23872">
      <w:pPr>
        <w:tabs>
          <w:tab w:val="left" w:pos="284"/>
        </w:tabs>
        <w:spacing w:after="120" w:line="360" w:lineRule="auto"/>
        <w:ind w:firstLine="284"/>
        <w:jc w:val="both"/>
        <w:rPr>
          <w:rFonts w:ascii="Arial" w:hAnsi="Arial" w:cs="Arial"/>
        </w:rPr>
      </w:pPr>
      <w:r w:rsidRPr="00914669">
        <w:rPr>
          <w:rFonts w:ascii="Arial" w:hAnsi="Arial" w:cs="Arial"/>
        </w:rPr>
        <w:t>W grupie wskaźników „F” w 2023</w:t>
      </w:r>
      <w:r w:rsidR="005B39A0">
        <w:rPr>
          <w:rFonts w:ascii="Arial" w:hAnsi="Arial" w:cs="Arial"/>
        </w:rPr>
        <w:t xml:space="preserve"> r.</w:t>
      </w:r>
      <w:r w:rsidRPr="00914669">
        <w:rPr>
          <w:rFonts w:ascii="Arial" w:hAnsi="Arial" w:cs="Arial"/>
        </w:rPr>
        <w:t xml:space="preserve"> nastąpił wzrost wielkości sprzedaży substancji czynnych wymagających programów monitorowania (3114,72 Mg). W połączeniu ze spadkiem sprzedaży wszystkich substancji powoduje to, że ich udział w całości jest największy z okresu badanych lat 2015-2023 (</w:t>
      </w:r>
      <w:r w:rsidRPr="00914669">
        <w:rPr>
          <w:rFonts w:ascii="Arial" w:hAnsi="Arial" w:cs="Arial"/>
          <w:bCs/>
        </w:rPr>
        <w:t>WSS</w:t>
      </w:r>
      <w:r w:rsidRPr="00914669">
        <w:rPr>
          <w:rFonts w:ascii="Arial" w:hAnsi="Arial" w:cs="Arial"/>
          <w:bCs/>
          <w:vertAlign w:val="subscript"/>
        </w:rPr>
        <w:t>Monit</w:t>
      </w:r>
      <w:r w:rsidRPr="00914669">
        <w:rPr>
          <w:rFonts w:ascii="Arial" w:hAnsi="Arial" w:cs="Arial"/>
        </w:rPr>
        <w:t xml:space="preserve"> = 15,54%). W sprzedaży znajdowało się 10 substancji wymagających programów monitorowania, z których największą wielkość sprzedaży miał kaptan (56% </w:t>
      </w:r>
      <w:r w:rsidRPr="00914669">
        <w:rPr>
          <w:rFonts w:ascii="Arial" w:hAnsi="Arial" w:cs="Arial"/>
          <w:bCs/>
        </w:rPr>
        <w:t>WS</w:t>
      </w:r>
      <w:r w:rsidRPr="00914669">
        <w:rPr>
          <w:rFonts w:ascii="Arial" w:hAnsi="Arial" w:cs="Arial"/>
          <w:bCs/>
          <w:vertAlign w:val="subscript"/>
        </w:rPr>
        <w:t>Monit.</w:t>
      </w:r>
      <w:r w:rsidRPr="00914669">
        <w:rPr>
          <w:rFonts w:ascii="Arial" w:hAnsi="Arial" w:cs="Arial"/>
        </w:rPr>
        <w:t>).</w:t>
      </w:r>
    </w:p>
    <w:p w14:paraId="68622761" w14:textId="77777777" w:rsidR="008B5F95" w:rsidRDefault="00923F0D" w:rsidP="00DF1FFD">
      <w:pPr>
        <w:pStyle w:val="Nagwek1"/>
        <w:numPr>
          <w:ilvl w:val="3"/>
          <w:numId w:val="2"/>
        </w:numPr>
        <w:tabs>
          <w:tab w:val="left" w:pos="2552"/>
        </w:tabs>
        <w:ind w:left="284" w:hanging="426"/>
        <w:jc w:val="both"/>
        <w:rPr>
          <w:i w:val="0"/>
          <w:sz w:val="22"/>
          <w:szCs w:val="22"/>
        </w:rPr>
      </w:pPr>
      <w:bookmarkStart w:id="37" w:name="_Toc193716398"/>
      <w:r>
        <w:rPr>
          <w:i w:val="0"/>
          <w:sz w:val="22"/>
          <w:szCs w:val="22"/>
        </w:rPr>
        <w:t>Działanie 8. Ograniczenie stosowania środków ochrony roślin na obszarach szczególnie wrażliwych</w:t>
      </w:r>
      <w:bookmarkEnd w:id="37"/>
    </w:p>
    <w:p w14:paraId="188DA861"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bookmarkStart w:id="38" w:name="_Hlk187757113"/>
      <w:r>
        <w:rPr>
          <w:rFonts w:ascii="Arial" w:hAnsi="Arial" w:cs="Arial"/>
        </w:rPr>
        <w:t>W Polsce zostały przyjęte szczegółowe przepisy ograniczające stosowanie środków ochrony roślin na obszarach szczególnie wrażliwych – przede wszystkim na obszarach, na których mogą przebywać osoby szczególnie narażone na zagrożenia stwarzane przez te środki (dzieci, osoby starsze, osoby chore). Działanie to służy osiągnięciu celów określonych w art. 12 dyrektywy 2009/128/WE.</w:t>
      </w:r>
    </w:p>
    <w:bookmarkEnd w:id="38"/>
    <w:p w14:paraId="0D81598C"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lastRenderedPageBreak/>
        <w:t>Stosownie do przepisów art. 36 ust. 1 ustawy z dnia 8 marca 2013 r. o środkach ochrony roślin, jest zabronione stosowanie środków ochrony roślin, które zostały zgodnie z przepisami rozporządzenia Parlamentu Europejskiego i Rady (WE) nr 1272/2008 z dnia 16 grudnia 2008 r. w sprawie klasyfikacji, oznakowania i pakowania substancji i mieszanin, zmieniającego i uchylającego dyrektywy 67/548/EWG i 1999/45/WE oraz zmieniającego rozporządzenie (WE) nr 1907/2006 (Dz. Urz. UE L 353 z 31.12.2008, str. 1, z późn. zm.), zaklasyfikowane jako stwarzające zagrożenie dla zdrowia człowieka, na terenach placów zabaw, żłobków, przedszkoli, szkół podstawowych, szpitali, stref ochronnych „A” wydzielonych na obszarach uzdrowisk lub obszarach ochrony uzdrowiskowej w rozumieniu przepisów o lecznictwie uzdrowiskowym, uzdrowiskach i obszarach ochrony uzdrowiskowej oraz w gminach uzdrowiskowych. Odstępstwa od tej zasady mogą być stosowane jedynie w ściśle określonych przypadkach:</w:t>
      </w:r>
    </w:p>
    <w:p w14:paraId="36550E33" w14:textId="77777777" w:rsidR="008B5F95" w:rsidRDefault="00923F0D" w:rsidP="00E74A80">
      <w:pPr>
        <w:pStyle w:val="napakapit"/>
        <w:numPr>
          <w:ilvl w:val="0"/>
          <w:numId w:val="10"/>
        </w:numPr>
        <w:tabs>
          <w:tab w:val="clear" w:pos="1077"/>
          <w:tab w:val="clear" w:pos="4536"/>
          <w:tab w:val="num" w:pos="851"/>
        </w:tabs>
        <w:spacing w:before="0"/>
        <w:ind w:left="851" w:hanging="425"/>
        <w:rPr>
          <w:rFonts w:cs="Arial"/>
        </w:rPr>
      </w:pPr>
      <w:r>
        <w:rPr>
          <w:rFonts w:cs="Arial"/>
        </w:rPr>
        <w:t xml:space="preserve">wystąpienia agrofagów kwarantannowych; </w:t>
      </w:r>
    </w:p>
    <w:p w14:paraId="780E9929" w14:textId="77777777" w:rsidR="008B5F95" w:rsidRDefault="00923F0D" w:rsidP="00E74A80">
      <w:pPr>
        <w:pStyle w:val="napakapit"/>
        <w:numPr>
          <w:ilvl w:val="0"/>
          <w:numId w:val="10"/>
        </w:numPr>
        <w:tabs>
          <w:tab w:val="clear" w:pos="1077"/>
          <w:tab w:val="clear" w:pos="4536"/>
          <w:tab w:val="num" w:pos="851"/>
        </w:tabs>
        <w:spacing w:before="0"/>
        <w:ind w:left="851" w:hanging="425"/>
        <w:rPr>
          <w:rFonts w:cs="Arial"/>
        </w:rPr>
      </w:pPr>
      <w:r>
        <w:rPr>
          <w:rFonts w:cs="Arial"/>
        </w:rPr>
        <w:t>zagrożenia przez agrofagi pomników przyrody lub zespołów przyrodniczo-krajobrazowych w rozumieniu przepisów o ochronie przyrody;</w:t>
      </w:r>
    </w:p>
    <w:p w14:paraId="6316A38B" w14:textId="77777777" w:rsidR="008B5F95" w:rsidRDefault="00923F0D" w:rsidP="00E74A80">
      <w:pPr>
        <w:pStyle w:val="napakapit"/>
        <w:numPr>
          <w:ilvl w:val="0"/>
          <w:numId w:val="10"/>
        </w:numPr>
        <w:tabs>
          <w:tab w:val="clear" w:pos="1077"/>
          <w:tab w:val="clear" w:pos="4536"/>
          <w:tab w:val="num" w:pos="851"/>
        </w:tabs>
        <w:spacing w:before="0"/>
        <w:ind w:left="851" w:hanging="425"/>
        <w:rPr>
          <w:rFonts w:cs="Arial"/>
        </w:rPr>
      </w:pPr>
      <w:r>
        <w:rPr>
          <w:rFonts w:cs="Arial"/>
        </w:rPr>
        <w:t xml:space="preserve">wystąpienia roślin stwarzających zagrożenie dla zdrowia ludzi; </w:t>
      </w:r>
    </w:p>
    <w:p w14:paraId="768CE9D4" w14:textId="77777777" w:rsidR="008B5F95" w:rsidRDefault="00923F0D" w:rsidP="00E74A80">
      <w:pPr>
        <w:pStyle w:val="napakapit"/>
        <w:numPr>
          <w:ilvl w:val="0"/>
          <w:numId w:val="10"/>
        </w:numPr>
        <w:tabs>
          <w:tab w:val="clear" w:pos="1077"/>
          <w:tab w:val="clear" w:pos="4536"/>
          <w:tab w:val="num" w:pos="851"/>
        </w:tabs>
        <w:spacing w:before="0"/>
        <w:ind w:left="851" w:hanging="425"/>
        <w:rPr>
          <w:rFonts w:cs="Arial"/>
        </w:rPr>
      </w:pPr>
      <w:r>
        <w:rPr>
          <w:rFonts w:cs="Arial"/>
        </w:rPr>
        <w:t>wystąpienia organizmów szkodliwych dla roślin lub produktów roślinnych, których zwalczenie metodami niechemicznymi jest nieuzasadnione ekonomicznie lub nieskuteczne.</w:t>
      </w:r>
    </w:p>
    <w:p w14:paraId="16F35E28" w14:textId="77777777" w:rsidR="008B5F95" w:rsidRDefault="00923F0D">
      <w:pPr>
        <w:pStyle w:val="napakapit"/>
        <w:ind w:firstLine="426"/>
        <w:rPr>
          <w:rFonts w:cs="Arial"/>
        </w:rPr>
      </w:pPr>
      <w:r>
        <w:rPr>
          <w:rFonts w:cs="Arial"/>
        </w:rPr>
        <w:t xml:space="preserve">Decyzję w sprawie odstępstwa wydaje wojewódzki inspektor ochrony roślin i nasiennictwa. </w:t>
      </w:r>
    </w:p>
    <w:p w14:paraId="116FECFD"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Ponadto, zgodnie z art. 35 ust. 1 ww. ustawy, środki ochrony roślin należy stosować w taki sposób, aby nie stwarzać zagrożenia dla zdrowia ludzi, zwierząt oraz dla środowiska, w tym przeciwdziałać zniesieniu środków ochrony roślin na obszary i obiekty niebędące celem zabiegu z zastosowaniem tych środków oraz planować stosowanie środków ochrony roślin z uwzględnieniem okresu, w którym ludzie będą przebywać na obszarze objętym zabiegiem.</w:t>
      </w:r>
    </w:p>
    <w:p w14:paraId="0DE37231"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Tym samym zostały przyjęte w Polsce wszystkie niezbędne środki prawne do ograniczenia stosowania środków ochrony roślin na obszarach szczególnie wrażliwych i wyeliminowania ryzyka z tym związanego w odniesieniu do szczególnie narażonych grup ludności. </w:t>
      </w:r>
    </w:p>
    <w:p w14:paraId="1F7C820A" w14:textId="3E6E42D3" w:rsidR="0053202E" w:rsidRDefault="00923F0D" w:rsidP="0053202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ramach działania </w:t>
      </w:r>
      <w:r w:rsidR="005B39A0">
        <w:rPr>
          <w:rFonts w:ascii="Arial" w:hAnsi="Arial" w:cs="Arial"/>
        </w:rPr>
        <w:t xml:space="preserve">w </w:t>
      </w:r>
      <w:r w:rsidR="0053202E" w:rsidRPr="00925BCD">
        <w:rPr>
          <w:rFonts w:ascii="Arial" w:hAnsi="Arial" w:cs="Arial"/>
        </w:rPr>
        <w:t>20</w:t>
      </w:r>
      <w:r w:rsidR="0053202E">
        <w:rPr>
          <w:rFonts w:ascii="Arial" w:hAnsi="Arial" w:cs="Arial"/>
        </w:rPr>
        <w:t>23</w:t>
      </w:r>
      <w:r w:rsidR="0053202E" w:rsidRPr="00925BCD">
        <w:rPr>
          <w:rFonts w:ascii="Arial" w:hAnsi="Arial" w:cs="Arial"/>
        </w:rPr>
        <w:t xml:space="preserve"> r.</w:t>
      </w:r>
      <w:r w:rsidR="005B39A0">
        <w:rPr>
          <w:rFonts w:ascii="Arial" w:hAnsi="Arial" w:cs="Arial"/>
        </w:rPr>
        <w:t>,</w:t>
      </w:r>
      <w:r w:rsidR="0053202E" w:rsidRPr="00925BCD">
        <w:rPr>
          <w:rFonts w:ascii="Arial" w:hAnsi="Arial" w:cs="Arial"/>
        </w:rPr>
        <w:t xml:space="preserve"> stosownie do przepisów art. 36 ust. 1 ustawy z dnia 8 marca 2013 r. o</w:t>
      </w:r>
      <w:r w:rsidR="00E94FC6">
        <w:rPr>
          <w:rFonts w:ascii="Arial" w:hAnsi="Arial" w:cs="Arial"/>
        </w:rPr>
        <w:t> </w:t>
      </w:r>
      <w:r w:rsidR="0053202E" w:rsidRPr="00925BCD">
        <w:rPr>
          <w:rFonts w:ascii="Arial" w:hAnsi="Arial" w:cs="Arial"/>
        </w:rPr>
        <w:t>środkach ochrony roślin</w:t>
      </w:r>
      <w:r w:rsidR="005B39A0">
        <w:rPr>
          <w:rFonts w:ascii="Arial" w:hAnsi="Arial" w:cs="Arial"/>
        </w:rPr>
        <w:t>,</w:t>
      </w:r>
      <w:r w:rsidR="0053202E" w:rsidRPr="00925BCD">
        <w:rPr>
          <w:rFonts w:ascii="Arial" w:hAnsi="Arial" w:cs="Arial"/>
        </w:rPr>
        <w:t xml:space="preserve"> inspektorzy Państwowej Inspekcji Ochrony Roślin i Nasiennictwa przeprowadzili </w:t>
      </w:r>
      <w:r w:rsidR="00450611">
        <w:rPr>
          <w:rFonts w:ascii="Arial" w:hAnsi="Arial" w:cs="Arial"/>
        </w:rPr>
        <w:t>626</w:t>
      </w:r>
      <w:r w:rsidR="0053202E" w:rsidRPr="00925BCD">
        <w:rPr>
          <w:rFonts w:ascii="Arial" w:hAnsi="Arial" w:cs="Arial"/>
        </w:rPr>
        <w:t xml:space="preserve"> kontroli, w tym </w:t>
      </w:r>
      <w:r w:rsidR="00450611">
        <w:rPr>
          <w:rFonts w:ascii="Arial" w:hAnsi="Arial" w:cs="Arial"/>
        </w:rPr>
        <w:t>620</w:t>
      </w:r>
      <w:r w:rsidR="0053202E" w:rsidRPr="00925BCD">
        <w:rPr>
          <w:rFonts w:ascii="Arial" w:hAnsi="Arial" w:cs="Arial"/>
        </w:rPr>
        <w:t xml:space="preserve"> bez nieprawidłowości, </w:t>
      </w:r>
    </w:p>
    <w:p w14:paraId="02DBB794" w14:textId="1A4EE5EF" w:rsidR="00DF0CE3" w:rsidRDefault="00C01C97" w:rsidP="008E19F4">
      <w:pPr>
        <w:pStyle w:val="NormalnyWeb"/>
        <w:tabs>
          <w:tab w:val="left" w:pos="284"/>
        </w:tabs>
        <w:spacing w:after="120" w:line="360" w:lineRule="auto"/>
        <w:ind w:firstLine="284"/>
        <w:jc w:val="both"/>
        <w:rPr>
          <w:rFonts w:ascii="Arial" w:hAnsi="Arial" w:cs="Arial"/>
        </w:rPr>
      </w:pPr>
      <w:r>
        <w:rPr>
          <w:rFonts w:ascii="Arial" w:hAnsi="Arial" w:cs="Arial"/>
        </w:rPr>
        <w:t>Natomiast z</w:t>
      </w:r>
      <w:r w:rsidR="00E94FC6" w:rsidRPr="00E94FC6">
        <w:rPr>
          <w:rFonts w:ascii="Arial" w:hAnsi="Arial" w:cs="Arial"/>
        </w:rPr>
        <w:t>a naruszanie przepisów art. 35 ust. 1 ww. ustawy</w:t>
      </w:r>
      <w:r w:rsidR="008E19F4">
        <w:rPr>
          <w:rFonts w:ascii="Arial" w:hAnsi="Arial" w:cs="Arial"/>
        </w:rPr>
        <w:t xml:space="preserve"> – „ś</w:t>
      </w:r>
      <w:r w:rsidR="008E19F4" w:rsidRPr="008E19F4">
        <w:rPr>
          <w:rFonts w:ascii="Arial" w:hAnsi="Arial" w:cs="Arial"/>
        </w:rPr>
        <w:t>rodki ochrony roślin należy stosować w taki sposób, aby nie</w:t>
      </w:r>
      <w:r w:rsidR="008E19F4">
        <w:rPr>
          <w:rFonts w:ascii="Arial" w:hAnsi="Arial" w:cs="Arial"/>
        </w:rPr>
        <w:t xml:space="preserve"> </w:t>
      </w:r>
      <w:r w:rsidR="008E19F4" w:rsidRPr="008E19F4">
        <w:rPr>
          <w:rFonts w:ascii="Arial" w:hAnsi="Arial" w:cs="Arial"/>
        </w:rPr>
        <w:t>stwarzać zagrożenia dla zdrowia ludzi, zwierząt oraz dla środowiska, w tym</w:t>
      </w:r>
      <w:r w:rsidR="008E19F4">
        <w:rPr>
          <w:rFonts w:ascii="Arial" w:hAnsi="Arial" w:cs="Arial"/>
        </w:rPr>
        <w:t xml:space="preserve"> </w:t>
      </w:r>
      <w:r w:rsidR="008E19F4" w:rsidRPr="008E19F4">
        <w:rPr>
          <w:rFonts w:ascii="Arial" w:hAnsi="Arial" w:cs="Arial"/>
        </w:rPr>
        <w:t>przeciwdziałać zniesieniu środków ochrony roślin na obszary i obiekty niebędące</w:t>
      </w:r>
      <w:r w:rsidR="008E19F4">
        <w:rPr>
          <w:rFonts w:ascii="Arial" w:hAnsi="Arial" w:cs="Arial"/>
        </w:rPr>
        <w:t xml:space="preserve"> </w:t>
      </w:r>
      <w:r w:rsidR="008E19F4" w:rsidRPr="008E19F4">
        <w:rPr>
          <w:rFonts w:ascii="Arial" w:hAnsi="Arial" w:cs="Arial"/>
        </w:rPr>
        <w:t>celem zabiegu z zastosowaniem tych środków oraz planować stosowanie środków</w:t>
      </w:r>
      <w:r w:rsidR="008E19F4">
        <w:rPr>
          <w:rFonts w:ascii="Arial" w:hAnsi="Arial" w:cs="Arial"/>
        </w:rPr>
        <w:t xml:space="preserve"> </w:t>
      </w:r>
      <w:r w:rsidR="008E19F4" w:rsidRPr="008E19F4">
        <w:rPr>
          <w:rFonts w:ascii="Arial" w:hAnsi="Arial" w:cs="Arial"/>
        </w:rPr>
        <w:t>ochrony roślin z uwzględnieniem okresu, w którym ludzie będą przebywać na</w:t>
      </w:r>
      <w:r w:rsidR="008E19F4">
        <w:rPr>
          <w:rFonts w:ascii="Arial" w:hAnsi="Arial" w:cs="Arial"/>
        </w:rPr>
        <w:t xml:space="preserve"> </w:t>
      </w:r>
      <w:r w:rsidR="008E19F4" w:rsidRPr="008E19F4">
        <w:rPr>
          <w:rFonts w:ascii="Arial" w:hAnsi="Arial" w:cs="Arial"/>
        </w:rPr>
        <w:t>obszarze objętym zabiegiem</w:t>
      </w:r>
      <w:r w:rsidR="008E19F4">
        <w:rPr>
          <w:rFonts w:ascii="Arial" w:hAnsi="Arial" w:cs="Arial"/>
        </w:rPr>
        <w:t>” –</w:t>
      </w:r>
      <w:r w:rsidR="00E94FC6" w:rsidRPr="00E94FC6">
        <w:rPr>
          <w:rFonts w:ascii="Arial" w:hAnsi="Arial" w:cs="Arial"/>
        </w:rPr>
        <w:t xml:space="preserve"> (stosownie do przepisów karnych art. 76 ust. 1 pkt. 20 ww. ustawy) w 20</w:t>
      </w:r>
      <w:r w:rsidR="00947CB9">
        <w:rPr>
          <w:rFonts w:ascii="Arial" w:hAnsi="Arial" w:cs="Arial"/>
        </w:rPr>
        <w:t>23</w:t>
      </w:r>
      <w:r w:rsidR="00E94FC6" w:rsidRPr="00E94FC6">
        <w:rPr>
          <w:rFonts w:ascii="Arial" w:hAnsi="Arial" w:cs="Arial"/>
        </w:rPr>
        <w:t xml:space="preserve"> r. </w:t>
      </w:r>
      <w:r w:rsidR="00E94FC6" w:rsidRPr="00AA3923">
        <w:rPr>
          <w:rFonts w:ascii="Arial" w:hAnsi="Arial" w:cs="Arial"/>
        </w:rPr>
        <w:t xml:space="preserve">wydano </w:t>
      </w:r>
      <w:r w:rsidR="005E0BC2" w:rsidRPr="00AA3923">
        <w:rPr>
          <w:rFonts w:ascii="Arial" w:hAnsi="Arial" w:cs="Arial"/>
        </w:rPr>
        <w:t>235</w:t>
      </w:r>
      <w:r w:rsidR="00E94FC6" w:rsidRPr="00AA3923">
        <w:rPr>
          <w:rFonts w:ascii="Arial" w:hAnsi="Arial" w:cs="Arial"/>
        </w:rPr>
        <w:t xml:space="preserve"> mandatów</w:t>
      </w:r>
      <w:r w:rsidR="00AB1706" w:rsidRPr="00AA3923">
        <w:rPr>
          <w:rFonts w:ascii="Arial" w:hAnsi="Arial" w:cs="Arial"/>
        </w:rPr>
        <w:t xml:space="preserve"> i złożono jeden wniosek do sądu o ukaranie</w:t>
      </w:r>
      <w:r w:rsidR="00DF0CE3" w:rsidRPr="00AA3923">
        <w:rPr>
          <w:rFonts w:ascii="Arial" w:hAnsi="Arial" w:cs="Arial"/>
        </w:rPr>
        <w:t>.</w:t>
      </w:r>
      <w:r w:rsidR="00E94FC6" w:rsidRPr="00AA3923">
        <w:rPr>
          <w:rFonts w:ascii="Arial" w:hAnsi="Arial" w:cs="Arial"/>
        </w:rPr>
        <w:t xml:space="preserve"> </w:t>
      </w:r>
    </w:p>
    <w:p w14:paraId="08A0BFCE" w14:textId="77777777" w:rsidR="004E469F" w:rsidRPr="00AA3923" w:rsidRDefault="004E469F" w:rsidP="008E19F4">
      <w:pPr>
        <w:pStyle w:val="NormalnyWeb"/>
        <w:tabs>
          <w:tab w:val="left" w:pos="284"/>
        </w:tabs>
        <w:spacing w:after="120" w:line="360" w:lineRule="auto"/>
        <w:ind w:firstLine="284"/>
        <w:jc w:val="both"/>
        <w:rPr>
          <w:rFonts w:ascii="Arial" w:hAnsi="Arial" w:cs="Arial"/>
        </w:rPr>
      </w:pPr>
    </w:p>
    <w:p w14:paraId="63E80279" w14:textId="77777777" w:rsidR="008B5F95" w:rsidRDefault="00923F0D" w:rsidP="00FF02B1">
      <w:pPr>
        <w:pStyle w:val="Nagwek1"/>
        <w:numPr>
          <w:ilvl w:val="3"/>
          <w:numId w:val="2"/>
        </w:numPr>
        <w:tabs>
          <w:tab w:val="left" w:pos="2552"/>
        </w:tabs>
        <w:ind w:left="284" w:hanging="426"/>
        <w:jc w:val="both"/>
        <w:rPr>
          <w:i w:val="0"/>
          <w:sz w:val="22"/>
          <w:szCs w:val="22"/>
        </w:rPr>
      </w:pPr>
      <w:bookmarkStart w:id="39" w:name="_Toc193716399"/>
      <w:r>
        <w:rPr>
          <w:i w:val="0"/>
          <w:sz w:val="22"/>
          <w:szCs w:val="22"/>
        </w:rPr>
        <w:lastRenderedPageBreak/>
        <w:t>Działanie 9. Wyeliminowanie zagrożeń na poszczególnych etapach wykonywania zabiegów ochrony roślin</w:t>
      </w:r>
      <w:bookmarkEnd w:id="39"/>
      <w:r>
        <w:rPr>
          <w:i w:val="0"/>
          <w:sz w:val="22"/>
          <w:szCs w:val="22"/>
        </w:rPr>
        <w:t xml:space="preserve"> </w:t>
      </w:r>
    </w:p>
    <w:p w14:paraId="56B3CBAD" w14:textId="55D21BC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Zagrożenia związane ze stosowaniem środków ochrony roślin mogą wystąpić nie tylko podczas samego stosowania tych środków, ale również na innych etapach przygotowywania i wykonywania zabiegu. Szczególne znaczenie dla zapewnienia bezpieczeństwa ma właściwe przechowywanie środków ochrony roślin (w celu uniemożliwienia ich przeniknięcia do wód lub środowiska glebowego w razie przypadkowego wylania lub rozsypania środka, przypadkowego kontaktu ze środkiem osób nieuprawnionych lub zwierząt</w:t>
      </w:r>
      <w:r w:rsidR="006F2688">
        <w:rPr>
          <w:rFonts w:ascii="Arial" w:hAnsi="Arial" w:cs="Arial"/>
        </w:rPr>
        <w:t xml:space="preserve">), </w:t>
      </w:r>
      <w:r>
        <w:rPr>
          <w:rFonts w:ascii="Arial" w:hAnsi="Arial" w:cs="Arial"/>
        </w:rPr>
        <w:t>sporządzanie cieczy użytkowej (ryzyko rozlan</w:t>
      </w:r>
      <w:r w:rsidR="006F2688">
        <w:rPr>
          <w:rFonts w:ascii="Arial" w:hAnsi="Arial" w:cs="Arial"/>
        </w:rPr>
        <w:t>i</w:t>
      </w:r>
      <w:r>
        <w:rPr>
          <w:rFonts w:ascii="Arial" w:hAnsi="Arial" w:cs="Arial"/>
        </w:rPr>
        <w:t>a środka i powstania skażeń punktowych), a także zagospodarowywania pozostałości cieczy użytkowej i mycia sprzętu przeznaczonego do wykonywania zabiegu po jego przeprowadzeniu. Działanie to służy osiągnięciu celów określonych w art. 13 dyrektywy 2009/128/WE.</w:t>
      </w:r>
    </w:p>
    <w:p w14:paraId="4A997F05"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Ponieważ użytkownicy nieprofesjonalni środków ochrony roślin na ogół nie są w stanie spełnić wymogów dotyczących właściwego przechowywania środków ochrony roślin, mycia użytego sprzętu lub zagospodarowywania resztek po zabiegu (środki ochrony roślin są przechowywane i wykorzystywane przez amatorów m.in. w pomieszczeniach mieszkalnych), osoby takie nie powinny mieć swobodnego dostępu do środków szczególnie niebezpiecznych. </w:t>
      </w:r>
    </w:p>
    <w:p w14:paraId="7DAAAE1E"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związku z powyższym zostały przyjęte przepisy określające szczegółowo sposób wykonywania poszczególnych czynności związanych z ochroną roślin, w tym sposób:</w:t>
      </w:r>
    </w:p>
    <w:p w14:paraId="17E6A3CC" w14:textId="77777777" w:rsidR="008B5F95" w:rsidRDefault="00923F0D" w:rsidP="00E74A80">
      <w:pPr>
        <w:pStyle w:val="napakapit"/>
        <w:numPr>
          <w:ilvl w:val="0"/>
          <w:numId w:val="6"/>
        </w:numPr>
        <w:tabs>
          <w:tab w:val="clear" w:pos="4536"/>
        </w:tabs>
        <w:ind w:left="851" w:hanging="425"/>
        <w:rPr>
          <w:rFonts w:cs="Arial"/>
        </w:rPr>
      </w:pPr>
      <w:r>
        <w:rPr>
          <w:rFonts w:cs="Arial"/>
        </w:rPr>
        <w:t>przechowywania środków ochrony roślin (obejmujący wymogi bezpieczeństwa i higieny pracy, wymagania dla obiektów, w jakich środki te są przechowywane);</w:t>
      </w:r>
    </w:p>
    <w:p w14:paraId="062675FF" w14:textId="54731DC9" w:rsidR="008B5F95" w:rsidRDefault="00923F0D" w:rsidP="00E74A80">
      <w:pPr>
        <w:pStyle w:val="napakapit"/>
        <w:numPr>
          <w:ilvl w:val="0"/>
          <w:numId w:val="6"/>
        </w:numPr>
        <w:tabs>
          <w:tab w:val="clear" w:pos="4536"/>
          <w:tab w:val="left" w:pos="360"/>
        </w:tabs>
        <w:ind w:left="851" w:hanging="425"/>
        <w:rPr>
          <w:rFonts w:cs="Arial"/>
        </w:rPr>
      </w:pPr>
      <w:r>
        <w:rPr>
          <w:rFonts w:cs="Arial"/>
        </w:rPr>
        <w:t>sporządzania cieczy użytkowej (minimalna odległość wykonywania takich czynności od zbiorników i cieków wodnych);</w:t>
      </w:r>
    </w:p>
    <w:p w14:paraId="0C89638C" w14:textId="47FA4B61" w:rsidR="008B5F95" w:rsidRDefault="00923F0D" w:rsidP="00E74A80">
      <w:pPr>
        <w:pStyle w:val="napakapit"/>
        <w:numPr>
          <w:ilvl w:val="0"/>
          <w:numId w:val="6"/>
        </w:numPr>
        <w:tabs>
          <w:tab w:val="clear" w:pos="4536"/>
          <w:tab w:val="left" w:pos="360"/>
        </w:tabs>
        <w:ind w:left="851" w:hanging="425"/>
        <w:rPr>
          <w:rFonts w:cs="Arial"/>
        </w:rPr>
      </w:pPr>
      <w:r>
        <w:rPr>
          <w:rFonts w:cs="Arial"/>
        </w:rPr>
        <w:t>stosowania środków ochrony roślin (w tym wymogi dotyczące zachowania stref buforowych, warunków atmosferycznych, w jakich mogą być wykonywane zabiegi);</w:t>
      </w:r>
    </w:p>
    <w:p w14:paraId="0DBCB646" w14:textId="682AA0A7" w:rsidR="008B5F95" w:rsidRDefault="00923F0D" w:rsidP="00E74A80">
      <w:pPr>
        <w:pStyle w:val="napakapit"/>
        <w:numPr>
          <w:ilvl w:val="0"/>
          <w:numId w:val="6"/>
        </w:numPr>
        <w:tabs>
          <w:tab w:val="clear" w:pos="4536"/>
          <w:tab w:val="left" w:pos="360"/>
        </w:tabs>
        <w:ind w:left="851" w:hanging="425"/>
        <w:rPr>
          <w:rFonts w:cs="Arial"/>
        </w:rPr>
      </w:pPr>
      <w:r>
        <w:rPr>
          <w:rFonts w:cs="Arial"/>
        </w:rPr>
        <w:t>czyszczenia sprzętu przeznaczonego do stosowania środków ochrony roślin (określający minimalną odległość, w jakiej te czynności mogą być wykonywane od zbiorników i cieków wodnych);</w:t>
      </w:r>
    </w:p>
    <w:p w14:paraId="1BA948B0" w14:textId="77777777" w:rsidR="008B5F95" w:rsidRDefault="00923F0D" w:rsidP="00E74A80">
      <w:pPr>
        <w:pStyle w:val="napakapit"/>
        <w:numPr>
          <w:ilvl w:val="0"/>
          <w:numId w:val="6"/>
        </w:numPr>
        <w:tabs>
          <w:tab w:val="clear" w:pos="4536"/>
          <w:tab w:val="left" w:pos="360"/>
        </w:tabs>
        <w:ind w:left="851" w:hanging="425"/>
        <w:rPr>
          <w:rFonts w:cs="Arial"/>
        </w:rPr>
      </w:pPr>
      <w:r>
        <w:rPr>
          <w:rFonts w:cs="Arial"/>
        </w:rPr>
        <w:t>postępowania z pozostałościami cieczy użytkowej po zakończonych zabiegach;</w:t>
      </w:r>
    </w:p>
    <w:p w14:paraId="485656B0" w14:textId="77777777" w:rsidR="008B5F95" w:rsidRDefault="00923F0D" w:rsidP="00E74A80">
      <w:pPr>
        <w:pStyle w:val="napakapit"/>
        <w:numPr>
          <w:ilvl w:val="0"/>
          <w:numId w:val="6"/>
        </w:numPr>
        <w:tabs>
          <w:tab w:val="clear" w:pos="4536"/>
          <w:tab w:val="left" w:pos="360"/>
        </w:tabs>
        <w:ind w:left="851" w:hanging="425"/>
        <w:rPr>
          <w:rFonts w:cs="Arial"/>
        </w:rPr>
      </w:pPr>
      <w:r>
        <w:rPr>
          <w:rFonts w:cs="Arial"/>
        </w:rPr>
        <w:t xml:space="preserve">postępowania z pustymi opakowaniami po środkach ochrony roślin. </w:t>
      </w:r>
    </w:p>
    <w:p w14:paraId="3348741B" w14:textId="481C1CC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Sposób postępowania, eliminujący ryzyko związane z wykonywaniem każdej z powyższych czynności został określony w rozporządzeniu Ministra Rolnictwa i Rozwoju Wsi z dnia 24 czerwca 2002</w:t>
      </w:r>
      <w:r w:rsidR="00706884">
        <w:rPr>
          <w:rFonts w:ascii="Arial" w:hAnsi="Arial" w:cs="Arial"/>
        </w:rPr>
        <w:t> </w:t>
      </w:r>
      <w:r>
        <w:rPr>
          <w:rFonts w:ascii="Arial" w:hAnsi="Arial" w:cs="Arial"/>
        </w:rPr>
        <w:t>r. w sprawie bezpieczeństwa i higieny pracy przy stosowaniu i magazynowaniu środków ochrony roślin oraz nawozów mineralnych i organiczno-mineralnych (Dz. U. poz. 896, z późn. zm.), rozporządzeniu Ministra Rolnictwa i Rozwoju Wsi z dnia 22 maja 2013 r. w sprawie sposobu postępowania przy stosowaniu i przechowywaniu środków ochrony roślin, ustawie z dnia 13 czerwca 2013 r. o gospodarce opakowaniami i odpadami opakowaniowymi (Dz. U. z 20</w:t>
      </w:r>
      <w:r w:rsidR="005941E6">
        <w:rPr>
          <w:rFonts w:ascii="Arial" w:hAnsi="Arial" w:cs="Arial"/>
        </w:rPr>
        <w:t>2</w:t>
      </w:r>
      <w:r w:rsidR="00706884">
        <w:rPr>
          <w:rFonts w:ascii="Arial" w:hAnsi="Arial" w:cs="Arial"/>
        </w:rPr>
        <w:t>4</w:t>
      </w:r>
      <w:r>
        <w:rPr>
          <w:rFonts w:ascii="Arial" w:hAnsi="Arial" w:cs="Arial"/>
        </w:rPr>
        <w:t xml:space="preserve"> r. poz. </w:t>
      </w:r>
      <w:r w:rsidR="00706884">
        <w:rPr>
          <w:rFonts w:ascii="Arial" w:hAnsi="Arial" w:cs="Arial"/>
        </w:rPr>
        <w:t>927</w:t>
      </w:r>
      <w:r w:rsidR="000161CA">
        <w:rPr>
          <w:rFonts w:ascii="Arial" w:hAnsi="Arial" w:cs="Arial"/>
        </w:rPr>
        <w:t>, z późn. zm.</w:t>
      </w:r>
      <w:r>
        <w:rPr>
          <w:rFonts w:ascii="Arial" w:hAnsi="Arial" w:cs="Arial"/>
        </w:rPr>
        <w:t xml:space="preserve">) oraz rozporządzeniu Ministra Rolnictwa i Rozwoju Wsi z dnia 31 marca 2014 r. w sprawie </w:t>
      </w:r>
      <w:r>
        <w:rPr>
          <w:rFonts w:ascii="Arial" w:hAnsi="Arial" w:cs="Arial"/>
        </w:rPr>
        <w:lastRenderedPageBreak/>
        <w:t>warunków stosowania środków ochrony roślin.</w:t>
      </w:r>
    </w:p>
    <w:p w14:paraId="7D9B054C"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Zostały przyjęte także rozwiązania ograniczające dostęp użytkowników nieprofesjonalnych do preparatów stwarzających największe zagrożenie. Osoby takie na ogół nie mają bowiem szczegółowej wiedzy dotyczącej bezpiecznego stosowania środków ochrony roślin, jak również wykorzystują te środki w miejscach, w których trudno jest zachować warunki bezpiecznego ich stosowania (w pomieszczeniach mieszkalnych, na balkonach i w ogrodach przydomowych). </w:t>
      </w:r>
    </w:p>
    <w:p w14:paraId="3F273E7A"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Zgodnie z art. 36 ust. 4 ustawy z dnia 8 marca 2013 r. o środkach ochrony roślin zostało zabronione stosowanie przez użytkowników nieprofesjonalnych, w formie oprysku lub fumigacji, a także wykorzystywanie do zaprawiania nasion, środków ochrony roślin zaklasyfikowanych, zgodnie z przepisami rozporządzenia Parlamentu Europejskiego i Rady (WE) nr 1272/2008 z dnia 16 grudnia 2008 r. w sprawie klasyfikacji, oznakowania i pakowania substancji i mieszanin, zmieniającego i uchylającego dyrektywy 67/548/EWG i 1999/45/WE oraz zmieniającego rozporządzenie (WE) nr 1907/2006, do co najmniej jednej z poniższych klas i kategorii zagrożenia: </w:t>
      </w:r>
    </w:p>
    <w:p w14:paraId="5F94B08D" w14:textId="77777777" w:rsidR="008B5F95" w:rsidRDefault="00923F0D" w:rsidP="00E74A80">
      <w:pPr>
        <w:pStyle w:val="napakapit"/>
        <w:numPr>
          <w:ilvl w:val="0"/>
          <w:numId w:val="11"/>
        </w:numPr>
        <w:ind w:left="709" w:hanging="425"/>
      </w:pPr>
      <w:r>
        <w:t>toksyczność ostra kategoria 1, 2 i 3;</w:t>
      </w:r>
    </w:p>
    <w:p w14:paraId="6645F014" w14:textId="77777777" w:rsidR="008B5F95" w:rsidRDefault="00923F0D" w:rsidP="00E74A80">
      <w:pPr>
        <w:pStyle w:val="napakapit"/>
        <w:numPr>
          <w:ilvl w:val="0"/>
          <w:numId w:val="11"/>
        </w:numPr>
        <w:ind w:left="709" w:hanging="425"/>
      </w:pPr>
      <w:r>
        <w:t>działanie rakotwórcze;</w:t>
      </w:r>
    </w:p>
    <w:p w14:paraId="24182DD2" w14:textId="77777777" w:rsidR="008B5F95" w:rsidRDefault="00923F0D" w:rsidP="00E74A80">
      <w:pPr>
        <w:pStyle w:val="napakapit"/>
        <w:numPr>
          <w:ilvl w:val="0"/>
          <w:numId w:val="11"/>
        </w:numPr>
        <w:ind w:left="709" w:hanging="425"/>
      </w:pPr>
      <w:r>
        <w:t>działanie mutagenne;</w:t>
      </w:r>
    </w:p>
    <w:p w14:paraId="4EA2A31C" w14:textId="77777777" w:rsidR="008B5F95" w:rsidRDefault="00923F0D" w:rsidP="00E74A80">
      <w:pPr>
        <w:pStyle w:val="napakapit"/>
        <w:numPr>
          <w:ilvl w:val="0"/>
          <w:numId w:val="11"/>
        </w:numPr>
        <w:ind w:left="709" w:hanging="425"/>
      </w:pPr>
      <w:r>
        <w:t>działanie szkodliwe na rozrodczość;</w:t>
      </w:r>
    </w:p>
    <w:p w14:paraId="5058507F" w14:textId="77777777" w:rsidR="008B5F95" w:rsidRDefault="00923F0D" w:rsidP="00E74A80">
      <w:pPr>
        <w:pStyle w:val="napakapit"/>
        <w:numPr>
          <w:ilvl w:val="0"/>
          <w:numId w:val="11"/>
        </w:numPr>
        <w:ind w:left="709" w:hanging="425"/>
      </w:pPr>
      <w:r>
        <w:t>działanie toksyczne na narządy docelowe po narażeniu jednorazowym (STOT SE) kategoria 1;</w:t>
      </w:r>
    </w:p>
    <w:p w14:paraId="6715047B" w14:textId="77777777" w:rsidR="008B5F95" w:rsidRDefault="00923F0D" w:rsidP="00E74A80">
      <w:pPr>
        <w:pStyle w:val="napakapit"/>
        <w:numPr>
          <w:ilvl w:val="0"/>
          <w:numId w:val="11"/>
        </w:numPr>
        <w:ind w:left="709" w:hanging="425"/>
      </w:pPr>
      <w:r>
        <w:t>działanie toksyczne na narządy docelowe po narażeniu powtarzanym (STOT RE) kategoria 1.</w:t>
      </w:r>
    </w:p>
    <w:p w14:paraId="2C59D58D" w14:textId="46620D65"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Wyeliminowanie zagrożeń na poszczególnych etapach wykonywania zabiegów ochrony roślin to także dbałość, aby środki ochrony były stosowane w sposób nie stwarzający zagrożenia dla zdrowia ludzi i zwierząt oraz dla środowiska (promowanie dobrych praktyk dotyczyć musi nie tylko wykonywania oprysków, ale i innych metod stosowania środków ochrony roślin, jak np. zaprawianie nasion), a także przeciwdziałanie zniesieniu środków ochrony roślin na obszary i obiekty niebędące celem zabiegu. Szczególną uwagę należy zwrócić przy tym na ochronę owadów zapylających.</w:t>
      </w:r>
    </w:p>
    <w:p w14:paraId="17387EEA" w14:textId="7D40013C" w:rsidR="00562A64" w:rsidRPr="00562A64" w:rsidRDefault="00923F0D" w:rsidP="00562A64">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ramach działania </w:t>
      </w:r>
      <w:r w:rsidR="002E5D41">
        <w:rPr>
          <w:rFonts w:ascii="Arial" w:hAnsi="Arial" w:cs="Arial"/>
        </w:rPr>
        <w:t xml:space="preserve">w 2023 r. </w:t>
      </w:r>
      <w:r w:rsidR="00562A64" w:rsidRPr="00562A64">
        <w:rPr>
          <w:rFonts w:ascii="Arial" w:hAnsi="Arial" w:cs="Arial"/>
        </w:rPr>
        <w:t>inspektorzy Państwowej Inspekcji Ochrony Roślin i Nasiennictwa prowadzili kontrole dotyczące bezpiecznego stosowania środków ochrony roślin i ich przechowywania.</w:t>
      </w:r>
    </w:p>
    <w:p w14:paraId="6244B283" w14:textId="5FF13292" w:rsidR="00562A64" w:rsidRDefault="00562A64" w:rsidP="00562A64">
      <w:pPr>
        <w:pStyle w:val="NormalnyWeb"/>
        <w:tabs>
          <w:tab w:val="left" w:pos="284"/>
        </w:tabs>
        <w:spacing w:beforeAutospacing="0" w:after="120" w:afterAutospacing="0" w:line="360" w:lineRule="auto"/>
        <w:ind w:firstLine="284"/>
        <w:jc w:val="both"/>
        <w:rPr>
          <w:rFonts w:ascii="Arial" w:hAnsi="Arial" w:cs="Arial"/>
        </w:rPr>
      </w:pPr>
      <w:r w:rsidRPr="00562A64">
        <w:rPr>
          <w:rFonts w:ascii="Arial" w:hAnsi="Arial" w:cs="Arial"/>
        </w:rPr>
        <w:t>Liczba stwierdzonych nieprawidłowości w zakresie bezpiecznego stosowania środków ochrony roślin i ich przechowywania w 20</w:t>
      </w:r>
      <w:r w:rsidR="0013786F">
        <w:rPr>
          <w:rFonts w:ascii="Arial" w:hAnsi="Arial" w:cs="Arial"/>
        </w:rPr>
        <w:t>23</w:t>
      </w:r>
      <w:r w:rsidRPr="00562A64">
        <w:rPr>
          <w:rFonts w:ascii="Arial" w:hAnsi="Arial" w:cs="Arial"/>
        </w:rPr>
        <w:t xml:space="preserve"> r. </w:t>
      </w:r>
      <w:r w:rsidR="0013786F" w:rsidRPr="00562A64">
        <w:rPr>
          <w:rFonts w:ascii="Arial" w:hAnsi="Arial" w:cs="Arial"/>
        </w:rPr>
        <w:t xml:space="preserve">wyniosła </w:t>
      </w:r>
      <w:r w:rsidR="001812A2">
        <w:rPr>
          <w:rFonts w:ascii="Arial" w:hAnsi="Arial" w:cs="Arial"/>
        </w:rPr>
        <w:t xml:space="preserve">odpowiednio </w:t>
      </w:r>
      <w:r w:rsidRPr="00562A64">
        <w:rPr>
          <w:rFonts w:ascii="Arial" w:hAnsi="Arial" w:cs="Arial"/>
        </w:rPr>
        <w:t>23</w:t>
      </w:r>
      <w:r w:rsidR="00C448BF">
        <w:rPr>
          <w:rFonts w:ascii="Arial" w:hAnsi="Arial" w:cs="Arial"/>
        </w:rPr>
        <w:t>4</w:t>
      </w:r>
      <w:r w:rsidRPr="00562A64">
        <w:rPr>
          <w:rFonts w:ascii="Arial" w:hAnsi="Arial" w:cs="Arial"/>
        </w:rPr>
        <w:t xml:space="preserve"> i 1</w:t>
      </w:r>
      <w:r w:rsidR="00C448BF">
        <w:rPr>
          <w:rFonts w:ascii="Arial" w:hAnsi="Arial" w:cs="Arial"/>
        </w:rPr>
        <w:t>1</w:t>
      </w:r>
      <w:r w:rsidRPr="00562A64">
        <w:rPr>
          <w:rFonts w:ascii="Arial" w:hAnsi="Arial" w:cs="Arial"/>
        </w:rPr>
        <w:t>.</w:t>
      </w:r>
    </w:p>
    <w:p w14:paraId="1D3F400E" w14:textId="77777777" w:rsidR="008B5F95" w:rsidRDefault="00923F0D" w:rsidP="00354AAA">
      <w:pPr>
        <w:pStyle w:val="Nagwek1"/>
        <w:numPr>
          <w:ilvl w:val="3"/>
          <w:numId w:val="2"/>
        </w:numPr>
        <w:tabs>
          <w:tab w:val="left" w:pos="2552"/>
        </w:tabs>
        <w:ind w:left="284" w:hanging="426"/>
        <w:jc w:val="both"/>
        <w:rPr>
          <w:i w:val="0"/>
          <w:sz w:val="22"/>
          <w:szCs w:val="22"/>
        </w:rPr>
      </w:pPr>
      <w:bookmarkStart w:id="40" w:name="_Toc193716400"/>
      <w:r>
        <w:rPr>
          <w:i w:val="0"/>
          <w:sz w:val="22"/>
          <w:szCs w:val="22"/>
        </w:rPr>
        <w:t>Działanie 10. Integrowana ochrona roślin</w:t>
      </w:r>
      <w:bookmarkEnd w:id="40"/>
    </w:p>
    <w:p w14:paraId="1E89140F"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Podstawowym celem krajowego planu działania jest upowszechnianie zasad integrowanej ochrony roślin. Działanie to służy osiągnięciu celów określonych w art. 14 dyrektywy 2009/128/WE.</w:t>
      </w:r>
    </w:p>
    <w:p w14:paraId="0BD3350E"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Wdrożenie zasad integrowanej ochrony roślin, której głównym założeniem jest racjonalne stosowanie środków ochrony roślin, na podstawie faktycznej potrzeby wykonania zabiegu, z uwzględnieniem w pierwszej kolejności metod niechemicznych, w najbardziej efektywny sposób </w:t>
      </w:r>
      <w:r>
        <w:rPr>
          <w:rFonts w:ascii="Arial" w:hAnsi="Arial" w:cs="Arial"/>
        </w:rPr>
        <w:lastRenderedPageBreak/>
        <w:t xml:space="preserve">ogranicza zagrożenia związane ze stosowaniem środków ochrony roślin. </w:t>
      </w:r>
    </w:p>
    <w:p w14:paraId="40A71701" w14:textId="0B07DF60"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Zadanie to stanowi kontynuację działań realizowanych w ramach krajowego planu działania na lata 2013–2017</w:t>
      </w:r>
      <w:r w:rsidR="00F91C17">
        <w:rPr>
          <w:rFonts w:ascii="Arial" w:hAnsi="Arial" w:cs="Arial"/>
        </w:rPr>
        <w:t xml:space="preserve"> oraz </w:t>
      </w:r>
      <w:r w:rsidR="00423CE0" w:rsidRPr="00423CE0">
        <w:rPr>
          <w:rFonts w:ascii="Arial" w:hAnsi="Arial" w:cs="Arial"/>
        </w:rPr>
        <w:t>krajowego planu działania na lata 201</w:t>
      </w:r>
      <w:r w:rsidR="00423CE0">
        <w:rPr>
          <w:rFonts w:ascii="Arial" w:hAnsi="Arial" w:cs="Arial"/>
        </w:rPr>
        <w:t>8</w:t>
      </w:r>
      <w:r w:rsidR="00423CE0" w:rsidRPr="00423CE0">
        <w:rPr>
          <w:rFonts w:ascii="Arial" w:hAnsi="Arial" w:cs="Arial"/>
        </w:rPr>
        <w:t>–20</w:t>
      </w:r>
      <w:r w:rsidR="00423CE0">
        <w:rPr>
          <w:rFonts w:ascii="Arial" w:hAnsi="Arial" w:cs="Arial"/>
        </w:rPr>
        <w:t>22</w:t>
      </w:r>
      <w:r>
        <w:rPr>
          <w:rFonts w:ascii="Arial" w:hAnsi="Arial" w:cs="Arial"/>
        </w:rPr>
        <w:t xml:space="preserve">, dzięki którym upowszechniono głównie wśród użytkowników profesjonalnych środków ochrony roślin zasady integrowanej ochrony roślin, ograniczając tym samym zagrożenia związane z wykorzystywaniem tych środków.  </w:t>
      </w:r>
    </w:p>
    <w:p w14:paraId="652A4EB0" w14:textId="3A94CF6A"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Promowanie zasad integrowanej ochrony roślin realizowane </w:t>
      </w:r>
      <w:r w:rsidR="006A2115">
        <w:rPr>
          <w:rFonts w:ascii="Arial" w:hAnsi="Arial" w:cs="Arial"/>
        </w:rPr>
        <w:t xml:space="preserve">było </w:t>
      </w:r>
      <w:r>
        <w:rPr>
          <w:rFonts w:ascii="Arial" w:hAnsi="Arial" w:cs="Arial"/>
        </w:rPr>
        <w:t>w ramach następujących zadań.</w:t>
      </w:r>
    </w:p>
    <w:p w14:paraId="2319A129" w14:textId="77777777" w:rsidR="008B5F95" w:rsidRDefault="00923F0D">
      <w:pPr>
        <w:pStyle w:val="Nagwek2"/>
        <w:jc w:val="both"/>
        <w:rPr>
          <w:i w:val="0"/>
          <w:sz w:val="20"/>
          <w:szCs w:val="20"/>
        </w:rPr>
      </w:pPr>
      <w:bookmarkStart w:id="41" w:name="_Toc193716401"/>
      <w:r>
        <w:rPr>
          <w:i w:val="0"/>
          <w:sz w:val="20"/>
          <w:szCs w:val="20"/>
        </w:rPr>
        <w:t>Zadanie 1. Upowszechnianie wiedzy z zakresu integrowanej ochrony roślin</w:t>
      </w:r>
      <w:bookmarkEnd w:id="41"/>
    </w:p>
    <w:p w14:paraId="294878F7" w14:textId="70409C2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Zadaniem priorytetowym krajowego planu działania </w:t>
      </w:r>
      <w:r w:rsidR="001D3D8F">
        <w:rPr>
          <w:rFonts w:ascii="Arial" w:hAnsi="Arial" w:cs="Arial"/>
        </w:rPr>
        <w:t>jest</w:t>
      </w:r>
      <w:r>
        <w:rPr>
          <w:rFonts w:ascii="Arial" w:hAnsi="Arial" w:cs="Arial"/>
        </w:rPr>
        <w:t xml:space="preserve"> dalsze upowszechnianie wiedzy na temat integrowanej ochrony roślin. </w:t>
      </w:r>
    </w:p>
    <w:p w14:paraId="5C5551C1" w14:textId="68E6B706"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Zadanie to realizowane </w:t>
      </w:r>
      <w:r w:rsidR="00453373">
        <w:rPr>
          <w:rFonts w:ascii="Arial" w:hAnsi="Arial" w:cs="Arial"/>
        </w:rPr>
        <w:t xml:space="preserve">jest </w:t>
      </w:r>
      <w:r>
        <w:rPr>
          <w:rFonts w:ascii="Arial" w:hAnsi="Arial" w:cs="Arial"/>
        </w:rPr>
        <w:t>przez:</w:t>
      </w:r>
    </w:p>
    <w:p w14:paraId="502E3187" w14:textId="30EF2349" w:rsidR="008B5F95" w:rsidRDefault="00923F0D" w:rsidP="00E74A80">
      <w:pPr>
        <w:pStyle w:val="napakapit"/>
        <w:numPr>
          <w:ilvl w:val="0"/>
          <w:numId w:val="8"/>
        </w:numPr>
        <w:tabs>
          <w:tab w:val="clear" w:pos="4536"/>
        </w:tabs>
        <w:ind w:left="851" w:hanging="425"/>
        <w:rPr>
          <w:rFonts w:cs="Arial"/>
        </w:rPr>
      </w:pPr>
      <w:r>
        <w:rPr>
          <w:rFonts w:cs="Arial"/>
        </w:rPr>
        <w:t>prowadzenie specjalistycznych szkoleń, seminariów i konferencji, pokazów najlepszych praktyk i doświadczeń polowych oraz innych przedsięwzięć w zakresie ochrony roślin;</w:t>
      </w:r>
    </w:p>
    <w:p w14:paraId="172EEEC6" w14:textId="61296B54" w:rsidR="008B5F95" w:rsidRDefault="00923F0D" w:rsidP="00E74A80">
      <w:pPr>
        <w:pStyle w:val="napakapit"/>
        <w:numPr>
          <w:ilvl w:val="0"/>
          <w:numId w:val="8"/>
        </w:numPr>
        <w:tabs>
          <w:tab w:val="clear" w:pos="4536"/>
        </w:tabs>
        <w:ind w:left="851" w:hanging="425"/>
        <w:rPr>
          <w:rFonts w:cs="Arial"/>
        </w:rPr>
      </w:pPr>
      <w:r>
        <w:rPr>
          <w:rFonts w:cs="Arial"/>
        </w:rPr>
        <w:t>przygotowywanie i upowszechnianie wyników badań naukowych, materiałów informacyjnych, szkoleniowych oraz publikację informacji z zakresu ochrony roślin w prasie branżowej;</w:t>
      </w:r>
    </w:p>
    <w:p w14:paraId="7E8AD687" w14:textId="279DA0DB" w:rsidR="008B5F95" w:rsidRDefault="00923F0D" w:rsidP="00E74A80">
      <w:pPr>
        <w:pStyle w:val="napakapit"/>
        <w:numPr>
          <w:ilvl w:val="0"/>
          <w:numId w:val="8"/>
        </w:numPr>
        <w:tabs>
          <w:tab w:val="clear" w:pos="4536"/>
        </w:tabs>
        <w:ind w:left="851" w:hanging="425"/>
        <w:rPr>
          <w:rFonts w:cs="Arial"/>
        </w:rPr>
      </w:pPr>
      <w:r>
        <w:rPr>
          <w:rFonts w:cs="Arial"/>
        </w:rPr>
        <w:t xml:space="preserve">utrzymanie i rozwój Platformy Sygnalizacji Agrofagów, na której będą udostępniane metodyki integrowanej ochrony roślin, systemy wspomagania decyzji, </w:t>
      </w:r>
      <w:r w:rsidR="00343C26">
        <w:rPr>
          <w:rFonts w:cs="Arial"/>
        </w:rPr>
        <w:t xml:space="preserve">poradniki sygnalizatora, </w:t>
      </w:r>
      <w:r>
        <w:rPr>
          <w:rFonts w:cs="Arial"/>
        </w:rPr>
        <w:t>programy ochrony roślin oraz opracowania naukowe dotyczące ochrony roślin.</w:t>
      </w:r>
    </w:p>
    <w:p w14:paraId="2F54E684" w14:textId="7D74EFED"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Podstawowym sposobem promowania idei integrowanej ochrony roślin, a tym samym podnoszenia wiedzy o zrównoważonych metodach ochrony upraw, </w:t>
      </w:r>
      <w:r w:rsidR="009B57D9">
        <w:rPr>
          <w:rFonts w:ascii="Arial" w:hAnsi="Arial" w:cs="Arial"/>
        </w:rPr>
        <w:t>jest</w:t>
      </w:r>
      <w:r>
        <w:rPr>
          <w:rFonts w:ascii="Arial" w:hAnsi="Arial" w:cs="Arial"/>
        </w:rPr>
        <w:t xml:space="preserve"> właściwa edukacja producentów rolnych oraz doradców, a także dostarczenie im niezbędnych narzędzi do stosowania zasad integrowanej ochrony roślin. Rozwój elektronicznej formy przekazu informacji stanowi płaszczyznę i narzędzie wymiany doświadczeń oraz transferu wiedzy pomiędzy nauką a praktyką przy wdrażaniu integrowanej ochrony roślin. </w:t>
      </w:r>
    </w:p>
    <w:p w14:paraId="7C721025" w14:textId="77777777" w:rsidR="00CC572B" w:rsidRPr="00925BCD" w:rsidRDefault="00CC572B" w:rsidP="00CC572B">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Podstawowym źródłem wiedzy o integrowanej ochronie roślin dla osób związanych z ochroną roślin, są obowiązkowe szkolenia dla profesjonalnych użytkowników środków ochrony roślin, osób dokonujących sprzedaży tych środków oraz doradców świadczących usługi w zakresie ochrony roślin. Szczegóły dotyczące tego typu szkoleń zostały przedstawione w opisie realizacji Działania 1 KPD, natomiast poniżej zaprezentowane zostały dodatkowe działania uzupełniające wiedzę uzyskiwaną w ramach obowiązkowych szkoleń. </w:t>
      </w:r>
    </w:p>
    <w:p w14:paraId="21854CCC" w14:textId="078D3E0D" w:rsidR="003878FF" w:rsidRDefault="002F726E" w:rsidP="00777C65">
      <w:pPr>
        <w:pStyle w:val="NormalnyWeb"/>
        <w:tabs>
          <w:tab w:val="left" w:pos="284"/>
        </w:tabs>
        <w:spacing w:beforeAutospacing="0" w:after="120" w:afterAutospacing="0" w:line="360" w:lineRule="auto"/>
        <w:ind w:firstLine="284"/>
        <w:jc w:val="both"/>
        <w:rPr>
          <w:rFonts w:ascii="Arial" w:hAnsi="Arial" w:cs="Arial"/>
        </w:rPr>
      </w:pPr>
      <w:r w:rsidRPr="00AA29E6">
        <w:rPr>
          <w:rFonts w:ascii="Arial" w:hAnsi="Arial" w:cs="Arial"/>
          <w:b/>
          <w:bCs/>
        </w:rPr>
        <w:t>W 202</w:t>
      </w:r>
      <w:r w:rsidR="00851241" w:rsidRPr="00AA29E6">
        <w:rPr>
          <w:rFonts w:ascii="Arial" w:hAnsi="Arial" w:cs="Arial"/>
          <w:b/>
          <w:bCs/>
        </w:rPr>
        <w:t>3</w:t>
      </w:r>
      <w:r w:rsidRPr="00AA29E6">
        <w:rPr>
          <w:rFonts w:ascii="Arial" w:hAnsi="Arial" w:cs="Arial"/>
          <w:b/>
          <w:bCs/>
        </w:rPr>
        <w:t xml:space="preserve"> r.</w:t>
      </w:r>
      <w:r w:rsidRPr="002F726E">
        <w:rPr>
          <w:rFonts w:ascii="Arial" w:hAnsi="Arial" w:cs="Arial"/>
        </w:rPr>
        <w:t xml:space="preserve"> w ramach dotacji celowej </w:t>
      </w:r>
      <w:r w:rsidR="004406D2" w:rsidRPr="002F726E">
        <w:rPr>
          <w:rFonts w:ascii="Arial" w:hAnsi="Arial" w:cs="Arial"/>
        </w:rPr>
        <w:t>Ministra</w:t>
      </w:r>
      <w:r w:rsidRPr="002F726E">
        <w:rPr>
          <w:rFonts w:ascii="Arial" w:hAnsi="Arial" w:cs="Arial"/>
        </w:rPr>
        <w:t xml:space="preserve"> Rolnictwa i Rozwoju Wsi </w:t>
      </w:r>
      <w:r w:rsidRPr="00AA29E6">
        <w:rPr>
          <w:rFonts w:ascii="Arial" w:hAnsi="Arial" w:cs="Arial"/>
          <w:b/>
          <w:bCs/>
        </w:rPr>
        <w:t>Instytut Ochrony Roślin – PIB,</w:t>
      </w:r>
      <w:r w:rsidRPr="002F726E">
        <w:rPr>
          <w:rFonts w:ascii="Arial" w:hAnsi="Arial" w:cs="Arial"/>
        </w:rPr>
        <w:t xml:space="preserve"> </w:t>
      </w:r>
      <w:r w:rsidR="008B1749">
        <w:rPr>
          <w:rFonts w:ascii="Arial" w:hAnsi="Arial" w:cs="Arial"/>
        </w:rPr>
        <w:t xml:space="preserve">zorganizował </w:t>
      </w:r>
      <w:r w:rsidR="00800B8A" w:rsidRPr="00800B8A">
        <w:rPr>
          <w:rFonts w:ascii="Arial" w:hAnsi="Arial" w:cs="Arial"/>
        </w:rPr>
        <w:t xml:space="preserve">6 webinariów </w:t>
      </w:r>
      <w:r w:rsidR="00727873">
        <w:rPr>
          <w:rFonts w:ascii="Arial" w:hAnsi="Arial" w:cs="Arial"/>
        </w:rPr>
        <w:t>(</w:t>
      </w:r>
      <w:r w:rsidR="00777C65" w:rsidRPr="00777C65">
        <w:rPr>
          <w:rFonts w:ascii="Arial" w:hAnsi="Arial" w:cs="Arial"/>
        </w:rPr>
        <w:t>13 czerwca „Jak monitorować agrofagi roślin rolniczych?”</w:t>
      </w:r>
      <w:r w:rsidR="00727873">
        <w:rPr>
          <w:rFonts w:ascii="Arial" w:hAnsi="Arial" w:cs="Arial"/>
        </w:rPr>
        <w:t xml:space="preserve">, </w:t>
      </w:r>
      <w:r w:rsidR="00777C65" w:rsidRPr="00777C65">
        <w:rPr>
          <w:rFonts w:ascii="Arial" w:hAnsi="Arial" w:cs="Arial"/>
        </w:rPr>
        <w:t>20</w:t>
      </w:r>
      <w:r w:rsidR="00727873">
        <w:rPr>
          <w:rFonts w:ascii="Arial" w:hAnsi="Arial" w:cs="Arial"/>
        </w:rPr>
        <w:t> </w:t>
      </w:r>
      <w:r w:rsidR="00777C65" w:rsidRPr="00777C65">
        <w:rPr>
          <w:rFonts w:ascii="Arial" w:hAnsi="Arial" w:cs="Arial"/>
        </w:rPr>
        <w:t>czerwca „Wybrane zagadnienia integrowanej ochrony upraw rolniczych przed sprawcami chorób i szkodnikami”</w:t>
      </w:r>
      <w:r w:rsidR="00727873">
        <w:rPr>
          <w:rFonts w:ascii="Arial" w:hAnsi="Arial" w:cs="Arial"/>
        </w:rPr>
        <w:t xml:space="preserve">, </w:t>
      </w:r>
      <w:r w:rsidR="00777C65" w:rsidRPr="00777C65">
        <w:rPr>
          <w:rFonts w:ascii="Arial" w:hAnsi="Arial" w:cs="Arial"/>
        </w:rPr>
        <w:t xml:space="preserve">9 września </w:t>
      </w:r>
      <w:r w:rsidR="00706884">
        <w:rPr>
          <w:rFonts w:ascii="Arial" w:hAnsi="Arial" w:cs="Arial"/>
        </w:rPr>
        <w:t>„</w:t>
      </w:r>
      <w:r w:rsidR="00777C65" w:rsidRPr="00777C65">
        <w:rPr>
          <w:rFonts w:ascii="Arial" w:hAnsi="Arial" w:cs="Arial"/>
        </w:rPr>
        <w:t>Możliwości biologicznej ochrony roślin w kontekście wycofania kolejnych substancji czynnych”</w:t>
      </w:r>
      <w:r w:rsidR="008C4D67">
        <w:rPr>
          <w:rFonts w:ascii="Arial" w:hAnsi="Arial" w:cs="Arial"/>
        </w:rPr>
        <w:t xml:space="preserve">, </w:t>
      </w:r>
      <w:r w:rsidR="00777C65" w:rsidRPr="00777C65">
        <w:rPr>
          <w:rFonts w:ascii="Arial" w:hAnsi="Arial" w:cs="Arial"/>
        </w:rPr>
        <w:t>27 września „Nowe wyzwania w integrowanej ochronie roślin rolniczych”</w:t>
      </w:r>
      <w:r w:rsidR="008C4D67">
        <w:rPr>
          <w:rFonts w:ascii="Arial" w:hAnsi="Arial" w:cs="Arial"/>
        </w:rPr>
        <w:t xml:space="preserve">, </w:t>
      </w:r>
      <w:r w:rsidR="00777C65" w:rsidRPr="00777C65">
        <w:rPr>
          <w:rFonts w:ascii="Arial" w:hAnsi="Arial" w:cs="Arial"/>
        </w:rPr>
        <w:t>18 października „Regulacja zachwaszczenia roślin rolniczych oraz wpływ zmian klimatycznych na szkodniki”</w:t>
      </w:r>
      <w:r w:rsidR="008C4D67">
        <w:rPr>
          <w:rFonts w:ascii="Arial" w:hAnsi="Arial" w:cs="Arial"/>
        </w:rPr>
        <w:t xml:space="preserve">, oraz </w:t>
      </w:r>
      <w:r w:rsidR="00777C65" w:rsidRPr="00777C65">
        <w:rPr>
          <w:rFonts w:ascii="Arial" w:hAnsi="Arial" w:cs="Arial"/>
        </w:rPr>
        <w:t>24</w:t>
      </w:r>
      <w:r w:rsidR="00706884">
        <w:rPr>
          <w:rFonts w:ascii="Arial" w:hAnsi="Arial" w:cs="Arial"/>
        </w:rPr>
        <w:t> </w:t>
      </w:r>
      <w:r w:rsidR="00777C65" w:rsidRPr="00777C65">
        <w:rPr>
          <w:rFonts w:ascii="Arial" w:hAnsi="Arial" w:cs="Arial"/>
        </w:rPr>
        <w:t xml:space="preserve">października „Poprawna identyfikacja chwastów, chorób i szkodników z uwzględnieniem nowych </w:t>
      </w:r>
      <w:r w:rsidR="00777C65" w:rsidRPr="00777C65">
        <w:rPr>
          <w:rFonts w:ascii="Arial" w:hAnsi="Arial" w:cs="Arial"/>
        </w:rPr>
        <w:lastRenderedPageBreak/>
        <w:t>zagrożeń”</w:t>
      </w:r>
      <w:r w:rsidR="00AB2794">
        <w:rPr>
          <w:rFonts w:ascii="Arial" w:hAnsi="Arial" w:cs="Arial"/>
        </w:rPr>
        <w:t xml:space="preserve">) </w:t>
      </w:r>
      <w:r w:rsidR="007C6A4C">
        <w:rPr>
          <w:rFonts w:ascii="Arial" w:hAnsi="Arial" w:cs="Arial"/>
        </w:rPr>
        <w:t xml:space="preserve">przeznaczonych dla </w:t>
      </w:r>
      <w:r w:rsidR="00320DE1" w:rsidRPr="00320DE1">
        <w:rPr>
          <w:rFonts w:ascii="Arial" w:hAnsi="Arial" w:cs="Arial"/>
        </w:rPr>
        <w:t>pracowni</w:t>
      </w:r>
      <w:r w:rsidR="00320DE1">
        <w:rPr>
          <w:rFonts w:ascii="Arial" w:hAnsi="Arial" w:cs="Arial"/>
        </w:rPr>
        <w:t>ków</w:t>
      </w:r>
      <w:r w:rsidR="00320DE1" w:rsidRPr="00320DE1">
        <w:rPr>
          <w:rFonts w:ascii="Arial" w:hAnsi="Arial" w:cs="Arial"/>
        </w:rPr>
        <w:t xml:space="preserve"> PIORiN, CDR i ośrodków doradztwa rolniczego, uczelni wyższych i instytutów naukowo-badawczych, COBORU oraz nauczyciel</w:t>
      </w:r>
      <w:r w:rsidR="00996C66">
        <w:rPr>
          <w:rFonts w:ascii="Arial" w:hAnsi="Arial" w:cs="Arial"/>
        </w:rPr>
        <w:t>i</w:t>
      </w:r>
      <w:r w:rsidR="00320DE1" w:rsidRPr="00320DE1">
        <w:rPr>
          <w:rFonts w:ascii="Arial" w:hAnsi="Arial" w:cs="Arial"/>
        </w:rPr>
        <w:t xml:space="preserve"> i uczni</w:t>
      </w:r>
      <w:r w:rsidR="00996C66">
        <w:rPr>
          <w:rFonts w:ascii="Arial" w:hAnsi="Arial" w:cs="Arial"/>
        </w:rPr>
        <w:t>ów</w:t>
      </w:r>
      <w:r w:rsidR="00320DE1" w:rsidRPr="00320DE1">
        <w:rPr>
          <w:rFonts w:ascii="Arial" w:hAnsi="Arial" w:cs="Arial"/>
        </w:rPr>
        <w:t xml:space="preserve"> 42 średnich szkół rolniczych, producen</w:t>
      </w:r>
      <w:r w:rsidR="00DE28FD">
        <w:rPr>
          <w:rFonts w:ascii="Arial" w:hAnsi="Arial" w:cs="Arial"/>
        </w:rPr>
        <w:t>tów</w:t>
      </w:r>
      <w:r w:rsidR="00320DE1" w:rsidRPr="00320DE1">
        <w:rPr>
          <w:rFonts w:ascii="Arial" w:hAnsi="Arial" w:cs="Arial"/>
        </w:rPr>
        <w:t xml:space="preserve"> roln</w:t>
      </w:r>
      <w:r w:rsidR="00DE28FD">
        <w:rPr>
          <w:rFonts w:ascii="Arial" w:hAnsi="Arial" w:cs="Arial"/>
        </w:rPr>
        <w:t>ych</w:t>
      </w:r>
      <w:r w:rsidR="00117A21">
        <w:rPr>
          <w:rFonts w:ascii="Arial" w:hAnsi="Arial" w:cs="Arial"/>
        </w:rPr>
        <w:t xml:space="preserve"> oraz </w:t>
      </w:r>
      <w:r w:rsidR="00320DE1" w:rsidRPr="00320DE1">
        <w:rPr>
          <w:rFonts w:ascii="Arial" w:hAnsi="Arial" w:cs="Arial"/>
        </w:rPr>
        <w:t>przedstawiciel</w:t>
      </w:r>
      <w:r w:rsidR="00DE28FD">
        <w:rPr>
          <w:rFonts w:ascii="Arial" w:hAnsi="Arial" w:cs="Arial"/>
        </w:rPr>
        <w:t>i</w:t>
      </w:r>
      <w:r w:rsidR="00320DE1" w:rsidRPr="00320DE1">
        <w:rPr>
          <w:rFonts w:ascii="Arial" w:hAnsi="Arial" w:cs="Arial"/>
        </w:rPr>
        <w:t xml:space="preserve"> firm związanych z ochroną roślin</w:t>
      </w:r>
      <w:r w:rsidR="00117A21">
        <w:rPr>
          <w:rFonts w:ascii="Arial" w:hAnsi="Arial" w:cs="Arial"/>
        </w:rPr>
        <w:t>.</w:t>
      </w:r>
      <w:r w:rsidR="00320DE1" w:rsidRPr="00320DE1">
        <w:rPr>
          <w:rFonts w:ascii="Arial" w:hAnsi="Arial" w:cs="Arial"/>
        </w:rPr>
        <w:t xml:space="preserve"> </w:t>
      </w:r>
      <w:r w:rsidR="00C93B1A">
        <w:rPr>
          <w:rFonts w:ascii="Arial" w:hAnsi="Arial" w:cs="Arial"/>
        </w:rPr>
        <w:t xml:space="preserve">Zorganizowano także </w:t>
      </w:r>
      <w:r w:rsidR="00800B8A" w:rsidRPr="00800B8A">
        <w:rPr>
          <w:rFonts w:ascii="Arial" w:hAnsi="Arial" w:cs="Arial"/>
        </w:rPr>
        <w:t xml:space="preserve">24 szkolenia/warsztaty polowe poświęcone ochronie roślin rolniczych </w:t>
      </w:r>
      <w:r w:rsidR="00B90905" w:rsidRPr="00B90905">
        <w:rPr>
          <w:rFonts w:ascii="Arial" w:hAnsi="Arial" w:cs="Arial"/>
        </w:rPr>
        <w:t>dla pracowników ośrodków doradztwa rolniczego w województwach: wielkopolskim, śląskim i mazowieckim, w których łącznie wzięło udział 728 osób. Tematyka zajęć obejmowała integrowaną ochronę roślin rolniczych: zbóż, rzepaku, bobowatych, buraka cukrowego</w:t>
      </w:r>
      <w:r w:rsidR="00F528B5">
        <w:rPr>
          <w:rFonts w:ascii="Arial" w:hAnsi="Arial" w:cs="Arial"/>
        </w:rPr>
        <w:t xml:space="preserve"> i </w:t>
      </w:r>
      <w:r w:rsidR="00B90905" w:rsidRPr="00B90905">
        <w:rPr>
          <w:rFonts w:ascii="Arial" w:hAnsi="Arial" w:cs="Arial"/>
        </w:rPr>
        <w:t xml:space="preserve"> ziemniaka.</w:t>
      </w:r>
    </w:p>
    <w:p w14:paraId="46285025" w14:textId="18849EF1" w:rsidR="00A42C54" w:rsidRDefault="00A42C54" w:rsidP="00777C65">
      <w:pPr>
        <w:pStyle w:val="NormalnyWeb"/>
        <w:tabs>
          <w:tab w:val="left" w:pos="284"/>
        </w:tabs>
        <w:spacing w:beforeAutospacing="0" w:after="120" w:afterAutospacing="0" w:line="360" w:lineRule="auto"/>
        <w:ind w:firstLine="284"/>
        <w:jc w:val="both"/>
        <w:rPr>
          <w:rFonts w:ascii="Arial" w:hAnsi="Arial" w:cs="Arial"/>
        </w:rPr>
      </w:pPr>
      <w:r w:rsidRPr="00A42C54">
        <w:rPr>
          <w:rFonts w:ascii="Arial" w:hAnsi="Arial" w:cs="Arial"/>
        </w:rPr>
        <w:t xml:space="preserve">W dniach 21–22 czerwca </w:t>
      </w:r>
      <w:r w:rsidR="00706884">
        <w:rPr>
          <w:rFonts w:ascii="Arial" w:hAnsi="Arial" w:cs="Arial"/>
        </w:rPr>
        <w:t xml:space="preserve">2023 r. </w:t>
      </w:r>
      <w:r w:rsidRPr="00A42C54">
        <w:rPr>
          <w:rFonts w:ascii="Arial" w:hAnsi="Arial" w:cs="Arial"/>
        </w:rPr>
        <w:t>w Instytucie Ochrony Roślin – PIB odbyło się spotkanie dla doradców rolniczych zorganizowane we współpracy z Centrum Doradztwa Rolniczego w Brwinowie w</w:t>
      </w:r>
      <w:r w:rsidR="0049161C">
        <w:rPr>
          <w:rFonts w:ascii="Arial" w:hAnsi="Arial" w:cs="Arial"/>
        </w:rPr>
        <w:t> </w:t>
      </w:r>
      <w:r w:rsidRPr="00A42C54">
        <w:rPr>
          <w:rFonts w:ascii="Arial" w:hAnsi="Arial" w:cs="Arial"/>
        </w:rPr>
        <w:t>ramach operacji SIR pt. „Nauka – praktyce: wymiana wiedzy w obiektach doświadczalnych instytutów naukowych”.</w:t>
      </w:r>
    </w:p>
    <w:p w14:paraId="4BDDDB27" w14:textId="37FFBB08" w:rsidR="00F976F3" w:rsidRDefault="005F599E" w:rsidP="00777C65">
      <w:pPr>
        <w:pStyle w:val="NormalnyWeb"/>
        <w:tabs>
          <w:tab w:val="left" w:pos="284"/>
        </w:tabs>
        <w:spacing w:beforeAutospacing="0" w:after="120" w:afterAutospacing="0" w:line="360" w:lineRule="auto"/>
        <w:ind w:firstLine="284"/>
        <w:jc w:val="both"/>
        <w:rPr>
          <w:rFonts w:ascii="Arial" w:hAnsi="Arial" w:cs="Arial"/>
        </w:rPr>
      </w:pPr>
      <w:r w:rsidRPr="005F599E">
        <w:rPr>
          <w:rFonts w:ascii="Arial" w:hAnsi="Arial" w:cs="Arial"/>
        </w:rPr>
        <w:t xml:space="preserve">Instytut Ochrony Roślin – PIB wykorzystuje </w:t>
      </w:r>
      <w:r w:rsidR="00C81822">
        <w:rPr>
          <w:rFonts w:ascii="Arial" w:hAnsi="Arial" w:cs="Arial"/>
        </w:rPr>
        <w:t>także inne</w:t>
      </w:r>
      <w:r w:rsidRPr="005F599E">
        <w:rPr>
          <w:rFonts w:ascii="Arial" w:hAnsi="Arial" w:cs="Arial"/>
        </w:rPr>
        <w:t xml:space="preserve"> formy aktywności upowszechnieniowej aby przekazać tę wiedzę zróżnicowanym grupom odbiorców.</w:t>
      </w:r>
      <w:r>
        <w:rPr>
          <w:rFonts w:ascii="Arial" w:hAnsi="Arial" w:cs="Arial"/>
        </w:rPr>
        <w:t xml:space="preserve"> </w:t>
      </w:r>
      <w:r w:rsidRPr="005F599E">
        <w:rPr>
          <w:rFonts w:ascii="Arial" w:hAnsi="Arial" w:cs="Arial"/>
        </w:rPr>
        <w:t>Bardzo ważnym działaniem w tym zakresie jest organizacja konferencji poświęconej zagadnieniom ochrony roślin. W 2023</w:t>
      </w:r>
      <w:r w:rsidR="00706884">
        <w:rPr>
          <w:rFonts w:ascii="Arial" w:hAnsi="Arial" w:cs="Arial"/>
        </w:rPr>
        <w:t> </w:t>
      </w:r>
      <w:r w:rsidRPr="005F599E">
        <w:rPr>
          <w:rFonts w:ascii="Arial" w:hAnsi="Arial" w:cs="Arial"/>
        </w:rPr>
        <w:t>r. Instytut Ochrony Roślin – PIB zorganizował w formie hybrydowej Konferencję Ochrony Roślin – 63. Sesję Naukową IOR – PIB. Stacjonarnie uczestniczyło w nim 349 osób reprezentujących 69 instytucji. W trakcie trwania konferencji transmisja na kanele YouTube miała 3</w:t>
      </w:r>
      <w:r>
        <w:rPr>
          <w:rFonts w:ascii="Arial" w:hAnsi="Arial" w:cs="Arial"/>
        </w:rPr>
        <w:t> </w:t>
      </w:r>
      <w:r w:rsidRPr="005F599E">
        <w:rPr>
          <w:rFonts w:ascii="Arial" w:hAnsi="Arial" w:cs="Arial"/>
        </w:rPr>
        <w:t>069 wyświetleń.</w:t>
      </w:r>
      <w:r w:rsidR="00220ADF">
        <w:rPr>
          <w:rFonts w:ascii="Arial" w:hAnsi="Arial" w:cs="Arial"/>
        </w:rPr>
        <w:t xml:space="preserve"> Poza konferencją </w:t>
      </w:r>
      <w:r w:rsidR="000D17BD">
        <w:rPr>
          <w:rFonts w:ascii="Arial" w:hAnsi="Arial" w:cs="Arial"/>
        </w:rPr>
        <w:t xml:space="preserve">były </w:t>
      </w:r>
      <w:r w:rsidR="003D6E25">
        <w:rPr>
          <w:rFonts w:ascii="Arial" w:hAnsi="Arial" w:cs="Arial"/>
        </w:rPr>
        <w:t xml:space="preserve">to </w:t>
      </w:r>
      <w:r w:rsidR="000D17BD" w:rsidRPr="00CF327D">
        <w:rPr>
          <w:rFonts w:ascii="Arial" w:hAnsi="Arial" w:cs="Arial"/>
        </w:rPr>
        <w:t>spotka</w:t>
      </w:r>
      <w:r w:rsidR="00387B34">
        <w:rPr>
          <w:rFonts w:ascii="Arial" w:hAnsi="Arial" w:cs="Arial"/>
        </w:rPr>
        <w:t>nia</w:t>
      </w:r>
      <w:r w:rsidR="000D17BD" w:rsidRPr="00CF327D">
        <w:rPr>
          <w:rFonts w:ascii="Arial" w:hAnsi="Arial" w:cs="Arial"/>
        </w:rPr>
        <w:t xml:space="preserve"> i wydarze</w:t>
      </w:r>
      <w:r w:rsidR="00387B34">
        <w:rPr>
          <w:rFonts w:ascii="Arial" w:hAnsi="Arial" w:cs="Arial"/>
        </w:rPr>
        <w:t>nia</w:t>
      </w:r>
      <w:r w:rsidR="000D17BD" w:rsidRPr="00CF327D">
        <w:rPr>
          <w:rFonts w:ascii="Arial" w:hAnsi="Arial" w:cs="Arial"/>
        </w:rPr>
        <w:t xml:space="preserve"> poświęcon</w:t>
      </w:r>
      <w:r w:rsidR="00387B34">
        <w:rPr>
          <w:rFonts w:ascii="Arial" w:hAnsi="Arial" w:cs="Arial"/>
        </w:rPr>
        <w:t>e</w:t>
      </w:r>
      <w:r w:rsidR="000D17BD" w:rsidRPr="00CF327D">
        <w:rPr>
          <w:rFonts w:ascii="Arial" w:hAnsi="Arial" w:cs="Arial"/>
        </w:rPr>
        <w:t xml:space="preserve"> rolnictwu</w:t>
      </w:r>
      <w:r w:rsidR="00387B34">
        <w:rPr>
          <w:rFonts w:ascii="Arial" w:hAnsi="Arial" w:cs="Arial"/>
        </w:rPr>
        <w:t xml:space="preserve">, </w:t>
      </w:r>
      <w:r w:rsidR="00CF327D" w:rsidRPr="00CF327D">
        <w:rPr>
          <w:rFonts w:ascii="Arial" w:hAnsi="Arial" w:cs="Arial"/>
        </w:rPr>
        <w:t>m.in.:</w:t>
      </w:r>
      <w:r w:rsidR="00643046">
        <w:rPr>
          <w:rFonts w:ascii="Arial" w:hAnsi="Arial" w:cs="Arial"/>
        </w:rPr>
        <w:t xml:space="preserve"> </w:t>
      </w:r>
      <w:r w:rsidR="00643046" w:rsidRPr="00643046">
        <w:rPr>
          <w:rFonts w:ascii="Arial" w:hAnsi="Arial" w:cs="Arial"/>
        </w:rPr>
        <w:t>V Europejskie Forum Rolnicze w Jasionce k/Rzeszowa (22–23 marca 2023 r.), IV Krajowe Dni Pola zorganizowane przez Wielkopolski Ośrodek Doradztwa Rolniczego w Sielinku k/Opalenicy (3–5 czerwca 2023 r.), Dzień Pola w Winnej Górze zorganizowany przez IOR – PIB (1 czerwca 2023 r.), XXIII Mazowieckie Dni Rolnictwa w Płońsku (17‒18 czerwca 2023</w:t>
      </w:r>
      <w:r w:rsidR="00116AAD">
        <w:rPr>
          <w:rFonts w:ascii="Arial" w:hAnsi="Arial" w:cs="Arial"/>
        </w:rPr>
        <w:t> </w:t>
      </w:r>
      <w:r w:rsidR="00643046" w:rsidRPr="00643046">
        <w:rPr>
          <w:rFonts w:ascii="Arial" w:hAnsi="Arial" w:cs="Arial"/>
        </w:rPr>
        <w:t>r.) oraz Ogólnopolskie Dożynki i XXXII Krajowa Wystawa Rolnicza w Częstochowie (2–3 września 2023</w:t>
      </w:r>
      <w:r w:rsidR="00116AAD">
        <w:rPr>
          <w:rFonts w:ascii="Arial" w:hAnsi="Arial" w:cs="Arial"/>
        </w:rPr>
        <w:t> </w:t>
      </w:r>
      <w:r w:rsidR="00643046" w:rsidRPr="00643046">
        <w:rPr>
          <w:rFonts w:ascii="Arial" w:hAnsi="Arial" w:cs="Arial"/>
        </w:rPr>
        <w:t>r.).</w:t>
      </w:r>
    </w:p>
    <w:p w14:paraId="4BAD6E72" w14:textId="7C1A4D69" w:rsidR="006679DC" w:rsidRPr="00F85533" w:rsidRDefault="00CD1B43" w:rsidP="00F85533">
      <w:pPr>
        <w:pStyle w:val="NormalnyWeb"/>
        <w:tabs>
          <w:tab w:val="left" w:pos="284"/>
        </w:tabs>
        <w:spacing w:beforeAutospacing="0" w:after="120" w:afterAutospacing="0" w:line="360" w:lineRule="auto"/>
        <w:ind w:firstLine="284"/>
        <w:jc w:val="both"/>
        <w:rPr>
          <w:rFonts w:ascii="Arial" w:hAnsi="Arial" w:cs="Arial"/>
        </w:rPr>
      </w:pPr>
      <w:r w:rsidRPr="00D4307B">
        <w:rPr>
          <w:rFonts w:ascii="Arial" w:hAnsi="Arial" w:cs="Arial"/>
        </w:rPr>
        <w:t xml:space="preserve">Konferencje i szkolenia promujące wiedzę z zakresu integrowanej ochrony roślin prowadził także </w:t>
      </w:r>
      <w:r w:rsidRPr="00F85533">
        <w:rPr>
          <w:rFonts w:ascii="Arial" w:hAnsi="Arial" w:cs="Arial"/>
          <w:b/>
        </w:rPr>
        <w:t>Instytut Ogrodnictwa – PIB</w:t>
      </w:r>
      <w:r w:rsidRPr="00D4307B">
        <w:rPr>
          <w:rFonts w:ascii="Arial" w:hAnsi="Arial" w:cs="Arial"/>
        </w:rPr>
        <w:t>. W 2023</w:t>
      </w:r>
      <w:r w:rsidR="00706884">
        <w:rPr>
          <w:rFonts w:ascii="Arial" w:hAnsi="Arial" w:cs="Arial"/>
        </w:rPr>
        <w:t> </w:t>
      </w:r>
      <w:r w:rsidRPr="00D4307B">
        <w:rPr>
          <w:rFonts w:ascii="Arial" w:hAnsi="Arial" w:cs="Arial"/>
        </w:rPr>
        <w:t>r</w:t>
      </w:r>
      <w:r w:rsidRPr="00F85533">
        <w:rPr>
          <w:rFonts w:ascii="Arial" w:hAnsi="Arial" w:cs="Arial"/>
        </w:rPr>
        <w:t>.</w:t>
      </w:r>
      <w:r w:rsidR="006679DC" w:rsidRPr="00F85533">
        <w:rPr>
          <w:rFonts w:ascii="Arial" w:hAnsi="Arial" w:cs="Arial"/>
          <w:b/>
        </w:rPr>
        <w:t xml:space="preserve"> </w:t>
      </w:r>
      <w:r w:rsidR="006679DC" w:rsidRPr="00F85533">
        <w:rPr>
          <w:rFonts w:ascii="Arial" w:hAnsi="Arial" w:cs="Arial"/>
          <w:bCs/>
        </w:rPr>
        <w:t xml:space="preserve">Instytut </w:t>
      </w:r>
      <w:r w:rsidR="000D094E" w:rsidRPr="00F85533">
        <w:rPr>
          <w:rFonts w:ascii="Arial" w:hAnsi="Arial" w:cs="Arial"/>
          <w:bCs/>
        </w:rPr>
        <w:t>uczestniczył</w:t>
      </w:r>
      <w:r w:rsidR="006679DC" w:rsidRPr="00F85533">
        <w:rPr>
          <w:rFonts w:ascii="Arial" w:hAnsi="Arial" w:cs="Arial"/>
        </w:rPr>
        <w:t xml:space="preserve"> </w:t>
      </w:r>
      <w:r w:rsidR="00F85533">
        <w:rPr>
          <w:rFonts w:ascii="Arial" w:hAnsi="Arial" w:cs="Arial"/>
        </w:rPr>
        <w:t>w</w:t>
      </w:r>
      <w:r w:rsidR="006679DC" w:rsidRPr="00F85533">
        <w:rPr>
          <w:rFonts w:ascii="Arial" w:hAnsi="Arial" w:cs="Arial"/>
        </w:rPr>
        <w:t xml:space="preserve"> </w:t>
      </w:r>
      <w:r w:rsidR="00ED4AB2" w:rsidRPr="00F85533">
        <w:rPr>
          <w:rFonts w:ascii="Arial" w:hAnsi="Arial" w:cs="Arial"/>
        </w:rPr>
        <w:t xml:space="preserve">wielu </w:t>
      </w:r>
      <w:r w:rsidR="006679DC" w:rsidRPr="00F85533">
        <w:rPr>
          <w:rFonts w:ascii="Arial" w:hAnsi="Arial" w:cs="Arial"/>
        </w:rPr>
        <w:t>wydarze</w:t>
      </w:r>
      <w:r w:rsidR="00F85533">
        <w:rPr>
          <w:rFonts w:ascii="Arial" w:hAnsi="Arial" w:cs="Arial"/>
        </w:rPr>
        <w:t xml:space="preserve">niach </w:t>
      </w:r>
      <w:r w:rsidR="006679DC" w:rsidRPr="00F85533">
        <w:rPr>
          <w:rFonts w:ascii="Arial" w:hAnsi="Arial" w:cs="Arial"/>
        </w:rPr>
        <w:t>o zasięgu ogólnopolskim</w:t>
      </w:r>
      <w:r w:rsidR="00F85533" w:rsidRPr="00F85533">
        <w:rPr>
          <w:rFonts w:ascii="Arial" w:hAnsi="Arial" w:cs="Arial"/>
        </w:rPr>
        <w:t>, w tym m.in.</w:t>
      </w:r>
      <w:r w:rsidR="006679DC" w:rsidRPr="00F85533">
        <w:rPr>
          <w:rFonts w:ascii="Arial" w:hAnsi="Arial" w:cs="Arial"/>
        </w:rPr>
        <w:t>: XIII Targ</w:t>
      </w:r>
      <w:r w:rsidR="00E056CD">
        <w:rPr>
          <w:rFonts w:ascii="Arial" w:hAnsi="Arial" w:cs="Arial"/>
        </w:rPr>
        <w:t>ach</w:t>
      </w:r>
      <w:r w:rsidR="006679DC" w:rsidRPr="00F85533">
        <w:rPr>
          <w:rFonts w:ascii="Arial" w:hAnsi="Arial" w:cs="Arial"/>
        </w:rPr>
        <w:t xml:space="preserve"> Sadownictwa i</w:t>
      </w:r>
      <w:r w:rsidR="00F85533" w:rsidRPr="00F85533">
        <w:rPr>
          <w:rFonts w:ascii="Arial" w:hAnsi="Arial" w:cs="Arial"/>
        </w:rPr>
        <w:t xml:space="preserve"> W</w:t>
      </w:r>
      <w:r w:rsidR="006679DC" w:rsidRPr="00F85533">
        <w:rPr>
          <w:rFonts w:ascii="Arial" w:hAnsi="Arial" w:cs="Arial"/>
        </w:rPr>
        <w:t>arzywnictwa TSW, 18-19.01. w</w:t>
      </w:r>
      <w:r w:rsidR="00F85533" w:rsidRPr="00F85533">
        <w:rPr>
          <w:rFonts w:ascii="Arial" w:hAnsi="Arial" w:cs="Arial"/>
        </w:rPr>
        <w:t> </w:t>
      </w:r>
      <w:r w:rsidR="006679DC" w:rsidRPr="00F85533">
        <w:rPr>
          <w:rFonts w:ascii="Arial" w:hAnsi="Arial" w:cs="Arial"/>
        </w:rPr>
        <w:t>Kielcach, Europejski</w:t>
      </w:r>
      <w:r w:rsidR="00E056CD">
        <w:rPr>
          <w:rFonts w:ascii="Arial" w:hAnsi="Arial" w:cs="Arial"/>
        </w:rPr>
        <w:t>m</w:t>
      </w:r>
      <w:r w:rsidR="006679DC" w:rsidRPr="00F85533">
        <w:rPr>
          <w:rFonts w:ascii="Arial" w:hAnsi="Arial" w:cs="Arial"/>
        </w:rPr>
        <w:t xml:space="preserve"> Forum Rolnicz</w:t>
      </w:r>
      <w:r w:rsidR="00E056CD">
        <w:rPr>
          <w:rFonts w:ascii="Arial" w:hAnsi="Arial" w:cs="Arial"/>
        </w:rPr>
        <w:t>ym</w:t>
      </w:r>
      <w:r w:rsidR="006679DC" w:rsidRPr="00F85533">
        <w:rPr>
          <w:rFonts w:ascii="Arial" w:hAnsi="Arial" w:cs="Arial"/>
        </w:rPr>
        <w:t>, 22-23.03. w Jasionce k. Rzeszowa, IV Krajowych Dn</w:t>
      </w:r>
      <w:r w:rsidR="00E056CD">
        <w:rPr>
          <w:rFonts w:ascii="Arial" w:hAnsi="Arial" w:cs="Arial"/>
        </w:rPr>
        <w:t xml:space="preserve">ach </w:t>
      </w:r>
      <w:r w:rsidR="006679DC" w:rsidRPr="00F85533">
        <w:rPr>
          <w:rFonts w:ascii="Arial" w:hAnsi="Arial" w:cs="Arial"/>
        </w:rPr>
        <w:t>Pola 2023, 3-4.06. w Sielinku, IV Dniu Pola, 11.06. w Boguchwale, Dni</w:t>
      </w:r>
      <w:r w:rsidR="00E056CD">
        <w:rPr>
          <w:rFonts w:ascii="Arial" w:hAnsi="Arial" w:cs="Arial"/>
        </w:rPr>
        <w:t>ach</w:t>
      </w:r>
      <w:r w:rsidR="006679DC" w:rsidRPr="00F85533">
        <w:rPr>
          <w:rFonts w:ascii="Arial" w:hAnsi="Arial" w:cs="Arial"/>
        </w:rPr>
        <w:t xml:space="preserve"> Otwartych Drzwi Instytutu Ogrodnictwa – PIB, 30.06. w Skierniewicach, Dożynkach Województwa Łódzkiego, 20.08. w Paradyżu, </w:t>
      </w:r>
      <w:r w:rsidR="00E056CD">
        <w:rPr>
          <w:rFonts w:ascii="Arial" w:hAnsi="Arial" w:cs="Arial"/>
        </w:rPr>
        <w:t>w </w:t>
      </w:r>
      <w:r w:rsidR="006679DC" w:rsidRPr="00F85533">
        <w:rPr>
          <w:rFonts w:ascii="Arial" w:hAnsi="Arial" w:cs="Arial"/>
        </w:rPr>
        <w:t>Skierniewickie</w:t>
      </w:r>
      <w:r w:rsidR="00E056CD">
        <w:rPr>
          <w:rFonts w:ascii="Arial" w:hAnsi="Arial" w:cs="Arial"/>
        </w:rPr>
        <w:t>m</w:t>
      </w:r>
      <w:r w:rsidR="006679DC" w:rsidRPr="00F85533">
        <w:rPr>
          <w:rFonts w:ascii="Arial" w:hAnsi="Arial" w:cs="Arial"/>
        </w:rPr>
        <w:t xml:space="preserve"> Święt</w:t>
      </w:r>
      <w:r w:rsidR="00E056CD">
        <w:rPr>
          <w:rFonts w:ascii="Arial" w:hAnsi="Arial" w:cs="Arial"/>
        </w:rPr>
        <w:t>cie</w:t>
      </w:r>
      <w:r w:rsidR="006679DC" w:rsidRPr="00F85533">
        <w:rPr>
          <w:rFonts w:ascii="Arial" w:hAnsi="Arial" w:cs="Arial"/>
        </w:rPr>
        <w:t xml:space="preserve"> Kwiatów, Owoców i Warzyw, 16-17.09. w Skierniewicach, XVIII Jesiennej Giełd</w:t>
      </w:r>
      <w:r w:rsidR="00E056CD">
        <w:rPr>
          <w:rFonts w:ascii="Arial" w:hAnsi="Arial" w:cs="Arial"/>
        </w:rPr>
        <w:t>zie</w:t>
      </w:r>
      <w:r w:rsidR="006679DC" w:rsidRPr="00F85533">
        <w:rPr>
          <w:rFonts w:ascii="Arial" w:hAnsi="Arial" w:cs="Arial"/>
        </w:rPr>
        <w:t xml:space="preserve"> Ogrodniczej, 7-8.10. w</w:t>
      </w:r>
      <w:r w:rsidR="00F85533">
        <w:rPr>
          <w:rFonts w:ascii="Arial" w:hAnsi="Arial" w:cs="Arial"/>
        </w:rPr>
        <w:t> </w:t>
      </w:r>
      <w:r w:rsidR="006679DC" w:rsidRPr="00F85533">
        <w:rPr>
          <w:rFonts w:ascii="Arial" w:hAnsi="Arial" w:cs="Arial"/>
        </w:rPr>
        <w:t>Boguchwale oraz Międzynarodowych Targach Sadownictwa Fruit Poland Expo, 7-9.12. w</w:t>
      </w:r>
      <w:r w:rsidR="00F85533">
        <w:rPr>
          <w:rFonts w:ascii="Arial" w:hAnsi="Arial" w:cs="Arial"/>
        </w:rPr>
        <w:t> </w:t>
      </w:r>
      <w:r w:rsidR="006679DC" w:rsidRPr="00F85533">
        <w:rPr>
          <w:rFonts w:ascii="Arial" w:hAnsi="Arial" w:cs="Arial"/>
        </w:rPr>
        <w:t>Nadarzynie</w:t>
      </w:r>
      <w:r w:rsidR="00F85533">
        <w:rPr>
          <w:rFonts w:ascii="Arial" w:hAnsi="Arial" w:cs="Arial"/>
        </w:rPr>
        <w:t xml:space="preserve">, </w:t>
      </w:r>
      <w:r w:rsidR="00E056CD">
        <w:rPr>
          <w:rFonts w:ascii="Arial" w:hAnsi="Arial" w:cs="Arial"/>
        </w:rPr>
        <w:t>jak również</w:t>
      </w:r>
      <w:r w:rsidR="00F85533" w:rsidRPr="00F85533">
        <w:rPr>
          <w:rFonts w:ascii="Arial" w:hAnsi="Arial" w:cs="Arial"/>
        </w:rPr>
        <w:t xml:space="preserve"> K</w:t>
      </w:r>
      <w:r w:rsidR="006679DC" w:rsidRPr="00F85533">
        <w:rPr>
          <w:rFonts w:ascii="Arial" w:hAnsi="Arial" w:cs="Arial"/>
        </w:rPr>
        <w:t>onferencji upowszechnieniowo-wdrożeniowej „Nauka-Praktyce”, 14.12. w</w:t>
      </w:r>
      <w:r w:rsidR="00F85533">
        <w:rPr>
          <w:rFonts w:ascii="Arial" w:hAnsi="Arial" w:cs="Arial"/>
        </w:rPr>
        <w:t> </w:t>
      </w:r>
      <w:r w:rsidR="006679DC" w:rsidRPr="00F85533">
        <w:rPr>
          <w:rFonts w:ascii="Arial" w:hAnsi="Arial" w:cs="Arial"/>
        </w:rPr>
        <w:t xml:space="preserve">Skierniewicach </w:t>
      </w:r>
    </w:p>
    <w:p w14:paraId="5D6DBE37" w14:textId="6A305AB4" w:rsidR="006679DC" w:rsidRPr="00F85533" w:rsidRDefault="0016698F" w:rsidP="00F85533">
      <w:pPr>
        <w:pStyle w:val="NormalnyWeb"/>
        <w:tabs>
          <w:tab w:val="left" w:pos="284"/>
        </w:tabs>
        <w:spacing w:beforeAutospacing="0" w:after="120" w:afterAutospacing="0" w:line="360" w:lineRule="auto"/>
        <w:ind w:firstLine="284"/>
        <w:jc w:val="both"/>
        <w:rPr>
          <w:rFonts w:ascii="Arial" w:hAnsi="Arial" w:cs="Arial"/>
        </w:rPr>
      </w:pPr>
      <w:bookmarkStart w:id="42" w:name="_Hlk188518530"/>
      <w:r>
        <w:rPr>
          <w:rFonts w:ascii="Arial" w:hAnsi="Arial" w:cs="Arial"/>
        </w:rPr>
        <w:t>Pracownicy Instytutu n</w:t>
      </w:r>
      <w:r w:rsidR="00F85533" w:rsidRPr="00F85533">
        <w:rPr>
          <w:rFonts w:ascii="Arial" w:hAnsi="Arial" w:cs="Arial"/>
        </w:rPr>
        <w:t>a</w:t>
      </w:r>
      <w:r w:rsidR="006679DC" w:rsidRPr="00F85533">
        <w:rPr>
          <w:rFonts w:ascii="Arial" w:hAnsi="Arial" w:cs="Arial"/>
        </w:rPr>
        <w:t xml:space="preserve"> szkoleniach </w:t>
      </w:r>
      <w:r w:rsidR="003A035D" w:rsidRPr="00F85533">
        <w:rPr>
          <w:rFonts w:ascii="Arial" w:hAnsi="Arial" w:cs="Arial"/>
        </w:rPr>
        <w:t xml:space="preserve">zorganizowanych </w:t>
      </w:r>
      <w:r w:rsidR="006679DC" w:rsidRPr="00F85533">
        <w:rPr>
          <w:rFonts w:ascii="Arial" w:hAnsi="Arial" w:cs="Arial"/>
        </w:rPr>
        <w:t xml:space="preserve">dla rolników </w:t>
      </w:r>
      <w:bookmarkEnd w:id="42"/>
      <w:r w:rsidR="00E056CD">
        <w:rPr>
          <w:rFonts w:ascii="Arial" w:hAnsi="Arial" w:cs="Arial"/>
        </w:rPr>
        <w:t xml:space="preserve">prezentowali </w:t>
      </w:r>
      <w:r w:rsidR="006679DC" w:rsidRPr="00F85533">
        <w:rPr>
          <w:rFonts w:ascii="Arial" w:hAnsi="Arial" w:cs="Arial"/>
        </w:rPr>
        <w:t xml:space="preserve">wykłady </w:t>
      </w:r>
      <w:r>
        <w:rPr>
          <w:rFonts w:ascii="Arial" w:hAnsi="Arial" w:cs="Arial"/>
        </w:rPr>
        <w:t>nt.</w:t>
      </w:r>
      <w:r w:rsidR="006679DC" w:rsidRPr="00F85533">
        <w:rPr>
          <w:rFonts w:ascii="Arial" w:hAnsi="Arial" w:cs="Arial"/>
        </w:rPr>
        <w:t xml:space="preserve"> monitoringu agrofagów, ogranicz</w:t>
      </w:r>
      <w:r>
        <w:rPr>
          <w:rFonts w:ascii="Arial" w:hAnsi="Arial" w:cs="Arial"/>
        </w:rPr>
        <w:t>a</w:t>
      </w:r>
      <w:r w:rsidR="006679DC" w:rsidRPr="00F85533">
        <w:rPr>
          <w:rFonts w:ascii="Arial" w:hAnsi="Arial" w:cs="Arial"/>
        </w:rPr>
        <w:t>nia stosowani</w:t>
      </w:r>
      <w:r>
        <w:rPr>
          <w:rFonts w:ascii="Arial" w:hAnsi="Arial" w:cs="Arial"/>
        </w:rPr>
        <w:t>a</w:t>
      </w:r>
      <w:r w:rsidR="006679DC" w:rsidRPr="00F85533">
        <w:rPr>
          <w:rFonts w:ascii="Arial" w:hAnsi="Arial" w:cs="Arial"/>
        </w:rPr>
        <w:t xml:space="preserve"> środków ochrony roślin, problemów w ochronie drzew owocowych przed szkodnikami oraz możliwości i innowacji w zwalczaniu szkodników na roślinach jagodowych w</w:t>
      </w:r>
      <w:r w:rsidR="00E056CD">
        <w:rPr>
          <w:rFonts w:ascii="Arial" w:hAnsi="Arial" w:cs="Arial"/>
        </w:rPr>
        <w:t> </w:t>
      </w:r>
      <w:r w:rsidR="006679DC" w:rsidRPr="00F85533">
        <w:rPr>
          <w:rFonts w:ascii="Arial" w:hAnsi="Arial" w:cs="Arial"/>
        </w:rPr>
        <w:t xml:space="preserve">kontekście zachodzących zmian. </w:t>
      </w:r>
    </w:p>
    <w:p w14:paraId="35A4537B" w14:textId="2888A803" w:rsidR="006679DC" w:rsidRPr="00F85533" w:rsidRDefault="0016698F" w:rsidP="00F85533">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Do</w:t>
      </w:r>
      <w:r w:rsidR="006679DC" w:rsidRPr="00F85533">
        <w:rPr>
          <w:rFonts w:ascii="Arial" w:hAnsi="Arial" w:cs="Arial"/>
        </w:rPr>
        <w:t xml:space="preserve"> działań upowszechnieniowych należy zaliczyć </w:t>
      </w:r>
      <w:r w:rsidRPr="00F85533">
        <w:rPr>
          <w:rFonts w:ascii="Arial" w:hAnsi="Arial" w:cs="Arial"/>
        </w:rPr>
        <w:t>również</w:t>
      </w:r>
      <w:r>
        <w:rPr>
          <w:rFonts w:ascii="Arial" w:hAnsi="Arial" w:cs="Arial"/>
        </w:rPr>
        <w:t xml:space="preserve"> wydawanie</w:t>
      </w:r>
      <w:r w:rsidR="006679DC" w:rsidRPr="00F85533">
        <w:rPr>
          <w:rFonts w:ascii="Arial" w:hAnsi="Arial" w:cs="Arial"/>
        </w:rPr>
        <w:t xml:space="preserve"> artykułów popularno-naukowych na temat chorób i szkodników roślin ogrodniczych, monitoringu upraw, zwalczania </w:t>
      </w:r>
      <w:r w:rsidR="006679DC" w:rsidRPr="00F85533">
        <w:rPr>
          <w:rFonts w:ascii="Arial" w:hAnsi="Arial" w:cs="Arial"/>
        </w:rPr>
        <w:lastRenderedPageBreak/>
        <w:t>agrofagów oraz zmniejszenia zużycia środków ochrony roślin stosowanych w sadach.</w:t>
      </w:r>
      <w:r>
        <w:rPr>
          <w:rFonts w:ascii="Arial" w:hAnsi="Arial" w:cs="Arial"/>
        </w:rPr>
        <w:t> </w:t>
      </w:r>
    </w:p>
    <w:p w14:paraId="7C235931" w14:textId="1A3CB44B" w:rsidR="006679DC" w:rsidRPr="00F85533" w:rsidRDefault="0016698F" w:rsidP="00F85533">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6679DC" w:rsidRPr="00F85533">
        <w:rPr>
          <w:rFonts w:ascii="Arial" w:hAnsi="Arial" w:cs="Arial"/>
        </w:rPr>
        <w:t xml:space="preserve"> 2023</w:t>
      </w:r>
      <w:r>
        <w:rPr>
          <w:rFonts w:ascii="Arial" w:hAnsi="Arial" w:cs="Arial"/>
        </w:rPr>
        <w:t xml:space="preserve"> r.</w:t>
      </w:r>
      <w:r w:rsidR="006679DC" w:rsidRPr="00F85533">
        <w:rPr>
          <w:rFonts w:ascii="Arial" w:hAnsi="Arial" w:cs="Arial"/>
        </w:rPr>
        <w:t xml:space="preserve"> na stoiskach/wystawach Instytutu Ogrodnictwa – PIB pracownicy promowali osiągnięcia i</w:t>
      </w:r>
      <w:r>
        <w:rPr>
          <w:rFonts w:ascii="Arial" w:hAnsi="Arial" w:cs="Arial"/>
        </w:rPr>
        <w:t> </w:t>
      </w:r>
      <w:r w:rsidR="006679DC" w:rsidRPr="00F85533">
        <w:rPr>
          <w:rFonts w:ascii="Arial" w:hAnsi="Arial" w:cs="Arial"/>
        </w:rPr>
        <w:t xml:space="preserve">upowszechniali wyniki badań prowadzonych w jednostce podczas wydarzeń o zasięgu ogólnopolskim wśród sadowników, szkółkarzy, producentów warzyw i roślin ozdobnych, rolników, przedstawicieli firm branżowych, specjalistów z Ośrodków Doradztwa Rolniczego, inspektorów Państwowej Inspekcji Ochrony Roślin i Nasiennictwa, przedstawicieli środowisk akademickich (w tym studentów) oraz społeczności lokalnej. </w:t>
      </w:r>
    </w:p>
    <w:p w14:paraId="0D340D1C" w14:textId="67FE74E4" w:rsidR="00787AE0" w:rsidRPr="00787AE0" w:rsidRDefault="00787AE0" w:rsidP="00787AE0">
      <w:pPr>
        <w:pStyle w:val="NormalnyWeb"/>
        <w:tabs>
          <w:tab w:val="left" w:pos="284"/>
        </w:tabs>
        <w:spacing w:beforeAutospacing="0" w:after="120" w:afterAutospacing="0" w:line="360" w:lineRule="auto"/>
        <w:ind w:firstLine="284"/>
        <w:jc w:val="both"/>
        <w:rPr>
          <w:rFonts w:ascii="Arial" w:hAnsi="Arial" w:cs="Arial"/>
        </w:rPr>
      </w:pPr>
      <w:r w:rsidRPr="00787AE0">
        <w:rPr>
          <w:rFonts w:ascii="Arial" w:hAnsi="Arial" w:cs="Arial"/>
        </w:rPr>
        <w:t xml:space="preserve">W zadanie dotyczące </w:t>
      </w:r>
      <w:r w:rsidRPr="002E7A9B">
        <w:rPr>
          <w:rFonts w:ascii="Arial" w:hAnsi="Arial" w:cs="Arial"/>
          <w:b/>
          <w:bCs/>
        </w:rPr>
        <w:t>upowszechniania wiedzy z zakresu integrowanej ochrony roślin w 2023</w:t>
      </w:r>
      <w:r w:rsidR="00D373E9">
        <w:rPr>
          <w:rFonts w:ascii="Arial" w:hAnsi="Arial" w:cs="Arial"/>
          <w:b/>
          <w:bCs/>
        </w:rPr>
        <w:t> </w:t>
      </w:r>
      <w:r w:rsidRPr="002E7A9B">
        <w:rPr>
          <w:rFonts w:ascii="Arial" w:hAnsi="Arial" w:cs="Arial"/>
          <w:b/>
          <w:bCs/>
        </w:rPr>
        <w:t>r. włączył się także Instytut Uprawy Nawożenia i Gleboznawstwa – PIB</w:t>
      </w:r>
      <w:r>
        <w:rPr>
          <w:rFonts w:ascii="Arial" w:hAnsi="Arial" w:cs="Arial"/>
        </w:rPr>
        <w:t xml:space="preserve"> organizując </w:t>
      </w:r>
      <w:r w:rsidR="00AD07B0">
        <w:rPr>
          <w:rFonts w:ascii="Arial" w:hAnsi="Arial" w:cs="Arial"/>
        </w:rPr>
        <w:t xml:space="preserve">m. in. </w:t>
      </w:r>
      <w:r w:rsidRPr="00787AE0">
        <w:rPr>
          <w:rFonts w:ascii="Arial" w:hAnsi="Arial" w:cs="Arial"/>
        </w:rPr>
        <w:t>13 kwietnia 2023 r. w IUNG</w:t>
      </w:r>
      <w:r w:rsidR="00C238CB">
        <w:rPr>
          <w:rFonts w:ascii="Arial" w:hAnsi="Arial" w:cs="Arial"/>
        </w:rPr>
        <w:t xml:space="preserve"> </w:t>
      </w:r>
      <w:r w:rsidR="00C238CB" w:rsidRPr="00C238CB">
        <w:rPr>
          <w:rFonts w:ascii="Arial" w:hAnsi="Arial" w:cs="Arial"/>
        </w:rPr>
        <w:t>–</w:t>
      </w:r>
      <w:r w:rsidR="00C238CB">
        <w:rPr>
          <w:rFonts w:ascii="Arial" w:hAnsi="Arial" w:cs="Arial"/>
        </w:rPr>
        <w:t xml:space="preserve"> </w:t>
      </w:r>
      <w:r w:rsidRPr="00787AE0">
        <w:rPr>
          <w:rFonts w:ascii="Arial" w:hAnsi="Arial" w:cs="Arial"/>
        </w:rPr>
        <w:t xml:space="preserve">PIB w Puławach warsztaty naukowe „Aktualne kierunki i osiągnięcia polskiej hodowli tytoniu”. Na spotkaniu zaprezentowano referaty na temat integrowanej ochrony tytoniu oraz hodowli tytoniu w kierunku odporności na wirus TSWV powodujący brązową plamistość pomidora na tytoniu. </w:t>
      </w:r>
    </w:p>
    <w:p w14:paraId="5753767A" w14:textId="77777777" w:rsidR="00787AE0" w:rsidRDefault="00787AE0" w:rsidP="00787AE0">
      <w:pPr>
        <w:pStyle w:val="NormalnyWeb"/>
        <w:tabs>
          <w:tab w:val="left" w:pos="284"/>
        </w:tabs>
        <w:spacing w:beforeAutospacing="0" w:after="120" w:afterAutospacing="0" w:line="360" w:lineRule="auto"/>
        <w:ind w:firstLine="284"/>
        <w:jc w:val="both"/>
        <w:rPr>
          <w:rFonts w:ascii="Arial" w:hAnsi="Arial" w:cs="Arial"/>
        </w:rPr>
      </w:pPr>
      <w:r w:rsidRPr="00787AE0">
        <w:rPr>
          <w:rFonts w:ascii="Arial" w:hAnsi="Arial" w:cs="Arial"/>
        </w:rPr>
        <w:t xml:space="preserve">Wyniki badań z zakresu ochrony roślin prezentowano </w:t>
      </w:r>
      <w:r>
        <w:rPr>
          <w:rFonts w:ascii="Arial" w:hAnsi="Arial" w:cs="Arial"/>
        </w:rPr>
        <w:t xml:space="preserve">także </w:t>
      </w:r>
      <w:r w:rsidRPr="00787AE0">
        <w:rPr>
          <w:rFonts w:ascii="Arial" w:hAnsi="Arial" w:cs="Arial"/>
        </w:rPr>
        <w:t>na konferencjach naukowych</w:t>
      </w:r>
      <w:r>
        <w:rPr>
          <w:rFonts w:ascii="Arial" w:hAnsi="Arial" w:cs="Arial"/>
        </w:rPr>
        <w:t>:</w:t>
      </w:r>
    </w:p>
    <w:p w14:paraId="34B10067" w14:textId="2BBB7748" w:rsidR="00787AE0" w:rsidRDefault="00787AE0" w:rsidP="00E74A80">
      <w:pPr>
        <w:pStyle w:val="NormalnyWeb"/>
        <w:numPr>
          <w:ilvl w:val="0"/>
          <w:numId w:val="32"/>
        </w:numPr>
        <w:tabs>
          <w:tab w:val="left" w:pos="284"/>
        </w:tabs>
        <w:spacing w:beforeAutospacing="0" w:after="120" w:afterAutospacing="0" w:line="360" w:lineRule="auto"/>
        <w:jc w:val="both"/>
        <w:rPr>
          <w:rFonts w:ascii="Arial" w:hAnsi="Arial" w:cs="Arial"/>
        </w:rPr>
      </w:pPr>
      <w:r w:rsidRPr="00787AE0">
        <w:rPr>
          <w:rFonts w:ascii="Arial" w:hAnsi="Arial" w:cs="Arial"/>
        </w:rPr>
        <w:t>IOR w Poznaniu</w:t>
      </w:r>
      <w:r>
        <w:rPr>
          <w:rFonts w:ascii="Arial" w:hAnsi="Arial" w:cs="Arial"/>
        </w:rPr>
        <w:t xml:space="preserve"> (</w:t>
      </w:r>
      <w:r w:rsidR="00CD0F20">
        <w:rPr>
          <w:rFonts w:ascii="Arial" w:hAnsi="Arial" w:cs="Arial"/>
        </w:rPr>
        <w:t>15-16 lutego</w:t>
      </w:r>
      <w:r>
        <w:rPr>
          <w:rFonts w:ascii="Arial" w:hAnsi="Arial" w:cs="Arial"/>
        </w:rPr>
        <w:t>)</w:t>
      </w:r>
      <w:r w:rsidRPr="00787AE0">
        <w:rPr>
          <w:rFonts w:ascii="Arial" w:hAnsi="Arial" w:cs="Arial"/>
        </w:rPr>
        <w:t xml:space="preserve"> zaprezentowano badania dotyczące łączenia w</w:t>
      </w:r>
      <w:r w:rsidR="00AD07B0">
        <w:rPr>
          <w:rFonts w:ascii="Arial" w:hAnsi="Arial" w:cs="Arial"/>
        </w:rPr>
        <w:t> </w:t>
      </w:r>
      <w:r w:rsidRPr="00787AE0">
        <w:rPr>
          <w:rFonts w:ascii="Arial" w:hAnsi="Arial" w:cs="Arial"/>
        </w:rPr>
        <w:t>tytoniu odporności na czarną zgniliznę korzeni (Berkeleyomyces sp.) oraz mozaikę tytoniu (Tobacco mosaic virus), przedstawiono również przydatność odmian grochu siewnego i</w:t>
      </w:r>
      <w:r>
        <w:rPr>
          <w:rFonts w:ascii="Arial" w:hAnsi="Arial" w:cs="Arial"/>
        </w:rPr>
        <w:t> </w:t>
      </w:r>
      <w:r w:rsidRPr="00787AE0">
        <w:rPr>
          <w:rFonts w:ascii="Arial" w:hAnsi="Arial" w:cs="Arial"/>
        </w:rPr>
        <w:t>łubinu żółtego do uprawy ekologicznej pod względem występowania chorób wirusowych, a</w:t>
      </w:r>
      <w:r>
        <w:rPr>
          <w:rFonts w:ascii="Arial" w:hAnsi="Arial" w:cs="Arial"/>
        </w:rPr>
        <w:t> </w:t>
      </w:r>
      <w:r w:rsidRPr="00787AE0">
        <w:rPr>
          <w:rFonts w:ascii="Arial" w:hAnsi="Arial" w:cs="Arial"/>
        </w:rPr>
        <w:t xml:space="preserve">także doniesienie na temat występowania w tytoniu czynników odporności na choroby wirusowe wykorzystywane w hodowli. </w:t>
      </w:r>
    </w:p>
    <w:p w14:paraId="768DB6B3" w14:textId="1BD2D943" w:rsidR="00787AE0" w:rsidRDefault="00787AE0" w:rsidP="00E74A80">
      <w:pPr>
        <w:pStyle w:val="NormalnyWeb"/>
        <w:numPr>
          <w:ilvl w:val="0"/>
          <w:numId w:val="32"/>
        </w:numPr>
        <w:tabs>
          <w:tab w:val="left" w:pos="284"/>
        </w:tabs>
        <w:spacing w:beforeAutospacing="0" w:after="120" w:afterAutospacing="0" w:line="360" w:lineRule="auto"/>
        <w:jc w:val="both"/>
        <w:rPr>
          <w:rFonts w:ascii="Arial" w:hAnsi="Arial" w:cs="Arial"/>
        </w:rPr>
      </w:pPr>
      <w:r w:rsidRPr="00787AE0">
        <w:rPr>
          <w:rFonts w:ascii="Arial" w:hAnsi="Arial" w:cs="Arial"/>
        </w:rPr>
        <w:t xml:space="preserve">55 Jubileuszowej Konferencji Mikrobiologicznej w Puławach </w:t>
      </w:r>
      <w:r>
        <w:rPr>
          <w:rFonts w:ascii="Arial" w:hAnsi="Arial" w:cs="Arial"/>
        </w:rPr>
        <w:t>(</w:t>
      </w:r>
      <w:r w:rsidR="00CD0F20">
        <w:rPr>
          <w:rFonts w:ascii="Arial" w:hAnsi="Arial" w:cs="Arial"/>
        </w:rPr>
        <w:t>14-15 września</w:t>
      </w:r>
      <w:r>
        <w:rPr>
          <w:rFonts w:ascii="Arial" w:hAnsi="Arial" w:cs="Arial"/>
        </w:rPr>
        <w:t>)</w:t>
      </w:r>
      <w:r w:rsidRPr="00787AE0">
        <w:rPr>
          <w:rFonts w:ascii="Arial" w:hAnsi="Arial" w:cs="Arial"/>
        </w:rPr>
        <w:t xml:space="preserve"> przedstawiono doniesienie pt. „Biologiczne metody ograniczania wirusa mozaiki tytoniu w</w:t>
      </w:r>
      <w:r w:rsidR="004034B9">
        <w:rPr>
          <w:rFonts w:ascii="Arial" w:hAnsi="Arial" w:cs="Arial"/>
        </w:rPr>
        <w:t> </w:t>
      </w:r>
      <w:r w:rsidRPr="00787AE0">
        <w:rPr>
          <w:rFonts w:ascii="Arial" w:hAnsi="Arial" w:cs="Arial"/>
        </w:rPr>
        <w:t xml:space="preserve">uprawie Nicotiana tabacum L.”, </w:t>
      </w:r>
    </w:p>
    <w:p w14:paraId="6EBF516B" w14:textId="34480539" w:rsidR="00787AE0" w:rsidRDefault="00787AE0" w:rsidP="00E74A80">
      <w:pPr>
        <w:pStyle w:val="NormalnyWeb"/>
        <w:numPr>
          <w:ilvl w:val="0"/>
          <w:numId w:val="32"/>
        </w:numPr>
        <w:tabs>
          <w:tab w:val="left" w:pos="284"/>
        </w:tabs>
        <w:spacing w:beforeAutospacing="0" w:after="120" w:afterAutospacing="0" w:line="360" w:lineRule="auto"/>
        <w:jc w:val="both"/>
        <w:rPr>
          <w:rFonts w:ascii="Arial" w:hAnsi="Arial" w:cs="Arial"/>
        </w:rPr>
      </w:pPr>
      <w:r w:rsidRPr="00787AE0">
        <w:rPr>
          <w:rFonts w:ascii="Arial" w:hAnsi="Arial" w:cs="Arial"/>
        </w:rPr>
        <w:t xml:space="preserve">forum ,,Soja w Polsce - potencjał i perspektywy’’ w Ożarowie Mazowieckim (23-24 listopada) zaprezentowano wyniki badań nad wpływem grzybów zasiedlających nasiona soi na jakość materiału siewnego. </w:t>
      </w:r>
    </w:p>
    <w:p w14:paraId="437191DB" w14:textId="4D8D1F16" w:rsidR="00787AE0" w:rsidRPr="00787AE0" w:rsidRDefault="00787AE0" w:rsidP="00AD63F3">
      <w:pPr>
        <w:pStyle w:val="NormalnyWeb"/>
        <w:tabs>
          <w:tab w:val="left" w:pos="284"/>
        </w:tabs>
        <w:spacing w:beforeAutospacing="0" w:after="120" w:afterAutospacing="0" w:line="360" w:lineRule="auto"/>
        <w:ind w:firstLine="284"/>
        <w:jc w:val="both"/>
        <w:rPr>
          <w:rFonts w:ascii="Arial" w:hAnsi="Arial" w:cs="Arial"/>
        </w:rPr>
      </w:pPr>
      <w:r w:rsidRPr="00787AE0">
        <w:rPr>
          <w:rFonts w:ascii="Arial" w:hAnsi="Arial" w:cs="Arial"/>
        </w:rPr>
        <w:t xml:space="preserve">Działania upowszechnieniowe obejmowały również publikacje w czasopismach naukowych. </w:t>
      </w:r>
      <w:r w:rsidRPr="004B08BD">
        <w:rPr>
          <w:rFonts w:ascii="Arial" w:hAnsi="Arial" w:cs="Arial"/>
          <w:lang w:val="en-GB"/>
        </w:rPr>
        <w:t>W</w:t>
      </w:r>
      <w:r w:rsidR="004034B9" w:rsidRPr="004B08BD">
        <w:rPr>
          <w:rFonts w:ascii="Arial" w:hAnsi="Arial" w:cs="Arial"/>
          <w:lang w:val="en-GB"/>
        </w:rPr>
        <w:t> </w:t>
      </w:r>
      <w:r w:rsidRPr="004B08BD">
        <w:rPr>
          <w:rFonts w:ascii="Arial" w:hAnsi="Arial" w:cs="Arial"/>
          <w:lang w:val="en-GB"/>
        </w:rPr>
        <w:t>2023</w:t>
      </w:r>
      <w:r w:rsidR="00AD63F3" w:rsidRPr="004B08BD">
        <w:rPr>
          <w:rFonts w:ascii="Arial" w:hAnsi="Arial" w:cs="Arial"/>
          <w:lang w:val="en-GB"/>
        </w:rPr>
        <w:t> </w:t>
      </w:r>
      <w:r w:rsidRPr="004B08BD">
        <w:rPr>
          <w:rFonts w:ascii="Arial" w:hAnsi="Arial" w:cs="Arial"/>
          <w:lang w:val="en-GB"/>
        </w:rPr>
        <w:t xml:space="preserve">r. opublikowano w czasopiśmie Plant Disease Note doniesienie pt. ”First Report of Sclerotinia sclerotiorum Causing Sclerotinia Wilt of Hop (Humulus lupulus) in Poland”. </w:t>
      </w:r>
      <w:r w:rsidRPr="00787AE0">
        <w:rPr>
          <w:rFonts w:ascii="Arial" w:hAnsi="Arial" w:cs="Arial"/>
        </w:rPr>
        <w:t>W czasopiśmie Polish Journal of Agronomy przedstawiono badania na temat możliwości wykorzystania gatunków Nicotiana w</w:t>
      </w:r>
      <w:r w:rsidR="00CD0F20">
        <w:rPr>
          <w:rFonts w:ascii="Arial" w:hAnsi="Arial" w:cs="Arial"/>
        </w:rPr>
        <w:t> </w:t>
      </w:r>
      <w:r w:rsidRPr="00787AE0">
        <w:rPr>
          <w:rFonts w:ascii="Arial" w:hAnsi="Arial" w:cs="Arial"/>
        </w:rPr>
        <w:t>hodowli tytoniu w kierunku odporności na choroby wirusowe, natomiast w czasopiśmie Pathogens badania dotyczące identyfikacji i patogeniczności grzybów z rodzaju Fusarium wyizolowanych z roślin soi w Polsce.</w:t>
      </w:r>
    </w:p>
    <w:p w14:paraId="78F21C3C" w14:textId="747C335D" w:rsidR="00787AE0" w:rsidRDefault="00AD63F3">
      <w:pPr>
        <w:pStyle w:val="NormalnyWeb"/>
        <w:tabs>
          <w:tab w:val="left" w:pos="284"/>
        </w:tabs>
        <w:spacing w:beforeAutospacing="0" w:after="120" w:afterAutospacing="0" w:line="360" w:lineRule="auto"/>
        <w:ind w:firstLine="284"/>
        <w:jc w:val="both"/>
        <w:rPr>
          <w:rFonts w:ascii="Arial" w:hAnsi="Arial" w:cs="Arial"/>
        </w:rPr>
      </w:pPr>
      <w:r w:rsidRPr="00AD63F3">
        <w:rPr>
          <w:rFonts w:ascii="Arial" w:hAnsi="Arial" w:cs="Arial"/>
        </w:rPr>
        <w:t>Szczegóły działalności prowadzonej przez Centrum Doradztwa Rolniczego przedstawione zostały w</w:t>
      </w:r>
      <w:r w:rsidR="004034B9">
        <w:rPr>
          <w:rFonts w:ascii="Arial" w:hAnsi="Arial" w:cs="Arial"/>
        </w:rPr>
        <w:t> </w:t>
      </w:r>
      <w:r w:rsidRPr="00AD63F3">
        <w:rPr>
          <w:rFonts w:ascii="Arial" w:hAnsi="Arial" w:cs="Arial"/>
        </w:rPr>
        <w:t>opisie Działania 10, Zadania 9 KPD.</w:t>
      </w:r>
    </w:p>
    <w:p w14:paraId="35E3B359" w14:textId="131A22A0" w:rsidR="002537F8" w:rsidRDefault="00CD0F20">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2537F8" w:rsidRPr="004979FE">
        <w:rPr>
          <w:rFonts w:ascii="Arial" w:hAnsi="Arial" w:cs="Arial"/>
        </w:rPr>
        <w:t xml:space="preserve"> licznych konferencjach, seminariach oraz imprezach targowo-wystawienniczych poświęconych rolnictwu, prezentując i</w:t>
      </w:r>
      <w:r w:rsidR="00A54014" w:rsidRPr="004979FE">
        <w:rPr>
          <w:rFonts w:ascii="Arial" w:hAnsi="Arial" w:cs="Arial"/>
        </w:rPr>
        <w:t> </w:t>
      </w:r>
      <w:r w:rsidR="002537F8" w:rsidRPr="004979FE">
        <w:rPr>
          <w:rFonts w:ascii="Arial" w:hAnsi="Arial" w:cs="Arial"/>
        </w:rPr>
        <w:t>wyjaśniając wszystkim zainteresowanym zagadnienia z zakresu integrowanej ochrony roślin i</w:t>
      </w:r>
      <w:r w:rsidR="00A54014" w:rsidRPr="004979FE">
        <w:rPr>
          <w:rFonts w:ascii="Arial" w:hAnsi="Arial" w:cs="Arial"/>
        </w:rPr>
        <w:t> </w:t>
      </w:r>
      <w:r w:rsidR="002537F8" w:rsidRPr="004979FE">
        <w:rPr>
          <w:rFonts w:ascii="Arial" w:hAnsi="Arial" w:cs="Arial"/>
        </w:rPr>
        <w:t>integrowanej produkcji roślin</w:t>
      </w:r>
      <w:r w:rsidRPr="00CD0F20">
        <w:rPr>
          <w:rFonts w:ascii="Arial" w:hAnsi="Arial" w:cs="Arial"/>
        </w:rPr>
        <w:t xml:space="preserve"> </w:t>
      </w:r>
      <w:r w:rsidRPr="004979FE">
        <w:rPr>
          <w:rFonts w:ascii="Arial" w:hAnsi="Arial" w:cs="Arial"/>
        </w:rPr>
        <w:t>uczestniczyli także</w:t>
      </w:r>
      <w:r>
        <w:rPr>
          <w:rFonts w:ascii="Arial" w:hAnsi="Arial" w:cs="Arial"/>
        </w:rPr>
        <w:t xml:space="preserve"> p</w:t>
      </w:r>
      <w:r w:rsidRPr="004979FE">
        <w:rPr>
          <w:rFonts w:ascii="Arial" w:hAnsi="Arial" w:cs="Arial"/>
        </w:rPr>
        <w:t xml:space="preserve">rzedstawiciele Ministerstwa Rolnictwa </w:t>
      </w:r>
      <w:r w:rsidRPr="004979FE">
        <w:rPr>
          <w:rFonts w:ascii="Arial" w:hAnsi="Arial" w:cs="Arial"/>
        </w:rPr>
        <w:lastRenderedPageBreak/>
        <w:t>i Rozwoju Wsi</w:t>
      </w:r>
      <w:r>
        <w:rPr>
          <w:rFonts w:ascii="Arial" w:hAnsi="Arial" w:cs="Arial"/>
        </w:rPr>
        <w:t>.</w:t>
      </w:r>
      <w:r w:rsidRPr="004979FE">
        <w:rPr>
          <w:rFonts w:ascii="Arial" w:hAnsi="Arial" w:cs="Arial"/>
        </w:rPr>
        <w:t xml:space="preserve"> </w:t>
      </w:r>
    </w:p>
    <w:p w14:paraId="11DEB362" w14:textId="2F9C11BE" w:rsidR="00EC52C5" w:rsidRPr="00925BCD" w:rsidRDefault="00EC52C5" w:rsidP="00EC52C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Na potrzeby realizacji zadania materiały dotyczące przepisów, w tym w zakresie integrowanej ochrony roślin, zamieszcz</w:t>
      </w:r>
      <w:r w:rsidR="00797C43">
        <w:rPr>
          <w:rFonts w:ascii="Arial" w:hAnsi="Arial" w:cs="Arial"/>
        </w:rPr>
        <w:t>a</w:t>
      </w:r>
      <w:r w:rsidRPr="00925BCD">
        <w:rPr>
          <w:rFonts w:ascii="Arial" w:hAnsi="Arial" w:cs="Arial"/>
        </w:rPr>
        <w:t xml:space="preserve">ne </w:t>
      </w:r>
      <w:r w:rsidR="00797C43" w:rsidRPr="00925BCD">
        <w:rPr>
          <w:rFonts w:ascii="Arial" w:hAnsi="Arial" w:cs="Arial"/>
        </w:rPr>
        <w:t xml:space="preserve">były </w:t>
      </w:r>
      <w:r w:rsidRPr="00925BCD">
        <w:rPr>
          <w:rFonts w:ascii="Arial" w:hAnsi="Arial" w:cs="Arial"/>
        </w:rPr>
        <w:t>w publikacji Ministerstwa Rolnictwa i Rozwoju Wsi pt. „Rolnictwo i Gospodarka Żywnościowa w Polsce” oraz Biuletynie Informacyjnym Ministerstwa Rolnictwa i Rozwoju Wsi, jak również w różnego rodzaju materiałach szkoleniowych, targowych oraz programach ochrony roślin.</w:t>
      </w:r>
    </w:p>
    <w:p w14:paraId="6DFDFBA4" w14:textId="3BAE27BD" w:rsidR="003E5D4C" w:rsidRDefault="00801998" w:rsidP="003E5D4C">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EC52C5" w:rsidRPr="00925BCD">
        <w:rPr>
          <w:rFonts w:ascii="Arial" w:hAnsi="Arial" w:cs="Arial"/>
        </w:rPr>
        <w:t>śród materiałów promocyjno-informacyjnych znalazły się także ulotki i plakaty</w:t>
      </w:r>
      <w:r w:rsidR="00D11F17" w:rsidRPr="00925BCD">
        <w:rPr>
          <w:rFonts w:ascii="Arial" w:hAnsi="Arial" w:cs="Arial"/>
        </w:rPr>
        <w:t xml:space="preserve"> popularyzujące integrowaną ochronę roślin</w:t>
      </w:r>
      <w:r w:rsidR="00D11F17">
        <w:rPr>
          <w:rFonts w:ascii="Arial" w:hAnsi="Arial" w:cs="Arial"/>
        </w:rPr>
        <w:t>.</w:t>
      </w:r>
      <w:r w:rsidR="00EC52C5" w:rsidRPr="00925BCD">
        <w:rPr>
          <w:rFonts w:ascii="Arial" w:hAnsi="Arial" w:cs="Arial"/>
        </w:rPr>
        <w:t xml:space="preserve"> </w:t>
      </w:r>
      <w:r w:rsidRPr="00925BCD">
        <w:rPr>
          <w:rFonts w:ascii="Arial" w:hAnsi="Arial" w:cs="Arial"/>
        </w:rPr>
        <w:t>W 20</w:t>
      </w:r>
      <w:r>
        <w:rPr>
          <w:rFonts w:ascii="Arial" w:hAnsi="Arial" w:cs="Arial"/>
        </w:rPr>
        <w:t>23</w:t>
      </w:r>
      <w:r w:rsidRPr="00925BCD">
        <w:rPr>
          <w:rFonts w:ascii="Arial" w:hAnsi="Arial" w:cs="Arial"/>
        </w:rPr>
        <w:t xml:space="preserve"> r.</w:t>
      </w:r>
      <w:r w:rsidR="003E5D4C" w:rsidRPr="003E5D4C">
        <w:rPr>
          <w:rFonts w:cstheme="minorHAnsi"/>
          <w:sz w:val="24"/>
          <w:szCs w:val="24"/>
        </w:rPr>
        <w:t xml:space="preserve"> </w:t>
      </w:r>
      <w:r w:rsidR="003E5D4C" w:rsidRPr="003E5D4C">
        <w:rPr>
          <w:rFonts w:ascii="Arial" w:hAnsi="Arial" w:cs="Arial"/>
        </w:rPr>
        <w:t xml:space="preserve">opracowano i wydrukowano plakaty </w:t>
      </w:r>
      <w:r w:rsidR="00797C43">
        <w:rPr>
          <w:rFonts w:ascii="Arial" w:hAnsi="Arial" w:cs="Arial"/>
        </w:rPr>
        <w:t>„</w:t>
      </w:r>
      <w:r w:rsidR="00B40C35">
        <w:rPr>
          <w:rFonts w:ascii="Arial" w:hAnsi="Arial" w:cs="Arial"/>
        </w:rPr>
        <w:t xml:space="preserve">Chroń ekosystemy </w:t>
      </w:r>
      <w:r w:rsidR="004303BF">
        <w:rPr>
          <w:rFonts w:ascii="Arial" w:hAnsi="Arial" w:cs="Arial"/>
        </w:rPr>
        <w:t xml:space="preserve">wodne przed zanieczyszczeniem </w:t>
      </w:r>
      <w:r w:rsidR="003E5D4C" w:rsidRPr="003E5D4C">
        <w:rPr>
          <w:rFonts w:ascii="Arial" w:hAnsi="Arial" w:cs="Arial"/>
        </w:rPr>
        <w:t>środkami ochrony roślin</w:t>
      </w:r>
      <w:r w:rsidR="00797C43">
        <w:rPr>
          <w:rFonts w:ascii="Arial" w:hAnsi="Arial" w:cs="Arial"/>
        </w:rPr>
        <w:t>”</w:t>
      </w:r>
      <w:r w:rsidR="003E5D4C" w:rsidRPr="003E5D4C">
        <w:rPr>
          <w:rFonts w:ascii="Arial" w:hAnsi="Arial" w:cs="Arial"/>
        </w:rPr>
        <w:t xml:space="preserve"> (550 egz.)</w:t>
      </w:r>
      <w:r w:rsidR="00424813">
        <w:rPr>
          <w:rFonts w:ascii="Arial" w:hAnsi="Arial" w:cs="Arial"/>
        </w:rPr>
        <w:t>,</w:t>
      </w:r>
      <w:r w:rsidR="003E5D4C" w:rsidRPr="003E5D4C">
        <w:rPr>
          <w:rFonts w:ascii="Arial" w:hAnsi="Arial" w:cs="Arial"/>
        </w:rPr>
        <w:t xml:space="preserve"> </w:t>
      </w:r>
      <w:r w:rsidR="00D42CCD">
        <w:rPr>
          <w:rFonts w:ascii="Arial" w:hAnsi="Arial" w:cs="Arial"/>
        </w:rPr>
        <w:t>„</w:t>
      </w:r>
      <w:r w:rsidR="003E5D4C" w:rsidRPr="003E5D4C">
        <w:rPr>
          <w:rFonts w:ascii="Arial" w:hAnsi="Arial" w:cs="Arial"/>
        </w:rPr>
        <w:t>Platfor</w:t>
      </w:r>
      <w:r w:rsidR="00D42CCD">
        <w:rPr>
          <w:rFonts w:ascii="Arial" w:hAnsi="Arial" w:cs="Arial"/>
        </w:rPr>
        <w:t>ma</w:t>
      </w:r>
      <w:r w:rsidR="003E5D4C" w:rsidRPr="003E5D4C">
        <w:rPr>
          <w:rFonts w:ascii="Arial" w:hAnsi="Arial" w:cs="Arial"/>
        </w:rPr>
        <w:t xml:space="preserve"> Sygnalizacji Agrofagów</w:t>
      </w:r>
      <w:r w:rsidR="00D42CCD">
        <w:rPr>
          <w:rFonts w:ascii="Arial" w:hAnsi="Arial" w:cs="Arial"/>
        </w:rPr>
        <w:t>”</w:t>
      </w:r>
      <w:r w:rsidR="003E5D4C" w:rsidRPr="003E5D4C">
        <w:rPr>
          <w:rFonts w:ascii="Arial" w:hAnsi="Arial" w:cs="Arial"/>
        </w:rPr>
        <w:t xml:space="preserve"> (400 egz.) oraz ulotki o tej samej tematyce po 600 egz. Dodrukowano także plakaty przestrzegające przed zakupem i stosowaniem nielegalnych środków ochrony roślin (545 egz.), promujące metody biologiczne w ochronie roślin (200 egz.) i ochronę zapylaczy (500 egz.). W 2023 r. dodrukowano i rozdysponowano 1000 egzemplarzy „Kodeksu dobrej praktyki ochrony roślin”.</w:t>
      </w:r>
    </w:p>
    <w:p w14:paraId="007D843F" w14:textId="49CA55E2" w:rsidR="008A2915" w:rsidRDefault="008A2915" w:rsidP="003E5D4C">
      <w:pPr>
        <w:pStyle w:val="NormalnyWeb"/>
        <w:tabs>
          <w:tab w:val="left" w:pos="284"/>
        </w:tabs>
        <w:spacing w:beforeAutospacing="0" w:after="120" w:afterAutospacing="0" w:line="360" w:lineRule="auto"/>
        <w:ind w:firstLine="284"/>
        <w:jc w:val="both"/>
        <w:rPr>
          <w:rFonts w:ascii="Arial" w:hAnsi="Arial" w:cs="Arial"/>
        </w:rPr>
      </w:pPr>
      <w:r w:rsidRPr="008A2915">
        <w:rPr>
          <w:rFonts w:ascii="Arial" w:hAnsi="Arial" w:cs="Arial"/>
        </w:rPr>
        <w:t>Materiały informacyjne poświęcone integrowanej ochronie roślin były na bieżąco zamieszczane na stronie Platformy Sygnalizacji Agrofagów, a także rozsyłane do oddziałów PIORiN, jednostek doradztwa rolniczego, szkół średnich kształcących w kierunkach rolniczych prowadzonych i nadzorowanych przez Ministra Rolnictwa i Rozwoju Wsi oraz rozpowszechniane wśród uczestników najważniejszych, krajowych wydarzeń rolniczych.</w:t>
      </w:r>
    </w:p>
    <w:p w14:paraId="43900BAD" w14:textId="09526AE2" w:rsidR="00BC4DAA" w:rsidRDefault="00FF2046" w:rsidP="00FF2046">
      <w:pPr>
        <w:pStyle w:val="NormalnyWeb"/>
        <w:tabs>
          <w:tab w:val="left" w:pos="284"/>
        </w:tabs>
        <w:spacing w:beforeAutospacing="0" w:after="120" w:afterAutospacing="0" w:line="360" w:lineRule="auto"/>
        <w:ind w:firstLine="284"/>
        <w:jc w:val="center"/>
        <w:rPr>
          <w:rFonts w:ascii="Arial" w:hAnsi="Arial" w:cs="Arial"/>
        </w:rPr>
      </w:pPr>
      <w:r>
        <w:rPr>
          <w:noProof/>
        </w:rPr>
        <w:drawing>
          <wp:inline distT="0" distB="0" distL="0" distR="0" wp14:anchorId="26DB372A" wp14:editId="7BA18047">
            <wp:extent cx="1871932" cy="2590141"/>
            <wp:effectExtent l="0" t="0" r="0" b="1270"/>
            <wp:docPr id="807157871" name="Obraz 1" descr="Obraz zawierający tekst, zrzut ekranu, oprogramowanie, Ikona komputerow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57871" name="Obraz 1" descr="Obraz zawierający tekst, zrzut ekranu, oprogramowanie, Ikona komputerowa&#10;&#10;Zawartość wygenerowana przez sztuczną inteligencję może być niepoprawna."/>
                    <pic:cNvPicPr/>
                  </pic:nvPicPr>
                  <pic:blipFill rotWithShape="1">
                    <a:blip r:embed="rId20"/>
                    <a:srcRect l="41079" t="10321" r="25919" b="4450"/>
                    <a:stretch/>
                  </pic:blipFill>
                  <pic:spPr bwMode="auto">
                    <a:xfrm>
                      <a:off x="0" y="0"/>
                      <a:ext cx="1884609" cy="2607682"/>
                    </a:xfrm>
                    <a:prstGeom prst="rect">
                      <a:avLst/>
                    </a:prstGeom>
                    <a:ln>
                      <a:noFill/>
                    </a:ln>
                    <a:extLst>
                      <a:ext uri="{53640926-AAD7-44D8-BBD7-CCE9431645EC}">
                        <a14:shadowObscured xmlns:a14="http://schemas.microsoft.com/office/drawing/2010/main"/>
                      </a:ext>
                    </a:extLst>
                  </pic:spPr>
                </pic:pic>
              </a:graphicData>
            </a:graphic>
          </wp:inline>
        </w:drawing>
      </w:r>
      <w:r w:rsidR="00E33EA5" w:rsidRPr="008460E1">
        <w:rPr>
          <w:noProof/>
        </w:rPr>
        <w:drawing>
          <wp:inline distT="0" distB="0" distL="0" distR="0" wp14:anchorId="39DB10BB" wp14:editId="7AA94F09">
            <wp:extent cx="1819275" cy="2576905"/>
            <wp:effectExtent l="0" t="0" r="0" b="0"/>
            <wp:docPr id="1820701111" name="Obraz 2" descr="Obraz zawierający tekst, elektronika, komputer, zrzut ekran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01111" name="Obraz 2" descr="Obraz zawierający tekst, elektronika, komputer, zrzut ekranu&#10;&#10;Zawartość wygenerowana przez sztuczną inteligencję może być niepoprawn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38069" cy="2603526"/>
                    </a:xfrm>
                    <a:prstGeom prst="rect">
                      <a:avLst/>
                    </a:prstGeom>
                    <a:noFill/>
                    <a:ln>
                      <a:noFill/>
                    </a:ln>
                  </pic:spPr>
                </pic:pic>
              </a:graphicData>
            </a:graphic>
          </wp:inline>
        </w:drawing>
      </w:r>
    </w:p>
    <w:p w14:paraId="43ABB6DE" w14:textId="29CAE48D" w:rsidR="003E5D4C" w:rsidRPr="003E5D4C" w:rsidRDefault="00180533" w:rsidP="003E5D4C">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3E5D4C" w:rsidRPr="003E5D4C">
        <w:rPr>
          <w:rFonts w:ascii="Arial" w:hAnsi="Arial" w:cs="Arial"/>
        </w:rPr>
        <w:t xml:space="preserve">ydano </w:t>
      </w:r>
      <w:r>
        <w:rPr>
          <w:rFonts w:ascii="Arial" w:hAnsi="Arial" w:cs="Arial"/>
        </w:rPr>
        <w:t xml:space="preserve">także </w:t>
      </w:r>
      <w:r w:rsidR="003E5D4C" w:rsidRPr="003E5D4C">
        <w:rPr>
          <w:rFonts w:ascii="Arial" w:hAnsi="Arial" w:cs="Arial"/>
        </w:rPr>
        <w:t xml:space="preserve">13-stronicowy kalendarz na rok 2024 (750 egz.) poświęcony organizmom pożytecznym, zawierający fotografie i krótki opis 12 gatunków zwierząt (owadów, płazów, gadów, ssaków), które efektywnie ograniczają populacje szkodników atakujących rośliny uprawne lub są zapylaczami rośliny. </w:t>
      </w:r>
    </w:p>
    <w:p w14:paraId="7C4F1209" w14:textId="75C1AE80" w:rsidR="00E6424E" w:rsidRPr="00E6424E" w:rsidRDefault="00BB6C28" w:rsidP="00E6424E">
      <w:pPr>
        <w:pStyle w:val="NormalnyWeb"/>
        <w:tabs>
          <w:tab w:val="left" w:pos="284"/>
        </w:tabs>
        <w:spacing w:after="120" w:line="360" w:lineRule="auto"/>
        <w:ind w:firstLine="284"/>
        <w:jc w:val="both"/>
        <w:rPr>
          <w:rFonts w:ascii="Arial" w:hAnsi="Arial" w:cs="Arial"/>
        </w:rPr>
      </w:pPr>
      <w:r w:rsidRPr="00BB6C28">
        <w:rPr>
          <w:rFonts w:ascii="Arial" w:hAnsi="Arial" w:cs="Arial"/>
        </w:rPr>
        <w:t xml:space="preserve">W upowszechnianiu wiedzy z zakresu integrowanej ochrony roślin bierze czynny udział również Państwowa Inspekcja Ochrony Roślin i Nasiennictwa. </w:t>
      </w:r>
      <w:r>
        <w:rPr>
          <w:rFonts w:ascii="Arial" w:hAnsi="Arial" w:cs="Arial"/>
        </w:rPr>
        <w:t>P</w:t>
      </w:r>
      <w:r w:rsidRPr="00BB6C28">
        <w:rPr>
          <w:rFonts w:ascii="Arial" w:hAnsi="Arial" w:cs="Arial"/>
        </w:rPr>
        <w:t>racownicy Inspekcji brali udział w szeregu konferencji, prowadzili szkolenia, dystrybuowali materiały informacyjne, publikowali artykuły w prasie, a</w:t>
      </w:r>
      <w:r>
        <w:rPr>
          <w:rFonts w:ascii="Arial" w:hAnsi="Arial" w:cs="Arial"/>
        </w:rPr>
        <w:t> </w:t>
      </w:r>
      <w:r w:rsidRPr="00BB6C28">
        <w:rPr>
          <w:rFonts w:ascii="Arial" w:hAnsi="Arial" w:cs="Arial"/>
        </w:rPr>
        <w:t>także występowali w mediach.</w:t>
      </w:r>
    </w:p>
    <w:p w14:paraId="671C17F7" w14:textId="77777777" w:rsidR="008B5F95" w:rsidRDefault="00923F0D">
      <w:pPr>
        <w:pStyle w:val="Nagwek2"/>
        <w:jc w:val="both"/>
        <w:rPr>
          <w:i w:val="0"/>
          <w:sz w:val="20"/>
          <w:szCs w:val="20"/>
        </w:rPr>
      </w:pPr>
      <w:bookmarkStart w:id="43" w:name="_Toc193716402"/>
      <w:r>
        <w:rPr>
          <w:i w:val="0"/>
          <w:sz w:val="20"/>
          <w:szCs w:val="20"/>
        </w:rPr>
        <w:lastRenderedPageBreak/>
        <w:t>Zadanie 2. Utrzymanie platformy internetowej poświęconej integrowanej ochronie roślin</w:t>
      </w:r>
      <w:bookmarkEnd w:id="43"/>
    </w:p>
    <w:p w14:paraId="3BD0398B" w14:textId="42C6F34A"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Utworzona w ramach krajowego planu działania realizowanego w latach 2013–2017 Platforma Sygnalizacji Agrofagów (</w:t>
      </w:r>
      <w:hyperlink r:id="rId22">
        <w:r>
          <w:rPr>
            <w:rFonts w:ascii="Arial" w:hAnsi="Arial" w:cs="Arial"/>
          </w:rPr>
          <w:t>www.agrofagi.com.pl</w:t>
        </w:r>
      </w:hyperlink>
      <w:r>
        <w:rPr>
          <w:rFonts w:ascii="Arial" w:hAnsi="Arial" w:cs="Arial"/>
        </w:rPr>
        <w:t xml:space="preserve">) stanowi płaszczyznę i narzędzie wymiany doświadczeń oraz transferu wiedzy pomiędzy nauką a praktyką przy realizacji wymagań integrowanej ochrony roślin. Platforma jest prowadzona przez </w:t>
      </w:r>
      <w:r w:rsidR="007D0073">
        <w:rPr>
          <w:rFonts w:ascii="Arial" w:hAnsi="Arial" w:cs="Arial"/>
        </w:rPr>
        <w:t>IOR</w:t>
      </w:r>
      <w:r w:rsidR="00C902CC">
        <w:rPr>
          <w:rFonts w:ascii="Arial" w:hAnsi="Arial" w:cs="Arial"/>
        </w:rPr>
        <w:t xml:space="preserve"> </w:t>
      </w:r>
      <w:r w:rsidR="004850AE">
        <w:rPr>
          <w:rFonts w:ascii="Arial" w:hAnsi="Arial" w:cs="Arial"/>
        </w:rPr>
        <w:t>–</w:t>
      </w:r>
      <w:r w:rsidR="00C902CC">
        <w:rPr>
          <w:rFonts w:ascii="Arial" w:hAnsi="Arial" w:cs="Arial"/>
        </w:rPr>
        <w:t xml:space="preserve"> </w:t>
      </w:r>
      <w:r w:rsidR="004850AE">
        <w:rPr>
          <w:rFonts w:ascii="Arial" w:hAnsi="Arial" w:cs="Arial"/>
        </w:rPr>
        <w:t>PIB</w:t>
      </w:r>
      <w:r>
        <w:rPr>
          <w:rFonts w:ascii="Arial" w:hAnsi="Arial" w:cs="Arial"/>
        </w:rPr>
        <w:t xml:space="preserve"> w ścisłej współpracy z </w:t>
      </w:r>
      <w:r w:rsidR="007D0073">
        <w:rPr>
          <w:rFonts w:ascii="Arial" w:hAnsi="Arial" w:cs="Arial"/>
        </w:rPr>
        <w:t>IO</w:t>
      </w:r>
      <w:r w:rsidR="00C902CC">
        <w:rPr>
          <w:rFonts w:ascii="Arial" w:hAnsi="Arial" w:cs="Arial"/>
        </w:rPr>
        <w:t xml:space="preserve"> </w:t>
      </w:r>
      <w:r w:rsidR="004850AE">
        <w:rPr>
          <w:rFonts w:ascii="Arial" w:hAnsi="Arial" w:cs="Arial"/>
        </w:rPr>
        <w:t>–</w:t>
      </w:r>
      <w:r w:rsidR="00C902CC">
        <w:rPr>
          <w:rFonts w:ascii="Arial" w:hAnsi="Arial" w:cs="Arial"/>
        </w:rPr>
        <w:t xml:space="preserve"> </w:t>
      </w:r>
      <w:r w:rsidR="004850AE">
        <w:rPr>
          <w:rFonts w:ascii="Arial" w:hAnsi="Arial" w:cs="Arial"/>
        </w:rPr>
        <w:t>PIB</w:t>
      </w:r>
      <w:r w:rsidR="00EB11EF" w:rsidRPr="00EB11EF">
        <w:rPr>
          <w:rFonts w:ascii="Arial" w:hAnsi="Arial" w:cs="Arial"/>
        </w:rPr>
        <w:t xml:space="preserve"> </w:t>
      </w:r>
      <w:r>
        <w:rPr>
          <w:rFonts w:ascii="Arial" w:hAnsi="Arial" w:cs="Arial"/>
        </w:rPr>
        <w:t>oraz I</w:t>
      </w:r>
      <w:r w:rsidR="00B014A6">
        <w:rPr>
          <w:rFonts w:ascii="Arial" w:hAnsi="Arial" w:cs="Arial"/>
        </w:rPr>
        <w:t>UNG</w:t>
      </w:r>
      <w:r>
        <w:rPr>
          <w:rFonts w:ascii="Arial" w:hAnsi="Arial" w:cs="Arial"/>
        </w:rPr>
        <w:t xml:space="preserve"> – P</w:t>
      </w:r>
      <w:r w:rsidR="008B00DD">
        <w:rPr>
          <w:rFonts w:ascii="Arial" w:hAnsi="Arial" w:cs="Arial"/>
        </w:rPr>
        <w:t>IB</w:t>
      </w:r>
      <w:r w:rsidR="00131D3B">
        <w:rPr>
          <w:rFonts w:ascii="Arial" w:hAnsi="Arial" w:cs="Arial"/>
        </w:rPr>
        <w:t xml:space="preserve">, COBORU </w:t>
      </w:r>
      <w:r w:rsidR="006A388B">
        <w:rPr>
          <w:rFonts w:ascii="Arial" w:hAnsi="Arial" w:cs="Arial"/>
        </w:rPr>
        <w:t>oraz wojewódzkimi ośrodkami doradztwa rolniczego</w:t>
      </w:r>
      <w:r>
        <w:rPr>
          <w:rFonts w:ascii="Arial" w:hAnsi="Arial" w:cs="Arial"/>
        </w:rPr>
        <w:t>.</w:t>
      </w:r>
    </w:p>
    <w:p w14:paraId="3E3C6908" w14:textId="1AE2BB74"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Biorąc pod uwagę możliwość dostępu do Internetu w Polsce, a w szczególności jego rozwój na obszarach wiejskich, platforma umożliwia mieszkańcom tych obszarów dostęp do nowoczesnych </w:t>
      </w:r>
      <w:r w:rsidR="004F3038">
        <w:rPr>
          <w:rFonts w:ascii="Arial" w:hAnsi="Arial" w:cs="Arial"/>
        </w:rPr>
        <w:t>narzędzi informatycznych</w:t>
      </w:r>
      <w:r>
        <w:rPr>
          <w:rFonts w:ascii="Arial" w:hAnsi="Arial" w:cs="Arial"/>
        </w:rPr>
        <w:t xml:space="preserve">. Za pośrednictwem platformy internetowej poświęconej integrowanej ochronie roślin jest możliwe także informowanie ogółu społeczeństwa o środkach ochrony roślin i zasadach ich stosowania. Na stronie internetowej </w:t>
      </w:r>
      <w:r w:rsidR="008D4738">
        <w:rPr>
          <w:rFonts w:ascii="Arial" w:hAnsi="Arial" w:cs="Arial"/>
        </w:rPr>
        <w:t>są</w:t>
      </w:r>
      <w:r>
        <w:rPr>
          <w:rFonts w:ascii="Arial" w:hAnsi="Arial" w:cs="Arial"/>
        </w:rPr>
        <w:t xml:space="preserve"> udostępniane informacje dotyczące sygnalizacji agrofagów, systemy wspomagania podejmowania decyzji w ochronie roślin, informacje na temat zwalczania agrofagów, a także metodyki integrowanej ochrony roślin, programy ochrony roślin oraz poradniki</w:t>
      </w:r>
      <w:r w:rsidR="00343C26">
        <w:rPr>
          <w:rFonts w:ascii="Arial" w:hAnsi="Arial" w:cs="Arial"/>
        </w:rPr>
        <w:t xml:space="preserve"> sygnalizatora i inne opracowania</w:t>
      </w:r>
      <w:r>
        <w:rPr>
          <w:rFonts w:ascii="Arial" w:hAnsi="Arial" w:cs="Arial"/>
        </w:rPr>
        <w:t>.</w:t>
      </w:r>
    </w:p>
    <w:p w14:paraId="7F1D25CB" w14:textId="77777777" w:rsidR="00DD2550" w:rsidRPr="006A4E2D" w:rsidRDefault="00DD2550" w:rsidP="00DD255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w:t>
      </w:r>
      <w:r w:rsidRPr="00875B73">
        <w:rPr>
          <w:rFonts w:ascii="Arial" w:hAnsi="Arial" w:cs="Arial"/>
        </w:rPr>
        <w:t>regularnie</w:t>
      </w:r>
      <w:r w:rsidRPr="00F6453F">
        <w:rPr>
          <w:rFonts w:ascii="Arial" w:hAnsi="Arial" w:cs="Arial"/>
        </w:rPr>
        <w:t xml:space="preserve"> zamieszczane są informacje dotyczące integrowanej ochrony upraw, komunikaty sygnalizacji oraz zapewniona jest interaktywność przez możliwość zadawania pytań </w:t>
      </w:r>
      <w:r w:rsidRPr="006A4E2D">
        <w:rPr>
          <w:rFonts w:ascii="Arial" w:hAnsi="Arial" w:cs="Arial"/>
        </w:rPr>
        <w:t>ekspertowi.</w:t>
      </w:r>
    </w:p>
    <w:p w14:paraId="1C3FE950" w14:textId="0D7C993A" w:rsidR="00DD2550" w:rsidRPr="006A4E2D" w:rsidRDefault="00DD2550" w:rsidP="00DD2550">
      <w:pPr>
        <w:pStyle w:val="NormalnyWeb"/>
        <w:tabs>
          <w:tab w:val="left" w:pos="284"/>
        </w:tabs>
        <w:spacing w:beforeAutospacing="0" w:after="120" w:afterAutospacing="0" w:line="360" w:lineRule="auto"/>
        <w:ind w:firstLine="284"/>
        <w:jc w:val="both"/>
        <w:rPr>
          <w:rFonts w:ascii="Arial" w:hAnsi="Arial" w:cs="Arial"/>
        </w:rPr>
      </w:pPr>
      <w:r w:rsidRPr="006A4E2D">
        <w:rPr>
          <w:rFonts w:ascii="Arial" w:hAnsi="Arial" w:cs="Arial"/>
        </w:rPr>
        <w:t xml:space="preserve">W </w:t>
      </w:r>
      <w:r w:rsidR="00F04DFE" w:rsidRPr="006A4E2D">
        <w:rPr>
          <w:rFonts w:ascii="Arial" w:hAnsi="Arial" w:cs="Arial"/>
        </w:rPr>
        <w:t>2023</w:t>
      </w:r>
      <w:r w:rsidR="00CD4F58">
        <w:rPr>
          <w:rFonts w:ascii="Arial" w:hAnsi="Arial" w:cs="Arial"/>
        </w:rPr>
        <w:t> </w:t>
      </w:r>
      <w:r w:rsidR="00F04DFE" w:rsidRPr="006A4E2D">
        <w:rPr>
          <w:rFonts w:ascii="Arial" w:hAnsi="Arial" w:cs="Arial"/>
        </w:rPr>
        <w:t xml:space="preserve">r. </w:t>
      </w:r>
      <w:r w:rsidRPr="006A4E2D">
        <w:rPr>
          <w:rFonts w:ascii="Arial" w:hAnsi="Arial" w:cs="Arial"/>
        </w:rPr>
        <w:t>zaktualizowane zostały wykazy dostępnych środków ochrony roślin w</w:t>
      </w:r>
      <w:r w:rsidR="001A0D72" w:rsidRPr="006A4E2D">
        <w:rPr>
          <w:rFonts w:ascii="Arial" w:hAnsi="Arial" w:cs="Arial"/>
        </w:rPr>
        <w:t xml:space="preserve"> </w:t>
      </w:r>
      <w:r w:rsidRPr="006A4E2D">
        <w:rPr>
          <w:rFonts w:ascii="Arial" w:hAnsi="Arial" w:cs="Arial"/>
        </w:rPr>
        <w:t xml:space="preserve">uprawach rolniczych, sadowniczych, warzywnych i przemysłowych. Zaktualizowano i wprowadzano nowe metodyki integrowanej ochrony roślin i poradniki, informacje z zakresu ochrony roślin bezpiecznej dla zapylaczy (aktualizacja broszur upowszechnieniowych), programów zapobiegania powstawaniu odporności organizmów szkodliwych (8 opracowań). Dodany został panel „Ocena zagrożenia agrofagiem” (Pest Risk Assesment). </w:t>
      </w:r>
    </w:p>
    <w:p w14:paraId="2035D88E" w14:textId="33D40BF9" w:rsidR="001005D0" w:rsidRPr="006A4E2D" w:rsidRDefault="001F5F72" w:rsidP="001005D0">
      <w:pPr>
        <w:pStyle w:val="NormalnyWeb"/>
        <w:tabs>
          <w:tab w:val="left" w:pos="284"/>
        </w:tabs>
        <w:spacing w:beforeAutospacing="0" w:after="120" w:afterAutospacing="0" w:line="360" w:lineRule="auto"/>
        <w:ind w:firstLine="284"/>
        <w:jc w:val="both"/>
        <w:rPr>
          <w:rFonts w:ascii="Arial" w:hAnsi="Arial" w:cs="Arial"/>
        </w:rPr>
      </w:pPr>
      <w:r w:rsidRPr="006A4E2D">
        <w:rPr>
          <w:rFonts w:ascii="Arial" w:hAnsi="Arial" w:cs="Arial"/>
        </w:rPr>
        <w:t>W części „Komunikaty” n</w:t>
      </w:r>
      <w:r w:rsidR="001005D0" w:rsidRPr="006A4E2D">
        <w:rPr>
          <w:rFonts w:ascii="Arial" w:hAnsi="Arial" w:cs="Arial"/>
        </w:rPr>
        <w:t>a bieżąco wprowadzano informacje o aktualnych zagrożeniach w uprawach rolniczych.</w:t>
      </w:r>
    </w:p>
    <w:p w14:paraId="3329FCD9" w14:textId="4CC18F9C" w:rsidR="001005D0" w:rsidRPr="006A4E2D" w:rsidRDefault="001005D0" w:rsidP="001005D0">
      <w:pPr>
        <w:pStyle w:val="NormalnyWeb"/>
        <w:tabs>
          <w:tab w:val="left" w:pos="284"/>
        </w:tabs>
        <w:spacing w:beforeAutospacing="0" w:after="120" w:afterAutospacing="0" w:line="360" w:lineRule="auto"/>
        <w:ind w:firstLine="284"/>
        <w:jc w:val="both"/>
        <w:rPr>
          <w:rFonts w:ascii="Arial" w:hAnsi="Arial" w:cs="Arial"/>
        </w:rPr>
      </w:pPr>
      <w:r w:rsidRPr="006A4E2D">
        <w:rPr>
          <w:rFonts w:ascii="Arial" w:hAnsi="Arial" w:cs="Arial"/>
        </w:rPr>
        <w:t>W 2023 r. licznik odwiedzin wyniósł 549 279 odwiedzających Platformę Sygnalizacji Agrofagów.</w:t>
      </w:r>
    </w:p>
    <w:p w14:paraId="02B4703D" w14:textId="6CA99109" w:rsidR="00D77A71" w:rsidRDefault="00321D83" w:rsidP="006A4E2D">
      <w:pPr>
        <w:pStyle w:val="NormalnyWeb"/>
        <w:tabs>
          <w:tab w:val="left" w:pos="284"/>
        </w:tabs>
        <w:spacing w:beforeAutospacing="0" w:after="120" w:afterAutospacing="0" w:line="360" w:lineRule="auto"/>
        <w:ind w:firstLine="284"/>
        <w:jc w:val="center"/>
        <w:rPr>
          <w:rFonts w:ascii="Arial" w:hAnsi="Arial" w:cs="Arial"/>
        </w:rPr>
      </w:pPr>
      <w:r w:rsidRPr="00C0345A">
        <w:rPr>
          <w:rFonts w:ascii="Arial" w:eastAsia="Calibri" w:hAnsi="Arial" w:cs="Arial"/>
          <w:noProof/>
          <w:sz w:val="22"/>
          <w:szCs w:val="22"/>
        </w:rPr>
        <w:drawing>
          <wp:inline distT="0" distB="0" distL="0" distR="0" wp14:anchorId="2F3645A0" wp14:editId="579BBD65">
            <wp:extent cx="2751826" cy="2547884"/>
            <wp:effectExtent l="0" t="0" r="0" b="508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2324" cy="2677969"/>
                    </a:xfrm>
                    <a:prstGeom prst="rect">
                      <a:avLst/>
                    </a:prstGeom>
                    <a:noFill/>
                    <a:ln>
                      <a:noFill/>
                    </a:ln>
                  </pic:spPr>
                </pic:pic>
              </a:graphicData>
            </a:graphic>
          </wp:inline>
        </w:drawing>
      </w:r>
    </w:p>
    <w:p w14:paraId="5133339E" w14:textId="77777777" w:rsidR="008B5F95" w:rsidRDefault="00923F0D">
      <w:pPr>
        <w:pStyle w:val="Nagwek2"/>
        <w:jc w:val="both"/>
        <w:rPr>
          <w:i w:val="0"/>
          <w:sz w:val="20"/>
          <w:szCs w:val="20"/>
        </w:rPr>
      </w:pPr>
      <w:bookmarkStart w:id="44" w:name="_Toc193716403"/>
      <w:r>
        <w:rPr>
          <w:i w:val="0"/>
          <w:sz w:val="20"/>
          <w:szCs w:val="20"/>
        </w:rPr>
        <w:lastRenderedPageBreak/>
        <w:t>Zadanie 3. Opracowanie, aktualizacja i udostępnienie metodyk integrowanej ochrony poszczególnych upraw</w:t>
      </w:r>
      <w:bookmarkStart w:id="45" w:name="_Toc301334616"/>
      <w:bookmarkStart w:id="46" w:name="_Toc300916282"/>
      <w:bookmarkStart w:id="47" w:name="_Toc341876101"/>
      <w:bookmarkStart w:id="48" w:name="_Toc341876100"/>
      <w:bookmarkEnd w:id="44"/>
      <w:bookmarkEnd w:id="45"/>
      <w:bookmarkEnd w:id="46"/>
      <w:bookmarkEnd w:id="47"/>
      <w:bookmarkEnd w:id="48"/>
    </w:p>
    <w:p w14:paraId="34500625" w14:textId="33D5A8B2"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Jednym z działań pozalegislacyjnych, służących wdrożeniu ogólnych zasad integrowanej ochrony roślin, </w:t>
      </w:r>
      <w:r w:rsidR="00EE4B60">
        <w:rPr>
          <w:rFonts w:ascii="Arial" w:hAnsi="Arial" w:cs="Arial"/>
        </w:rPr>
        <w:t>jest</w:t>
      </w:r>
      <w:r>
        <w:rPr>
          <w:rFonts w:ascii="Arial" w:hAnsi="Arial" w:cs="Arial"/>
        </w:rPr>
        <w:t xml:space="preserve"> aktualizacja oraz udostępnienie użytkownikom profesjonalnym środków ochrony roślin metodyk integrowanej ochrony roślin. Metodyki zawierają zalecenia dotyczące metod ochrony roślin dla poszczególnych upraw, obejmujące metody agrotechniczne, biologiczne i chemiczne, ze szczególnym uwzględnieniem wspomagania naturalnych procesów samoregulacji zachodzących w agrocenozach. Jednym z elementów wykorzystywanych w integrowanej ochronie roślin jest stosowanie prawidłowego płodozmianu. Istotna jest też uprawa odmian odpornych i tolerancyjnych oraz wprowadzanie do praktyki rolniczej alternatywnych form uprawy, takich jak siew mieszanek odmian i gatunków, pozwalających na lepsze wykorzystanie zasobów środowiska rolniczego, bez zakłócania jego równowagi biologicznej. </w:t>
      </w:r>
    </w:p>
    <w:p w14:paraId="7D0899CC" w14:textId="087F2573"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Metodyki integrowanej ochrony roślin zawierają wskazówki dotyczące doboru i stosowania środków ochrony roślin w taki sposób, aby minimalizować ryzyko powstawania zagrożeń dla zdrowia ludzi oraz dla środowiska naturalnego, w tym środowiska wodnego i owadów zapylających.</w:t>
      </w:r>
    </w:p>
    <w:p w14:paraId="02F8D68C" w14:textId="0D10ABB6" w:rsidR="006B6D71" w:rsidRPr="00E16A2C" w:rsidRDefault="00923F0D" w:rsidP="001A1057">
      <w:pPr>
        <w:pStyle w:val="NormalnyWeb"/>
        <w:tabs>
          <w:tab w:val="left" w:pos="284"/>
        </w:tabs>
        <w:spacing w:beforeAutospacing="0" w:after="120" w:afterAutospacing="0" w:line="360" w:lineRule="auto"/>
        <w:ind w:firstLine="284"/>
        <w:jc w:val="both"/>
        <w:rPr>
          <w:rFonts w:ascii="Arial" w:hAnsi="Arial" w:cs="Arial"/>
        </w:rPr>
      </w:pPr>
      <w:r w:rsidRPr="001A1057">
        <w:rPr>
          <w:rFonts w:ascii="Arial" w:hAnsi="Arial" w:cs="Arial"/>
        </w:rPr>
        <w:t xml:space="preserve">W ramach zadania </w:t>
      </w:r>
      <w:r w:rsidR="00941B32" w:rsidRPr="001A1057">
        <w:rPr>
          <w:rFonts w:ascii="Arial" w:hAnsi="Arial" w:cs="Arial"/>
        </w:rPr>
        <w:t xml:space="preserve">w </w:t>
      </w:r>
      <w:r w:rsidR="00575FD5" w:rsidRPr="001A1057">
        <w:rPr>
          <w:rFonts w:ascii="Arial" w:hAnsi="Arial" w:cs="Arial"/>
        </w:rPr>
        <w:t xml:space="preserve">2023 r. </w:t>
      </w:r>
      <w:r w:rsidR="00882BE6">
        <w:rPr>
          <w:rFonts w:ascii="Arial" w:hAnsi="Arial" w:cs="Arial"/>
        </w:rPr>
        <w:t xml:space="preserve">w </w:t>
      </w:r>
      <w:r w:rsidR="00872453" w:rsidRPr="00872453">
        <w:rPr>
          <w:rFonts w:ascii="Arial" w:hAnsi="Arial" w:cs="Arial"/>
        </w:rPr>
        <w:t xml:space="preserve">Instytucie Ogrodnictwa </w:t>
      </w:r>
      <w:r w:rsidR="00A52CBA">
        <w:rPr>
          <w:rFonts w:ascii="Arial" w:hAnsi="Arial" w:cs="Arial"/>
        </w:rPr>
        <w:t>–</w:t>
      </w:r>
      <w:r w:rsidR="00872453" w:rsidRPr="00872453">
        <w:rPr>
          <w:rFonts w:ascii="Arial" w:hAnsi="Arial" w:cs="Arial"/>
        </w:rPr>
        <w:t xml:space="preserve"> PIB opracowano metodyki integrowanej ochrony jagody kamczackiej i szpinaku </w:t>
      </w:r>
      <w:r w:rsidR="00872453">
        <w:rPr>
          <w:rFonts w:ascii="Arial" w:hAnsi="Arial" w:cs="Arial"/>
        </w:rPr>
        <w:t>oraz z</w:t>
      </w:r>
      <w:r w:rsidR="00872453" w:rsidRPr="00872453">
        <w:rPr>
          <w:rFonts w:ascii="Arial" w:hAnsi="Arial" w:cs="Arial"/>
        </w:rPr>
        <w:t>aktualizowano metodyki integrowanej ochrony wiśni, maliny, ogórka w</w:t>
      </w:r>
      <w:r w:rsidR="001A1057">
        <w:rPr>
          <w:rFonts w:ascii="Arial" w:hAnsi="Arial" w:cs="Arial"/>
        </w:rPr>
        <w:t> </w:t>
      </w:r>
      <w:r w:rsidR="00872453" w:rsidRPr="00872453">
        <w:rPr>
          <w:rFonts w:ascii="Arial" w:hAnsi="Arial" w:cs="Arial"/>
        </w:rPr>
        <w:t>gruncie</w:t>
      </w:r>
      <w:r w:rsidR="006B6D71">
        <w:rPr>
          <w:rFonts w:ascii="Arial" w:hAnsi="Arial" w:cs="Arial"/>
        </w:rPr>
        <w:t>.</w:t>
      </w:r>
    </w:p>
    <w:p w14:paraId="3951A39E" w14:textId="77777777" w:rsidR="00E16A2C" w:rsidRPr="00E16A2C" w:rsidRDefault="00E16A2C" w:rsidP="00E16A2C">
      <w:pPr>
        <w:pStyle w:val="NormalnyWeb"/>
        <w:tabs>
          <w:tab w:val="left" w:pos="284"/>
        </w:tabs>
        <w:spacing w:beforeAutospacing="0" w:after="120" w:afterAutospacing="0" w:line="360" w:lineRule="auto"/>
        <w:ind w:firstLine="284"/>
        <w:jc w:val="both"/>
        <w:rPr>
          <w:rFonts w:ascii="Arial" w:hAnsi="Arial" w:cs="Arial"/>
        </w:rPr>
      </w:pPr>
      <w:r w:rsidRPr="00E16A2C">
        <w:rPr>
          <w:rFonts w:ascii="Arial" w:hAnsi="Arial" w:cs="Arial"/>
        </w:rPr>
        <w:t xml:space="preserve">Do wszystkich metodyk załączono listy kontrolne dla producentów i inspektorów. </w:t>
      </w:r>
    </w:p>
    <w:p w14:paraId="0BFEB759" w14:textId="77777777" w:rsidR="00E16A2C" w:rsidRPr="00E16A2C" w:rsidRDefault="00E16A2C" w:rsidP="00E16A2C">
      <w:pPr>
        <w:pStyle w:val="NormalnyWeb"/>
        <w:tabs>
          <w:tab w:val="left" w:pos="284"/>
        </w:tabs>
        <w:spacing w:beforeAutospacing="0" w:after="120" w:afterAutospacing="0" w:line="360" w:lineRule="auto"/>
        <w:ind w:firstLine="284"/>
        <w:jc w:val="both"/>
        <w:rPr>
          <w:rFonts w:ascii="Arial" w:hAnsi="Arial" w:cs="Arial"/>
        </w:rPr>
      </w:pPr>
      <w:r w:rsidRPr="00E16A2C">
        <w:rPr>
          <w:rFonts w:ascii="Arial" w:hAnsi="Arial" w:cs="Arial"/>
        </w:rPr>
        <w:t xml:space="preserve">Opracowania dedykowane doradcom i producentom stanowią kompendium aktualnej wiedzy niezbędnej dla wdrażania i prowadzenia ochrony roślin zgodnie z zasadami integrowanej ochrony. </w:t>
      </w:r>
    </w:p>
    <w:p w14:paraId="45CC87BB" w14:textId="35A26C17" w:rsidR="00E16A2C" w:rsidRPr="00E16A2C" w:rsidRDefault="00E16A2C" w:rsidP="00E16A2C">
      <w:pPr>
        <w:pStyle w:val="NormalnyWeb"/>
        <w:tabs>
          <w:tab w:val="left" w:pos="284"/>
        </w:tabs>
        <w:spacing w:beforeAutospacing="0" w:after="120" w:afterAutospacing="0" w:line="360" w:lineRule="auto"/>
        <w:ind w:firstLine="284"/>
        <w:jc w:val="both"/>
        <w:rPr>
          <w:rFonts w:ascii="Arial" w:hAnsi="Arial" w:cs="Arial"/>
        </w:rPr>
      </w:pPr>
      <w:r w:rsidRPr="00E16A2C">
        <w:rPr>
          <w:rFonts w:ascii="Arial" w:hAnsi="Arial" w:cs="Arial"/>
        </w:rPr>
        <w:t>Zakres merytoryczny metodyk obejmuje następujące rozdziały: wstęp, przepisy prawne, zasady agrotechniki (stanowisko i płodozmian, przygotowanie gleby, nawożenie, siew), dobór odmian, regulację zachwaszczenia, ograniczanie sprawców chorób, ograniczanie strat powodowanych przez szkodniki, odporność agrofagów na środki ochrony roślin, metody biologiczne w integrowanej ochronie roślin, ochronę organizmów pożytecznych, ochronę owadów zapylających, rolę doradztwa w zakresie wdrażania zaleceń integrowanej ochrony roślin, przygotowanie do zbioru, zbiór, transport i</w:t>
      </w:r>
      <w:r w:rsidR="00A76C8C">
        <w:rPr>
          <w:rFonts w:ascii="Arial" w:hAnsi="Arial" w:cs="Arial"/>
        </w:rPr>
        <w:t> </w:t>
      </w:r>
      <w:r w:rsidRPr="00E16A2C">
        <w:rPr>
          <w:rFonts w:ascii="Arial" w:hAnsi="Arial" w:cs="Arial"/>
        </w:rPr>
        <w:t xml:space="preserve">przechowywanie plonu, właściwy dobór techniki stosowania środków ochrony roślin, zasady prowadzenia dokumentacji w integrowanej ochronie roślin i listy kontrolne integrowanej ochrony, fazy rozwojowe w skali BBCH oraz spis literatury. </w:t>
      </w:r>
    </w:p>
    <w:p w14:paraId="527FE5D4" w14:textId="5433E7FE" w:rsidR="00E16A2C" w:rsidRPr="00E16A2C" w:rsidRDefault="00E16A2C" w:rsidP="00E16A2C">
      <w:pPr>
        <w:pStyle w:val="NormalnyWeb"/>
        <w:tabs>
          <w:tab w:val="left" w:pos="284"/>
        </w:tabs>
        <w:spacing w:beforeAutospacing="0" w:after="120" w:afterAutospacing="0" w:line="360" w:lineRule="auto"/>
        <w:ind w:firstLine="284"/>
        <w:jc w:val="both"/>
        <w:rPr>
          <w:rFonts w:ascii="Arial" w:hAnsi="Arial" w:cs="Arial"/>
        </w:rPr>
      </w:pPr>
      <w:r w:rsidRPr="00E16A2C">
        <w:rPr>
          <w:rFonts w:ascii="Arial" w:hAnsi="Arial" w:cs="Arial"/>
        </w:rPr>
        <w:t>Metodyki opracowane w wersjach dla producentów i doradców i udostępniane są na Platformie Sygnalizacji Agrofagów.</w:t>
      </w:r>
    </w:p>
    <w:p w14:paraId="425EB4A9" w14:textId="0FA0C824" w:rsidR="0032044A" w:rsidRDefault="00E16A2C" w:rsidP="00E16A2C">
      <w:pPr>
        <w:pStyle w:val="NormalnyWeb"/>
        <w:tabs>
          <w:tab w:val="left" w:pos="284"/>
        </w:tabs>
        <w:spacing w:beforeAutospacing="0" w:after="120" w:afterAutospacing="0" w:line="360" w:lineRule="auto"/>
        <w:ind w:firstLine="284"/>
        <w:jc w:val="both"/>
        <w:rPr>
          <w:rFonts w:ascii="Arial" w:hAnsi="Arial" w:cs="Arial"/>
        </w:rPr>
      </w:pPr>
      <w:r w:rsidRPr="00E16A2C">
        <w:rPr>
          <w:rFonts w:ascii="Arial" w:hAnsi="Arial" w:cs="Arial"/>
        </w:rPr>
        <w:t>Łącznie opracowano metodyki integrowanej ochrony roślin dla 76 upraw.</w:t>
      </w:r>
    </w:p>
    <w:p w14:paraId="1AF254F8" w14:textId="77777777" w:rsidR="008B5F95" w:rsidRDefault="00923F0D">
      <w:pPr>
        <w:pStyle w:val="Nagwek2"/>
        <w:jc w:val="both"/>
        <w:rPr>
          <w:i w:val="0"/>
          <w:sz w:val="20"/>
          <w:szCs w:val="20"/>
        </w:rPr>
      </w:pPr>
      <w:bookmarkStart w:id="49" w:name="_Toc341876102"/>
      <w:bookmarkStart w:id="50" w:name="_Toc301334617"/>
      <w:bookmarkStart w:id="51" w:name="_Toc300916283"/>
      <w:bookmarkStart w:id="52" w:name="_Toc193716404"/>
      <w:r w:rsidRPr="00FA5ADC">
        <w:rPr>
          <w:i w:val="0"/>
          <w:sz w:val="20"/>
          <w:szCs w:val="20"/>
        </w:rPr>
        <w:t xml:space="preserve">Zadanie 4. </w:t>
      </w:r>
      <w:bookmarkEnd w:id="49"/>
      <w:bookmarkEnd w:id="50"/>
      <w:bookmarkEnd w:id="51"/>
      <w:r w:rsidRPr="00FA5ADC">
        <w:rPr>
          <w:i w:val="0"/>
          <w:sz w:val="20"/>
          <w:szCs w:val="20"/>
        </w:rPr>
        <w:t>Prowadzenie systemu sygnalizacji agrofagów</w:t>
      </w:r>
      <w:bookmarkEnd w:id="52"/>
    </w:p>
    <w:p w14:paraId="5DB27D84" w14:textId="079D6A82"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Jednym z istotnych elementów integrowanej ochrony roślin jest ograniczenie wykonywania chemicznych zabiegów ochrony roślin do przypadków, gdy jest to uzasadnione występowaniem organizmów szkodliwych w natężeniu stwarzającym zagrożenie dla upraw oraz wybór optymalnego terminu wykonania zabiegu ochrony roślin. Pozwala to, przez podniesienie efektywności zabiegów </w:t>
      </w:r>
      <w:r>
        <w:rPr>
          <w:rFonts w:ascii="Arial" w:hAnsi="Arial" w:cs="Arial"/>
        </w:rPr>
        <w:lastRenderedPageBreak/>
        <w:t xml:space="preserve">ochrony roślin, na ograniczenie ilości stosowanych środków ochrony roślin </w:t>
      </w:r>
      <w:r w:rsidR="009303D8">
        <w:rPr>
          <w:rFonts w:ascii="Arial" w:hAnsi="Arial" w:cs="Arial"/>
        </w:rPr>
        <w:t>oraz</w:t>
      </w:r>
      <w:r>
        <w:rPr>
          <w:rFonts w:ascii="Arial" w:hAnsi="Arial" w:cs="Arial"/>
        </w:rPr>
        <w:t xml:space="preserve"> dobór najbardziej skutecznych preparatów.</w:t>
      </w:r>
    </w:p>
    <w:p w14:paraId="5FB45E66" w14:textId="42397FCA" w:rsidR="0037015C" w:rsidRPr="00925BCD" w:rsidRDefault="0037015C" w:rsidP="0037015C">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 xml:space="preserve">Mając na uwadze zapotrzebowanie producentów na dokładne informacje dotyczące określenia optymalnych terminów i ustalenia potrzeby wykonania zabiegów na Platformie Sygnalizacji Agrofagów udostępniona została aplikacja Sygnalizacja agrofagów. W wyniku obserwacji prowadzonych przez pracowników </w:t>
      </w:r>
      <w:r w:rsidRPr="0081600F">
        <w:rPr>
          <w:rFonts w:ascii="Arial" w:hAnsi="Arial" w:cs="Arial"/>
        </w:rPr>
        <w:t>Instytutu Ochrony Roślin – PIB, Instytutu</w:t>
      </w:r>
      <w:r w:rsidRPr="00925BCD">
        <w:rPr>
          <w:rFonts w:ascii="Arial" w:hAnsi="Arial" w:cs="Arial"/>
        </w:rPr>
        <w:t xml:space="preserve"> Hodowli i Aklimatyzacji Roślin – PIB, </w:t>
      </w:r>
      <w:r>
        <w:rPr>
          <w:rFonts w:ascii="Arial" w:hAnsi="Arial" w:cs="Arial"/>
        </w:rPr>
        <w:t xml:space="preserve">Instytutu Uprawy Nawożenia i Gleboznawstwa – PIB, </w:t>
      </w:r>
      <w:r w:rsidRPr="00925BCD">
        <w:rPr>
          <w:rFonts w:ascii="Arial" w:hAnsi="Arial" w:cs="Arial"/>
        </w:rPr>
        <w:t>COBORU, ośrodków doradztwa rolniczego oraz kilku firm prywatnych z  sektora rolnego, w 20</w:t>
      </w:r>
      <w:r w:rsidR="006867C3">
        <w:rPr>
          <w:rFonts w:ascii="Arial" w:hAnsi="Arial" w:cs="Arial"/>
        </w:rPr>
        <w:t>23</w:t>
      </w:r>
      <w:r w:rsidRPr="00925BCD">
        <w:rPr>
          <w:rFonts w:ascii="Arial" w:hAnsi="Arial" w:cs="Arial"/>
        </w:rPr>
        <w:t> r.</w:t>
      </w:r>
      <w:r w:rsidR="005568D2">
        <w:rPr>
          <w:rFonts w:ascii="Arial" w:hAnsi="Arial" w:cs="Arial"/>
        </w:rPr>
        <w:t xml:space="preserve"> </w:t>
      </w:r>
      <w:r w:rsidRPr="00925BCD">
        <w:rPr>
          <w:rFonts w:ascii="Arial" w:hAnsi="Arial" w:cs="Arial"/>
        </w:rPr>
        <w:t xml:space="preserve">w ok. </w:t>
      </w:r>
      <w:r w:rsidR="005568D2">
        <w:rPr>
          <w:rFonts w:ascii="Arial" w:hAnsi="Arial" w:cs="Arial"/>
        </w:rPr>
        <w:t>850</w:t>
      </w:r>
      <w:r w:rsidRPr="0014322C">
        <w:rPr>
          <w:rFonts w:ascii="Arial" w:hAnsi="Arial" w:cs="Arial"/>
        </w:rPr>
        <w:t xml:space="preserve"> </w:t>
      </w:r>
      <w:r w:rsidRPr="00925BCD">
        <w:rPr>
          <w:rFonts w:ascii="Arial" w:hAnsi="Arial" w:cs="Arial"/>
        </w:rPr>
        <w:t>lokalizacjach prowadzona była sygnalizacja dla następujących upraw</w:t>
      </w:r>
      <w:r w:rsidR="00143A7B">
        <w:rPr>
          <w:rFonts w:ascii="Arial" w:hAnsi="Arial" w:cs="Arial"/>
        </w:rPr>
        <w:t>:</w:t>
      </w:r>
      <w:r w:rsidRPr="00925BCD">
        <w:rPr>
          <w:rFonts w:ascii="Arial" w:hAnsi="Arial" w:cs="Arial"/>
        </w:rPr>
        <w:t xml:space="preserve"> </w:t>
      </w:r>
    </w:p>
    <w:p w14:paraId="2596551C" w14:textId="77777777" w:rsidR="0037015C" w:rsidRPr="00925BCD" w:rsidRDefault="0037015C" w:rsidP="00E74A80">
      <w:pPr>
        <w:pStyle w:val="Default"/>
        <w:numPr>
          <w:ilvl w:val="0"/>
          <w:numId w:val="23"/>
        </w:numPr>
        <w:spacing w:line="360" w:lineRule="auto"/>
        <w:ind w:left="1276"/>
        <w:jc w:val="both"/>
        <w:rPr>
          <w:rFonts w:ascii="Arial" w:hAnsi="Arial" w:cs="Arial"/>
          <w:sz w:val="20"/>
          <w:szCs w:val="20"/>
        </w:rPr>
      </w:pPr>
      <w:r w:rsidRPr="00925BCD">
        <w:rPr>
          <w:rFonts w:ascii="Arial" w:hAnsi="Arial" w:cs="Arial"/>
          <w:sz w:val="20"/>
          <w:szCs w:val="20"/>
        </w:rPr>
        <w:t xml:space="preserve">pszenica ozima: </w:t>
      </w:r>
    </w:p>
    <w:p w14:paraId="134BD5C9" w14:textId="77777777" w:rsidR="0037015C" w:rsidRPr="00925BCD" w:rsidRDefault="0037015C" w:rsidP="00E74A80">
      <w:pPr>
        <w:pStyle w:val="Default"/>
        <w:numPr>
          <w:ilvl w:val="0"/>
          <w:numId w:val="24"/>
        </w:numPr>
        <w:spacing w:line="360" w:lineRule="auto"/>
        <w:ind w:left="1843"/>
        <w:jc w:val="both"/>
        <w:rPr>
          <w:rFonts w:ascii="Arial" w:hAnsi="Arial" w:cs="Arial"/>
          <w:sz w:val="20"/>
          <w:szCs w:val="20"/>
        </w:rPr>
      </w:pPr>
      <w:r w:rsidRPr="00925BCD">
        <w:rPr>
          <w:rFonts w:ascii="Arial" w:hAnsi="Arial" w:cs="Arial"/>
          <w:sz w:val="20"/>
          <w:szCs w:val="20"/>
        </w:rPr>
        <w:t>okres wiosenny/letni:</w:t>
      </w:r>
    </w:p>
    <w:p w14:paraId="5F5545DA" w14:textId="77777777" w:rsidR="0037015C" w:rsidRPr="00925BCD" w:rsidRDefault="0037015C" w:rsidP="0037015C">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mączniak prawdziwy zbóż, septoriozy (bez podziału na gatunki), brunatna plamistość liści, skrzypionki, mszyca czeremchowo-zbożowa, mszyca zbożowa </w:t>
      </w:r>
    </w:p>
    <w:p w14:paraId="6565A11F" w14:textId="77777777" w:rsidR="0037015C" w:rsidRPr="00925BCD" w:rsidRDefault="0037015C" w:rsidP="00E74A80">
      <w:pPr>
        <w:pStyle w:val="Default"/>
        <w:numPr>
          <w:ilvl w:val="0"/>
          <w:numId w:val="24"/>
        </w:numPr>
        <w:spacing w:line="360" w:lineRule="auto"/>
        <w:ind w:left="1843"/>
        <w:jc w:val="both"/>
        <w:rPr>
          <w:rFonts w:ascii="Arial" w:hAnsi="Arial" w:cs="Arial"/>
          <w:sz w:val="20"/>
          <w:szCs w:val="20"/>
        </w:rPr>
      </w:pPr>
      <w:r w:rsidRPr="00925BCD">
        <w:rPr>
          <w:rFonts w:ascii="Arial" w:hAnsi="Arial" w:cs="Arial"/>
          <w:sz w:val="20"/>
          <w:szCs w:val="20"/>
        </w:rPr>
        <w:t>okres jesienny:</w:t>
      </w:r>
    </w:p>
    <w:p w14:paraId="06E315CE" w14:textId="77777777" w:rsidR="0037015C" w:rsidRPr="00925BCD" w:rsidRDefault="0037015C" w:rsidP="0037015C">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mączniak prawdziwy zbóż, septorioza paskowana, mszyca czeremchowo-zbożowa, </w:t>
      </w:r>
    </w:p>
    <w:p w14:paraId="50C836C2" w14:textId="77777777" w:rsidR="0037015C" w:rsidRPr="00925BCD" w:rsidRDefault="0037015C" w:rsidP="00E74A80">
      <w:pPr>
        <w:pStyle w:val="Default"/>
        <w:numPr>
          <w:ilvl w:val="0"/>
          <w:numId w:val="23"/>
        </w:numPr>
        <w:spacing w:line="360" w:lineRule="auto"/>
        <w:jc w:val="both"/>
        <w:rPr>
          <w:rFonts w:ascii="Arial" w:hAnsi="Arial" w:cs="Arial"/>
          <w:sz w:val="20"/>
          <w:szCs w:val="20"/>
        </w:rPr>
      </w:pPr>
      <w:r w:rsidRPr="00925BCD">
        <w:rPr>
          <w:rFonts w:ascii="Arial" w:hAnsi="Arial" w:cs="Arial"/>
          <w:sz w:val="20"/>
          <w:szCs w:val="20"/>
        </w:rPr>
        <w:t xml:space="preserve">kukurydza </w:t>
      </w:r>
    </w:p>
    <w:p w14:paraId="2BE98FC9" w14:textId="77777777" w:rsidR="0037015C" w:rsidRPr="00925BCD" w:rsidRDefault="0037015C" w:rsidP="0037015C">
      <w:pPr>
        <w:pStyle w:val="Default"/>
        <w:spacing w:line="360" w:lineRule="auto"/>
        <w:ind w:left="2127" w:hanging="273"/>
        <w:jc w:val="both"/>
        <w:rPr>
          <w:rFonts w:ascii="Arial" w:hAnsi="Arial" w:cs="Arial"/>
          <w:sz w:val="20"/>
          <w:szCs w:val="20"/>
        </w:rPr>
      </w:pPr>
      <w:r w:rsidRPr="00925BCD">
        <w:rPr>
          <w:rFonts w:ascii="Arial" w:hAnsi="Arial" w:cs="Arial"/>
          <w:sz w:val="20"/>
          <w:szCs w:val="20"/>
        </w:rPr>
        <w:t>– ploniarka zbożówka, omacnica prosowianka, stonka kukurydziana,</w:t>
      </w:r>
    </w:p>
    <w:p w14:paraId="3A3DEDA8" w14:textId="77777777" w:rsidR="0037015C" w:rsidRPr="00925BCD" w:rsidRDefault="0037015C" w:rsidP="00E74A80">
      <w:pPr>
        <w:pStyle w:val="Default"/>
        <w:numPr>
          <w:ilvl w:val="0"/>
          <w:numId w:val="23"/>
        </w:numPr>
        <w:spacing w:line="360" w:lineRule="auto"/>
        <w:jc w:val="both"/>
        <w:rPr>
          <w:rFonts w:ascii="Arial" w:hAnsi="Arial" w:cs="Arial"/>
          <w:sz w:val="20"/>
          <w:szCs w:val="20"/>
        </w:rPr>
      </w:pPr>
      <w:r w:rsidRPr="00925BCD">
        <w:rPr>
          <w:rFonts w:ascii="Arial" w:hAnsi="Arial" w:cs="Arial"/>
          <w:sz w:val="20"/>
          <w:szCs w:val="20"/>
        </w:rPr>
        <w:t xml:space="preserve">rzepak ozimy </w:t>
      </w:r>
    </w:p>
    <w:p w14:paraId="74D3257D" w14:textId="77777777" w:rsidR="0037015C" w:rsidRPr="00925BCD" w:rsidRDefault="0037015C" w:rsidP="00E74A80">
      <w:pPr>
        <w:pStyle w:val="Default"/>
        <w:numPr>
          <w:ilvl w:val="0"/>
          <w:numId w:val="24"/>
        </w:numPr>
        <w:spacing w:line="360" w:lineRule="auto"/>
        <w:ind w:left="1985"/>
        <w:jc w:val="both"/>
        <w:rPr>
          <w:rFonts w:ascii="Arial" w:hAnsi="Arial" w:cs="Arial"/>
          <w:sz w:val="20"/>
          <w:szCs w:val="20"/>
        </w:rPr>
      </w:pPr>
      <w:r w:rsidRPr="00925BCD">
        <w:rPr>
          <w:rFonts w:ascii="Arial" w:hAnsi="Arial" w:cs="Arial"/>
          <w:sz w:val="20"/>
          <w:szCs w:val="20"/>
        </w:rPr>
        <w:t>okres wiosenny/letni:</w:t>
      </w:r>
    </w:p>
    <w:p w14:paraId="635215FB" w14:textId="77777777" w:rsidR="0037015C" w:rsidRPr="00925BCD" w:rsidRDefault="0037015C" w:rsidP="0037015C">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czerń krzyżowych, chowacz brukwiaczek, chowacz czterozębny, chowacz podobnik, słodyszek rzepakowy  </w:t>
      </w:r>
    </w:p>
    <w:p w14:paraId="5F223BD6" w14:textId="77777777" w:rsidR="0037015C" w:rsidRPr="00925BCD" w:rsidRDefault="0037015C" w:rsidP="00E74A80">
      <w:pPr>
        <w:pStyle w:val="Default"/>
        <w:numPr>
          <w:ilvl w:val="0"/>
          <w:numId w:val="24"/>
        </w:numPr>
        <w:spacing w:line="360" w:lineRule="auto"/>
        <w:jc w:val="both"/>
        <w:rPr>
          <w:rFonts w:ascii="Arial" w:hAnsi="Arial" w:cs="Arial"/>
          <w:sz w:val="20"/>
          <w:szCs w:val="20"/>
        </w:rPr>
      </w:pPr>
      <w:r w:rsidRPr="00925BCD">
        <w:rPr>
          <w:rFonts w:ascii="Arial" w:hAnsi="Arial" w:cs="Arial"/>
          <w:sz w:val="20"/>
          <w:szCs w:val="20"/>
        </w:rPr>
        <w:t>okres jesienny:</w:t>
      </w:r>
    </w:p>
    <w:p w14:paraId="3F5E7209" w14:textId="77777777" w:rsidR="0037015C" w:rsidRPr="00925BCD" w:rsidRDefault="0037015C" w:rsidP="0037015C">
      <w:pPr>
        <w:pStyle w:val="Default"/>
        <w:spacing w:line="360" w:lineRule="auto"/>
        <w:ind w:left="1134" w:firstLine="708"/>
        <w:jc w:val="both"/>
        <w:rPr>
          <w:rFonts w:ascii="Arial" w:hAnsi="Arial" w:cs="Arial"/>
          <w:sz w:val="20"/>
          <w:szCs w:val="20"/>
        </w:rPr>
      </w:pPr>
      <w:r w:rsidRPr="00925BCD">
        <w:rPr>
          <w:rFonts w:ascii="Arial" w:hAnsi="Arial" w:cs="Arial"/>
          <w:sz w:val="20"/>
          <w:szCs w:val="20"/>
        </w:rPr>
        <w:t xml:space="preserve">– sucha zgnilizna kapustnych, pchełki ziemne, śmietka kapuściana, </w:t>
      </w:r>
    </w:p>
    <w:p w14:paraId="25498F53" w14:textId="77777777" w:rsidR="0037015C" w:rsidRPr="00925BCD" w:rsidRDefault="0037015C" w:rsidP="00E74A80">
      <w:pPr>
        <w:pStyle w:val="Default"/>
        <w:numPr>
          <w:ilvl w:val="0"/>
          <w:numId w:val="23"/>
        </w:numPr>
        <w:spacing w:line="360" w:lineRule="auto"/>
        <w:jc w:val="both"/>
        <w:rPr>
          <w:rFonts w:ascii="Arial" w:hAnsi="Arial" w:cs="Arial"/>
          <w:sz w:val="20"/>
          <w:szCs w:val="20"/>
        </w:rPr>
      </w:pPr>
      <w:r w:rsidRPr="00925BCD">
        <w:rPr>
          <w:rFonts w:ascii="Arial" w:hAnsi="Arial" w:cs="Arial"/>
          <w:sz w:val="20"/>
          <w:szCs w:val="20"/>
        </w:rPr>
        <w:t>burak cukrowy</w:t>
      </w:r>
    </w:p>
    <w:p w14:paraId="120C24A5" w14:textId="77777777" w:rsidR="0037015C" w:rsidRPr="00925BCD" w:rsidRDefault="0037015C" w:rsidP="0037015C">
      <w:pPr>
        <w:pStyle w:val="Default"/>
        <w:spacing w:line="360" w:lineRule="auto"/>
        <w:ind w:left="1843"/>
        <w:jc w:val="both"/>
        <w:rPr>
          <w:rFonts w:ascii="Arial" w:hAnsi="Arial" w:cs="Arial"/>
          <w:sz w:val="20"/>
          <w:szCs w:val="20"/>
        </w:rPr>
      </w:pPr>
      <w:r w:rsidRPr="00925BCD">
        <w:rPr>
          <w:rFonts w:ascii="Arial" w:hAnsi="Arial" w:cs="Arial"/>
          <w:sz w:val="20"/>
          <w:szCs w:val="20"/>
        </w:rPr>
        <w:t>– chwościk buraka, mszyca trzmielinowo - burakowa, rolnice, śmietka ćwiklanka,</w:t>
      </w:r>
    </w:p>
    <w:p w14:paraId="76E677F9" w14:textId="051EFAC5" w:rsidR="0037015C" w:rsidRPr="00925BCD" w:rsidRDefault="0037015C" w:rsidP="00E74A80">
      <w:pPr>
        <w:pStyle w:val="Default"/>
        <w:numPr>
          <w:ilvl w:val="0"/>
          <w:numId w:val="23"/>
        </w:numPr>
        <w:spacing w:line="360" w:lineRule="auto"/>
        <w:jc w:val="both"/>
        <w:rPr>
          <w:rFonts w:ascii="Arial" w:hAnsi="Arial" w:cs="Arial"/>
          <w:sz w:val="20"/>
          <w:szCs w:val="20"/>
        </w:rPr>
      </w:pPr>
      <w:r w:rsidRPr="00925BCD">
        <w:rPr>
          <w:rFonts w:ascii="Arial" w:hAnsi="Arial" w:cs="Arial"/>
          <w:sz w:val="20"/>
          <w:szCs w:val="20"/>
        </w:rPr>
        <w:t>ziemniak</w:t>
      </w:r>
      <w:r w:rsidR="00F85383">
        <w:rPr>
          <w:rFonts w:ascii="Arial" w:hAnsi="Arial" w:cs="Arial"/>
          <w:sz w:val="20"/>
          <w:szCs w:val="20"/>
        </w:rPr>
        <w:t>a</w:t>
      </w:r>
    </w:p>
    <w:p w14:paraId="029587D8" w14:textId="77777777" w:rsidR="0037015C" w:rsidRPr="00925BCD" w:rsidRDefault="0037015C" w:rsidP="0037015C">
      <w:pPr>
        <w:pStyle w:val="Default"/>
        <w:spacing w:line="360" w:lineRule="auto"/>
        <w:ind w:left="1843"/>
        <w:jc w:val="both"/>
        <w:rPr>
          <w:rFonts w:ascii="Arial" w:hAnsi="Arial" w:cs="Arial"/>
          <w:sz w:val="20"/>
          <w:szCs w:val="20"/>
        </w:rPr>
      </w:pPr>
      <w:r w:rsidRPr="00925BCD">
        <w:rPr>
          <w:rFonts w:ascii="Arial" w:hAnsi="Arial" w:cs="Arial"/>
          <w:sz w:val="20"/>
          <w:szCs w:val="20"/>
        </w:rPr>
        <w:t>– zaraza ziemniaka, stonka ziemniaczana,</w:t>
      </w:r>
    </w:p>
    <w:p w14:paraId="3D890AAA" w14:textId="77777777" w:rsidR="0037015C" w:rsidRPr="00925BCD" w:rsidRDefault="0037015C" w:rsidP="00E74A80">
      <w:pPr>
        <w:pStyle w:val="Default"/>
        <w:numPr>
          <w:ilvl w:val="0"/>
          <w:numId w:val="23"/>
        </w:numPr>
        <w:spacing w:line="360" w:lineRule="auto"/>
        <w:jc w:val="both"/>
        <w:rPr>
          <w:rFonts w:ascii="Arial" w:hAnsi="Arial" w:cs="Arial"/>
          <w:sz w:val="20"/>
          <w:szCs w:val="20"/>
        </w:rPr>
      </w:pPr>
      <w:r w:rsidRPr="00925BCD">
        <w:rPr>
          <w:rFonts w:ascii="Arial" w:hAnsi="Arial" w:cs="Arial"/>
          <w:sz w:val="20"/>
          <w:szCs w:val="20"/>
        </w:rPr>
        <w:t>bobowate (łubin, groch, bobik, soja)</w:t>
      </w:r>
    </w:p>
    <w:p w14:paraId="4D6AE125" w14:textId="77777777" w:rsidR="0037015C" w:rsidRPr="00925BCD" w:rsidRDefault="0037015C" w:rsidP="0037015C">
      <w:pPr>
        <w:pStyle w:val="Default"/>
        <w:spacing w:line="360" w:lineRule="auto"/>
        <w:ind w:left="1843"/>
        <w:jc w:val="both"/>
        <w:rPr>
          <w:rFonts w:ascii="Arial" w:hAnsi="Arial" w:cs="Arial"/>
          <w:sz w:val="20"/>
          <w:szCs w:val="20"/>
        </w:rPr>
      </w:pPr>
      <w:r w:rsidRPr="00925BCD">
        <w:rPr>
          <w:rFonts w:ascii="Arial" w:hAnsi="Arial" w:cs="Arial"/>
          <w:sz w:val="20"/>
          <w:szCs w:val="20"/>
        </w:rPr>
        <w:t>– mszyce, oprzędziki.</w:t>
      </w:r>
    </w:p>
    <w:p w14:paraId="497C1F4D" w14:textId="02A33EEC" w:rsidR="006064FA" w:rsidRPr="00FF7E23" w:rsidRDefault="006064FA" w:rsidP="006064FA">
      <w:pPr>
        <w:pStyle w:val="NormalnyWeb"/>
        <w:tabs>
          <w:tab w:val="left" w:pos="284"/>
        </w:tabs>
        <w:spacing w:beforeAutospacing="0" w:after="120" w:afterAutospacing="0" w:line="360" w:lineRule="auto"/>
        <w:ind w:firstLine="284"/>
        <w:jc w:val="both"/>
        <w:rPr>
          <w:rFonts w:ascii="Arial" w:hAnsi="Arial" w:cs="Arial"/>
        </w:rPr>
      </w:pPr>
      <w:r w:rsidRPr="00FF7E23">
        <w:rPr>
          <w:rFonts w:ascii="Arial" w:hAnsi="Arial" w:cs="Arial"/>
        </w:rPr>
        <w:t>Sukcesywnie zamieszczano także Komunikaty o zagrożeniach roślin uprawnych ze strony agrofagów. Upowszechniano także Newslettery, które były rozsyłane do bazy zainteresowanych rolników, doradców, producentów z informacjami o zagrożeniach ze strony agrofagów wraz ze schematami postępowań zapobiegawczych, interwencyjnych oraz metodami zwalczania. Baza odbiorów Newsletter to w 20</w:t>
      </w:r>
      <w:r w:rsidR="00FF7E23" w:rsidRPr="00FF7E23">
        <w:rPr>
          <w:rFonts w:ascii="Arial" w:hAnsi="Arial" w:cs="Arial"/>
        </w:rPr>
        <w:t xml:space="preserve">23 r. </w:t>
      </w:r>
      <w:r w:rsidR="0049161C">
        <w:rPr>
          <w:rFonts w:ascii="Arial" w:hAnsi="Arial" w:cs="Arial"/>
        </w:rPr>
        <w:t>–</w:t>
      </w:r>
      <w:r w:rsidR="00FF7E23" w:rsidRPr="00FF7E23">
        <w:rPr>
          <w:rFonts w:ascii="Arial" w:hAnsi="Arial" w:cs="Arial"/>
        </w:rPr>
        <w:t xml:space="preserve"> </w:t>
      </w:r>
      <w:r w:rsidRPr="00FF7E23">
        <w:rPr>
          <w:rFonts w:ascii="Arial" w:hAnsi="Arial" w:cs="Arial"/>
        </w:rPr>
        <w:t>261 osób.</w:t>
      </w:r>
    </w:p>
    <w:p w14:paraId="782289A2" w14:textId="092B9963" w:rsidR="00501C4F" w:rsidRPr="00501C4F" w:rsidRDefault="00501C4F" w:rsidP="0037015C">
      <w:pPr>
        <w:pStyle w:val="NormalnyWeb"/>
        <w:tabs>
          <w:tab w:val="left" w:pos="284"/>
        </w:tabs>
        <w:spacing w:beforeAutospacing="0" w:after="120" w:afterAutospacing="0" w:line="360" w:lineRule="auto"/>
        <w:ind w:firstLine="284"/>
        <w:jc w:val="both"/>
        <w:rPr>
          <w:rFonts w:ascii="Arial" w:hAnsi="Arial" w:cs="Arial"/>
        </w:rPr>
      </w:pPr>
      <w:r w:rsidRPr="00501C4F">
        <w:rPr>
          <w:rFonts w:ascii="Arial" w:hAnsi="Arial" w:cs="Arial"/>
        </w:rPr>
        <w:t>W ramach zadania opracowywane i udostępniane były producentom i doradcom poradniki sygnalizatora dla kolejnych upraw, zawierające praktyczne wytyczne dotyczące identyfikacji i sygnalizacji poszczególnych agrofagów. Poradniki te, udostępniane na Platformie Sygnalizacji Agrofagów oraz w zakładce Serwis Ochrony Roślin na stronie internetowej IO</w:t>
      </w:r>
      <w:r w:rsidR="00A52CBA">
        <w:rPr>
          <w:rFonts w:ascii="Arial" w:hAnsi="Arial" w:cs="Arial"/>
        </w:rPr>
        <w:t xml:space="preserve"> – </w:t>
      </w:r>
      <w:r w:rsidRPr="00501C4F">
        <w:rPr>
          <w:rFonts w:ascii="Arial" w:hAnsi="Arial" w:cs="Arial"/>
        </w:rPr>
        <w:t xml:space="preserve">PIB, mają formę pełnych </w:t>
      </w:r>
      <w:r w:rsidRPr="00501C4F">
        <w:rPr>
          <w:rFonts w:ascii="Arial" w:hAnsi="Arial" w:cs="Arial"/>
        </w:rPr>
        <w:lastRenderedPageBreak/>
        <w:t xml:space="preserve">kompendiów dla poszczególnych upraw, jak i syntetycznych kart informacyjnych dla poszczególnych agrofagów. </w:t>
      </w:r>
    </w:p>
    <w:p w14:paraId="186A0F16" w14:textId="7F89F5CC" w:rsidR="008B5F95" w:rsidRDefault="00501C4F" w:rsidP="00501C4F">
      <w:pPr>
        <w:pStyle w:val="NormalnyWeb"/>
        <w:tabs>
          <w:tab w:val="left" w:pos="284"/>
        </w:tabs>
        <w:spacing w:beforeAutospacing="0" w:after="120" w:afterAutospacing="0" w:line="360" w:lineRule="auto"/>
        <w:ind w:firstLine="284"/>
        <w:jc w:val="both"/>
        <w:rPr>
          <w:rFonts w:ascii="Arial" w:hAnsi="Arial" w:cs="Arial"/>
        </w:rPr>
      </w:pPr>
      <w:r w:rsidRPr="00501C4F">
        <w:rPr>
          <w:rFonts w:ascii="Arial" w:hAnsi="Arial" w:cs="Arial"/>
        </w:rPr>
        <w:t xml:space="preserve">W Instytucie Ogrodnictwa </w:t>
      </w:r>
      <w:r w:rsidR="00A52CBA" w:rsidRPr="00A52CBA">
        <w:rPr>
          <w:rFonts w:ascii="Arial" w:hAnsi="Arial" w:cs="Arial"/>
        </w:rPr>
        <w:t>–</w:t>
      </w:r>
      <w:r w:rsidRPr="00501C4F">
        <w:rPr>
          <w:rFonts w:ascii="Arial" w:hAnsi="Arial" w:cs="Arial"/>
        </w:rPr>
        <w:t xml:space="preserve"> PIB w 2023 r. opracowano poradniki sygnalizatora do ochrony upraw przed chorobami i szkodnikami ogórka gruntowego i żywotnika. W Poradnikach tych przedstawiono objawy chorób grzybowych, niedoborów składników pokarmowych, uszkodzenia po żerowaniu szkodników, a także opisy ich sprawców. Zaproponowano także metody sygnalizowania optymalnych terminów zwalczania agrofagów występujących na tych gatunkach roślin. </w:t>
      </w:r>
    </w:p>
    <w:p w14:paraId="0B786836" w14:textId="77777777" w:rsidR="00631536" w:rsidRDefault="00631536" w:rsidP="00501C4F">
      <w:pPr>
        <w:pStyle w:val="NormalnyWeb"/>
        <w:tabs>
          <w:tab w:val="left" w:pos="284"/>
        </w:tabs>
        <w:spacing w:beforeAutospacing="0" w:after="120" w:afterAutospacing="0" w:line="360" w:lineRule="auto"/>
        <w:ind w:firstLine="284"/>
        <w:jc w:val="both"/>
        <w:rPr>
          <w:rFonts w:ascii="Arial" w:hAnsi="Arial" w:cs="Arial"/>
        </w:rPr>
      </w:pPr>
      <w:r w:rsidRPr="00631536">
        <w:rPr>
          <w:rFonts w:ascii="Arial" w:hAnsi="Arial" w:cs="Arial"/>
        </w:rPr>
        <w:t>W ramach realizacji tego zadania w Instytucie Uprawy Nawożenia i Gleboznawstwa – PIB prowadzony był monitoring organizmów szkodliwych dla chmielu i tytoniu</w:t>
      </w:r>
      <w:r>
        <w:rPr>
          <w:rFonts w:ascii="Arial" w:hAnsi="Arial" w:cs="Arial"/>
        </w:rPr>
        <w:t xml:space="preserve">. </w:t>
      </w:r>
    </w:p>
    <w:p w14:paraId="35B4889D" w14:textId="7BCE736A" w:rsidR="00631536" w:rsidRDefault="00631536" w:rsidP="00501C4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2023 r. </w:t>
      </w:r>
      <w:r w:rsidR="00B751B5" w:rsidRPr="00631536">
        <w:rPr>
          <w:rFonts w:ascii="Arial" w:hAnsi="Arial" w:cs="Arial"/>
        </w:rPr>
        <w:t xml:space="preserve">wydano </w:t>
      </w:r>
      <w:r w:rsidR="00B751B5">
        <w:rPr>
          <w:rFonts w:ascii="Arial" w:hAnsi="Arial" w:cs="Arial"/>
        </w:rPr>
        <w:t>dziewięć k</w:t>
      </w:r>
      <w:r w:rsidR="00B751B5" w:rsidRPr="00631536">
        <w:rPr>
          <w:rFonts w:ascii="Arial" w:hAnsi="Arial" w:cs="Arial"/>
        </w:rPr>
        <w:t>omunikat</w:t>
      </w:r>
      <w:r w:rsidR="00B751B5">
        <w:rPr>
          <w:rFonts w:ascii="Arial" w:hAnsi="Arial" w:cs="Arial"/>
        </w:rPr>
        <w:t>ów</w:t>
      </w:r>
      <w:r w:rsidR="00B751B5" w:rsidRPr="00631536">
        <w:rPr>
          <w:rFonts w:ascii="Arial" w:hAnsi="Arial" w:cs="Arial"/>
        </w:rPr>
        <w:t xml:space="preserve">, które dotyczyły zagrożeń w uprawie chmielu </w:t>
      </w:r>
      <w:r w:rsidR="00B751B5">
        <w:rPr>
          <w:rFonts w:ascii="Arial" w:hAnsi="Arial" w:cs="Arial"/>
        </w:rPr>
        <w:t>i tytoniu powodowanych przez m</w:t>
      </w:r>
      <w:r w:rsidRPr="00631536">
        <w:rPr>
          <w:rFonts w:ascii="Arial" w:hAnsi="Arial" w:cs="Arial"/>
        </w:rPr>
        <w:t>ączniak</w:t>
      </w:r>
      <w:r w:rsidR="00B751B5">
        <w:rPr>
          <w:rFonts w:ascii="Arial" w:hAnsi="Arial" w:cs="Arial"/>
        </w:rPr>
        <w:t>a</w:t>
      </w:r>
      <w:r w:rsidRPr="00631536">
        <w:rPr>
          <w:rFonts w:ascii="Arial" w:hAnsi="Arial" w:cs="Arial"/>
        </w:rPr>
        <w:t xml:space="preserve"> rzekome</w:t>
      </w:r>
      <w:r w:rsidR="00B751B5">
        <w:rPr>
          <w:rFonts w:ascii="Arial" w:hAnsi="Arial" w:cs="Arial"/>
        </w:rPr>
        <w:t>go</w:t>
      </w:r>
      <w:r w:rsidRPr="00631536">
        <w:rPr>
          <w:rFonts w:ascii="Arial" w:hAnsi="Arial" w:cs="Arial"/>
        </w:rPr>
        <w:t xml:space="preserve"> chmielu, zagrożeni</w:t>
      </w:r>
      <w:r w:rsidR="00B751B5">
        <w:rPr>
          <w:rFonts w:ascii="Arial" w:hAnsi="Arial" w:cs="Arial"/>
        </w:rPr>
        <w:t>a</w:t>
      </w:r>
      <w:r w:rsidRPr="00631536">
        <w:rPr>
          <w:rFonts w:ascii="Arial" w:hAnsi="Arial" w:cs="Arial"/>
        </w:rPr>
        <w:t xml:space="preserve"> ze strony przędziorka chmielowca, ograniczania wirusa brązowej plamistości pomidora na tytoniu (TSWV), wirusa PVY powodującego brunatną nekrozę nerwów tytoniu oraz wirusa mozaiki tytoniu (TMV).</w:t>
      </w:r>
      <w:r>
        <w:rPr>
          <w:rFonts w:ascii="Arial" w:hAnsi="Arial" w:cs="Arial"/>
        </w:rPr>
        <w:t xml:space="preserve"> </w:t>
      </w:r>
    </w:p>
    <w:p w14:paraId="7D4939FF" w14:textId="40A5E0D2" w:rsidR="00631536" w:rsidRPr="00631536" w:rsidRDefault="00631536" w:rsidP="00631536">
      <w:pPr>
        <w:pStyle w:val="NormalnyWeb"/>
        <w:tabs>
          <w:tab w:val="left" w:pos="284"/>
        </w:tabs>
        <w:spacing w:beforeAutospacing="0" w:after="120" w:afterAutospacing="0" w:line="360" w:lineRule="auto"/>
        <w:ind w:firstLine="284"/>
        <w:jc w:val="both"/>
        <w:rPr>
          <w:rFonts w:ascii="Arial" w:hAnsi="Arial" w:cs="Arial"/>
        </w:rPr>
      </w:pPr>
      <w:r w:rsidRPr="00631536">
        <w:rPr>
          <w:rFonts w:ascii="Arial" w:hAnsi="Arial" w:cs="Arial"/>
        </w:rPr>
        <w:t>W komunikatach, oprócz informacji o charakterystycznych objawach chorobowych i biologii agrofagów, prezentowano sposoby ich ograniczania zgodnie z zasadami integrowanej ochrony roślin.</w:t>
      </w:r>
    </w:p>
    <w:p w14:paraId="37D1819B" w14:textId="77777777" w:rsidR="008B5F95" w:rsidRDefault="00923F0D">
      <w:pPr>
        <w:pStyle w:val="Nagwek2"/>
        <w:jc w:val="both"/>
        <w:rPr>
          <w:i w:val="0"/>
          <w:sz w:val="20"/>
          <w:szCs w:val="20"/>
        </w:rPr>
      </w:pPr>
      <w:bookmarkStart w:id="53" w:name="_Toc341876103"/>
      <w:bookmarkStart w:id="54" w:name="_Toc193716405"/>
      <w:r w:rsidRPr="000F4BEC">
        <w:rPr>
          <w:i w:val="0"/>
          <w:sz w:val="20"/>
          <w:szCs w:val="20"/>
        </w:rPr>
        <w:t xml:space="preserve">Zadanie 5. </w:t>
      </w:r>
      <w:bookmarkEnd w:id="53"/>
      <w:r w:rsidRPr="000F4BEC">
        <w:rPr>
          <w:i w:val="0"/>
          <w:sz w:val="20"/>
          <w:szCs w:val="20"/>
        </w:rPr>
        <w:t>Udostępnienie</w:t>
      </w:r>
      <w:r>
        <w:rPr>
          <w:i w:val="0"/>
          <w:sz w:val="20"/>
          <w:szCs w:val="20"/>
        </w:rPr>
        <w:t xml:space="preserve"> systemów wspomagania podejmowania decyzji w ochronie roślin</w:t>
      </w:r>
      <w:bookmarkEnd w:id="54"/>
    </w:p>
    <w:p w14:paraId="7B65DD23"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Istotnym elementem monitorowania występowania organizmów szkodliwych i sygnalizacji ich występowania jest wykorzystanie zaawansowanych systemów wspomagania decyzji w ochronie roślin. Systemy takie umożliwiają ograniczenie liczby zabiegów przy jednoczesnym zabezpieczeniu skutecznej ochrony roślin uprawnych, co przyczynia się do zwiększenia bezpieczeństwa konsumentów płodów rolnych oraz środowiska naturalnego, a także ograniczenia kosztów produkcji. </w:t>
      </w:r>
    </w:p>
    <w:p w14:paraId="0DE19303" w14:textId="70E09163" w:rsidR="008B5F95" w:rsidRPr="00721EAF"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Wsparciem dla wdrożenia zasad integrowanej ochrony roślin poza systemem sygnalizacji agrofagów jest zatem udostępnienie wybranych </w:t>
      </w:r>
      <w:r w:rsidRPr="00721EAF">
        <w:rPr>
          <w:rFonts w:ascii="Arial" w:hAnsi="Arial" w:cs="Arial"/>
        </w:rPr>
        <w:t>systemów wspomagania podejmowania decyzji w ochronie roślin użytkownikom profesjonalnym środków ochrony roślin.</w:t>
      </w:r>
      <w:r w:rsidR="006940BD" w:rsidRPr="00721EAF">
        <w:rPr>
          <w:rFonts w:ascii="Arial" w:hAnsi="Arial" w:cs="Arial"/>
        </w:rPr>
        <w:t xml:space="preserve"> Jednym z takich systemów jest </w:t>
      </w:r>
      <w:r w:rsidR="003C2895" w:rsidRPr="00721EAF">
        <w:rPr>
          <w:rFonts w:ascii="Arial" w:hAnsi="Arial" w:cs="Arial"/>
        </w:rPr>
        <w:t xml:space="preserve">również </w:t>
      </w:r>
      <w:r w:rsidR="003F16B8" w:rsidRPr="00721EAF">
        <w:rPr>
          <w:rFonts w:ascii="Arial" w:hAnsi="Arial" w:cs="Arial"/>
        </w:rPr>
        <w:t xml:space="preserve">system </w:t>
      </w:r>
      <w:r w:rsidR="003E7206" w:rsidRPr="00721EAF">
        <w:rPr>
          <w:rFonts w:ascii="Arial" w:hAnsi="Arial" w:cs="Arial"/>
        </w:rPr>
        <w:t>eDWIN</w:t>
      </w:r>
      <w:r w:rsidR="004B09D8" w:rsidRPr="00721EAF">
        <w:rPr>
          <w:rFonts w:ascii="Arial" w:hAnsi="Arial" w:cs="Arial"/>
        </w:rPr>
        <w:t xml:space="preserve"> – „Internetowej Platformy Dorad</w:t>
      </w:r>
      <w:r w:rsidR="003E7CC2" w:rsidRPr="00721EAF">
        <w:rPr>
          <w:rFonts w:ascii="Arial" w:hAnsi="Arial" w:cs="Arial"/>
        </w:rPr>
        <w:t xml:space="preserve">zania i Wspomagania Decyzji w Integrowanej Ochronie </w:t>
      </w:r>
      <w:r w:rsidR="0045496D" w:rsidRPr="00721EAF">
        <w:rPr>
          <w:rFonts w:ascii="Arial" w:hAnsi="Arial" w:cs="Arial"/>
        </w:rPr>
        <w:t>Roślin</w:t>
      </w:r>
      <w:r w:rsidR="001A56F6" w:rsidRPr="00721EAF">
        <w:rPr>
          <w:rFonts w:ascii="Arial" w:hAnsi="Arial" w:cs="Arial"/>
        </w:rPr>
        <w:t xml:space="preserve">”, </w:t>
      </w:r>
      <w:r w:rsidR="007F6BCB" w:rsidRPr="00721EAF">
        <w:rPr>
          <w:rFonts w:ascii="Arial" w:hAnsi="Arial" w:cs="Arial"/>
        </w:rPr>
        <w:t xml:space="preserve">zrealizowany ze środków publicznych w ramach działania </w:t>
      </w:r>
      <w:r w:rsidR="00145572" w:rsidRPr="00721EAF">
        <w:rPr>
          <w:rFonts w:ascii="Arial" w:hAnsi="Arial" w:cs="Arial"/>
        </w:rPr>
        <w:t>2.1 „Wysoka dostępność i jakość e-usług</w:t>
      </w:r>
      <w:r w:rsidR="003F65DC" w:rsidRPr="00721EAF">
        <w:rPr>
          <w:rFonts w:ascii="Arial" w:hAnsi="Arial" w:cs="Arial"/>
        </w:rPr>
        <w:t xml:space="preserve"> publicznych” II Osi priorytetowej „E</w:t>
      </w:r>
      <w:r w:rsidR="00963040" w:rsidRPr="00721EAF">
        <w:rPr>
          <w:rFonts w:ascii="Arial" w:hAnsi="Arial" w:cs="Arial"/>
        </w:rPr>
        <w:t>-administracja i otwarty rząd „Programu Operacyjnego Polska Cyfrowa na lata 2014</w:t>
      </w:r>
      <w:r w:rsidR="0045496D" w:rsidRPr="00721EAF">
        <w:rPr>
          <w:rFonts w:ascii="Arial" w:hAnsi="Arial" w:cs="Arial"/>
        </w:rPr>
        <w:t xml:space="preserve">-2020. </w:t>
      </w:r>
    </w:p>
    <w:p w14:paraId="69EBDB2A" w14:textId="57DDCC24" w:rsidR="00470EE1" w:rsidRPr="00925BCD" w:rsidRDefault="00923F0D" w:rsidP="00470EE1">
      <w:pPr>
        <w:pStyle w:val="NormalnyWeb"/>
        <w:tabs>
          <w:tab w:val="left" w:pos="284"/>
        </w:tabs>
        <w:spacing w:beforeAutospacing="0" w:after="120" w:afterAutospacing="0" w:line="360" w:lineRule="auto"/>
        <w:ind w:firstLine="284"/>
        <w:jc w:val="both"/>
        <w:rPr>
          <w:rFonts w:ascii="Arial" w:hAnsi="Arial" w:cs="Arial"/>
        </w:rPr>
      </w:pPr>
      <w:r w:rsidRPr="00721EAF">
        <w:rPr>
          <w:rFonts w:ascii="Arial" w:hAnsi="Arial" w:cs="Arial"/>
        </w:rPr>
        <w:t xml:space="preserve">W ramach </w:t>
      </w:r>
      <w:r w:rsidR="002133D1" w:rsidRPr="00721EAF">
        <w:rPr>
          <w:rFonts w:ascii="Arial" w:hAnsi="Arial" w:cs="Arial"/>
        </w:rPr>
        <w:t>dotacji celowych</w:t>
      </w:r>
      <w:r w:rsidRPr="00721EAF">
        <w:rPr>
          <w:rFonts w:ascii="Arial" w:hAnsi="Arial" w:cs="Arial"/>
        </w:rPr>
        <w:t xml:space="preserve"> realizowanych przez instytuty</w:t>
      </w:r>
      <w:r>
        <w:rPr>
          <w:rFonts w:ascii="Arial" w:hAnsi="Arial" w:cs="Arial"/>
        </w:rPr>
        <w:t xml:space="preserve"> nadzorowane przez Ministra Rolnictwa i</w:t>
      </w:r>
      <w:r w:rsidR="004C145F">
        <w:rPr>
          <w:rFonts w:ascii="Arial" w:hAnsi="Arial" w:cs="Arial"/>
        </w:rPr>
        <w:t> </w:t>
      </w:r>
      <w:r>
        <w:rPr>
          <w:rFonts w:ascii="Arial" w:hAnsi="Arial" w:cs="Arial"/>
        </w:rPr>
        <w:t>Rozwoju Wsi opracowywane</w:t>
      </w:r>
      <w:r w:rsidR="00113810">
        <w:rPr>
          <w:rFonts w:ascii="Arial" w:hAnsi="Arial" w:cs="Arial"/>
        </w:rPr>
        <w:t xml:space="preserve"> są </w:t>
      </w:r>
      <w:r>
        <w:rPr>
          <w:rFonts w:ascii="Arial" w:hAnsi="Arial" w:cs="Arial"/>
        </w:rPr>
        <w:t xml:space="preserve"> i testowane nowe systemy oraz aktualizowane systemy już dostępne. </w:t>
      </w:r>
      <w:r w:rsidR="00470EE1" w:rsidRPr="00925BCD">
        <w:rPr>
          <w:rFonts w:ascii="Arial" w:hAnsi="Arial" w:cs="Arial"/>
        </w:rPr>
        <w:t>Na Platformie Sygnalizacji Agrofagów w 20</w:t>
      </w:r>
      <w:r w:rsidR="00470EE1">
        <w:rPr>
          <w:rFonts w:ascii="Arial" w:hAnsi="Arial" w:cs="Arial"/>
        </w:rPr>
        <w:t>23</w:t>
      </w:r>
      <w:r w:rsidR="00470EE1" w:rsidRPr="00925BCD">
        <w:rPr>
          <w:rFonts w:ascii="Arial" w:hAnsi="Arial" w:cs="Arial"/>
        </w:rPr>
        <w:t xml:space="preserve"> r. znajdowały się systemy wspomagające podjęcie decyzji o ochronie:</w:t>
      </w:r>
    </w:p>
    <w:p w14:paraId="1843D405" w14:textId="70FDC4AE" w:rsidR="00470EE1" w:rsidRPr="00925BCD" w:rsidRDefault="00470EE1" w:rsidP="00E74A80">
      <w:pPr>
        <w:pStyle w:val="NormalnyWeb"/>
        <w:numPr>
          <w:ilvl w:val="0"/>
          <w:numId w:val="25"/>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pszenicy ozimej przed takimi chorobami jak: </w:t>
      </w:r>
      <w:r w:rsidR="00AA7DF6">
        <w:rPr>
          <w:rFonts w:ascii="Arial" w:hAnsi="Arial" w:cs="Arial"/>
        </w:rPr>
        <w:t>brun</w:t>
      </w:r>
      <w:r w:rsidR="00272FF2">
        <w:rPr>
          <w:rFonts w:ascii="Arial" w:hAnsi="Arial" w:cs="Arial"/>
        </w:rPr>
        <w:t>atna</w:t>
      </w:r>
      <w:r w:rsidR="00AA7DF6">
        <w:rPr>
          <w:rFonts w:ascii="Arial" w:hAnsi="Arial" w:cs="Arial"/>
        </w:rPr>
        <w:t xml:space="preserve"> pl</w:t>
      </w:r>
      <w:r w:rsidR="00272FF2">
        <w:rPr>
          <w:rFonts w:ascii="Arial" w:hAnsi="Arial" w:cs="Arial"/>
        </w:rPr>
        <w:t>amistość liści</w:t>
      </w:r>
      <w:r w:rsidRPr="00925BCD">
        <w:rPr>
          <w:rFonts w:ascii="Arial" w:hAnsi="Arial" w:cs="Arial"/>
        </w:rPr>
        <w:t xml:space="preserve"> oraz przed skrzypionkami,</w:t>
      </w:r>
    </w:p>
    <w:p w14:paraId="7D297DA8" w14:textId="482B116C" w:rsidR="00470EE1" w:rsidRPr="00925BCD" w:rsidRDefault="00C56DB2" w:rsidP="00E74A80">
      <w:pPr>
        <w:pStyle w:val="NormalnyWeb"/>
        <w:numPr>
          <w:ilvl w:val="0"/>
          <w:numId w:val="25"/>
        </w:numPr>
        <w:tabs>
          <w:tab w:val="left" w:pos="284"/>
        </w:tabs>
        <w:spacing w:beforeAutospacing="0" w:after="120" w:afterAutospacing="0" w:line="360" w:lineRule="auto"/>
        <w:ind w:left="1003" w:hanging="357"/>
        <w:jc w:val="both"/>
        <w:rPr>
          <w:rFonts w:ascii="Arial" w:hAnsi="Arial" w:cs="Arial"/>
        </w:rPr>
      </w:pPr>
      <w:r>
        <w:rPr>
          <w:rFonts w:ascii="Arial" w:hAnsi="Arial" w:cs="Arial"/>
        </w:rPr>
        <w:t xml:space="preserve">kukurydzy </w:t>
      </w:r>
      <w:r w:rsidR="005D2E0F">
        <w:rPr>
          <w:rFonts w:ascii="Arial" w:hAnsi="Arial" w:cs="Arial"/>
        </w:rPr>
        <w:t>przed omacnicą prosowianką</w:t>
      </w:r>
      <w:r w:rsidR="00470EE1" w:rsidRPr="00925BCD">
        <w:rPr>
          <w:rFonts w:ascii="Arial" w:hAnsi="Arial" w:cs="Arial"/>
        </w:rPr>
        <w:t xml:space="preserve">, </w:t>
      </w:r>
    </w:p>
    <w:p w14:paraId="3BC69EED" w14:textId="7A68AB71" w:rsidR="00470EE1" w:rsidRPr="00925BCD" w:rsidRDefault="00470EE1" w:rsidP="00E74A80">
      <w:pPr>
        <w:pStyle w:val="NormalnyWeb"/>
        <w:numPr>
          <w:ilvl w:val="0"/>
          <w:numId w:val="25"/>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ziemniak przed zarazą ziemniaka</w:t>
      </w:r>
      <w:r w:rsidR="00231D17">
        <w:rPr>
          <w:rFonts w:ascii="Arial" w:hAnsi="Arial" w:cs="Arial"/>
        </w:rPr>
        <w:t xml:space="preserve"> i stonką ziemniaczaną</w:t>
      </w:r>
      <w:r w:rsidRPr="00925BCD">
        <w:rPr>
          <w:rFonts w:ascii="Arial" w:hAnsi="Arial" w:cs="Arial"/>
        </w:rPr>
        <w:t xml:space="preserve">, </w:t>
      </w:r>
    </w:p>
    <w:p w14:paraId="4DCBBE8B" w14:textId="5813CB71" w:rsidR="00470EE1" w:rsidRPr="00925BCD" w:rsidRDefault="00470EE1" w:rsidP="00E74A80">
      <w:pPr>
        <w:pStyle w:val="NormalnyWeb"/>
        <w:numPr>
          <w:ilvl w:val="0"/>
          <w:numId w:val="25"/>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lastRenderedPageBreak/>
        <w:t xml:space="preserve">buraka </w:t>
      </w:r>
      <w:r w:rsidR="00231D17">
        <w:rPr>
          <w:rFonts w:ascii="Arial" w:hAnsi="Arial" w:cs="Arial"/>
        </w:rPr>
        <w:t xml:space="preserve">cukrowego </w:t>
      </w:r>
      <w:r w:rsidRPr="00925BCD">
        <w:rPr>
          <w:rFonts w:ascii="Arial" w:hAnsi="Arial" w:cs="Arial"/>
        </w:rPr>
        <w:t>przed rolnic</w:t>
      </w:r>
      <w:r w:rsidR="00EC01F8">
        <w:rPr>
          <w:rFonts w:ascii="Arial" w:hAnsi="Arial" w:cs="Arial"/>
        </w:rPr>
        <w:t>ą zbożówką i chwościkiem buraka</w:t>
      </w:r>
      <w:r w:rsidRPr="00925BCD">
        <w:rPr>
          <w:rFonts w:ascii="Arial" w:hAnsi="Arial" w:cs="Arial"/>
        </w:rPr>
        <w:t xml:space="preserve">, </w:t>
      </w:r>
    </w:p>
    <w:p w14:paraId="1C59A92C" w14:textId="77777777" w:rsidR="00470EE1" w:rsidRDefault="00470EE1" w:rsidP="00E74A80">
      <w:pPr>
        <w:pStyle w:val="NormalnyWeb"/>
        <w:numPr>
          <w:ilvl w:val="0"/>
          <w:numId w:val="25"/>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internetowy system wspomagania decyzji w ochronie roślin ogrodniczych.</w:t>
      </w:r>
    </w:p>
    <w:p w14:paraId="0C376E6A" w14:textId="05D891FC" w:rsidR="007661B7" w:rsidRDefault="003B121C" w:rsidP="003B121C">
      <w:pPr>
        <w:pStyle w:val="NormalnyWeb"/>
        <w:tabs>
          <w:tab w:val="left" w:pos="284"/>
        </w:tabs>
        <w:spacing w:beforeAutospacing="0" w:after="120" w:afterAutospacing="0" w:line="360" w:lineRule="auto"/>
        <w:ind w:firstLine="284"/>
        <w:jc w:val="both"/>
        <w:rPr>
          <w:rFonts w:ascii="Arial" w:hAnsi="Arial" w:cs="Arial"/>
        </w:rPr>
      </w:pPr>
      <w:r w:rsidRPr="003B121C">
        <w:rPr>
          <w:rFonts w:ascii="Arial" w:hAnsi="Arial" w:cs="Arial"/>
        </w:rPr>
        <w:t>System wspomagania decyzji HortiOchrona, z opracowan</w:t>
      </w:r>
      <w:r w:rsidRPr="003B121C">
        <w:rPr>
          <w:rFonts w:ascii="Arial" w:hAnsi="Arial" w:cs="Arial" w:hint="eastAsia"/>
        </w:rPr>
        <w:t>ą</w:t>
      </w:r>
      <w:r w:rsidRPr="003B121C">
        <w:rPr>
          <w:rFonts w:ascii="Arial" w:hAnsi="Arial" w:cs="Arial"/>
        </w:rPr>
        <w:t xml:space="preserve"> w latach poprzednich bazow</w:t>
      </w:r>
      <w:r w:rsidRPr="003B121C">
        <w:rPr>
          <w:rFonts w:ascii="Arial" w:hAnsi="Arial" w:cs="Arial" w:hint="eastAsia"/>
        </w:rPr>
        <w:t>ą</w:t>
      </w:r>
      <w:r w:rsidRPr="003B121C">
        <w:rPr>
          <w:rFonts w:ascii="Arial" w:hAnsi="Arial" w:cs="Arial"/>
        </w:rPr>
        <w:t xml:space="preserve"> struktur</w:t>
      </w:r>
      <w:r w:rsidRPr="003B121C">
        <w:rPr>
          <w:rFonts w:ascii="Arial" w:hAnsi="Arial" w:cs="Arial" w:hint="eastAsia"/>
        </w:rPr>
        <w:t>ą</w:t>
      </w:r>
      <w:r>
        <w:rPr>
          <w:rFonts w:ascii="Arial" w:hAnsi="Arial" w:cs="Arial"/>
        </w:rPr>
        <w:t xml:space="preserve"> </w:t>
      </w:r>
      <w:r w:rsidRPr="003B121C">
        <w:rPr>
          <w:rFonts w:ascii="Arial" w:hAnsi="Arial" w:cs="Arial"/>
        </w:rPr>
        <w:t>informatyczn</w:t>
      </w:r>
      <w:r w:rsidRPr="003B121C">
        <w:rPr>
          <w:rFonts w:ascii="Arial" w:hAnsi="Arial" w:cs="Arial" w:hint="eastAsia"/>
        </w:rPr>
        <w:t>ą</w:t>
      </w:r>
      <w:r w:rsidRPr="003B121C">
        <w:rPr>
          <w:rFonts w:ascii="Arial" w:hAnsi="Arial" w:cs="Arial"/>
        </w:rPr>
        <w:t>, stanowi podstaw</w:t>
      </w:r>
      <w:r w:rsidRPr="003B121C">
        <w:rPr>
          <w:rFonts w:ascii="Arial" w:hAnsi="Arial" w:cs="Arial" w:hint="eastAsia"/>
        </w:rPr>
        <w:t>ę</w:t>
      </w:r>
      <w:r w:rsidRPr="003B121C">
        <w:rPr>
          <w:rFonts w:ascii="Arial" w:hAnsi="Arial" w:cs="Arial"/>
        </w:rPr>
        <w:t xml:space="preserve"> do wprowadzania kolejnych gatunk</w:t>
      </w:r>
      <w:r w:rsidRPr="003B121C">
        <w:rPr>
          <w:rFonts w:ascii="Arial" w:hAnsi="Arial" w:cs="Arial" w:hint="eastAsia"/>
        </w:rPr>
        <w:t>ó</w:t>
      </w:r>
      <w:r w:rsidRPr="003B121C">
        <w:rPr>
          <w:rFonts w:ascii="Arial" w:hAnsi="Arial" w:cs="Arial"/>
        </w:rPr>
        <w:t>w ro</w:t>
      </w:r>
      <w:r w:rsidRPr="003B121C">
        <w:rPr>
          <w:rFonts w:ascii="Arial" w:hAnsi="Arial" w:cs="Arial" w:hint="eastAsia"/>
        </w:rPr>
        <w:t>ś</w:t>
      </w:r>
      <w:r w:rsidRPr="003B121C">
        <w:rPr>
          <w:rFonts w:ascii="Arial" w:hAnsi="Arial" w:cs="Arial"/>
        </w:rPr>
        <w:t xml:space="preserve">lin ogrodniczych. </w:t>
      </w:r>
      <w:r>
        <w:rPr>
          <w:rFonts w:ascii="Arial" w:hAnsi="Arial" w:cs="Arial"/>
        </w:rPr>
        <w:t xml:space="preserve">W 2023 r. w ramach zadania </w:t>
      </w:r>
      <w:r w:rsidRPr="003B121C">
        <w:rPr>
          <w:rFonts w:ascii="Arial" w:hAnsi="Arial" w:cs="Arial"/>
        </w:rPr>
        <w:t>6.1. Rozwój i adaptacja systemów wspomagania decyzji w ochronie roślin</w:t>
      </w:r>
      <w:r>
        <w:rPr>
          <w:rFonts w:ascii="Arial" w:hAnsi="Arial" w:cs="Arial"/>
        </w:rPr>
        <w:t xml:space="preserve"> </w:t>
      </w:r>
      <w:r w:rsidRPr="003B121C">
        <w:rPr>
          <w:rFonts w:ascii="Arial" w:hAnsi="Arial" w:cs="Arial"/>
        </w:rPr>
        <w:t>ogrodniczych</w:t>
      </w:r>
      <w:r>
        <w:rPr>
          <w:rFonts w:ascii="Arial" w:hAnsi="Arial" w:cs="Arial"/>
        </w:rPr>
        <w:t xml:space="preserve"> realizowanego w ramach dotacji celowej Ministra Rolnictwa i </w:t>
      </w:r>
      <w:r w:rsidR="00741610">
        <w:rPr>
          <w:rFonts w:ascii="Arial" w:hAnsi="Arial" w:cs="Arial"/>
        </w:rPr>
        <w:t>R</w:t>
      </w:r>
      <w:r>
        <w:rPr>
          <w:rFonts w:ascii="Arial" w:hAnsi="Arial" w:cs="Arial"/>
        </w:rPr>
        <w:t>ozwoju Wsi,</w:t>
      </w:r>
      <w:r w:rsidR="007661B7">
        <w:rPr>
          <w:rFonts w:ascii="Arial" w:hAnsi="Arial" w:cs="Arial"/>
        </w:rPr>
        <w:t xml:space="preserve"> </w:t>
      </w:r>
      <w:r w:rsidRPr="003B121C">
        <w:rPr>
          <w:rFonts w:ascii="Arial" w:hAnsi="Arial" w:cs="Arial"/>
        </w:rPr>
        <w:t>wprowadzono dane dla 2 nowych gatunk</w:t>
      </w:r>
      <w:r w:rsidRPr="003B121C">
        <w:rPr>
          <w:rFonts w:ascii="Arial" w:hAnsi="Arial" w:cs="Arial" w:hint="eastAsia"/>
        </w:rPr>
        <w:t>ó</w:t>
      </w:r>
      <w:r w:rsidRPr="003B121C">
        <w:rPr>
          <w:rFonts w:ascii="Arial" w:hAnsi="Arial" w:cs="Arial"/>
        </w:rPr>
        <w:t xml:space="preserve">w: </w:t>
      </w:r>
      <w:r w:rsidRPr="003B121C">
        <w:rPr>
          <w:rFonts w:ascii="Arial" w:hAnsi="Arial" w:cs="Arial" w:hint="eastAsia"/>
        </w:rPr>
        <w:t>ś</w:t>
      </w:r>
      <w:r w:rsidRPr="003B121C">
        <w:rPr>
          <w:rFonts w:ascii="Arial" w:hAnsi="Arial" w:cs="Arial"/>
        </w:rPr>
        <w:t xml:space="preserve">liwy i buraka </w:t>
      </w:r>
      <w:r w:rsidRPr="003B121C">
        <w:rPr>
          <w:rFonts w:ascii="Arial" w:hAnsi="Arial" w:cs="Arial" w:hint="eastAsia"/>
        </w:rPr>
        <w:t>ć</w:t>
      </w:r>
      <w:r w:rsidRPr="003B121C">
        <w:rPr>
          <w:rFonts w:ascii="Arial" w:hAnsi="Arial" w:cs="Arial"/>
        </w:rPr>
        <w:t>wik</w:t>
      </w:r>
      <w:r w:rsidRPr="003B121C">
        <w:rPr>
          <w:rFonts w:ascii="Arial" w:hAnsi="Arial" w:cs="Arial" w:hint="eastAsia"/>
        </w:rPr>
        <w:t>ł</w:t>
      </w:r>
      <w:r w:rsidRPr="003B121C">
        <w:rPr>
          <w:rFonts w:ascii="Arial" w:hAnsi="Arial" w:cs="Arial"/>
        </w:rPr>
        <w:t xml:space="preserve">owego. </w:t>
      </w:r>
      <w:r w:rsidR="007661B7" w:rsidRPr="007661B7">
        <w:rPr>
          <w:rFonts w:ascii="Arial" w:hAnsi="Arial" w:cs="Arial"/>
        </w:rPr>
        <w:t>Materiały obejmowały charakterystyki agrofagów, w tym ich biologię, występowanie i szkodliwość, a także metody lustracji i monitorowania, zasady profilaktyki i zwalczania oraz materiały graficzne i ilustracyjne, służące do diagnostyki i opisów objawów uszkodzeń</w:t>
      </w:r>
      <w:r w:rsidR="007661B7">
        <w:rPr>
          <w:rFonts w:ascii="Arial" w:hAnsi="Arial" w:cs="Arial"/>
        </w:rPr>
        <w:t xml:space="preserve">. </w:t>
      </w:r>
      <w:r w:rsidRPr="003B121C">
        <w:rPr>
          <w:rFonts w:ascii="Arial" w:hAnsi="Arial" w:cs="Arial"/>
        </w:rPr>
        <w:t>Zaktualizowano te</w:t>
      </w:r>
      <w:r w:rsidRPr="003B121C">
        <w:rPr>
          <w:rFonts w:ascii="Arial" w:hAnsi="Arial" w:cs="Arial" w:hint="eastAsia"/>
        </w:rPr>
        <w:t>ż</w:t>
      </w:r>
      <w:r w:rsidRPr="003B121C">
        <w:rPr>
          <w:rFonts w:ascii="Arial" w:hAnsi="Arial" w:cs="Arial"/>
        </w:rPr>
        <w:t xml:space="preserve"> dane</w:t>
      </w:r>
      <w:r w:rsidR="007661B7">
        <w:rPr>
          <w:rFonts w:ascii="Arial" w:hAnsi="Arial" w:cs="Arial"/>
        </w:rPr>
        <w:t xml:space="preserve"> </w:t>
      </w:r>
      <w:r w:rsidR="007661B7" w:rsidRPr="007661B7">
        <w:rPr>
          <w:rFonts w:ascii="Arial" w:hAnsi="Arial" w:cs="Arial"/>
        </w:rPr>
        <w:t xml:space="preserve">dla wcześniej opracowanych upraw: jabłoni, truskawki, czereśni, porzeczki czarnej, cebuli, marchwi, kapusty głowiastej, fasoli, róży w uprawie szklarniowej, żywotnika zachodniego, bukszpanu i chryzantemy pod osłonami. Wprowadzono nowe środki ochrony roślin do zwalczania agrofagów, a usunięto wycofane. </w:t>
      </w:r>
    </w:p>
    <w:p w14:paraId="3C16E91E" w14:textId="68F6C76F" w:rsidR="007661B7" w:rsidRDefault="007661B7" w:rsidP="003B121C">
      <w:pPr>
        <w:pStyle w:val="NormalnyWeb"/>
        <w:tabs>
          <w:tab w:val="left" w:pos="284"/>
        </w:tabs>
        <w:spacing w:beforeAutospacing="0" w:after="120" w:afterAutospacing="0" w:line="360" w:lineRule="auto"/>
        <w:ind w:firstLine="284"/>
        <w:jc w:val="both"/>
        <w:rPr>
          <w:rFonts w:ascii="Arial" w:hAnsi="Arial" w:cs="Arial"/>
        </w:rPr>
      </w:pPr>
      <w:r w:rsidRPr="007661B7">
        <w:rPr>
          <w:rFonts w:ascii="Arial" w:hAnsi="Arial" w:cs="Arial"/>
        </w:rPr>
        <w:t>System HortiOchrona zawiera też moduł z zakresu produkcji ekologicznej, do którego wprowadzono materiały dla trzech gatunków roślin: brokułu, ogórka gruntowego i marchwi</w:t>
      </w:r>
      <w:r>
        <w:rPr>
          <w:rFonts w:ascii="Arial" w:hAnsi="Arial" w:cs="Arial"/>
        </w:rPr>
        <w:t>.</w:t>
      </w:r>
    </w:p>
    <w:p w14:paraId="7D4DDB12" w14:textId="77777777" w:rsidR="008B5F95" w:rsidRDefault="00923F0D">
      <w:pPr>
        <w:pStyle w:val="Nagwek2"/>
        <w:jc w:val="both"/>
        <w:rPr>
          <w:i w:val="0"/>
          <w:sz w:val="20"/>
          <w:szCs w:val="20"/>
        </w:rPr>
      </w:pPr>
      <w:bookmarkStart w:id="55" w:name="_Toc193716406"/>
      <w:r>
        <w:rPr>
          <w:i w:val="0"/>
          <w:sz w:val="20"/>
          <w:szCs w:val="20"/>
        </w:rPr>
        <w:t>Zadanie 6. Udostępnienie programów integrowanej ochrony roślin</w:t>
      </w:r>
      <w:bookmarkEnd w:id="55"/>
    </w:p>
    <w:p w14:paraId="2EDA4317"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Narzędziem niezbędnym dla prawidłowego planowania i wykonywania zabiegów ochrony roślin są programy integrowanej ochrony opracowywane dla poszczególnych upraw. Programy te są także uzupełnieniem wiedzy przekazywanej za pośrednictwem metodyk integrowanej ochrony roślin, ponieważ zawierają informacje o aktualnie dostępnych środkach ochrony roślin. </w:t>
      </w:r>
    </w:p>
    <w:p w14:paraId="064CA572" w14:textId="4A30BB75"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Programy ochrony roślin, aby pomagały we wdrażaniu zasad integrowanej ochrony roślin, obok informacji o chemicznych metodach ochrony roślin, zawiera</w:t>
      </w:r>
      <w:r w:rsidR="00366448">
        <w:rPr>
          <w:rFonts w:ascii="Arial" w:hAnsi="Arial" w:cs="Arial"/>
        </w:rPr>
        <w:t>ją</w:t>
      </w:r>
      <w:r>
        <w:rPr>
          <w:rFonts w:ascii="Arial" w:hAnsi="Arial" w:cs="Arial"/>
        </w:rPr>
        <w:t xml:space="preserve"> wytyczne dotyczące działań prewencyjnych i zapobiegających wystąpieniu agrofagów oraz informacje o niechemicznych metodach ich zwalczania. Programy wskazują także preparaty zawierające substancje czynne niskiego ryzyka, preparaty biologiczne oraz substancje podstawowe, którym należy przyznać pierwszeństwo przed zastosowaniem chemicznych środków ochrony roślin. </w:t>
      </w:r>
    </w:p>
    <w:p w14:paraId="4573C2F5" w14:textId="354A2B7A"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Programy ochrony roślin uwzględnia</w:t>
      </w:r>
      <w:r w:rsidR="00366448">
        <w:rPr>
          <w:rFonts w:ascii="Arial" w:hAnsi="Arial" w:cs="Arial"/>
        </w:rPr>
        <w:t>ją</w:t>
      </w:r>
      <w:r>
        <w:rPr>
          <w:rFonts w:ascii="Arial" w:hAnsi="Arial" w:cs="Arial"/>
        </w:rPr>
        <w:t xml:space="preserve"> także specyficzne wymagania systemów jakości żywności, nakierowanych na ograniczanie zagrożeń dla środowiska naturalnego oraz dla zdrowia ludzi, czyli rolnictwa ekologicznego oraz integrowanej produkcji roślin. </w:t>
      </w:r>
    </w:p>
    <w:p w14:paraId="050B01DB" w14:textId="2430DFE1"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Programy ochrony roślin wska</w:t>
      </w:r>
      <w:r w:rsidR="006011F7">
        <w:rPr>
          <w:rFonts w:ascii="Arial" w:hAnsi="Arial" w:cs="Arial"/>
        </w:rPr>
        <w:t>z</w:t>
      </w:r>
      <w:r w:rsidR="00366448">
        <w:rPr>
          <w:rFonts w:ascii="Arial" w:hAnsi="Arial" w:cs="Arial"/>
        </w:rPr>
        <w:t>ują</w:t>
      </w:r>
      <w:r>
        <w:rPr>
          <w:rFonts w:ascii="Arial" w:hAnsi="Arial" w:cs="Arial"/>
        </w:rPr>
        <w:t xml:space="preserve"> jakie zagrożenia mogą wiązać się ze stosowaniem poszczególnych preparatów</w:t>
      </w:r>
      <w:r w:rsidR="006011F7">
        <w:rPr>
          <w:rFonts w:ascii="Arial" w:hAnsi="Arial" w:cs="Arial"/>
        </w:rPr>
        <w:t xml:space="preserve"> i</w:t>
      </w:r>
      <w:r>
        <w:rPr>
          <w:rFonts w:ascii="Arial" w:hAnsi="Arial" w:cs="Arial"/>
        </w:rPr>
        <w:t xml:space="preserve"> zawiera</w:t>
      </w:r>
      <w:r w:rsidR="006011F7">
        <w:rPr>
          <w:rFonts w:ascii="Arial" w:hAnsi="Arial" w:cs="Arial"/>
        </w:rPr>
        <w:t>ją</w:t>
      </w:r>
      <w:r>
        <w:rPr>
          <w:rFonts w:ascii="Arial" w:hAnsi="Arial" w:cs="Arial"/>
        </w:rPr>
        <w:t xml:space="preserve"> zalecenia, w jaki sposób zagrożenia te można eliminować. W szczególności dotyczy to ochrony wód, fauny pożytecznej i owadów zapylających. </w:t>
      </w:r>
      <w:r w:rsidR="006011F7">
        <w:rPr>
          <w:rFonts w:ascii="Arial" w:hAnsi="Arial" w:cs="Arial"/>
        </w:rPr>
        <w:t>Z</w:t>
      </w:r>
      <w:r>
        <w:rPr>
          <w:rFonts w:ascii="Arial" w:hAnsi="Arial" w:cs="Arial"/>
        </w:rPr>
        <w:t>awiera</w:t>
      </w:r>
      <w:r w:rsidR="006011F7">
        <w:rPr>
          <w:rFonts w:ascii="Arial" w:hAnsi="Arial" w:cs="Arial"/>
        </w:rPr>
        <w:t>ją</w:t>
      </w:r>
      <w:r>
        <w:rPr>
          <w:rFonts w:ascii="Arial" w:hAnsi="Arial" w:cs="Arial"/>
        </w:rPr>
        <w:t xml:space="preserve"> także inne niezbędne informacje dla prawidłowego planowania zabiegów ochrony roślin, jak np. wskazówki dotyczące łącznego stosowania agrochemikaliów czy zapobiegania powstawaniu odporności u</w:t>
      </w:r>
      <w:r w:rsidR="00A76C8C">
        <w:rPr>
          <w:rFonts w:ascii="Arial" w:hAnsi="Arial" w:cs="Arial"/>
        </w:rPr>
        <w:t> </w:t>
      </w:r>
      <w:r>
        <w:rPr>
          <w:rFonts w:ascii="Arial" w:hAnsi="Arial" w:cs="Arial"/>
        </w:rPr>
        <w:t>organizmów szkodliwych</w:t>
      </w:r>
      <w:r w:rsidR="00F85383">
        <w:rPr>
          <w:rFonts w:ascii="Arial" w:hAnsi="Arial" w:cs="Arial"/>
        </w:rPr>
        <w:t>,</w:t>
      </w:r>
      <w:r>
        <w:rPr>
          <w:rFonts w:ascii="Arial" w:hAnsi="Arial" w:cs="Arial"/>
        </w:rPr>
        <w:t xml:space="preserve"> czy też minimalizowania obecności pozostałości substancji czynnych.</w:t>
      </w:r>
    </w:p>
    <w:p w14:paraId="1252E1AA" w14:textId="2D217E7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ramach krajowego planu działania opracowywane </w:t>
      </w:r>
      <w:r w:rsidR="006011F7">
        <w:rPr>
          <w:rFonts w:ascii="Arial" w:hAnsi="Arial" w:cs="Arial"/>
        </w:rPr>
        <w:t xml:space="preserve">są </w:t>
      </w:r>
      <w:r>
        <w:rPr>
          <w:rFonts w:ascii="Arial" w:hAnsi="Arial" w:cs="Arial"/>
        </w:rPr>
        <w:t>oraz regularnie aktualizowane programy ochrony dla poszczególnych upraw, spełniające powyższe warunki. Programy te upowszechniane</w:t>
      </w:r>
      <w:r w:rsidR="006011F7">
        <w:rPr>
          <w:rFonts w:ascii="Arial" w:hAnsi="Arial" w:cs="Arial"/>
        </w:rPr>
        <w:t xml:space="preserve"> są </w:t>
      </w:r>
      <w:r>
        <w:rPr>
          <w:rFonts w:ascii="Arial" w:hAnsi="Arial" w:cs="Arial"/>
        </w:rPr>
        <w:lastRenderedPageBreak/>
        <w:t>za pośrednictwem Platformy Sygnalizacji Agrofagów.</w:t>
      </w:r>
    </w:p>
    <w:p w14:paraId="24A67846" w14:textId="18EE5081" w:rsidR="000E7EB7" w:rsidRPr="000D19A0" w:rsidRDefault="000E7EB7" w:rsidP="000E7EB7">
      <w:pPr>
        <w:pStyle w:val="NormalnyWeb"/>
        <w:tabs>
          <w:tab w:val="left" w:pos="284"/>
        </w:tabs>
        <w:spacing w:beforeAutospacing="0" w:after="120" w:afterAutospacing="0" w:line="360" w:lineRule="auto"/>
        <w:ind w:firstLine="284"/>
        <w:jc w:val="both"/>
        <w:rPr>
          <w:rFonts w:ascii="Arial" w:hAnsi="Arial" w:cs="Arial"/>
        </w:rPr>
      </w:pPr>
      <w:r w:rsidRPr="000D19A0">
        <w:rPr>
          <w:rFonts w:ascii="Arial" w:hAnsi="Arial" w:cs="Arial"/>
        </w:rPr>
        <w:t xml:space="preserve">W ramach realizacji zadania </w:t>
      </w:r>
      <w:r w:rsidR="005C5678">
        <w:rPr>
          <w:rFonts w:ascii="Arial" w:hAnsi="Arial" w:cs="Arial"/>
        </w:rPr>
        <w:t xml:space="preserve">w 2023 r. </w:t>
      </w:r>
      <w:r w:rsidR="002665D3" w:rsidRPr="000D19A0">
        <w:rPr>
          <w:rFonts w:ascii="Arial" w:hAnsi="Arial" w:cs="Arial"/>
        </w:rPr>
        <w:t>w Instytucie O</w:t>
      </w:r>
      <w:r w:rsidR="00B00130" w:rsidRPr="000D19A0">
        <w:rPr>
          <w:rFonts w:ascii="Arial" w:hAnsi="Arial" w:cs="Arial"/>
        </w:rPr>
        <w:t>chrony Roślin</w:t>
      </w:r>
      <w:r w:rsidR="002665D3" w:rsidRPr="000D19A0">
        <w:rPr>
          <w:rFonts w:ascii="Arial" w:hAnsi="Arial" w:cs="Arial"/>
        </w:rPr>
        <w:t xml:space="preserve"> </w:t>
      </w:r>
      <w:r w:rsidR="00F11A07">
        <w:rPr>
          <w:rFonts w:ascii="Arial" w:hAnsi="Arial" w:cs="Arial"/>
        </w:rPr>
        <w:t>–</w:t>
      </w:r>
      <w:r w:rsidR="002665D3" w:rsidRPr="000D19A0">
        <w:rPr>
          <w:rFonts w:ascii="Arial" w:hAnsi="Arial" w:cs="Arial"/>
        </w:rPr>
        <w:t xml:space="preserve"> PIB opracowywano </w:t>
      </w:r>
      <w:r w:rsidR="00B06B1F" w:rsidRPr="000D19A0">
        <w:rPr>
          <w:rFonts w:ascii="Arial" w:hAnsi="Arial" w:cs="Arial"/>
        </w:rPr>
        <w:t>i</w:t>
      </w:r>
      <w:r w:rsidR="005C5678">
        <w:rPr>
          <w:rFonts w:ascii="Arial" w:hAnsi="Arial" w:cs="Arial"/>
        </w:rPr>
        <w:t> </w:t>
      </w:r>
      <w:r w:rsidR="00B06B1F" w:rsidRPr="000D19A0">
        <w:rPr>
          <w:rFonts w:ascii="Arial" w:hAnsi="Arial" w:cs="Arial"/>
        </w:rPr>
        <w:t xml:space="preserve">zaktualizowano </w:t>
      </w:r>
      <w:r w:rsidRPr="000D19A0">
        <w:rPr>
          <w:rFonts w:ascii="Arial" w:hAnsi="Arial" w:cs="Arial"/>
        </w:rPr>
        <w:t>21 programów integrowanej ochrony roślin rolniczych przed ważnymi agrofagami</w:t>
      </w:r>
      <w:r w:rsidR="00A83394" w:rsidRPr="000D19A0">
        <w:rPr>
          <w:rFonts w:ascii="Arial" w:hAnsi="Arial" w:cs="Arial"/>
        </w:rPr>
        <w:t xml:space="preserve"> dla następujących gatunków</w:t>
      </w:r>
      <w:r w:rsidRPr="000D19A0">
        <w:rPr>
          <w:rFonts w:ascii="Arial" w:hAnsi="Arial" w:cs="Arial"/>
        </w:rPr>
        <w:t>: pszenicy ozimej i jarej, rzepaku ozimego i jarego, jęczmienia ozimego i jarego, pszenżyta ozimego i jarego, żyta</w:t>
      </w:r>
      <w:r w:rsidR="00BB4759" w:rsidRPr="000D19A0">
        <w:rPr>
          <w:rFonts w:ascii="Arial" w:hAnsi="Arial" w:cs="Arial"/>
        </w:rPr>
        <w:t xml:space="preserve"> ozimego i jarego</w:t>
      </w:r>
      <w:r w:rsidRPr="000D19A0">
        <w:rPr>
          <w:rFonts w:ascii="Arial" w:hAnsi="Arial" w:cs="Arial"/>
        </w:rPr>
        <w:t>, owsa, ziemniaka, buraka cukrowego i pastewnego, kukurydzy, soi, gorczycy, słonecznika, bobiku, grochu i łubinu</w:t>
      </w:r>
      <w:r w:rsidR="00F838AA" w:rsidRPr="000D19A0">
        <w:rPr>
          <w:rFonts w:ascii="Arial" w:hAnsi="Arial" w:cs="Arial"/>
        </w:rPr>
        <w:t>.</w:t>
      </w:r>
    </w:p>
    <w:p w14:paraId="4FD2292A" w14:textId="2C1601A9" w:rsidR="000B20D3" w:rsidRDefault="000B20D3">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w:t>
      </w:r>
      <w:bookmarkStart w:id="56" w:name="_Hlk187761932"/>
      <w:r w:rsidRPr="000B20D3">
        <w:rPr>
          <w:rFonts w:ascii="Arial" w:hAnsi="Arial" w:cs="Arial"/>
        </w:rPr>
        <w:t xml:space="preserve">Instytucie Ogrodnictwa </w:t>
      </w:r>
      <w:r w:rsidR="00F11A07" w:rsidRPr="00F11A07">
        <w:rPr>
          <w:rFonts w:ascii="Arial" w:hAnsi="Arial" w:cs="Arial"/>
        </w:rPr>
        <w:t>–</w:t>
      </w:r>
      <w:r w:rsidRPr="000B20D3">
        <w:rPr>
          <w:rFonts w:ascii="Arial" w:hAnsi="Arial" w:cs="Arial"/>
        </w:rPr>
        <w:t xml:space="preserve"> PIB </w:t>
      </w:r>
      <w:r w:rsidR="005C5678">
        <w:rPr>
          <w:rFonts w:ascii="Arial" w:hAnsi="Arial" w:cs="Arial"/>
        </w:rPr>
        <w:t xml:space="preserve">natomiast, </w:t>
      </w:r>
      <w:r w:rsidRPr="000B20D3">
        <w:rPr>
          <w:rFonts w:ascii="Arial" w:hAnsi="Arial" w:cs="Arial"/>
        </w:rPr>
        <w:t xml:space="preserve">opracowywano </w:t>
      </w:r>
      <w:bookmarkEnd w:id="56"/>
      <w:r w:rsidRPr="000B20D3">
        <w:rPr>
          <w:rFonts w:ascii="Arial" w:hAnsi="Arial" w:cs="Arial"/>
        </w:rPr>
        <w:t xml:space="preserve">nowe programy ochrony przed agrofagami dla 2 gatunków roślin sadowniczych (orzech włoski, aronia), 2 gatunków roślin warzywnych (szparag, dynia) i 2 gatunków roślin ozdobnych (anturium, jałowiec) oraz zaktualizowano </w:t>
      </w:r>
      <w:r w:rsidRPr="000B20D3">
        <w:rPr>
          <w:rFonts w:ascii="Arial" w:hAnsi="Arial" w:cs="Arial"/>
          <w:u w:val="single"/>
        </w:rPr>
        <w:t>65 programów ochrony</w:t>
      </w:r>
      <w:r w:rsidRPr="000B20D3">
        <w:rPr>
          <w:rFonts w:ascii="Arial" w:hAnsi="Arial" w:cs="Arial"/>
        </w:rPr>
        <w:t xml:space="preserve"> roślin opracowanych w latach poprzednich dla </w:t>
      </w:r>
      <w:r w:rsidRPr="000B20D3">
        <w:rPr>
          <w:rFonts w:ascii="Arial" w:hAnsi="Arial" w:cs="Arial"/>
          <w:u w:val="single"/>
        </w:rPr>
        <w:t>16 gatunków roślin sadowniczych</w:t>
      </w:r>
      <w:r w:rsidRPr="000B20D3">
        <w:rPr>
          <w:rFonts w:ascii="Arial" w:hAnsi="Arial" w:cs="Arial"/>
        </w:rPr>
        <w:t xml:space="preserve">: agrestu, borówki wysokiej, brzoskwini, czereśni, gruszy, jabłoni, leszczyny, maliny, porzeczki czarnej, porzeczki czerwonej i białej, śliwy, truskawki, truskawki pod osłonami, winorośli uprawianej w polu, moreli i wiśni; dla </w:t>
      </w:r>
      <w:r w:rsidRPr="000B20D3">
        <w:rPr>
          <w:rFonts w:ascii="Arial" w:hAnsi="Arial" w:cs="Arial"/>
          <w:u w:val="single"/>
        </w:rPr>
        <w:t>25 gatunków roślin warzywnych</w:t>
      </w:r>
      <w:r w:rsidRPr="000B20D3">
        <w:rPr>
          <w:rFonts w:ascii="Arial" w:hAnsi="Arial" w:cs="Arial"/>
        </w:rPr>
        <w:t xml:space="preserve">: bobu, brokułu, buraka ćwikłowego, cebuli, chrzanu, czosnku, fasoli, grochu, kalafiora, kapusty brukselskiej, kapusty głowiastej, kapusty pekińskiej, marchwi, ogórka gruntowego, ogórka szklarniowego, papryki pod osłonami, pietruszki korzeniowej i naciowej, pomidora gruntowego, pomidora szklarniowego, pora, sałaty, selera korzeniowego i naciowego, szpinaku; cukinii, oberżyny pod osłonami; dla </w:t>
      </w:r>
      <w:r w:rsidRPr="000B20D3">
        <w:rPr>
          <w:rFonts w:ascii="Arial" w:hAnsi="Arial" w:cs="Arial"/>
          <w:u w:val="single"/>
        </w:rPr>
        <w:t>24 gatunków roślin ozdobnych</w:t>
      </w:r>
      <w:r w:rsidRPr="000B20D3">
        <w:rPr>
          <w:rFonts w:ascii="Arial" w:hAnsi="Arial" w:cs="Arial"/>
        </w:rPr>
        <w:t>: astra jesiennego, begonii uprawianej pod osłonami, bratka ogrodowego, bukszpanu, chryzantemy szklarniowej, cyklamena, cyprysika Lawsona, eustomy, figowców, gerbery, goździka szklarniowego, lilii, mieczyka, modrzewia, pelargonii, poinsecji, rojnika, różanecznika, róży pod osłonami, róży uprawianej w gruncie, surfinii, tawuły, traw ozdobnych i</w:t>
      </w:r>
      <w:r>
        <w:rPr>
          <w:rFonts w:ascii="Arial" w:hAnsi="Arial" w:cs="Arial"/>
        </w:rPr>
        <w:t> </w:t>
      </w:r>
      <w:r w:rsidRPr="000B20D3">
        <w:rPr>
          <w:rFonts w:ascii="Arial" w:hAnsi="Arial" w:cs="Arial"/>
        </w:rPr>
        <w:t xml:space="preserve">żywotnika. </w:t>
      </w:r>
    </w:p>
    <w:p w14:paraId="20377204" w14:textId="03C48AFD" w:rsidR="00B751B5" w:rsidRDefault="00B751B5">
      <w:pPr>
        <w:pStyle w:val="NormalnyWeb"/>
        <w:tabs>
          <w:tab w:val="left" w:pos="284"/>
        </w:tabs>
        <w:spacing w:beforeAutospacing="0" w:after="120" w:afterAutospacing="0" w:line="360" w:lineRule="auto"/>
        <w:ind w:firstLine="284"/>
        <w:jc w:val="both"/>
        <w:rPr>
          <w:rFonts w:ascii="Arial" w:hAnsi="Arial" w:cs="Arial"/>
        </w:rPr>
      </w:pPr>
      <w:r w:rsidRPr="00B751B5">
        <w:rPr>
          <w:rFonts w:ascii="Arial" w:hAnsi="Arial" w:cs="Arial"/>
        </w:rPr>
        <w:t xml:space="preserve">W ramach realizacji zadania w Instytucie Uprawy Nawożenia i Gleboznawstwa </w:t>
      </w:r>
      <w:r w:rsidR="00CE059A" w:rsidRPr="00CE059A">
        <w:rPr>
          <w:rFonts w:ascii="Arial" w:hAnsi="Arial" w:cs="Arial"/>
        </w:rPr>
        <w:t>–</w:t>
      </w:r>
      <w:r w:rsidR="00CE059A">
        <w:rPr>
          <w:rFonts w:ascii="Arial" w:hAnsi="Arial" w:cs="Arial"/>
        </w:rPr>
        <w:t xml:space="preserve"> </w:t>
      </w:r>
      <w:r w:rsidRPr="00B751B5">
        <w:rPr>
          <w:rFonts w:ascii="Arial" w:hAnsi="Arial" w:cs="Arial"/>
        </w:rPr>
        <w:t>PIB opracowano programy ochrony dla chmielu i tytoniu. Są one systematycznie aktualizowane</w:t>
      </w:r>
      <w:r>
        <w:rPr>
          <w:rFonts w:ascii="Arial" w:hAnsi="Arial" w:cs="Arial"/>
        </w:rPr>
        <w:t>.</w:t>
      </w:r>
      <w:r w:rsidRPr="00B751B5">
        <w:rPr>
          <w:rFonts w:ascii="Arial" w:hAnsi="Arial" w:cs="Arial"/>
        </w:rPr>
        <w:t xml:space="preserve"> </w:t>
      </w:r>
    </w:p>
    <w:p w14:paraId="46E13FC6" w14:textId="7203CBB8" w:rsidR="000B20D3" w:rsidRPr="000B20D3" w:rsidRDefault="000B20D3" w:rsidP="000B20D3">
      <w:pPr>
        <w:pStyle w:val="NormalnyWeb"/>
        <w:tabs>
          <w:tab w:val="left" w:pos="284"/>
        </w:tabs>
        <w:spacing w:beforeAutospacing="0" w:after="120" w:afterAutospacing="0" w:line="360" w:lineRule="auto"/>
        <w:ind w:firstLine="284"/>
        <w:jc w:val="both"/>
        <w:rPr>
          <w:rFonts w:ascii="Arial" w:hAnsi="Arial" w:cs="Arial"/>
        </w:rPr>
      </w:pPr>
      <w:r w:rsidRPr="000B20D3">
        <w:rPr>
          <w:rFonts w:ascii="Arial" w:hAnsi="Arial" w:cs="Arial"/>
        </w:rPr>
        <w:t>Systematyczna aktualizacja programów integrowanej ochrony umożliwia dostęp do bieżących informacji w zakresie środków ochrony roślin dopuszczonych do stosowania, pozwala na prawidłowe i</w:t>
      </w:r>
      <w:r w:rsidR="00AB439D">
        <w:rPr>
          <w:rFonts w:ascii="Arial" w:hAnsi="Arial" w:cs="Arial"/>
        </w:rPr>
        <w:t> </w:t>
      </w:r>
      <w:r w:rsidRPr="000B20D3">
        <w:rPr>
          <w:rFonts w:ascii="Arial" w:hAnsi="Arial" w:cs="Arial"/>
        </w:rPr>
        <w:t>zgodne z prawem planowanie i wykonywanie zabiegów ochrony roślin.</w:t>
      </w:r>
    </w:p>
    <w:p w14:paraId="0CD8CE31" w14:textId="6A543CCC" w:rsidR="008A394E" w:rsidRDefault="000B20D3" w:rsidP="000B20D3">
      <w:pPr>
        <w:pStyle w:val="NormalnyWeb"/>
        <w:tabs>
          <w:tab w:val="left" w:pos="284"/>
        </w:tabs>
        <w:spacing w:beforeAutospacing="0" w:after="120" w:afterAutospacing="0" w:line="360" w:lineRule="auto"/>
        <w:ind w:firstLine="284"/>
        <w:jc w:val="both"/>
        <w:rPr>
          <w:rFonts w:ascii="Arial" w:hAnsi="Arial" w:cs="Arial"/>
        </w:rPr>
      </w:pPr>
      <w:r w:rsidRPr="000B20D3">
        <w:rPr>
          <w:rFonts w:ascii="Arial" w:hAnsi="Arial" w:cs="Arial"/>
        </w:rPr>
        <w:t>Nowo opracowane i zaktualizowane programy ochrony roślin zamieszczono na Platformie Sygnalizacji Agrofagów.</w:t>
      </w:r>
      <w:r w:rsidR="005C5678">
        <w:rPr>
          <w:rFonts w:ascii="Arial" w:hAnsi="Arial" w:cs="Arial"/>
        </w:rPr>
        <w:t xml:space="preserve"> </w:t>
      </w:r>
    </w:p>
    <w:p w14:paraId="0FEA341C" w14:textId="6E83F34D" w:rsidR="00FB5E8D" w:rsidRDefault="008A394E" w:rsidP="005C5678">
      <w:pPr>
        <w:pStyle w:val="NormalnyWeb"/>
        <w:tabs>
          <w:tab w:val="left" w:pos="284"/>
        </w:tabs>
        <w:spacing w:beforeAutospacing="0" w:after="120" w:afterAutospacing="0" w:line="360" w:lineRule="auto"/>
        <w:ind w:firstLine="284"/>
        <w:jc w:val="center"/>
        <w:rPr>
          <w:rFonts w:ascii="Arial" w:hAnsi="Arial" w:cs="Arial"/>
        </w:rPr>
      </w:pPr>
      <w:r>
        <w:rPr>
          <w:rFonts w:ascii="Arial" w:hAnsi="Arial" w:cs="Arial"/>
          <w:noProof/>
        </w:rPr>
        <w:drawing>
          <wp:inline distT="0" distB="0" distL="0" distR="0" wp14:anchorId="4B1AD032" wp14:editId="285995AB">
            <wp:extent cx="4054416" cy="2192143"/>
            <wp:effectExtent l="0" t="0" r="3810" b="0"/>
            <wp:docPr id="1680118778" name="Obraz 2" descr="Obraz zawierający tekst, zrzut ekranu, menu, dokumen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18778" name="Obraz 2" descr="Obraz zawierający tekst, zrzut ekranu, menu, dokument&#10;&#10;Opis wygenerowany automatyczni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69306" cy="2254262"/>
                    </a:xfrm>
                    <a:prstGeom prst="rect">
                      <a:avLst/>
                    </a:prstGeom>
                    <a:noFill/>
                  </pic:spPr>
                </pic:pic>
              </a:graphicData>
            </a:graphic>
          </wp:inline>
        </w:drawing>
      </w:r>
    </w:p>
    <w:p w14:paraId="10A7E597" w14:textId="77777777" w:rsidR="008B5F95" w:rsidRDefault="00923F0D">
      <w:pPr>
        <w:pStyle w:val="Nagwek2"/>
        <w:jc w:val="both"/>
        <w:rPr>
          <w:i w:val="0"/>
          <w:sz w:val="20"/>
          <w:szCs w:val="20"/>
        </w:rPr>
      </w:pPr>
      <w:bookmarkStart w:id="57" w:name="_Toc341876104"/>
      <w:bookmarkStart w:id="58" w:name="_Toc193716407"/>
      <w:r w:rsidRPr="00A45A40">
        <w:rPr>
          <w:i w:val="0"/>
          <w:sz w:val="20"/>
          <w:szCs w:val="20"/>
        </w:rPr>
        <w:lastRenderedPageBreak/>
        <w:t>Zadanie 7. Upowszechnianie wyników oceny prowadzonej w ramach Porejestrowego Doświadczalnictwa Odmianowego</w:t>
      </w:r>
      <w:bookmarkEnd w:id="57"/>
      <w:bookmarkEnd w:id="58"/>
    </w:p>
    <w:p w14:paraId="76EA5F0F"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Wykorzystywanie odmian roślin uprawnych wykazujących odporność lub tolerancję na organizmy szkodliwe jest jednym z najbardziej efektywnych czynników ograniczania stosowania środków ochrony roślin. </w:t>
      </w:r>
    </w:p>
    <w:p w14:paraId="184DB9BD" w14:textId="4664901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Zadanie realizowane jest przez Centralny Ośrodek Badania Odmian Roślin Uprawnych, z wykorzystaniem oceny odporności odmian roślin uprawnych na różnego rodzaju agrofagi, prowadzonej w doświadczeniach polowych w ramach Porejestrowego Doświadczalnictwa Odmianowego (PDO).  Na podstawie uzyskanych wyników najważniejszych parametrów oceny wartości gospodarczej badanych odmian, w tym ich zdrowotności, tworzone są „Listy odmian zalecanych do uprawy na obszarze województw” (LOZ). LOZ stanowią jeden z elementów systemów wspomagania w</w:t>
      </w:r>
      <w:r w:rsidR="00A45A40">
        <w:rPr>
          <w:rFonts w:ascii="Arial" w:hAnsi="Arial" w:cs="Arial"/>
        </w:rPr>
        <w:t> </w:t>
      </w:r>
      <w:r>
        <w:rPr>
          <w:rFonts w:ascii="Arial" w:hAnsi="Arial" w:cs="Arial"/>
        </w:rPr>
        <w:t xml:space="preserve">podejmowaniu decyzji w ochronie roślin udostępnianych m.in. na Platformie Sygnalizacji Agrofagów w ramach doradztwa rolniczego.  </w:t>
      </w:r>
    </w:p>
    <w:p w14:paraId="78DB41BA"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Centralny Ośrodek Badania Odmian Roślin Uprawnych w 2023 r. w ramach PDO prowadził stale lub okresowo badania wartości gospodarczej odmian 26 ważniejszych gospodarczo gatunków roślin rolniczych jednorocznych oraz 7 gatunków roślin wiechlinowatych, a także 2 gatunków roślin warzywnych i winorośli. Jednym z kluczowych elementów tych badań była ocena podatności poszczególnych odmian na porażenie przez choroby uzyskana w warunkach naturalnej polowej infekcji. </w:t>
      </w:r>
    </w:p>
    <w:p w14:paraId="0E757402" w14:textId="0A9567C1"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Łącznie w 2023 r</w:t>
      </w:r>
      <w:r w:rsidR="005C5678">
        <w:rPr>
          <w:rFonts w:ascii="Arial" w:hAnsi="Arial" w:cs="Arial"/>
        </w:rPr>
        <w:t>.</w:t>
      </w:r>
      <w:r>
        <w:rPr>
          <w:rFonts w:ascii="Arial" w:hAnsi="Arial" w:cs="Arial"/>
        </w:rPr>
        <w:t xml:space="preserve"> założono lub kontynuowano </w:t>
      </w:r>
      <w:r>
        <w:rPr>
          <w:rFonts w:ascii="Arial" w:hAnsi="Arial" w:cs="Arial"/>
          <w:b/>
          <w:bCs/>
        </w:rPr>
        <w:t>1 174</w:t>
      </w:r>
      <w:r>
        <w:rPr>
          <w:rFonts w:ascii="Arial" w:hAnsi="Arial" w:cs="Arial"/>
        </w:rPr>
        <w:t xml:space="preserve"> </w:t>
      </w:r>
      <w:r>
        <w:rPr>
          <w:rFonts w:ascii="Arial" w:hAnsi="Arial" w:cs="Arial"/>
          <w:b/>
        </w:rPr>
        <w:t>doświadczenia polowe</w:t>
      </w:r>
      <w:r>
        <w:rPr>
          <w:rFonts w:ascii="Arial" w:hAnsi="Arial" w:cs="Arial"/>
        </w:rPr>
        <w:t xml:space="preserve">, w których sprawdzano wartość gospodarczą </w:t>
      </w:r>
      <w:r>
        <w:rPr>
          <w:rFonts w:ascii="Arial" w:hAnsi="Arial" w:cs="Arial"/>
          <w:b/>
        </w:rPr>
        <w:t>762 odmian</w:t>
      </w:r>
      <w:r>
        <w:rPr>
          <w:rFonts w:ascii="Arial" w:hAnsi="Arial" w:cs="Arial"/>
        </w:rPr>
        <w:t xml:space="preserve">. W zdecydowanej większości były to odmiany roślin rolniczych wpisane do Krajowego rejestru odmian. W kilkunastu gatunkach badania polowe poszerzone zostały o analizy chemiczne i technologiczne materiału ze zbioru doświadczeń. </w:t>
      </w:r>
    </w:p>
    <w:p w14:paraId="4AF038E2"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Wyniki powyższych badań i doświadczeń PDO oraz LOZ publikowane były zarówno na poziomie centralnym jak i regionalnym (w poszczególnych województwach). Materiały te dostępne są zarówno w wersji papierowej (po kilkaset sztuk), jak i w formie elektronicznej. </w:t>
      </w:r>
    </w:p>
    <w:p w14:paraId="7CC30CDD"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Centralne publikacje wyników doświadczeń w wersji papierowej ukazują się w ramach trzech serii wydawniczych: </w:t>
      </w:r>
    </w:p>
    <w:p w14:paraId="61D18786" w14:textId="77777777" w:rsidR="00DD5D95" w:rsidRDefault="00DD5D95" w:rsidP="00E74A80">
      <w:pPr>
        <w:pStyle w:val="NormalnyWeb"/>
        <w:numPr>
          <w:ilvl w:val="0"/>
          <w:numId w:val="26"/>
        </w:numPr>
        <w:tabs>
          <w:tab w:val="left" w:pos="284"/>
        </w:tabs>
        <w:spacing w:beforeAutospacing="0" w:after="120" w:afterAutospacing="0" w:line="360" w:lineRule="auto"/>
        <w:ind w:left="567" w:hanging="283"/>
        <w:jc w:val="both"/>
        <w:rPr>
          <w:rFonts w:ascii="Arial" w:hAnsi="Arial" w:cs="Arial"/>
        </w:rPr>
      </w:pPr>
      <w:r>
        <w:rPr>
          <w:rFonts w:ascii="Arial" w:hAnsi="Arial" w:cs="Arial"/>
          <w:b/>
        </w:rPr>
        <w:t>Wstępne wyniki plonowania odmian w doświadczeniach porejestrowych</w:t>
      </w:r>
      <w:r>
        <w:rPr>
          <w:rFonts w:ascii="Arial" w:hAnsi="Arial" w:cs="Arial"/>
        </w:rPr>
        <w:t xml:space="preserve"> - wydawane w krótkim terminie po zbiorach poszczególnych grup roślin, zawierają najczęściej jedynie wyniki plonowania odmian. </w:t>
      </w:r>
    </w:p>
    <w:p w14:paraId="3E4908A8" w14:textId="77777777" w:rsidR="00DD5D95" w:rsidRDefault="00DD5D95" w:rsidP="00E74A80">
      <w:pPr>
        <w:pStyle w:val="NormalnyWeb"/>
        <w:numPr>
          <w:ilvl w:val="0"/>
          <w:numId w:val="26"/>
        </w:numPr>
        <w:tabs>
          <w:tab w:val="left" w:pos="284"/>
        </w:tabs>
        <w:spacing w:beforeAutospacing="0" w:after="120" w:afterAutospacing="0" w:line="360" w:lineRule="auto"/>
        <w:ind w:left="567" w:hanging="283"/>
        <w:jc w:val="both"/>
        <w:rPr>
          <w:rFonts w:ascii="Arial" w:hAnsi="Arial" w:cs="Arial"/>
        </w:rPr>
      </w:pPr>
      <w:r>
        <w:rPr>
          <w:rFonts w:ascii="Arial" w:hAnsi="Arial" w:cs="Arial"/>
          <w:b/>
        </w:rPr>
        <w:t>Wyniki porejestrowych doświadczeń odmianowych</w:t>
      </w:r>
      <w:r>
        <w:rPr>
          <w:rFonts w:ascii="Arial" w:hAnsi="Arial" w:cs="Arial"/>
        </w:rPr>
        <w:t xml:space="preserve"> - wydawane w późniejszym terminie, zawierają wyniki z dwóch ostatnich sezonów wegetacyjnych wszystkich ważniejszych cech wartości gospodarczej odmian, w tym porażenie odmian przez ważniejsze agrofagi.</w:t>
      </w:r>
    </w:p>
    <w:p w14:paraId="12DDDADE" w14:textId="628E3C89" w:rsidR="00DD5D95" w:rsidRDefault="00DD5D95" w:rsidP="00E74A80">
      <w:pPr>
        <w:pStyle w:val="NormalnyWeb"/>
        <w:numPr>
          <w:ilvl w:val="0"/>
          <w:numId w:val="26"/>
        </w:numPr>
        <w:tabs>
          <w:tab w:val="left" w:pos="284"/>
        </w:tabs>
        <w:spacing w:beforeAutospacing="0" w:after="120" w:afterAutospacing="0" w:line="360" w:lineRule="auto"/>
        <w:ind w:left="567" w:hanging="283"/>
        <w:jc w:val="both"/>
        <w:rPr>
          <w:rFonts w:ascii="Arial" w:hAnsi="Arial" w:cs="Arial"/>
        </w:rPr>
      </w:pPr>
      <w:r>
        <w:rPr>
          <w:rFonts w:ascii="Arial" w:hAnsi="Arial" w:cs="Arial"/>
          <w:b/>
        </w:rPr>
        <w:t>Listy opisowe odmian</w:t>
      </w:r>
      <w:r>
        <w:rPr>
          <w:rFonts w:ascii="Arial" w:hAnsi="Arial" w:cs="Arial"/>
        </w:rPr>
        <w:t xml:space="preserve"> – zawierające </w:t>
      </w:r>
      <w:r>
        <w:rPr>
          <w:rFonts w:ascii="Arial" w:hAnsi="Arial" w:cs="Arial"/>
          <w:color w:val="000000"/>
          <w:shd w:val="clear" w:color="auto" w:fill="FFFFFF"/>
        </w:rPr>
        <w:t>ogólne informacje o znaczeniu gospodarczym danych gatunków roślin lub grup roślin uprawnych oraz bardziej szczegółowe dane o odmianach wpisanych do krajowego rejestru, w tym charakterystyki liczbowe cech gospodarczych i</w:t>
      </w:r>
      <w:r w:rsidR="002862F9">
        <w:rPr>
          <w:rFonts w:ascii="Arial" w:hAnsi="Arial" w:cs="Arial"/>
          <w:color w:val="000000"/>
          <w:shd w:val="clear" w:color="auto" w:fill="FFFFFF"/>
        </w:rPr>
        <w:t> </w:t>
      </w:r>
      <w:r>
        <w:rPr>
          <w:rFonts w:ascii="Arial" w:hAnsi="Arial" w:cs="Arial"/>
          <w:color w:val="000000"/>
          <w:shd w:val="clear" w:color="auto" w:fill="FFFFFF"/>
        </w:rPr>
        <w:t>użytkowych, a dla odmian nowo zarejestrowanych - dodatkowo ich opis słowny.</w:t>
      </w:r>
    </w:p>
    <w:p w14:paraId="64223536" w14:textId="4650B0CF"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lastRenderedPageBreak/>
        <w:t>Ponadto w 2023 r., podobnie jak w latach wcześniejszych, opracowano i opublikowano dla każdego województwa w nakładzie po 2</w:t>
      </w:r>
      <w:r w:rsidR="005C5678">
        <w:rPr>
          <w:rFonts w:ascii="Arial" w:hAnsi="Arial" w:cs="Arial"/>
        </w:rPr>
        <w:t> </w:t>
      </w:r>
      <w:r>
        <w:rPr>
          <w:rFonts w:ascii="Arial" w:hAnsi="Arial" w:cs="Arial"/>
        </w:rPr>
        <w:t>000 szt. jednokartkowe ulotki zawierające „Listę odmian zalecanych do uprawy na obszarze województwa”. Ich dystrybucją wśród rolników zajęły się głównie Stacje Doświadczalne Oceny Odmian. W ramach podprogramu „Inicjatywa białkowa COBORU” i promocji uprawy w naszym kraju roślin bobowatych grubonasiennych i soi, wydano także trzy ulotki w nakładzie po 3 000 szt., a były to: „Inicjatywa Białkowa COBORU”, „Listy odmian zalecanych do uprawy na obszarze województw. Rośliny bobowate grubonasienne i soja. 2023”, „Wyniki doświadczeń odmianowych. Soja i rośliny bobowate grubonasienne 2020-2022”. Ponadto opracowano i wydano w</w:t>
      </w:r>
      <w:r w:rsidR="005C5678">
        <w:rPr>
          <w:rFonts w:ascii="Arial" w:hAnsi="Arial" w:cs="Arial"/>
        </w:rPr>
        <w:t> </w:t>
      </w:r>
      <w:r>
        <w:rPr>
          <w:rFonts w:ascii="Arial" w:hAnsi="Arial" w:cs="Arial"/>
        </w:rPr>
        <w:t>takim samym nakładzie ulotki: „Ekologiczne Doświadczalnictwo Odmianowe”, „Zaufaj odmianom z</w:t>
      </w:r>
      <w:r w:rsidR="0049161C">
        <w:rPr>
          <w:rFonts w:ascii="Arial" w:hAnsi="Arial" w:cs="Arial"/>
        </w:rPr>
        <w:t> </w:t>
      </w:r>
      <w:r>
        <w:rPr>
          <w:rFonts w:ascii="Arial" w:hAnsi="Arial" w:cs="Arial"/>
        </w:rPr>
        <w:t>LOZ” i „Warto siać kwalifikowany materiał siewny”. Podobnie jak w latach poprzednich, opracowano i opublikowano też broszurę „Listy odmian zalecanych do uprawy na obszarze województw. 2023”, zawierającą kompilację wykazów odmian rekomendowanych na 2023</w:t>
      </w:r>
      <w:r w:rsidR="005C5678">
        <w:rPr>
          <w:rFonts w:ascii="Arial" w:hAnsi="Arial" w:cs="Arial"/>
        </w:rPr>
        <w:t> </w:t>
      </w:r>
      <w:r>
        <w:rPr>
          <w:rFonts w:ascii="Arial" w:hAnsi="Arial" w:cs="Arial"/>
        </w:rPr>
        <w:t xml:space="preserve">r. w poszczególnych województwach. W 2023 r. z okazji przypadającego jubileuszu 25-lecia realizacji programu PDO wydano również „Wydawnictwo jubileuszowe. XXV-lat funkcjonowania Porejestrowego doświadczalnictwa odmianowego (1998-2023)”. </w:t>
      </w:r>
    </w:p>
    <w:p w14:paraId="0F604C29"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Ponadto we wszystkich województwach, corocznie, w pierwszym kwartale opracowywane i publikowane są biuletyny zawierające wyniki doświadczeń przeprowadzonych w poprzednim sezonie doświadczalnym, natomiast jesienią, po zbiorze doświadczeń, w części województw wydawane są broszury lub ulotki zawierające aktualne wyniki doświadczeń. Powyższe publikacje wydane były najczęściej samodzielnie przez Stacje Doświadczalne Oceny Odmian lub we współpracy z innymi jednostkami, głównie partnerami ustawowymi w zakresie PDO. Te ostatnie publikacje ukazują się corocznie najczęściej w nakładzie 500-1000 egzemplarzy. </w:t>
      </w:r>
    </w:p>
    <w:p w14:paraId="7C5677D0"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Pracownicy Centrali COBORU upowszechniali też wyniki doświadczeń na łamach ogólnokrajowej prasy rolniczej, m.in. w czasopismach: </w:t>
      </w:r>
      <w:r>
        <w:rPr>
          <w:rFonts w:ascii="Arial" w:hAnsi="Arial" w:cs="Arial"/>
          <w:color w:val="000000" w:themeColor="text1"/>
        </w:rPr>
        <w:t xml:space="preserve">„AgroProfil”, „Nowoczesna Uprawa”, „Przedsiębiorca Rolny”, „Top Agrar Polska”, „Wieści Rolnicze”, „Zagroda” oraz </w:t>
      </w:r>
      <w:r>
        <w:rPr>
          <w:rFonts w:ascii="Arial" w:hAnsi="Arial" w:cs="Arial"/>
        </w:rPr>
        <w:t>w wydawnictwach naukowych. W 2023 r. ukazało się 41 tego typu artykułów i opracowań. Natomiast pracownicy Stacji Doświadczalnych Oceny Odmian publikowali wyniki badań najczęściej lokalnie (wojewódzko), w czasopismach wydawanych przez izby rolnicze i ośrodki doradztwa rolniczego.</w:t>
      </w:r>
    </w:p>
    <w:p w14:paraId="1C3F6C3D"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 stronie internetowej COBORU </w:t>
      </w:r>
      <w:hyperlink r:id="rId25" w:history="1">
        <w:r>
          <w:rPr>
            <w:rStyle w:val="Hipercze"/>
            <w:rFonts w:ascii="Arial" w:eastAsia="Microsoft YaHei" w:hAnsi="Arial" w:cs="Arial"/>
          </w:rPr>
          <w:t>www.coboru.gov.pl</w:t>
        </w:r>
      </w:hyperlink>
      <w:r>
        <w:rPr>
          <w:rFonts w:ascii="Arial" w:hAnsi="Arial" w:cs="Arial"/>
        </w:rPr>
        <w:t xml:space="preserve"> dostępna jest aplikacja „Porejestrowe Doświadczalnictwo Odmianowe i Rekomendacja odmian”. </w:t>
      </w:r>
    </w:p>
    <w:p w14:paraId="4828156F" w14:textId="24A44800" w:rsidR="00DD5D95" w:rsidRDefault="00DD5D95" w:rsidP="00DD5D95">
      <w:pPr>
        <w:pStyle w:val="NormalnyWeb"/>
        <w:tabs>
          <w:tab w:val="left" w:pos="284"/>
        </w:tabs>
        <w:spacing w:after="120" w:afterAutospacing="0" w:line="360" w:lineRule="auto"/>
        <w:ind w:firstLine="284"/>
        <w:jc w:val="both"/>
        <w:rPr>
          <w:rFonts w:ascii="Arial" w:hAnsi="Arial" w:cs="Arial"/>
        </w:rPr>
      </w:pPr>
      <w:r>
        <w:rPr>
          <w:noProof/>
        </w:rPr>
        <w:drawing>
          <wp:inline distT="0" distB="0" distL="0" distR="0" wp14:anchorId="59784B37" wp14:editId="6D972962">
            <wp:extent cx="5760720" cy="991235"/>
            <wp:effectExtent l="0" t="0" r="0" b="0"/>
            <wp:docPr id="734586298" name="Obraz 2"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86298" name="Obraz 2" descr="Obraz zawierający tekst, zrzut ekranu, oprogramowanie, Strona internetowa&#10;&#10;Opis wygenerowany automatycznie"/>
                    <pic:cNvPicPr>
                      <a:picLocks noChangeAspect="1" noChangeArrowheads="1"/>
                    </pic:cNvPicPr>
                  </pic:nvPicPr>
                  <pic:blipFill>
                    <a:blip r:embed="rId26" cstate="print">
                      <a:extLst>
                        <a:ext uri="{28A0092B-C50C-407E-A947-70E740481C1C}">
                          <a14:useLocalDpi xmlns:a14="http://schemas.microsoft.com/office/drawing/2010/main" val="0"/>
                        </a:ext>
                      </a:extLst>
                    </a:blip>
                    <a:srcRect t="38567" b="31099"/>
                    <a:stretch>
                      <a:fillRect/>
                    </a:stretch>
                  </pic:blipFill>
                  <pic:spPr bwMode="auto">
                    <a:xfrm>
                      <a:off x="0" y="0"/>
                      <a:ext cx="5760720" cy="991235"/>
                    </a:xfrm>
                    <a:prstGeom prst="rect">
                      <a:avLst/>
                    </a:prstGeom>
                    <a:noFill/>
                    <a:ln>
                      <a:noFill/>
                    </a:ln>
                  </pic:spPr>
                </pic:pic>
              </a:graphicData>
            </a:graphic>
          </wp:inline>
        </w:drawing>
      </w:r>
    </w:p>
    <w:p w14:paraId="44CB22C8" w14:textId="77777777" w:rsidR="00DD5D95" w:rsidRDefault="00DD5D95" w:rsidP="00DD5D95">
      <w:pPr>
        <w:pStyle w:val="NormalnyWeb"/>
        <w:tabs>
          <w:tab w:val="left" w:pos="284"/>
        </w:tabs>
        <w:spacing w:after="120" w:afterAutospacing="0" w:line="360" w:lineRule="auto"/>
        <w:ind w:firstLine="284"/>
        <w:jc w:val="both"/>
        <w:rPr>
          <w:rFonts w:ascii="Arial" w:hAnsi="Arial" w:cs="Arial"/>
        </w:rPr>
      </w:pPr>
      <w:r>
        <w:rPr>
          <w:rFonts w:ascii="Arial" w:hAnsi="Arial" w:cs="Arial"/>
        </w:rPr>
        <w:t>Aplikacja ta została zaprojektowana dla rolników, jako system wspomagania decyzji przy doborze odmian do uprawy. Aplikacja ta umożliwia dostęp do:</w:t>
      </w:r>
    </w:p>
    <w:p w14:paraId="40023C3B" w14:textId="77777777" w:rsidR="00DD5D95" w:rsidRDefault="00DD5D95" w:rsidP="00E74A80">
      <w:pPr>
        <w:pStyle w:val="NormalnyWeb"/>
        <w:numPr>
          <w:ilvl w:val="0"/>
          <w:numId w:val="27"/>
        </w:numPr>
        <w:tabs>
          <w:tab w:val="left" w:pos="426"/>
        </w:tabs>
        <w:spacing w:beforeAutospacing="0" w:after="120" w:afterAutospacing="0" w:line="360" w:lineRule="auto"/>
        <w:ind w:left="426" w:hanging="284"/>
        <w:jc w:val="both"/>
        <w:rPr>
          <w:rFonts w:ascii="Arial" w:hAnsi="Arial" w:cs="Arial"/>
        </w:rPr>
      </w:pPr>
      <w:r>
        <w:rPr>
          <w:rFonts w:ascii="Arial" w:hAnsi="Arial" w:cs="Arial"/>
        </w:rPr>
        <w:t xml:space="preserve">informacji dotyczących funkcjonowania systemu porejestrowego doświadczalnictwa odmianowego </w:t>
      </w:r>
      <w:r>
        <w:rPr>
          <w:rFonts w:ascii="Arial" w:hAnsi="Arial" w:cs="Arial"/>
        </w:rPr>
        <w:lastRenderedPageBreak/>
        <w:t>w Polsce,</w:t>
      </w:r>
    </w:p>
    <w:p w14:paraId="30CD7AA7" w14:textId="77777777" w:rsidR="00DD5D95" w:rsidRDefault="00DD5D95" w:rsidP="00E74A80">
      <w:pPr>
        <w:pStyle w:val="NormalnyWeb"/>
        <w:numPr>
          <w:ilvl w:val="0"/>
          <w:numId w:val="27"/>
        </w:numPr>
        <w:tabs>
          <w:tab w:val="left" w:pos="426"/>
        </w:tabs>
        <w:spacing w:beforeAutospacing="0" w:after="120" w:afterAutospacing="0" w:line="360" w:lineRule="auto"/>
        <w:ind w:left="426" w:hanging="284"/>
        <w:jc w:val="both"/>
        <w:rPr>
          <w:rFonts w:ascii="Arial" w:hAnsi="Arial" w:cs="Arial"/>
        </w:rPr>
      </w:pPr>
      <w:r>
        <w:rPr>
          <w:rFonts w:ascii="Arial" w:hAnsi="Arial" w:cs="Arial"/>
        </w:rPr>
        <w:t>publikacji wyników doświadczeń PDO (wszystkie publikacje centralne i regionalne),</w:t>
      </w:r>
    </w:p>
    <w:p w14:paraId="55E71CA0" w14:textId="5546D3EF" w:rsidR="00DD5D95" w:rsidRDefault="00DD5D95" w:rsidP="00E74A80">
      <w:pPr>
        <w:pStyle w:val="NormalnyWeb"/>
        <w:numPr>
          <w:ilvl w:val="0"/>
          <w:numId w:val="27"/>
        </w:numPr>
        <w:tabs>
          <w:tab w:val="left" w:pos="426"/>
        </w:tabs>
        <w:spacing w:beforeAutospacing="0" w:after="120" w:afterAutospacing="0" w:line="360" w:lineRule="auto"/>
        <w:ind w:left="426" w:hanging="284"/>
        <w:jc w:val="both"/>
        <w:rPr>
          <w:rFonts w:ascii="Arial" w:hAnsi="Arial" w:cs="Arial"/>
        </w:rPr>
      </w:pPr>
      <w:r>
        <w:rPr>
          <w:rFonts w:ascii="Arial" w:hAnsi="Arial" w:cs="Arial"/>
        </w:rPr>
        <w:t xml:space="preserve"> „List odmian zalecanych do uprawy na obszarze województwa” w poszczególnych gatunkach i</w:t>
      </w:r>
      <w:r w:rsidR="005C5678">
        <w:rPr>
          <w:rFonts w:ascii="Arial" w:hAnsi="Arial" w:cs="Arial"/>
        </w:rPr>
        <w:t> </w:t>
      </w:r>
      <w:r>
        <w:rPr>
          <w:rFonts w:ascii="Arial" w:hAnsi="Arial" w:cs="Arial"/>
        </w:rPr>
        <w:t>w</w:t>
      </w:r>
      <w:r w:rsidR="005C5678">
        <w:rPr>
          <w:rFonts w:ascii="Arial" w:hAnsi="Arial" w:cs="Arial"/>
        </w:rPr>
        <w:t> </w:t>
      </w:r>
      <w:r>
        <w:rPr>
          <w:rFonts w:ascii="Arial" w:hAnsi="Arial" w:cs="Arial"/>
        </w:rPr>
        <w:t>każdym z województw,</w:t>
      </w:r>
    </w:p>
    <w:p w14:paraId="1E421CAA" w14:textId="1B67287D" w:rsidR="00DD5D95" w:rsidRDefault="00DD5D95" w:rsidP="00E74A80">
      <w:pPr>
        <w:pStyle w:val="NormalnyWeb"/>
        <w:numPr>
          <w:ilvl w:val="0"/>
          <w:numId w:val="27"/>
        </w:numPr>
        <w:tabs>
          <w:tab w:val="left" w:pos="426"/>
        </w:tabs>
        <w:spacing w:beforeAutospacing="0" w:after="120" w:afterAutospacing="0" w:line="360" w:lineRule="auto"/>
        <w:ind w:left="426" w:hanging="284"/>
        <w:jc w:val="both"/>
        <w:rPr>
          <w:rFonts w:ascii="Arial" w:hAnsi="Arial" w:cs="Arial"/>
        </w:rPr>
      </w:pPr>
      <w:r>
        <w:rPr>
          <w:rFonts w:ascii="Arial" w:hAnsi="Arial" w:cs="Arial"/>
        </w:rPr>
        <w:t>aplikacji „Charakterystyka odmian” – która umożliwia wybranie informacji o konkretnych odmianach, w tym ich charakterystyki wartości gospodarczej, sporządzonej w oparciu o</w:t>
      </w:r>
      <w:r w:rsidR="00A76C8C">
        <w:rPr>
          <w:rFonts w:ascii="Arial" w:hAnsi="Arial" w:cs="Arial"/>
        </w:rPr>
        <w:t> </w:t>
      </w:r>
      <w:r>
        <w:rPr>
          <w:rFonts w:ascii="Arial" w:hAnsi="Arial" w:cs="Arial"/>
        </w:rPr>
        <w:t>ogólnokrajowe wyniki badań, roku ich wpisania do Krajowego rejestru, nazwy hodowcy, pełnomocnika i zachowującego odmianę. Istnieje również możliwość  porównania odmian danego gatunku pod względem wybranych cech”.</w:t>
      </w:r>
    </w:p>
    <w:p w14:paraId="695266DE" w14:textId="4BBADE16" w:rsidR="00DD5D95" w:rsidRDefault="008A770B" w:rsidP="005C5678">
      <w:pPr>
        <w:pStyle w:val="NormalnyWeb"/>
        <w:tabs>
          <w:tab w:val="left" w:pos="284"/>
        </w:tabs>
        <w:spacing w:beforeAutospacing="0" w:after="120" w:afterAutospacing="0" w:line="360" w:lineRule="auto"/>
        <w:ind w:firstLine="284"/>
        <w:jc w:val="both"/>
        <w:rPr>
          <w:rFonts w:ascii="Arial" w:hAnsi="Arial" w:cs="Arial"/>
        </w:rPr>
      </w:pPr>
      <w:r>
        <w:rPr>
          <w:noProof/>
        </w:rPr>
        <w:drawing>
          <wp:anchor distT="0" distB="0" distL="114300" distR="114300" simplePos="0" relativeHeight="251657728" behindDoc="0" locked="0" layoutInCell="1" allowOverlap="1" wp14:anchorId="60C09A83" wp14:editId="765C50C2">
            <wp:simplePos x="0" y="0"/>
            <wp:positionH relativeFrom="column">
              <wp:posOffset>180975</wp:posOffset>
            </wp:positionH>
            <wp:positionV relativeFrom="paragraph">
              <wp:posOffset>1077595</wp:posOffset>
            </wp:positionV>
            <wp:extent cx="4419600" cy="683260"/>
            <wp:effectExtent l="0" t="0" r="0" b="2540"/>
            <wp:wrapTopAndBottom/>
            <wp:docPr id="490631594" name="Obraz 4" descr="Obraz zawierający tekst, oprogramowanie, Naturalne jedzenie,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31594" name="Obraz 4" descr="Obraz zawierający tekst, oprogramowanie, Naturalne jedzenie, zrzut ekranu&#10;&#10;Opis wygenerowany automatycznie"/>
                    <pic:cNvPicPr>
                      <a:picLocks noChangeAspect="1" noChangeArrowheads="1"/>
                    </pic:cNvPicPr>
                  </pic:nvPicPr>
                  <pic:blipFill>
                    <a:blip r:embed="rId27">
                      <a:extLst>
                        <a:ext uri="{28A0092B-C50C-407E-A947-70E740481C1C}">
                          <a14:useLocalDpi xmlns:a14="http://schemas.microsoft.com/office/drawing/2010/main" val="0"/>
                        </a:ext>
                      </a:extLst>
                    </a:blip>
                    <a:srcRect t="36214" b="36273"/>
                    <a:stretch>
                      <a:fillRect/>
                    </a:stretch>
                  </pic:blipFill>
                  <pic:spPr bwMode="auto">
                    <a:xfrm>
                      <a:off x="0" y="0"/>
                      <a:ext cx="4419600" cy="683260"/>
                    </a:xfrm>
                    <a:prstGeom prst="rect">
                      <a:avLst/>
                    </a:prstGeom>
                    <a:noFill/>
                  </pic:spPr>
                </pic:pic>
              </a:graphicData>
            </a:graphic>
            <wp14:sizeRelH relativeFrom="margin">
              <wp14:pctWidth>0</wp14:pctWidth>
            </wp14:sizeRelH>
            <wp14:sizeRelV relativeFrom="margin">
              <wp14:pctHeight>0</wp14:pctHeight>
            </wp14:sizeRelV>
          </wp:anchor>
        </w:drawing>
      </w:r>
      <w:r w:rsidR="00DD5D95">
        <w:rPr>
          <w:rFonts w:ascii="Arial" w:hAnsi="Arial" w:cs="Arial"/>
        </w:rPr>
        <w:t xml:space="preserve">Dostęp do aplikacji możliwy jest również ze stron internetowych izb rolniczych i ośrodków doradztwa rolniczego oraz niektórych urzędów marszałkowskich, a od 2016 r. także z Platformy Sygnalizacji Agrofagów. </w:t>
      </w:r>
    </w:p>
    <w:p w14:paraId="19414CEF" w14:textId="04DDCAD4" w:rsidR="00DD5D95" w:rsidRDefault="00DD5D95" w:rsidP="005C5678">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Ponadto na podstronach ”Inicjatywa białkowa COBORU”:</w:t>
      </w:r>
    </w:p>
    <w:p w14:paraId="79313115" w14:textId="2C0FC8A9" w:rsidR="00DD5D95" w:rsidRDefault="00DD5D95" w:rsidP="00DD5D95">
      <w:pPr>
        <w:pStyle w:val="NormalnyWeb"/>
        <w:tabs>
          <w:tab w:val="left" w:pos="284"/>
        </w:tabs>
        <w:spacing w:beforeAutospacing="0" w:after="120" w:afterAutospacing="0" w:line="360" w:lineRule="auto"/>
        <w:ind w:left="284"/>
        <w:rPr>
          <w:rFonts w:ascii="Arial" w:hAnsi="Arial" w:cs="Arial"/>
        </w:rPr>
      </w:pPr>
    </w:p>
    <w:p w14:paraId="6F34DEAC" w14:textId="05F3B434" w:rsidR="00DD5D95" w:rsidRDefault="00DD5D95" w:rsidP="00DD5D95">
      <w:pPr>
        <w:pStyle w:val="NormalnyWeb"/>
        <w:tabs>
          <w:tab w:val="left" w:pos="284"/>
        </w:tabs>
        <w:spacing w:beforeAutospacing="0" w:after="120" w:afterAutospacing="0" w:line="360" w:lineRule="auto"/>
        <w:ind w:left="284"/>
        <w:rPr>
          <w:rFonts w:ascii="Arial" w:hAnsi="Arial" w:cs="Arial"/>
        </w:rPr>
      </w:pPr>
      <w:r>
        <w:rPr>
          <w:noProof/>
        </w:rPr>
        <w:drawing>
          <wp:anchor distT="0" distB="0" distL="114300" distR="114300" simplePos="0" relativeHeight="251660800" behindDoc="0" locked="0" layoutInCell="1" allowOverlap="1" wp14:anchorId="57F47D50" wp14:editId="373E8A0F">
            <wp:simplePos x="0" y="0"/>
            <wp:positionH relativeFrom="column">
              <wp:posOffset>180975</wp:posOffset>
            </wp:positionH>
            <wp:positionV relativeFrom="paragraph">
              <wp:posOffset>243840</wp:posOffset>
            </wp:positionV>
            <wp:extent cx="4433570" cy="755015"/>
            <wp:effectExtent l="0" t="0" r="5080" b="6985"/>
            <wp:wrapTopAndBottom/>
            <wp:docPr id="107759069" name="Obraz 3" descr="Obraz zawierający tekst, zrzut ekranu, oprogramowanie, kwia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9069" name="Obraz 3" descr="Obraz zawierający tekst, zrzut ekranu, oprogramowanie, kwiat&#10;&#10;Opis wygenerowany automatycznie"/>
                    <pic:cNvPicPr>
                      <a:picLocks noChangeAspect="1" noChangeArrowheads="1"/>
                    </pic:cNvPicPr>
                  </pic:nvPicPr>
                  <pic:blipFill>
                    <a:blip r:embed="rId28" cstate="print">
                      <a:extLst>
                        <a:ext uri="{28A0092B-C50C-407E-A947-70E740481C1C}">
                          <a14:useLocalDpi xmlns:a14="http://schemas.microsoft.com/office/drawing/2010/main" val="0"/>
                        </a:ext>
                      </a:extLst>
                    </a:blip>
                    <a:srcRect t="36449" b="34862"/>
                    <a:stretch>
                      <a:fillRect/>
                    </a:stretch>
                  </pic:blipFill>
                  <pic:spPr bwMode="auto">
                    <a:xfrm>
                      <a:off x="0" y="0"/>
                      <a:ext cx="4433570" cy="75501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rPr>
        <w:t>oraz „Działania na rzecz rolnictwa ekologicznego”:</w:t>
      </w:r>
    </w:p>
    <w:p w14:paraId="5A4F69FD" w14:textId="77777777" w:rsidR="00DD5D95" w:rsidRDefault="00DD5D95" w:rsidP="00DD5D95">
      <w:pPr>
        <w:pStyle w:val="NormalnyWeb"/>
        <w:tabs>
          <w:tab w:val="left" w:pos="284"/>
        </w:tabs>
        <w:spacing w:line="360" w:lineRule="auto"/>
        <w:ind w:firstLine="284"/>
        <w:rPr>
          <w:rFonts w:ascii="Arial" w:hAnsi="Arial" w:cs="Arial"/>
          <w:sz w:val="8"/>
          <w:szCs w:val="8"/>
        </w:rPr>
      </w:pPr>
    </w:p>
    <w:p w14:paraId="33A1F257"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można znaleźć szersze informacje i wyniki doświadczeń prowadzonych  w ramach programu badawczego w zakresie roślin białkowych (bobowate grubonasienne i soja) oraz prowadzonych na rzecz rolnictwa ekologicznego. </w:t>
      </w:r>
    </w:p>
    <w:p w14:paraId="66DACEDE" w14:textId="77777777" w:rsidR="00DD5D95" w:rsidRDefault="00DD5D95" w:rsidP="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Działalność związana z realizacją systemu PDO, wyniki doświadczeń oraz integrowana ochrona roślin była szeroko prezentowana na wielu imprezach organizowanych przez Centralę COBORU i Stacje Doświadczalne Oceny Odmian. Przedstawiciele Centrali COBORU jak i Stacji Doświadczalnych Oceny Odmian na różnego rodzaju szkoleniach wygłosili w 2023 r. blisko 150 prelekcji lub wykładów. Uczestnikami szkoleń byli hodowcy odmian, przedstawiciele służb doradczych w rolnictwie, pracownicy służb nasiennych i firm hodowlano-nasiennych, rolnicy, przetwórcy, uczniowie i studenci szkół rolniczych. Na terenie stacji doświadczalnych oceny odmian zorganizowano również ponad 150 różnego rodzaju dni pola, szkoleń, warsztatów, spotkań z rolnikami i innymi użytkownikami odmian itp. imprez, w których wzięło udział ponad 14 tysięcy osób. </w:t>
      </w:r>
    </w:p>
    <w:p w14:paraId="3B3D6272" w14:textId="5B6CD4FF" w:rsidR="00425061" w:rsidRDefault="00DD5D9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Działalność stacji związana z rejestracją odmian, ochroną prawną odmian oraz programem porejestrowego doświadczalnictwa odmianowego i rekomendacji odmian do praktyki rolniczej, w tym </w:t>
      </w:r>
      <w:r>
        <w:rPr>
          <w:rFonts w:ascii="Arial" w:hAnsi="Arial" w:cs="Arial"/>
        </w:rPr>
        <w:lastRenderedPageBreak/>
        <w:t xml:space="preserve">publikacje wyników oraz wystawy eksponatów pochodzących z doświadczeń były również prezentowane na blisko 50 różnego rodzaju imprezach organizowanych przez inne podmioty. Były to: targi, wystawy, dożynki, dni pola, dni otwarte itp. Do największych należy zaliczyć: </w:t>
      </w:r>
      <w:r>
        <w:rPr>
          <w:rFonts w:ascii="Arial" w:hAnsi="Arial" w:cs="Arial"/>
          <w:szCs w:val="24"/>
        </w:rPr>
        <w:t>Międzynarodowa Wystawa Rolnicza AGRO-SHOW (Bednary), XXXII Krajowa Wystawa Rolnicza towarzysząca Dożynkom Jasnogórskim, XXXV Barzkowickie Targi Rolnicze „AGRO POMERANIA”, XXIX Jesienne Targi Rolnicze. Wszystko dla Rolnictwa w Olsztynie, XXIX Regionalna Wystawa Zwierząt Hodowlanych i Dni z Doradztwem Rolniczym, XXXI Promocyjno-Handlowa Wystawa Rolnicza ROL-SZANSA, XXIII Mazowieckie Dni Rolnictwa (Poświętne) oraz</w:t>
      </w:r>
      <w:r>
        <w:rPr>
          <w:rFonts w:ascii="Arial" w:hAnsi="Arial" w:cs="Arial"/>
        </w:rPr>
        <w:t xml:space="preserve"> dożynki wojewódzkie w kilku województwach.</w:t>
      </w:r>
    </w:p>
    <w:p w14:paraId="6B6C4233" w14:textId="77777777" w:rsidR="008B5F95" w:rsidRDefault="00923F0D">
      <w:pPr>
        <w:pStyle w:val="Nagwek2"/>
        <w:jc w:val="both"/>
        <w:rPr>
          <w:i w:val="0"/>
          <w:sz w:val="20"/>
          <w:szCs w:val="20"/>
        </w:rPr>
      </w:pPr>
      <w:bookmarkStart w:id="59" w:name="_Toc341876105"/>
      <w:bookmarkStart w:id="60" w:name="_Toc193716408"/>
      <w:r>
        <w:rPr>
          <w:i w:val="0"/>
          <w:sz w:val="20"/>
          <w:szCs w:val="20"/>
        </w:rPr>
        <w:t>Zadanie 8. Upowszechnianie systemu integrowanej produkcji roślin</w:t>
      </w:r>
      <w:bookmarkEnd w:id="59"/>
      <w:bookmarkEnd w:id="60"/>
    </w:p>
    <w:p w14:paraId="6B20C976" w14:textId="6956F067" w:rsidR="00964814" w:rsidRPr="00964814" w:rsidRDefault="00923F0D" w:rsidP="006B31E7">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Integrowana produkcja roślin jest krajowym systemem jakości żywności, wykorzystującym w sposób zrównoważony postęp techniczny i biologiczny w uprawie, ochronie roślin i nawożeniu, której zasadniczym celem jest dbałość o zdrowie ludzi i o środowisko. Zgodnie z przepisami ustawy z dnia 8 marca 2013 r. o środkach ochrony roślin, nadzór nad gospodarstwami uczestniczącymi w systemie i wydawanie certyfikatów poświadczających jej stosowanie należą do podmiotów certyfikujących, upoważnianych przez wojewódzkich inspektorów ochrony roślin i nasiennictwa. </w:t>
      </w:r>
      <w:r w:rsidR="00964814" w:rsidRPr="00964814">
        <w:rPr>
          <w:rFonts w:ascii="Arial" w:hAnsi="Arial" w:cs="Arial"/>
        </w:rPr>
        <w:t xml:space="preserve">Wykaz upoważnionych, przez wojewódzkich inspektorów ochrony roślin i nasiennictwa, podmiotów certyfikujących zamieszczony jest na stronie Państwowej Inspekcji Ochrony Roślin i Nasiennictwa pod adresem: </w:t>
      </w:r>
      <w:hyperlink r:id="rId29">
        <w:r w:rsidR="00964814" w:rsidRPr="00964814">
          <w:rPr>
            <w:rFonts w:ascii="Arial" w:hAnsi="Arial" w:cs="Arial"/>
            <w:color w:val="0000FF" w:themeColor="hyperlink"/>
            <w:u w:val="single"/>
          </w:rPr>
          <w:t>http://piorin.gov.pl/integrowana-produkcja</w:t>
        </w:r>
      </w:hyperlink>
      <w:r w:rsidR="00964814" w:rsidRPr="00964814">
        <w:rPr>
          <w:rFonts w:ascii="Arial" w:hAnsi="Arial" w:cs="Arial"/>
        </w:rPr>
        <w:t xml:space="preserve"> </w:t>
      </w:r>
    </w:p>
    <w:p w14:paraId="63DDB4F7" w14:textId="5B277807" w:rsidR="00964814" w:rsidRPr="00964814" w:rsidRDefault="00964814" w:rsidP="00964814">
      <w:pPr>
        <w:tabs>
          <w:tab w:val="left" w:pos="284"/>
        </w:tabs>
        <w:spacing w:after="120" w:line="360" w:lineRule="auto"/>
        <w:ind w:firstLine="284"/>
        <w:jc w:val="both"/>
        <w:rPr>
          <w:rFonts w:ascii="Arial" w:hAnsi="Arial" w:cs="Arial"/>
        </w:rPr>
      </w:pPr>
      <w:r w:rsidRPr="00964814">
        <w:rPr>
          <w:rFonts w:ascii="Arial" w:hAnsi="Arial" w:cs="Arial"/>
        </w:rPr>
        <w:t xml:space="preserve">Uczestnictwo w systemie pozwala na uzyskanie wysokiej jakości płodów rolnych, które można wprowadzać do obrotu ze znakiem integrowanej produkcji roślin. </w:t>
      </w:r>
    </w:p>
    <w:p w14:paraId="4B7466BC" w14:textId="6E438820" w:rsidR="00964814" w:rsidRPr="00964814" w:rsidRDefault="00964814" w:rsidP="00964814">
      <w:pPr>
        <w:widowControl/>
        <w:tabs>
          <w:tab w:val="center" w:pos="4536"/>
          <w:tab w:val="right" w:pos="9072"/>
        </w:tabs>
        <w:spacing w:before="120" w:after="120" w:line="360" w:lineRule="auto"/>
        <w:ind w:firstLine="357"/>
        <w:jc w:val="center"/>
        <w:rPr>
          <w:rFonts w:ascii="Arial" w:eastAsiaTheme="minorHAnsi" w:hAnsi="Arial" w:cs="Arial"/>
          <w:sz w:val="22"/>
          <w:szCs w:val="22"/>
          <w:lang w:eastAsia="en-US"/>
        </w:rPr>
      </w:pPr>
      <w:r w:rsidRPr="00964814">
        <w:rPr>
          <w:rFonts w:asciiTheme="minorHAnsi" w:eastAsiaTheme="minorHAnsi" w:hAnsiTheme="minorHAnsi" w:cstheme="minorBidi"/>
          <w:noProof/>
          <w:sz w:val="22"/>
          <w:szCs w:val="22"/>
        </w:rPr>
        <w:drawing>
          <wp:inline distT="0" distB="0" distL="0" distR="0" wp14:anchorId="56DFFC46" wp14:editId="00CC9CCB">
            <wp:extent cx="2801341" cy="1078202"/>
            <wp:effectExtent l="0" t="0" r="0" b="8255"/>
            <wp:docPr id="13" name="Obraz3" descr="Now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3" descr="Nowy obraz"/>
                    <pic:cNvPicPr>
                      <a:picLocks noChangeAspect="1" noChangeArrowheads="1"/>
                    </pic:cNvPicPr>
                  </pic:nvPicPr>
                  <pic:blipFill>
                    <a:blip r:embed="rId30"/>
                    <a:stretch>
                      <a:fillRect/>
                    </a:stretch>
                  </pic:blipFill>
                  <pic:spPr bwMode="auto">
                    <a:xfrm>
                      <a:off x="0" y="0"/>
                      <a:ext cx="2991184" cy="1151270"/>
                    </a:xfrm>
                    <a:prstGeom prst="rect">
                      <a:avLst/>
                    </a:prstGeom>
                  </pic:spPr>
                </pic:pic>
              </a:graphicData>
            </a:graphic>
          </wp:inline>
        </w:drawing>
      </w:r>
    </w:p>
    <w:p w14:paraId="4B960F91" w14:textId="77777777" w:rsidR="00964814" w:rsidRPr="00964814" w:rsidRDefault="00964814" w:rsidP="00964814">
      <w:pPr>
        <w:tabs>
          <w:tab w:val="left" w:pos="284"/>
        </w:tabs>
        <w:spacing w:after="120" w:line="360" w:lineRule="auto"/>
        <w:ind w:firstLine="284"/>
        <w:jc w:val="both"/>
        <w:rPr>
          <w:rFonts w:ascii="Arial" w:hAnsi="Arial" w:cs="Arial"/>
        </w:rPr>
      </w:pPr>
      <w:r w:rsidRPr="00964814">
        <w:rPr>
          <w:rFonts w:ascii="Arial" w:hAnsi="Arial" w:cs="Arial"/>
        </w:rPr>
        <w:t xml:space="preserve">Elementem wdrożenia w gospodarstwie </w:t>
      </w:r>
      <w:bookmarkStart w:id="61" w:name="_Hlk186707575"/>
      <w:r w:rsidRPr="00964814">
        <w:rPr>
          <w:rFonts w:ascii="Arial" w:hAnsi="Arial" w:cs="Arial"/>
        </w:rPr>
        <w:t xml:space="preserve">systemu integrowanej produkcji roślin </w:t>
      </w:r>
      <w:bookmarkEnd w:id="61"/>
      <w:r w:rsidRPr="00964814">
        <w:rPr>
          <w:rFonts w:ascii="Arial" w:hAnsi="Arial" w:cs="Arial"/>
        </w:rPr>
        <w:t xml:space="preserve">jest ukończenie specjalistycznego szkolenia oraz prowadzenie produkcji według szczegółowych metodyk zatwierdzonych przez Głównego Inspektora Ochrony Roślin i Nasiennictwa. Każda metodyka zawiera praktyczne informacje na temat sadzenia, pielęgnacji, ochrony i zbioru danej uprawy. Aktualne wykazy środków ochrony roślin dopuszczonych do stosowania w integrowanej produkcji roślin dla roślin rolniczych, warzywnych i sadowniczych zamieszczane są na Platformie Sygnalizacji Agrofagów. </w:t>
      </w:r>
    </w:p>
    <w:p w14:paraId="197D8D8F" w14:textId="04CAD037" w:rsidR="00735AB7" w:rsidRPr="00735AB7" w:rsidRDefault="00735AB7" w:rsidP="00735AB7">
      <w:pPr>
        <w:tabs>
          <w:tab w:val="left" w:pos="284"/>
        </w:tabs>
        <w:spacing w:after="120" w:line="360" w:lineRule="auto"/>
        <w:ind w:firstLine="284"/>
        <w:jc w:val="both"/>
        <w:rPr>
          <w:rFonts w:ascii="Arial" w:hAnsi="Arial" w:cs="Arial"/>
        </w:rPr>
      </w:pPr>
      <w:r w:rsidRPr="00735AB7">
        <w:rPr>
          <w:rFonts w:ascii="Arial" w:hAnsi="Arial" w:cs="Arial"/>
          <w:b/>
          <w:bCs/>
        </w:rPr>
        <w:t>W 202</w:t>
      </w:r>
      <w:r>
        <w:rPr>
          <w:rFonts w:ascii="Arial" w:hAnsi="Arial" w:cs="Arial"/>
          <w:b/>
          <w:bCs/>
        </w:rPr>
        <w:t>3</w:t>
      </w:r>
      <w:r w:rsidRPr="00735AB7">
        <w:rPr>
          <w:rFonts w:ascii="Arial" w:hAnsi="Arial" w:cs="Arial"/>
          <w:b/>
          <w:bCs/>
        </w:rPr>
        <w:t> r.</w:t>
      </w:r>
      <w:r w:rsidRPr="00735AB7">
        <w:rPr>
          <w:rFonts w:ascii="Arial" w:hAnsi="Arial" w:cs="Arial"/>
        </w:rPr>
        <w:t xml:space="preserve"> </w:t>
      </w:r>
      <w:r w:rsidR="00A5388E">
        <w:rPr>
          <w:rFonts w:ascii="Arial" w:hAnsi="Arial" w:cs="Arial"/>
        </w:rPr>
        <w:t>10</w:t>
      </w:r>
      <w:r w:rsidRPr="00735AB7">
        <w:rPr>
          <w:rFonts w:ascii="Arial" w:hAnsi="Arial" w:cs="Arial"/>
        </w:rPr>
        <w:t xml:space="preserve"> podmiotów upoważnionych do wykonywania działalności w zakresie certyfikacji integrowanej produkcji roślin wydało </w:t>
      </w:r>
      <w:r w:rsidR="00A07AE5">
        <w:rPr>
          <w:rFonts w:ascii="Arial" w:hAnsi="Arial" w:cs="Arial"/>
        </w:rPr>
        <w:t>10</w:t>
      </w:r>
      <w:r w:rsidRPr="00735AB7">
        <w:rPr>
          <w:rFonts w:ascii="Arial" w:hAnsi="Arial" w:cs="Arial"/>
        </w:rPr>
        <w:t> </w:t>
      </w:r>
      <w:r w:rsidR="00A07AE5">
        <w:rPr>
          <w:rFonts w:ascii="Arial" w:hAnsi="Arial" w:cs="Arial"/>
        </w:rPr>
        <w:t>169</w:t>
      </w:r>
      <w:r w:rsidRPr="00735AB7">
        <w:rPr>
          <w:rFonts w:ascii="Arial" w:hAnsi="Arial" w:cs="Arial"/>
        </w:rPr>
        <w:t xml:space="preserve"> certyfikatów poświadczających stosowanie integrowanej produkcji roślin, przy czym najwięcej certyfikatów (</w:t>
      </w:r>
      <w:r w:rsidR="00A07AE5">
        <w:rPr>
          <w:rFonts w:ascii="Arial" w:hAnsi="Arial" w:cs="Arial"/>
        </w:rPr>
        <w:t>2</w:t>
      </w:r>
      <w:r w:rsidR="0045158F">
        <w:rPr>
          <w:rFonts w:ascii="Arial" w:hAnsi="Arial" w:cs="Arial"/>
        </w:rPr>
        <w:t> 861</w:t>
      </w:r>
      <w:r w:rsidRPr="00735AB7">
        <w:rPr>
          <w:rFonts w:ascii="Arial" w:hAnsi="Arial" w:cs="Arial"/>
        </w:rPr>
        <w:t xml:space="preserve">) wydano dla producentów jabłek. Certyfikowano łącznie produkcję </w:t>
      </w:r>
      <w:r w:rsidR="001D2406">
        <w:rPr>
          <w:rFonts w:ascii="Arial" w:hAnsi="Arial" w:cs="Arial"/>
        </w:rPr>
        <w:t>4 037 184,01</w:t>
      </w:r>
      <w:r w:rsidRPr="00735AB7">
        <w:rPr>
          <w:rFonts w:ascii="Arial" w:hAnsi="Arial" w:cs="Arial"/>
        </w:rPr>
        <w:t xml:space="preserve"> ton płodów rolnych z </w:t>
      </w:r>
      <w:r w:rsidR="0090520A">
        <w:rPr>
          <w:rFonts w:ascii="Arial" w:hAnsi="Arial" w:cs="Arial"/>
        </w:rPr>
        <w:t>148 156,10</w:t>
      </w:r>
      <w:r w:rsidRPr="00735AB7">
        <w:rPr>
          <w:rFonts w:ascii="Arial" w:hAnsi="Arial" w:cs="Arial"/>
        </w:rPr>
        <w:t xml:space="preserve"> ha upraw. Tym samym liczba wydanych certyfikatów, produkcja oraz powierzchnia znacząco wzrosły w porównaniu do 202</w:t>
      </w:r>
      <w:r w:rsidR="00B52780">
        <w:rPr>
          <w:rFonts w:ascii="Arial" w:hAnsi="Arial" w:cs="Arial"/>
        </w:rPr>
        <w:t>2</w:t>
      </w:r>
      <w:r w:rsidRPr="00735AB7">
        <w:rPr>
          <w:rFonts w:ascii="Arial" w:hAnsi="Arial" w:cs="Arial"/>
        </w:rPr>
        <w:t xml:space="preserve"> r.</w:t>
      </w:r>
      <w:r w:rsidR="00642745">
        <w:rPr>
          <w:rFonts w:ascii="Arial" w:hAnsi="Arial" w:cs="Arial"/>
        </w:rPr>
        <w:t xml:space="preserve"> Zwiększenie produkcji </w:t>
      </w:r>
      <w:r w:rsidR="00813114">
        <w:rPr>
          <w:rFonts w:ascii="Arial" w:hAnsi="Arial" w:cs="Arial"/>
        </w:rPr>
        <w:t xml:space="preserve">wynika z </w:t>
      </w:r>
      <w:r w:rsidR="00F663D1">
        <w:rPr>
          <w:rFonts w:ascii="Arial" w:hAnsi="Arial" w:cs="Arial"/>
        </w:rPr>
        <w:t xml:space="preserve">wprowadzonych </w:t>
      </w:r>
      <w:r w:rsidR="00F85383">
        <w:rPr>
          <w:rFonts w:ascii="Arial" w:hAnsi="Arial" w:cs="Arial"/>
        </w:rPr>
        <w:t>wsparcia dla</w:t>
      </w:r>
      <w:r w:rsidR="00813114">
        <w:rPr>
          <w:rFonts w:ascii="Arial" w:hAnsi="Arial" w:cs="Arial"/>
        </w:rPr>
        <w:t xml:space="preserve"> </w:t>
      </w:r>
      <w:r w:rsidR="00813114" w:rsidRPr="00813114">
        <w:rPr>
          <w:rFonts w:ascii="Arial" w:hAnsi="Arial" w:cs="Arial"/>
        </w:rPr>
        <w:t>systemu integrowanej produkcji roślin</w:t>
      </w:r>
      <w:r w:rsidR="00006C02">
        <w:rPr>
          <w:rFonts w:ascii="Arial" w:hAnsi="Arial" w:cs="Arial"/>
        </w:rPr>
        <w:t xml:space="preserve"> </w:t>
      </w:r>
      <w:r w:rsidR="00F85383">
        <w:rPr>
          <w:rFonts w:ascii="Arial" w:hAnsi="Arial" w:cs="Arial"/>
        </w:rPr>
        <w:t>w</w:t>
      </w:r>
      <w:r w:rsidR="00895FE0">
        <w:rPr>
          <w:rFonts w:ascii="Arial" w:hAnsi="Arial" w:cs="Arial"/>
        </w:rPr>
        <w:t> </w:t>
      </w:r>
      <w:r w:rsidR="00F85383">
        <w:rPr>
          <w:rFonts w:ascii="Arial" w:hAnsi="Arial" w:cs="Arial"/>
        </w:rPr>
        <w:t xml:space="preserve">ramach Planu Strategicznego dla WPR </w:t>
      </w:r>
      <w:r w:rsidR="00006C02">
        <w:rPr>
          <w:rFonts w:ascii="Arial" w:hAnsi="Arial" w:cs="Arial"/>
        </w:rPr>
        <w:t>(</w:t>
      </w:r>
      <w:r w:rsidR="001043BF">
        <w:rPr>
          <w:rFonts w:ascii="Arial" w:hAnsi="Arial" w:cs="Arial"/>
        </w:rPr>
        <w:t>ekoschemat PS</w:t>
      </w:r>
      <w:r w:rsidR="00314954">
        <w:rPr>
          <w:rFonts w:ascii="Arial" w:hAnsi="Arial" w:cs="Arial"/>
        </w:rPr>
        <w:t xml:space="preserve"> WPR</w:t>
      </w:r>
      <w:r w:rsidR="00E052B6">
        <w:rPr>
          <w:rFonts w:ascii="Arial" w:hAnsi="Arial" w:cs="Arial"/>
        </w:rPr>
        <w:t>)</w:t>
      </w:r>
      <w:r w:rsidR="00314954">
        <w:rPr>
          <w:rFonts w:ascii="Arial" w:hAnsi="Arial" w:cs="Arial"/>
        </w:rPr>
        <w:t>.</w:t>
      </w:r>
    </w:p>
    <w:p w14:paraId="00AC6080" w14:textId="17A1C901" w:rsidR="00735AB7" w:rsidRDefault="00735AB7" w:rsidP="00735AB7">
      <w:pPr>
        <w:tabs>
          <w:tab w:val="left" w:pos="284"/>
        </w:tabs>
        <w:spacing w:after="120" w:line="360" w:lineRule="auto"/>
        <w:ind w:firstLine="284"/>
        <w:jc w:val="both"/>
        <w:rPr>
          <w:rFonts w:ascii="Arial" w:hAnsi="Arial" w:cs="Arial"/>
        </w:rPr>
      </w:pPr>
      <w:r w:rsidRPr="00735AB7">
        <w:rPr>
          <w:rFonts w:ascii="Arial" w:hAnsi="Arial" w:cs="Arial"/>
        </w:rPr>
        <w:lastRenderedPageBreak/>
        <w:t xml:space="preserve">Wojewódzcy inspektorzy przeprowadzili kontrole w 8 jednostkach certyfikujących. W trakcie kontroli nie stwierdzono nieprawidłowości. Państwowa Inspekcja Ochrony Roślin i Nasiennictwa przeprowadziła również </w:t>
      </w:r>
      <w:r w:rsidR="00DA5411">
        <w:rPr>
          <w:rFonts w:ascii="Arial" w:hAnsi="Arial" w:cs="Arial"/>
        </w:rPr>
        <w:t>318</w:t>
      </w:r>
      <w:r w:rsidRPr="00735AB7">
        <w:rPr>
          <w:rFonts w:ascii="Arial" w:hAnsi="Arial" w:cs="Arial"/>
        </w:rPr>
        <w:t xml:space="preserve"> kontrol</w:t>
      </w:r>
      <w:r w:rsidR="00DA5411">
        <w:rPr>
          <w:rFonts w:ascii="Arial" w:hAnsi="Arial" w:cs="Arial"/>
        </w:rPr>
        <w:t>i</w:t>
      </w:r>
      <w:r w:rsidRPr="00735AB7">
        <w:rPr>
          <w:rFonts w:ascii="Arial" w:hAnsi="Arial" w:cs="Arial"/>
        </w:rPr>
        <w:t xml:space="preserve"> u producentów IP, mających na celu sprawdzenie prawidłowości przeprowadzania certyfikacji przez upoważnione podmioty. W trakcie </w:t>
      </w:r>
      <w:r w:rsidR="006873D2">
        <w:rPr>
          <w:rFonts w:ascii="Arial" w:hAnsi="Arial" w:cs="Arial"/>
        </w:rPr>
        <w:t>24</w:t>
      </w:r>
      <w:r w:rsidRPr="00735AB7">
        <w:rPr>
          <w:rFonts w:ascii="Arial" w:hAnsi="Arial" w:cs="Arial"/>
        </w:rPr>
        <w:t xml:space="preserve"> kontroli producentów IP stwierdzono nieprawidłowości (zastosowanie środków nie</w:t>
      </w:r>
      <w:r w:rsidR="002A661C">
        <w:rPr>
          <w:rFonts w:ascii="Arial" w:hAnsi="Arial" w:cs="Arial"/>
        </w:rPr>
        <w:t>zgodnie z zaleceniami etykiety</w:t>
      </w:r>
      <w:r w:rsidR="00D76632">
        <w:rPr>
          <w:rFonts w:ascii="Arial" w:hAnsi="Arial" w:cs="Arial"/>
        </w:rPr>
        <w:t>, nieprawidłowe wypełnianie notatnika</w:t>
      </w:r>
      <w:r w:rsidRPr="00735AB7">
        <w:rPr>
          <w:rFonts w:ascii="Arial" w:hAnsi="Arial" w:cs="Arial"/>
        </w:rPr>
        <w:t>).</w:t>
      </w:r>
    </w:p>
    <w:tbl>
      <w:tblPr>
        <w:tblW w:w="9067" w:type="dxa"/>
        <w:tblCellMar>
          <w:left w:w="70" w:type="dxa"/>
          <w:right w:w="70" w:type="dxa"/>
        </w:tblCellMar>
        <w:tblLook w:val="04A0" w:firstRow="1" w:lastRow="0" w:firstColumn="1" w:lastColumn="0" w:noHBand="0" w:noVBand="1"/>
      </w:tblPr>
      <w:tblGrid>
        <w:gridCol w:w="3462"/>
        <w:gridCol w:w="1121"/>
        <w:gridCol w:w="1121"/>
        <w:gridCol w:w="1121"/>
        <w:gridCol w:w="1121"/>
        <w:gridCol w:w="1121"/>
      </w:tblGrid>
      <w:tr w:rsidR="005C5678" w:rsidRPr="00735AB7" w14:paraId="003280F3" w14:textId="516607A9" w:rsidTr="005C5678">
        <w:trPr>
          <w:trHeight w:val="300"/>
        </w:trPr>
        <w:tc>
          <w:tcPr>
            <w:tcW w:w="3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FEAECB" w14:textId="77777777" w:rsidR="005C5678" w:rsidRPr="00735AB7" w:rsidRDefault="005C5678" w:rsidP="00735AB7">
            <w:pPr>
              <w:widowControl/>
              <w:rPr>
                <w:rFonts w:ascii="Calibri" w:hAnsi="Calibri" w:cs="Calibri"/>
                <w:b/>
                <w:bCs/>
                <w:color w:val="000000"/>
                <w:sz w:val="22"/>
                <w:szCs w:val="22"/>
              </w:rPr>
            </w:pPr>
            <w:r w:rsidRPr="00735AB7">
              <w:rPr>
                <w:rFonts w:ascii="Calibri" w:hAnsi="Calibri" w:cs="Calibri"/>
                <w:b/>
                <w:bCs/>
                <w:color w:val="000000"/>
                <w:sz w:val="22"/>
                <w:szCs w:val="22"/>
              </w:rPr>
              <w:t> Rok</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2F2C93B2" w14:textId="77777777" w:rsidR="005C5678" w:rsidRPr="00735AB7" w:rsidRDefault="005C5678" w:rsidP="00735AB7">
            <w:pPr>
              <w:widowControl/>
              <w:jc w:val="right"/>
              <w:rPr>
                <w:rFonts w:ascii="Calibri" w:hAnsi="Calibri" w:cs="Calibri"/>
                <w:b/>
                <w:bCs/>
                <w:color w:val="000000"/>
                <w:sz w:val="22"/>
                <w:szCs w:val="22"/>
              </w:rPr>
            </w:pPr>
            <w:r w:rsidRPr="00735AB7">
              <w:rPr>
                <w:rFonts w:ascii="Calibri" w:hAnsi="Calibri" w:cs="Calibri"/>
                <w:b/>
                <w:bCs/>
                <w:color w:val="000000"/>
                <w:sz w:val="22"/>
                <w:szCs w:val="22"/>
              </w:rPr>
              <w:t>2019</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5C2ACDA8" w14:textId="77777777" w:rsidR="005C5678" w:rsidRPr="00735AB7" w:rsidRDefault="005C5678" w:rsidP="00735AB7">
            <w:pPr>
              <w:widowControl/>
              <w:jc w:val="right"/>
              <w:rPr>
                <w:rFonts w:ascii="Calibri" w:hAnsi="Calibri" w:cs="Calibri"/>
                <w:b/>
                <w:bCs/>
                <w:color w:val="000000"/>
                <w:sz w:val="22"/>
                <w:szCs w:val="22"/>
              </w:rPr>
            </w:pPr>
            <w:r w:rsidRPr="00735AB7">
              <w:rPr>
                <w:rFonts w:ascii="Calibri" w:hAnsi="Calibri" w:cs="Calibri"/>
                <w:b/>
                <w:bCs/>
                <w:color w:val="000000"/>
                <w:sz w:val="22"/>
                <w:szCs w:val="22"/>
              </w:rPr>
              <w:t>2020</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7120967F" w14:textId="77777777" w:rsidR="005C5678" w:rsidRPr="00735AB7" w:rsidRDefault="005C5678" w:rsidP="00735AB7">
            <w:pPr>
              <w:widowControl/>
              <w:jc w:val="right"/>
              <w:rPr>
                <w:rFonts w:ascii="Calibri" w:hAnsi="Calibri" w:cs="Calibri"/>
                <w:b/>
                <w:bCs/>
                <w:color w:val="000000"/>
                <w:sz w:val="22"/>
                <w:szCs w:val="22"/>
              </w:rPr>
            </w:pPr>
            <w:r w:rsidRPr="00735AB7">
              <w:rPr>
                <w:rFonts w:ascii="Calibri" w:hAnsi="Calibri" w:cs="Calibri"/>
                <w:b/>
                <w:bCs/>
                <w:color w:val="000000"/>
                <w:sz w:val="22"/>
                <w:szCs w:val="22"/>
              </w:rPr>
              <w:t>2021</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0A3A78A1" w14:textId="77777777" w:rsidR="005C5678" w:rsidRPr="00735AB7" w:rsidRDefault="005C5678" w:rsidP="00735AB7">
            <w:pPr>
              <w:widowControl/>
              <w:jc w:val="right"/>
              <w:rPr>
                <w:rFonts w:ascii="Calibri" w:hAnsi="Calibri" w:cs="Calibri"/>
                <w:b/>
                <w:bCs/>
                <w:color w:val="000000"/>
                <w:sz w:val="22"/>
                <w:szCs w:val="22"/>
              </w:rPr>
            </w:pPr>
            <w:r w:rsidRPr="00735AB7">
              <w:rPr>
                <w:rFonts w:ascii="Calibri" w:hAnsi="Calibri" w:cs="Calibri"/>
                <w:b/>
                <w:bCs/>
                <w:color w:val="000000"/>
                <w:sz w:val="22"/>
                <w:szCs w:val="22"/>
              </w:rPr>
              <w:t>2022</w:t>
            </w:r>
          </w:p>
        </w:tc>
        <w:tc>
          <w:tcPr>
            <w:tcW w:w="1121" w:type="dxa"/>
            <w:tcBorders>
              <w:top w:val="single" w:sz="4" w:space="0" w:color="auto"/>
              <w:left w:val="nil"/>
              <w:bottom w:val="single" w:sz="4" w:space="0" w:color="auto"/>
              <w:right w:val="single" w:sz="4" w:space="0" w:color="auto"/>
            </w:tcBorders>
            <w:shd w:val="clear" w:color="000000" w:fill="FFFFFF"/>
            <w:vAlign w:val="center"/>
          </w:tcPr>
          <w:p w14:paraId="5240C891" w14:textId="55A4B35C" w:rsidR="005C5678" w:rsidRPr="00735AB7" w:rsidRDefault="005C5678" w:rsidP="00464C62">
            <w:pPr>
              <w:widowControl/>
              <w:jc w:val="right"/>
              <w:rPr>
                <w:rFonts w:ascii="Calibri" w:hAnsi="Calibri" w:cs="Calibri"/>
                <w:b/>
                <w:bCs/>
                <w:color w:val="000000"/>
                <w:sz w:val="22"/>
                <w:szCs w:val="22"/>
              </w:rPr>
            </w:pPr>
            <w:r>
              <w:rPr>
                <w:rFonts w:ascii="Calibri" w:hAnsi="Calibri" w:cs="Calibri"/>
                <w:b/>
                <w:bCs/>
                <w:color w:val="000000"/>
                <w:sz w:val="22"/>
                <w:szCs w:val="22"/>
              </w:rPr>
              <w:t>2023</w:t>
            </w:r>
          </w:p>
        </w:tc>
      </w:tr>
      <w:tr w:rsidR="005C5678" w:rsidRPr="00735AB7" w14:paraId="09B0AABB" w14:textId="79D000F9" w:rsidTr="005C5678">
        <w:trPr>
          <w:trHeight w:val="300"/>
        </w:trPr>
        <w:tc>
          <w:tcPr>
            <w:tcW w:w="3462" w:type="dxa"/>
            <w:tcBorders>
              <w:top w:val="nil"/>
              <w:left w:val="single" w:sz="4" w:space="0" w:color="auto"/>
              <w:bottom w:val="single" w:sz="4" w:space="0" w:color="auto"/>
              <w:right w:val="single" w:sz="4" w:space="0" w:color="auto"/>
            </w:tcBorders>
            <w:shd w:val="clear" w:color="000000" w:fill="FFFFFF"/>
            <w:vAlign w:val="center"/>
            <w:hideMark/>
          </w:tcPr>
          <w:p w14:paraId="2C899031" w14:textId="77777777" w:rsidR="005C5678" w:rsidRPr="00735AB7" w:rsidRDefault="005C5678" w:rsidP="00735AB7">
            <w:pPr>
              <w:widowControl/>
              <w:rPr>
                <w:rFonts w:ascii="Calibri" w:hAnsi="Calibri" w:cs="Calibri"/>
                <w:b/>
                <w:bCs/>
                <w:color w:val="000000"/>
                <w:sz w:val="22"/>
                <w:szCs w:val="22"/>
              </w:rPr>
            </w:pPr>
            <w:r w:rsidRPr="00735AB7">
              <w:rPr>
                <w:rFonts w:ascii="Calibri" w:hAnsi="Calibri" w:cs="Calibri"/>
                <w:b/>
                <w:bCs/>
                <w:color w:val="000000"/>
                <w:sz w:val="22"/>
                <w:szCs w:val="22"/>
              </w:rPr>
              <w:t>Liczba wydanych certyfikatów IP</w:t>
            </w:r>
          </w:p>
        </w:tc>
        <w:tc>
          <w:tcPr>
            <w:tcW w:w="1121" w:type="dxa"/>
            <w:tcBorders>
              <w:top w:val="nil"/>
              <w:left w:val="nil"/>
              <w:bottom w:val="single" w:sz="4" w:space="0" w:color="auto"/>
              <w:right w:val="single" w:sz="4" w:space="0" w:color="auto"/>
            </w:tcBorders>
            <w:shd w:val="clear" w:color="000000" w:fill="FFFFFF"/>
            <w:vAlign w:val="center"/>
            <w:hideMark/>
          </w:tcPr>
          <w:p w14:paraId="678F1695"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3 325</w:t>
            </w:r>
          </w:p>
        </w:tc>
        <w:tc>
          <w:tcPr>
            <w:tcW w:w="1121" w:type="dxa"/>
            <w:tcBorders>
              <w:top w:val="nil"/>
              <w:left w:val="nil"/>
              <w:bottom w:val="single" w:sz="4" w:space="0" w:color="auto"/>
              <w:right w:val="single" w:sz="4" w:space="0" w:color="auto"/>
            </w:tcBorders>
            <w:shd w:val="clear" w:color="000000" w:fill="FFFFFF"/>
            <w:vAlign w:val="center"/>
            <w:hideMark/>
          </w:tcPr>
          <w:p w14:paraId="77624AD6"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3027</w:t>
            </w:r>
          </w:p>
        </w:tc>
        <w:tc>
          <w:tcPr>
            <w:tcW w:w="1121" w:type="dxa"/>
            <w:tcBorders>
              <w:top w:val="nil"/>
              <w:left w:val="nil"/>
              <w:bottom w:val="single" w:sz="4" w:space="0" w:color="auto"/>
              <w:right w:val="single" w:sz="4" w:space="0" w:color="auto"/>
            </w:tcBorders>
            <w:shd w:val="clear" w:color="000000" w:fill="FFFFFF"/>
            <w:vAlign w:val="center"/>
            <w:hideMark/>
          </w:tcPr>
          <w:p w14:paraId="10DDE57D"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1 418</w:t>
            </w:r>
          </w:p>
        </w:tc>
        <w:tc>
          <w:tcPr>
            <w:tcW w:w="1121" w:type="dxa"/>
            <w:tcBorders>
              <w:top w:val="nil"/>
              <w:left w:val="nil"/>
              <w:bottom w:val="single" w:sz="4" w:space="0" w:color="auto"/>
              <w:right w:val="single" w:sz="4" w:space="0" w:color="auto"/>
            </w:tcBorders>
            <w:shd w:val="clear" w:color="000000" w:fill="FFFFFF"/>
            <w:vAlign w:val="center"/>
            <w:hideMark/>
          </w:tcPr>
          <w:p w14:paraId="2BB995B2"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2 436</w:t>
            </w:r>
          </w:p>
        </w:tc>
        <w:tc>
          <w:tcPr>
            <w:tcW w:w="1121" w:type="dxa"/>
            <w:tcBorders>
              <w:top w:val="nil"/>
              <w:left w:val="nil"/>
              <w:bottom w:val="single" w:sz="4" w:space="0" w:color="auto"/>
              <w:right w:val="single" w:sz="4" w:space="0" w:color="auto"/>
            </w:tcBorders>
            <w:shd w:val="clear" w:color="000000" w:fill="FFFFFF"/>
            <w:vAlign w:val="center"/>
          </w:tcPr>
          <w:p w14:paraId="3BC24220" w14:textId="77E95945" w:rsidR="005C5678" w:rsidRPr="00735AB7" w:rsidRDefault="005C5678" w:rsidP="00464C62">
            <w:pPr>
              <w:widowControl/>
              <w:jc w:val="center"/>
              <w:rPr>
                <w:rFonts w:ascii="Calibri" w:hAnsi="Calibri" w:cs="Calibri"/>
                <w:color w:val="000000"/>
                <w:sz w:val="22"/>
                <w:szCs w:val="22"/>
              </w:rPr>
            </w:pPr>
            <w:r>
              <w:rPr>
                <w:rFonts w:ascii="Calibri" w:hAnsi="Calibri" w:cs="Calibri"/>
                <w:color w:val="000000"/>
                <w:sz w:val="22"/>
                <w:szCs w:val="22"/>
              </w:rPr>
              <w:t>10 169</w:t>
            </w:r>
          </w:p>
        </w:tc>
      </w:tr>
      <w:tr w:rsidR="005C5678" w:rsidRPr="00735AB7" w14:paraId="095F0629" w14:textId="25B97975" w:rsidTr="005C5678">
        <w:trPr>
          <w:trHeight w:val="600"/>
        </w:trPr>
        <w:tc>
          <w:tcPr>
            <w:tcW w:w="3462" w:type="dxa"/>
            <w:tcBorders>
              <w:top w:val="nil"/>
              <w:left w:val="single" w:sz="4" w:space="0" w:color="auto"/>
              <w:bottom w:val="single" w:sz="4" w:space="0" w:color="auto"/>
              <w:right w:val="single" w:sz="4" w:space="0" w:color="auto"/>
            </w:tcBorders>
            <w:shd w:val="clear" w:color="000000" w:fill="FFFFFF"/>
            <w:vAlign w:val="center"/>
            <w:hideMark/>
          </w:tcPr>
          <w:p w14:paraId="59926BF9" w14:textId="77777777" w:rsidR="005C5678" w:rsidRPr="00735AB7" w:rsidRDefault="005C5678" w:rsidP="00735AB7">
            <w:pPr>
              <w:widowControl/>
              <w:rPr>
                <w:rFonts w:ascii="Calibri" w:hAnsi="Calibri" w:cs="Calibri"/>
                <w:b/>
                <w:bCs/>
                <w:color w:val="000000"/>
                <w:sz w:val="22"/>
                <w:szCs w:val="22"/>
              </w:rPr>
            </w:pPr>
            <w:r w:rsidRPr="00735AB7">
              <w:rPr>
                <w:rFonts w:ascii="Calibri" w:hAnsi="Calibri" w:cs="Calibri"/>
                <w:b/>
                <w:bCs/>
                <w:color w:val="000000"/>
                <w:sz w:val="22"/>
                <w:szCs w:val="22"/>
              </w:rPr>
              <w:t xml:space="preserve">Certyfikowana powierzchnia </w:t>
            </w:r>
          </w:p>
          <w:p w14:paraId="61451775" w14:textId="77777777" w:rsidR="005C5678" w:rsidRPr="00735AB7" w:rsidRDefault="005C5678" w:rsidP="00735AB7">
            <w:pPr>
              <w:widowControl/>
              <w:rPr>
                <w:rFonts w:ascii="Calibri" w:hAnsi="Calibri" w:cs="Calibri"/>
                <w:b/>
                <w:bCs/>
                <w:color w:val="000000"/>
                <w:sz w:val="22"/>
                <w:szCs w:val="22"/>
              </w:rPr>
            </w:pPr>
            <w:r w:rsidRPr="00735AB7">
              <w:rPr>
                <w:rFonts w:ascii="Calibri" w:hAnsi="Calibri" w:cs="Calibri"/>
                <w:b/>
                <w:bCs/>
                <w:color w:val="000000"/>
                <w:sz w:val="22"/>
                <w:szCs w:val="22"/>
              </w:rPr>
              <w:t>(tys. ha)</w:t>
            </w:r>
          </w:p>
        </w:tc>
        <w:tc>
          <w:tcPr>
            <w:tcW w:w="1121" w:type="dxa"/>
            <w:tcBorders>
              <w:top w:val="nil"/>
              <w:left w:val="nil"/>
              <w:bottom w:val="single" w:sz="4" w:space="0" w:color="auto"/>
              <w:right w:val="single" w:sz="4" w:space="0" w:color="auto"/>
            </w:tcBorders>
            <w:shd w:val="clear" w:color="000000" w:fill="FFFFFF"/>
            <w:vAlign w:val="center"/>
            <w:hideMark/>
          </w:tcPr>
          <w:p w14:paraId="029622E3"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18,71</w:t>
            </w:r>
          </w:p>
        </w:tc>
        <w:tc>
          <w:tcPr>
            <w:tcW w:w="1121" w:type="dxa"/>
            <w:tcBorders>
              <w:top w:val="nil"/>
              <w:left w:val="nil"/>
              <w:bottom w:val="single" w:sz="4" w:space="0" w:color="auto"/>
              <w:right w:val="single" w:sz="4" w:space="0" w:color="auto"/>
            </w:tcBorders>
            <w:shd w:val="clear" w:color="000000" w:fill="FFFFFF"/>
            <w:vAlign w:val="center"/>
            <w:hideMark/>
          </w:tcPr>
          <w:p w14:paraId="54C50068"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17,32</w:t>
            </w:r>
          </w:p>
        </w:tc>
        <w:tc>
          <w:tcPr>
            <w:tcW w:w="1121" w:type="dxa"/>
            <w:tcBorders>
              <w:top w:val="nil"/>
              <w:left w:val="nil"/>
              <w:bottom w:val="single" w:sz="4" w:space="0" w:color="auto"/>
              <w:right w:val="single" w:sz="4" w:space="0" w:color="auto"/>
            </w:tcBorders>
            <w:shd w:val="clear" w:color="000000" w:fill="FFFFFF"/>
            <w:vAlign w:val="center"/>
            <w:hideMark/>
          </w:tcPr>
          <w:p w14:paraId="24AD7A7D"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5,23</w:t>
            </w:r>
          </w:p>
        </w:tc>
        <w:tc>
          <w:tcPr>
            <w:tcW w:w="1121" w:type="dxa"/>
            <w:tcBorders>
              <w:top w:val="nil"/>
              <w:left w:val="nil"/>
              <w:bottom w:val="single" w:sz="4" w:space="0" w:color="auto"/>
              <w:right w:val="single" w:sz="4" w:space="0" w:color="auto"/>
            </w:tcBorders>
            <w:shd w:val="clear" w:color="000000" w:fill="FFFFFF"/>
            <w:vAlign w:val="center"/>
            <w:hideMark/>
          </w:tcPr>
          <w:p w14:paraId="2E40DCB0"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14,92</w:t>
            </w:r>
          </w:p>
        </w:tc>
        <w:tc>
          <w:tcPr>
            <w:tcW w:w="1121" w:type="dxa"/>
            <w:tcBorders>
              <w:top w:val="nil"/>
              <w:left w:val="nil"/>
              <w:bottom w:val="single" w:sz="4" w:space="0" w:color="auto"/>
              <w:right w:val="single" w:sz="4" w:space="0" w:color="auto"/>
            </w:tcBorders>
            <w:shd w:val="clear" w:color="000000" w:fill="FFFFFF"/>
            <w:vAlign w:val="center"/>
          </w:tcPr>
          <w:p w14:paraId="57754249" w14:textId="7C78F16B" w:rsidR="005C5678" w:rsidRPr="00735AB7" w:rsidRDefault="005C5678" w:rsidP="00464C62">
            <w:pPr>
              <w:widowControl/>
              <w:jc w:val="center"/>
              <w:rPr>
                <w:rFonts w:ascii="Calibri" w:hAnsi="Calibri" w:cs="Calibri"/>
                <w:color w:val="000000"/>
                <w:sz w:val="22"/>
                <w:szCs w:val="22"/>
              </w:rPr>
            </w:pPr>
            <w:r>
              <w:rPr>
                <w:rFonts w:ascii="Calibri" w:hAnsi="Calibri" w:cs="Calibri"/>
                <w:color w:val="000000"/>
                <w:sz w:val="22"/>
                <w:szCs w:val="22"/>
              </w:rPr>
              <w:t>148,15</w:t>
            </w:r>
          </w:p>
        </w:tc>
      </w:tr>
      <w:tr w:rsidR="005C5678" w:rsidRPr="00735AB7" w14:paraId="2CCD9FE5" w14:textId="3678A758" w:rsidTr="005C5678">
        <w:trPr>
          <w:trHeight w:val="300"/>
        </w:trPr>
        <w:tc>
          <w:tcPr>
            <w:tcW w:w="3462" w:type="dxa"/>
            <w:tcBorders>
              <w:top w:val="nil"/>
              <w:left w:val="single" w:sz="4" w:space="0" w:color="auto"/>
              <w:bottom w:val="single" w:sz="4" w:space="0" w:color="auto"/>
              <w:right w:val="single" w:sz="4" w:space="0" w:color="auto"/>
            </w:tcBorders>
            <w:shd w:val="clear" w:color="000000" w:fill="FFFFFF"/>
            <w:vAlign w:val="center"/>
            <w:hideMark/>
          </w:tcPr>
          <w:p w14:paraId="3AD39343" w14:textId="1BE3F951" w:rsidR="005C5678" w:rsidRPr="00735AB7" w:rsidRDefault="005C5678" w:rsidP="005C5678">
            <w:pPr>
              <w:widowControl/>
              <w:rPr>
                <w:rFonts w:ascii="Calibri" w:hAnsi="Calibri" w:cs="Calibri"/>
                <w:b/>
                <w:bCs/>
                <w:color w:val="000000"/>
                <w:sz w:val="22"/>
                <w:szCs w:val="22"/>
              </w:rPr>
            </w:pPr>
            <w:r w:rsidRPr="00735AB7">
              <w:rPr>
                <w:rFonts w:ascii="Calibri" w:hAnsi="Calibri" w:cs="Calibri"/>
                <w:b/>
                <w:bCs/>
                <w:color w:val="000000"/>
                <w:sz w:val="22"/>
                <w:szCs w:val="22"/>
              </w:rPr>
              <w:t>Certyfikowana produkcja</w:t>
            </w:r>
            <w:r>
              <w:rPr>
                <w:rFonts w:ascii="Calibri" w:hAnsi="Calibri" w:cs="Calibri"/>
                <w:b/>
                <w:bCs/>
                <w:color w:val="000000"/>
                <w:sz w:val="22"/>
                <w:szCs w:val="22"/>
              </w:rPr>
              <w:t xml:space="preserve"> </w:t>
            </w:r>
            <w:r w:rsidRPr="00735AB7">
              <w:rPr>
                <w:rFonts w:ascii="Calibri" w:hAnsi="Calibri" w:cs="Calibri"/>
                <w:b/>
                <w:bCs/>
                <w:color w:val="000000"/>
                <w:sz w:val="22"/>
                <w:szCs w:val="22"/>
              </w:rPr>
              <w:t>(tys. ton)</w:t>
            </w:r>
          </w:p>
        </w:tc>
        <w:tc>
          <w:tcPr>
            <w:tcW w:w="1121" w:type="dxa"/>
            <w:tcBorders>
              <w:top w:val="nil"/>
              <w:left w:val="nil"/>
              <w:bottom w:val="single" w:sz="4" w:space="0" w:color="auto"/>
              <w:right w:val="single" w:sz="4" w:space="0" w:color="auto"/>
            </w:tcBorders>
            <w:shd w:val="clear" w:color="000000" w:fill="FFFFFF"/>
            <w:vAlign w:val="center"/>
            <w:hideMark/>
          </w:tcPr>
          <w:p w14:paraId="66723172"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525,32</w:t>
            </w:r>
          </w:p>
        </w:tc>
        <w:tc>
          <w:tcPr>
            <w:tcW w:w="1121" w:type="dxa"/>
            <w:tcBorders>
              <w:top w:val="nil"/>
              <w:left w:val="nil"/>
              <w:bottom w:val="single" w:sz="4" w:space="0" w:color="auto"/>
              <w:right w:val="single" w:sz="4" w:space="0" w:color="auto"/>
            </w:tcBorders>
            <w:shd w:val="clear" w:color="000000" w:fill="FFFFFF"/>
            <w:vAlign w:val="center"/>
            <w:hideMark/>
          </w:tcPr>
          <w:p w14:paraId="45DFC7B8"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595,27</w:t>
            </w:r>
          </w:p>
        </w:tc>
        <w:tc>
          <w:tcPr>
            <w:tcW w:w="1121" w:type="dxa"/>
            <w:tcBorders>
              <w:top w:val="nil"/>
              <w:left w:val="nil"/>
              <w:bottom w:val="single" w:sz="4" w:space="0" w:color="auto"/>
              <w:right w:val="single" w:sz="4" w:space="0" w:color="auto"/>
            </w:tcBorders>
            <w:shd w:val="clear" w:color="000000" w:fill="FFFFFF"/>
            <w:vAlign w:val="center"/>
            <w:hideMark/>
          </w:tcPr>
          <w:p w14:paraId="34FDA780"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150,31</w:t>
            </w:r>
          </w:p>
        </w:tc>
        <w:tc>
          <w:tcPr>
            <w:tcW w:w="1121" w:type="dxa"/>
            <w:tcBorders>
              <w:top w:val="nil"/>
              <w:left w:val="nil"/>
              <w:bottom w:val="single" w:sz="4" w:space="0" w:color="auto"/>
              <w:right w:val="single" w:sz="4" w:space="0" w:color="auto"/>
            </w:tcBorders>
            <w:shd w:val="clear" w:color="000000" w:fill="FFFFFF"/>
            <w:vAlign w:val="center"/>
            <w:hideMark/>
          </w:tcPr>
          <w:p w14:paraId="020FA22F" w14:textId="77777777" w:rsidR="005C5678" w:rsidRPr="00735AB7" w:rsidRDefault="005C5678" w:rsidP="00735AB7">
            <w:pPr>
              <w:widowControl/>
              <w:jc w:val="right"/>
              <w:rPr>
                <w:rFonts w:ascii="Calibri" w:hAnsi="Calibri" w:cs="Calibri"/>
                <w:color w:val="000000"/>
                <w:sz w:val="22"/>
                <w:szCs w:val="22"/>
              </w:rPr>
            </w:pPr>
            <w:r w:rsidRPr="00735AB7">
              <w:rPr>
                <w:rFonts w:ascii="Calibri" w:hAnsi="Calibri" w:cs="Calibri"/>
                <w:color w:val="000000"/>
                <w:sz w:val="22"/>
                <w:szCs w:val="22"/>
              </w:rPr>
              <w:t>579,53</w:t>
            </w:r>
          </w:p>
        </w:tc>
        <w:tc>
          <w:tcPr>
            <w:tcW w:w="1121" w:type="dxa"/>
            <w:tcBorders>
              <w:top w:val="nil"/>
              <w:left w:val="nil"/>
              <w:bottom w:val="single" w:sz="4" w:space="0" w:color="auto"/>
              <w:right w:val="single" w:sz="4" w:space="0" w:color="auto"/>
            </w:tcBorders>
            <w:shd w:val="clear" w:color="000000" w:fill="FFFFFF"/>
            <w:vAlign w:val="center"/>
          </w:tcPr>
          <w:p w14:paraId="4DB89EEE" w14:textId="7A26BA69" w:rsidR="005C5678" w:rsidRPr="00735AB7" w:rsidRDefault="005C5678" w:rsidP="00464C62">
            <w:pPr>
              <w:widowControl/>
              <w:jc w:val="center"/>
              <w:rPr>
                <w:rFonts w:ascii="Calibri" w:hAnsi="Calibri" w:cs="Calibri"/>
                <w:color w:val="000000"/>
                <w:sz w:val="22"/>
                <w:szCs w:val="22"/>
              </w:rPr>
            </w:pPr>
            <w:r w:rsidRPr="004E4374">
              <w:rPr>
                <w:rFonts w:ascii="Calibri" w:hAnsi="Calibri" w:cs="Calibri"/>
                <w:color w:val="000000"/>
                <w:sz w:val="22"/>
                <w:szCs w:val="22"/>
              </w:rPr>
              <w:t>4 037,18</w:t>
            </w:r>
          </w:p>
        </w:tc>
      </w:tr>
    </w:tbl>
    <w:p w14:paraId="5B6A05EE" w14:textId="06868C40" w:rsidR="00B44CD4" w:rsidRDefault="00403EB6" w:rsidP="00B44CD4">
      <w:pPr>
        <w:tabs>
          <w:tab w:val="left" w:pos="284"/>
        </w:tabs>
        <w:spacing w:before="120" w:after="120" w:line="360" w:lineRule="auto"/>
        <w:ind w:firstLine="284"/>
        <w:jc w:val="both"/>
        <w:rPr>
          <w:rFonts w:ascii="Arial" w:hAnsi="Arial" w:cs="Arial"/>
        </w:rPr>
      </w:pPr>
      <w:r w:rsidRPr="00403EB6">
        <w:rPr>
          <w:rFonts w:ascii="Arial" w:hAnsi="Arial" w:cs="Arial"/>
        </w:rPr>
        <w:t xml:space="preserve">W 2023 r. </w:t>
      </w:r>
      <w:r>
        <w:rPr>
          <w:rFonts w:ascii="Arial" w:hAnsi="Arial" w:cs="Arial"/>
        </w:rPr>
        <w:t xml:space="preserve">w </w:t>
      </w:r>
      <w:r w:rsidRPr="00B44CD4">
        <w:rPr>
          <w:rFonts w:ascii="Arial" w:hAnsi="Arial" w:cs="Arial"/>
        </w:rPr>
        <w:t>Instytucie O</w:t>
      </w:r>
      <w:r>
        <w:rPr>
          <w:rFonts w:ascii="Arial" w:hAnsi="Arial" w:cs="Arial"/>
        </w:rPr>
        <w:t xml:space="preserve">chrony Roślin </w:t>
      </w:r>
      <w:r w:rsidR="00CE059A" w:rsidRPr="00CE059A">
        <w:rPr>
          <w:rFonts w:ascii="Arial" w:hAnsi="Arial" w:cs="Arial"/>
        </w:rPr>
        <w:t>–</w:t>
      </w:r>
      <w:r w:rsidRPr="00B44CD4">
        <w:rPr>
          <w:rFonts w:ascii="Arial" w:hAnsi="Arial" w:cs="Arial"/>
        </w:rPr>
        <w:t xml:space="preserve"> PIB</w:t>
      </w:r>
      <w:r>
        <w:rPr>
          <w:rFonts w:ascii="Arial" w:hAnsi="Arial" w:cs="Arial"/>
        </w:rPr>
        <w:t xml:space="preserve"> o</w:t>
      </w:r>
      <w:r w:rsidRPr="00403EB6">
        <w:rPr>
          <w:rFonts w:ascii="Arial" w:hAnsi="Arial" w:cs="Arial"/>
        </w:rPr>
        <w:t xml:space="preserve">pracowano </w:t>
      </w:r>
      <w:r>
        <w:rPr>
          <w:rFonts w:ascii="Arial" w:hAnsi="Arial" w:cs="Arial"/>
        </w:rPr>
        <w:t>4 nowe m</w:t>
      </w:r>
      <w:r w:rsidRPr="00403EB6">
        <w:rPr>
          <w:rFonts w:ascii="Arial" w:hAnsi="Arial" w:cs="Arial"/>
        </w:rPr>
        <w:t>etodyk</w:t>
      </w:r>
      <w:r>
        <w:rPr>
          <w:rFonts w:ascii="Arial" w:hAnsi="Arial" w:cs="Arial"/>
        </w:rPr>
        <w:t>i</w:t>
      </w:r>
      <w:r w:rsidRPr="00403EB6">
        <w:rPr>
          <w:rFonts w:ascii="Arial" w:hAnsi="Arial" w:cs="Arial"/>
        </w:rPr>
        <w:t xml:space="preserve"> </w:t>
      </w:r>
      <w:r>
        <w:rPr>
          <w:rFonts w:ascii="Arial" w:hAnsi="Arial" w:cs="Arial"/>
        </w:rPr>
        <w:t>i</w:t>
      </w:r>
      <w:r w:rsidRPr="00403EB6">
        <w:rPr>
          <w:rFonts w:ascii="Arial" w:hAnsi="Arial" w:cs="Arial"/>
        </w:rPr>
        <w:t xml:space="preserve">ntegrowanej </w:t>
      </w:r>
      <w:r>
        <w:rPr>
          <w:rFonts w:ascii="Arial" w:hAnsi="Arial" w:cs="Arial"/>
        </w:rPr>
        <w:t>p</w:t>
      </w:r>
      <w:r w:rsidRPr="00403EB6">
        <w:rPr>
          <w:rFonts w:ascii="Arial" w:hAnsi="Arial" w:cs="Arial"/>
        </w:rPr>
        <w:t>rodukcji</w:t>
      </w:r>
      <w:r>
        <w:rPr>
          <w:rFonts w:ascii="Arial" w:hAnsi="Arial" w:cs="Arial"/>
        </w:rPr>
        <w:t>:</w:t>
      </w:r>
      <w:r w:rsidRPr="00403EB6">
        <w:rPr>
          <w:rFonts w:ascii="Arial" w:hAnsi="Arial" w:cs="Arial"/>
        </w:rPr>
        <w:t xml:space="preserve"> jęczmienia ozimego i jarego, żyta</w:t>
      </w:r>
      <w:r>
        <w:rPr>
          <w:rFonts w:ascii="Arial" w:hAnsi="Arial" w:cs="Arial"/>
        </w:rPr>
        <w:t>,</w:t>
      </w:r>
      <w:r w:rsidRPr="00403EB6">
        <w:rPr>
          <w:rFonts w:ascii="Arial" w:hAnsi="Arial" w:cs="Arial"/>
        </w:rPr>
        <w:t xml:space="preserve"> kukurydzy cukrowej, słonecznika</w:t>
      </w:r>
      <w:r>
        <w:rPr>
          <w:rFonts w:ascii="Arial" w:hAnsi="Arial" w:cs="Arial"/>
        </w:rPr>
        <w:t xml:space="preserve"> oraz zaktualizowano m</w:t>
      </w:r>
      <w:r w:rsidRPr="00403EB6">
        <w:rPr>
          <w:rFonts w:ascii="Arial" w:hAnsi="Arial" w:cs="Arial"/>
        </w:rPr>
        <w:t xml:space="preserve">etodykę </w:t>
      </w:r>
      <w:r>
        <w:rPr>
          <w:rFonts w:ascii="Arial" w:hAnsi="Arial" w:cs="Arial"/>
        </w:rPr>
        <w:t>ziemniaka</w:t>
      </w:r>
      <w:r w:rsidRPr="00403EB6">
        <w:rPr>
          <w:rFonts w:ascii="Arial" w:hAnsi="Arial" w:cs="Arial"/>
        </w:rPr>
        <w:t xml:space="preserve"> (aktualizacja o odmiany skrobiowe)</w:t>
      </w:r>
      <w:r>
        <w:rPr>
          <w:rFonts w:ascii="Arial" w:hAnsi="Arial" w:cs="Arial"/>
        </w:rPr>
        <w:t>, natomiast w</w:t>
      </w:r>
      <w:r w:rsidR="00B44CD4" w:rsidRPr="00B44CD4">
        <w:rPr>
          <w:rFonts w:ascii="Arial" w:hAnsi="Arial" w:cs="Arial"/>
        </w:rPr>
        <w:t xml:space="preserve"> Instytucie Ogrodnictwa </w:t>
      </w:r>
      <w:r w:rsidR="00CE059A">
        <w:rPr>
          <w:rFonts w:ascii="Arial" w:hAnsi="Arial" w:cs="Arial"/>
        </w:rPr>
        <w:t>–</w:t>
      </w:r>
      <w:r w:rsidR="00B44CD4" w:rsidRPr="00B44CD4">
        <w:rPr>
          <w:rFonts w:ascii="Arial" w:hAnsi="Arial" w:cs="Arial"/>
        </w:rPr>
        <w:t xml:space="preserve"> PIB opracowano dwie nowe metodyki integrowanej produkcji </w:t>
      </w:r>
      <w:r w:rsidR="00B44CD4">
        <w:rPr>
          <w:rFonts w:ascii="Arial" w:hAnsi="Arial" w:cs="Arial"/>
        </w:rPr>
        <w:t>r</w:t>
      </w:r>
      <w:r w:rsidR="00B44CD4" w:rsidRPr="00B44CD4">
        <w:rPr>
          <w:rFonts w:ascii="Arial" w:hAnsi="Arial" w:cs="Arial"/>
        </w:rPr>
        <w:t>oślin: winorośli oraz fasoli szparagowej i na suche ziarno oraz uzupełniono metodykę integrowanej produkcji dyni olbrzymiej i piżmowej o dane dotyczące dyni zwyczajnej oleistej.</w:t>
      </w:r>
    </w:p>
    <w:p w14:paraId="677BDE39" w14:textId="73FF2FD0" w:rsidR="00735AB7" w:rsidRDefault="00735AB7" w:rsidP="00B44CD4">
      <w:pPr>
        <w:tabs>
          <w:tab w:val="left" w:pos="284"/>
        </w:tabs>
        <w:spacing w:after="120" w:line="360" w:lineRule="auto"/>
        <w:ind w:firstLine="284"/>
        <w:jc w:val="both"/>
        <w:rPr>
          <w:rFonts w:ascii="Arial" w:hAnsi="Arial" w:cs="Arial"/>
        </w:rPr>
      </w:pPr>
      <w:r w:rsidRPr="00735AB7">
        <w:rPr>
          <w:rFonts w:ascii="Arial" w:hAnsi="Arial" w:cs="Arial"/>
        </w:rPr>
        <w:t>Na stronie Państwowej Inspekcji Ochrony Roślin i Nasiennictwa zamieszczono (grudzień 202</w:t>
      </w:r>
      <w:r w:rsidR="00F83B1E">
        <w:rPr>
          <w:rFonts w:ascii="Arial" w:hAnsi="Arial" w:cs="Arial"/>
        </w:rPr>
        <w:t>3</w:t>
      </w:r>
      <w:r w:rsidRPr="00735AB7">
        <w:rPr>
          <w:rFonts w:ascii="Arial" w:hAnsi="Arial" w:cs="Arial"/>
        </w:rPr>
        <w:t xml:space="preserve"> r.) </w:t>
      </w:r>
      <w:r w:rsidR="00AD1285">
        <w:rPr>
          <w:rFonts w:ascii="Arial" w:hAnsi="Arial" w:cs="Arial"/>
        </w:rPr>
        <w:t>51</w:t>
      </w:r>
      <w:r w:rsidRPr="00735AB7">
        <w:rPr>
          <w:rFonts w:ascii="Arial" w:hAnsi="Arial" w:cs="Arial"/>
        </w:rPr>
        <w:t> metodyk integrowanej produkcji roślin.</w:t>
      </w:r>
    </w:p>
    <w:p w14:paraId="1FDA43A3" w14:textId="081B04DB" w:rsidR="00BF3ABD" w:rsidRPr="00735AB7" w:rsidRDefault="00BF3ABD" w:rsidP="00B44CD4">
      <w:pPr>
        <w:tabs>
          <w:tab w:val="left" w:pos="284"/>
        </w:tabs>
        <w:spacing w:after="120" w:line="360" w:lineRule="auto"/>
        <w:ind w:firstLine="284"/>
        <w:jc w:val="both"/>
        <w:rPr>
          <w:rFonts w:ascii="Arial" w:hAnsi="Arial" w:cs="Arial"/>
        </w:rPr>
      </w:pPr>
      <w:r w:rsidRPr="00BF3ABD">
        <w:rPr>
          <w:rFonts w:ascii="Arial" w:hAnsi="Arial" w:cs="Arial"/>
        </w:rPr>
        <w:t xml:space="preserve">W 2023 r. przeprowadzono także szkolenia dla inspektorów podmiotów certyfikujących w systemie </w:t>
      </w:r>
      <w:r>
        <w:rPr>
          <w:rFonts w:ascii="Arial" w:hAnsi="Arial" w:cs="Arial"/>
        </w:rPr>
        <w:t>i</w:t>
      </w:r>
      <w:r w:rsidRPr="00BF3ABD">
        <w:rPr>
          <w:rFonts w:ascii="Arial" w:hAnsi="Arial" w:cs="Arial"/>
        </w:rPr>
        <w:t xml:space="preserve">ntegrowanej </w:t>
      </w:r>
      <w:r>
        <w:rPr>
          <w:rFonts w:ascii="Arial" w:hAnsi="Arial" w:cs="Arial"/>
        </w:rPr>
        <w:t>p</w:t>
      </w:r>
      <w:r w:rsidRPr="00BF3ABD">
        <w:rPr>
          <w:rFonts w:ascii="Arial" w:hAnsi="Arial" w:cs="Arial"/>
        </w:rPr>
        <w:t>rodukcji roślin dotycząc</w:t>
      </w:r>
      <w:r>
        <w:rPr>
          <w:rFonts w:ascii="Arial" w:hAnsi="Arial" w:cs="Arial"/>
        </w:rPr>
        <w:t>e</w:t>
      </w:r>
      <w:r w:rsidRPr="00BF3ABD">
        <w:rPr>
          <w:rFonts w:ascii="Arial" w:hAnsi="Arial" w:cs="Arial"/>
        </w:rPr>
        <w:t xml:space="preserve"> nowych metodyk przygotowanych w 2022 i 2023 r.</w:t>
      </w:r>
    </w:p>
    <w:p w14:paraId="037970FE" w14:textId="77777777" w:rsidR="008B5F95" w:rsidRDefault="00923F0D">
      <w:pPr>
        <w:pStyle w:val="Nagwek2"/>
        <w:jc w:val="both"/>
        <w:rPr>
          <w:i w:val="0"/>
          <w:sz w:val="20"/>
          <w:szCs w:val="20"/>
        </w:rPr>
      </w:pPr>
      <w:bookmarkStart w:id="62" w:name="_Toc341876078"/>
      <w:bookmarkStart w:id="63" w:name="_Toc193716409"/>
      <w:r>
        <w:rPr>
          <w:i w:val="0"/>
          <w:sz w:val="20"/>
          <w:szCs w:val="20"/>
        </w:rPr>
        <w:t>Zadanie 9. Prowadzenie doradztwa w ochronie roślin</w:t>
      </w:r>
      <w:bookmarkEnd w:id="62"/>
      <w:bookmarkEnd w:id="63"/>
    </w:p>
    <w:p w14:paraId="64F06882" w14:textId="4143055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Zadaniem Centrum Doradztwa Rolniczego w Brwinowie i wojewódzkich ośrodków doradztwa rolniczego jest prowadzenie doradztwa w zakresie rolnictwa. Wojewódzkie ośrodki doradztwa rolniczego w ramach zadań z zakresu doradztwa rolniczego prowadzą szkolenia dla rolników i innych mieszkańców obszarów wiejskich, w szczególności w zakresie stosowania nowoczesnych metod agrotechnicznych i rolnictwa ekologicznego. Ponadto wojewódzkie ośrodki doradztwa rolniczego prowadzą działalność informacyjną wspierającą rozwój produkcji rolniczej, działalność w zakresie podnoszenia kwalifikacji zawodowych rolników i innych mieszkańców obszarów wiejskich oraz upowszechniają metody produkcji rolniczej. Zadania te obejmują także upowszechnianie wiedzy i przekazywanie użytkownikom środków ochrony roślin najnowszych informacji związanych z ochroną roślin. Właściwy sposób postępowania producentów rolnych stosujących środki ochrony roślin w największym stopniu ogranicza ryzyko związane z ich użyciem. Dlatego jest konieczne wykorzystanie profesjonalnego doradztwa w tym zakresie. </w:t>
      </w:r>
    </w:p>
    <w:p w14:paraId="75E631D1" w14:textId="2EE7EDC2"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Centrum Doradztwa Rolniczego w Brwinowie oraz wojewódzkie ośrodki doradztwa rolniczego </w:t>
      </w:r>
      <w:r w:rsidRPr="00721EAF">
        <w:rPr>
          <w:rFonts w:ascii="Arial" w:hAnsi="Arial" w:cs="Arial"/>
        </w:rPr>
        <w:t xml:space="preserve">współpracują z instytucjami administracji rządowej i samorządowej działającymi m.in. na rzecz ochrony roślin, </w:t>
      </w:r>
      <w:r w:rsidR="005D5EC0" w:rsidRPr="00721EAF">
        <w:rPr>
          <w:rFonts w:ascii="Arial" w:hAnsi="Arial" w:cs="Arial"/>
        </w:rPr>
        <w:t>a także</w:t>
      </w:r>
      <w:r w:rsidRPr="00721EAF">
        <w:rPr>
          <w:rFonts w:ascii="Arial" w:hAnsi="Arial" w:cs="Arial"/>
        </w:rPr>
        <w:t xml:space="preserve"> z instytutami badawczymi, uczelniami rolniczymi, Państwową Inspekcją Ochrony Roślin i Nasiennictwa</w:t>
      </w:r>
      <w:r>
        <w:rPr>
          <w:rFonts w:ascii="Arial" w:hAnsi="Arial" w:cs="Arial"/>
        </w:rPr>
        <w:t xml:space="preserve"> oraz izbami rolniczymi, branżowymi organizacjami rolników i innymi podmiotami </w:t>
      </w:r>
      <w:r>
        <w:rPr>
          <w:rFonts w:ascii="Arial" w:hAnsi="Arial" w:cs="Arial"/>
        </w:rPr>
        <w:lastRenderedPageBreak/>
        <w:t>gospodarczymi dostarczającymi środki do produkcji rolnej.</w:t>
      </w:r>
    </w:p>
    <w:p w14:paraId="1B122307" w14:textId="2C734685"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Centrum Doradztwa Rolniczego w Brwinowie </w:t>
      </w:r>
      <w:r w:rsidR="00AE5D76">
        <w:rPr>
          <w:rFonts w:ascii="Arial" w:hAnsi="Arial" w:cs="Arial"/>
        </w:rPr>
        <w:t>wraz z oddziałami (w Krakowie, Poznaniu, Radomiu i Warszawie oraz</w:t>
      </w:r>
      <w:r>
        <w:rPr>
          <w:rFonts w:ascii="Arial" w:hAnsi="Arial" w:cs="Arial"/>
        </w:rPr>
        <w:t xml:space="preserve"> z wojewódzkimi ośrodkami doradztwa rolniczego są jednostkami, które zajmują się kształceniem ustawicznym rolników i mieszkańców obszarów wiejskich. Doskonalenie kadry doradczej z ośrodków wojewódzkich jest realizowane przez system specjalistycznych szkoleń oraz organizowanie seminariów, konferencji i pokazów najlepszych praktyk rolniczych, stanowiąc ważny element gwarancji świadczenia wysokiej jakości usług doradczych.</w:t>
      </w:r>
    </w:p>
    <w:p w14:paraId="583F14E6" w14:textId="2913437A" w:rsidR="00B4484B" w:rsidRPr="00B4484B" w:rsidRDefault="0053639D" w:rsidP="00B4484B">
      <w:pPr>
        <w:pStyle w:val="NormalnyWeb"/>
        <w:tabs>
          <w:tab w:val="left" w:pos="284"/>
        </w:tabs>
        <w:spacing w:beforeAutospacing="0" w:after="120" w:afterAutospacing="0" w:line="360" w:lineRule="auto"/>
        <w:ind w:firstLine="284"/>
        <w:jc w:val="both"/>
        <w:rPr>
          <w:rFonts w:ascii="Arial" w:hAnsi="Arial" w:cs="Arial"/>
        </w:rPr>
      </w:pPr>
      <w:r w:rsidRPr="0053639D">
        <w:rPr>
          <w:rFonts w:ascii="Arial" w:hAnsi="Arial" w:cs="Arial"/>
        </w:rPr>
        <w:t xml:space="preserve">W </w:t>
      </w:r>
      <w:r w:rsidR="00767B6D">
        <w:rPr>
          <w:rFonts w:ascii="Arial" w:hAnsi="Arial" w:cs="Arial"/>
        </w:rPr>
        <w:t>2023</w:t>
      </w:r>
      <w:r w:rsidR="00DB3551">
        <w:rPr>
          <w:rFonts w:ascii="Arial" w:hAnsi="Arial" w:cs="Arial"/>
        </w:rPr>
        <w:t xml:space="preserve"> r.</w:t>
      </w:r>
      <w:r w:rsidRPr="0053639D">
        <w:rPr>
          <w:rFonts w:ascii="Arial" w:hAnsi="Arial" w:cs="Arial"/>
        </w:rPr>
        <w:t xml:space="preserve"> Centrum Doradztwa Rolniczego</w:t>
      </w:r>
      <w:r w:rsidR="00AB7547">
        <w:rPr>
          <w:rFonts w:ascii="Arial" w:hAnsi="Arial" w:cs="Arial"/>
        </w:rPr>
        <w:t xml:space="preserve"> </w:t>
      </w:r>
      <w:r w:rsidR="009003DA">
        <w:rPr>
          <w:rFonts w:ascii="Arial" w:hAnsi="Arial" w:cs="Arial"/>
        </w:rPr>
        <w:t>z</w:t>
      </w:r>
      <w:r w:rsidRPr="0053639D">
        <w:rPr>
          <w:rFonts w:ascii="Arial" w:hAnsi="Arial" w:cs="Arial"/>
        </w:rPr>
        <w:t xml:space="preserve">organizowało szkolenia </w:t>
      </w:r>
      <w:r w:rsidR="00B4484B" w:rsidRPr="00B4484B">
        <w:rPr>
          <w:rFonts w:ascii="Arial" w:hAnsi="Arial" w:cs="Arial"/>
        </w:rPr>
        <w:t>w formie stacjonarnej oraz webinaria, w których uczestniczyło łącznie 718 osób. Szkolenia były kierowane do pracowników jednostek doradztwa rolniczego, izb rolniczych, prywatnych podmiotów doradczych oraz nauczycieli szkół rolniczych</w:t>
      </w:r>
      <w:r w:rsidR="00A16064">
        <w:rPr>
          <w:rFonts w:ascii="Arial" w:hAnsi="Arial" w:cs="Arial"/>
        </w:rPr>
        <w:t xml:space="preserve">. Tematyka szkoleń </w:t>
      </w:r>
      <w:r w:rsidR="00DE0B67">
        <w:rPr>
          <w:rFonts w:ascii="Arial" w:hAnsi="Arial" w:cs="Arial"/>
        </w:rPr>
        <w:t>obejmowała zagadnienia:</w:t>
      </w:r>
      <w:r w:rsidR="00B4484B" w:rsidRPr="00B4484B">
        <w:rPr>
          <w:rFonts w:ascii="Arial" w:hAnsi="Arial" w:cs="Arial"/>
        </w:rPr>
        <w:t xml:space="preserve"> </w:t>
      </w:r>
    </w:p>
    <w:p w14:paraId="0711AB94" w14:textId="3C8632C9" w:rsidR="00B4484B" w:rsidRPr="00B4484B" w:rsidRDefault="00B4484B"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484B">
        <w:rPr>
          <w:rFonts w:ascii="Arial" w:hAnsi="Arial" w:cs="Arial"/>
        </w:rPr>
        <w:t>Biologiczna ochrona upraw - 84 uczestników.</w:t>
      </w:r>
    </w:p>
    <w:p w14:paraId="4BEFEF15" w14:textId="3B04B11E" w:rsidR="00B4484B" w:rsidRPr="00B4484B" w:rsidRDefault="00B4484B"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484B">
        <w:rPr>
          <w:rFonts w:ascii="Arial" w:hAnsi="Arial" w:cs="Arial"/>
        </w:rPr>
        <w:t>Integrowana Produkcja Roślin w gospodarstwie -</w:t>
      </w:r>
      <w:r w:rsidR="005C76DC">
        <w:rPr>
          <w:rFonts w:ascii="Arial" w:hAnsi="Arial" w:cs="Arial"/>
        </w:rPr>
        <w:t xml:space="preserve"> </w:t>
      </w:r>
      <w:r w:rsidRPr="00B4484B">
        <w:rPr>
          <w:rFonts w:ascii="Arial" w:hAnsi="Arial" w:cs="Arial"/>
        </w:rPr>
        <w:t>256 uczestników,</w:t>
      </w:r>
    </w:p>
    <w:p w14:paraId="4EB3D9CF" w14:textId="1DC76B22" w:rsidR="00B4484B" w:rsidRPr="00B4484B" w:rsidRDefault="00B4484B"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484B">
        <w:rPr>
          <w:rFonts w:ascii="Arial" w:hAnsi="Arial" w:cs="Arial"/>
        </w:rPr>
        <w:t>Metody ochrony roślin w rolnictwie ekologicznym - 132 uczestników,</w:t>
      </w:r>
    </w:p>
    <w:p w14:paraId="64B7CA97" w14:textId="4AAC81A8" w:rsidR="00B4484B" w:rsidRPr="00B4484B" w:rsidRDefault="00B4484B"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484B">
        <w:rPr>
          <w:rFonts w:ascii="Arial" w:hAnsi="Arial" w:cs="Arial"/>
        </w:rPr>
        <w:t xml:space="preserve">Prowadzenie produkcji roślinnej w systemie Integrowanej Produkcji Roślin w ramach </w:t>
      </w:r>
      <w:r w:rsidR="0035577B">
        <w:rPr>
          <w:rFonts w:ascii="Arial" w:hAnsi="Arial" w:cs="Arial"/>
        </w:rPr>
        <w:t>s</w:t>
      </w:r>
      <w:r w:rsidRPr="00B4484B">
        <w:rPr>
          <w:rFonts w:ascii="Arial" w:hAnsi="Arial" w:cs="Arial"/>
        </w:rPr>
        <w:t>zkolenia podstawowego w zakresie doradzania prowadzonego przez doradców rolniczych - 144 uczestników</w:t>
      </w:r>
      <w:r w:rsidR="005C76DC">
        <w:rPr>
          <w:rFonts w:ascii="Arial" w:hAnsi="Arial" w:cs="Arial"/>
        </w:rPr>
        <w:t>,</w:t>
      </w:r>
    </w:p>
    <w:p w14:paraId="79E3EE60" w14:textId="0BB79009" w:rsidR="00B4484B" w:rsidRPr="00B4484B" w:rsidRDefault="00B4484B"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484B">
        <w:rPr>
          <w:rFonts w:ascii="Arial" w:hAnsi="Arial" w:cs="Arial"/>
        </w:rPr>
        <w:t>Integrowana Produkcja Roślin - zasady certyfikacji - 29 uczestników</w:t>
      </w:r>
      <w:r w:rsidR="005C76DC">
        <w:rPr>
          <w:rFonts w:ascii="Arial" w:hAnsi="Arial" w:cs="Arial"/>
        </w:rPr>
        <w:t>,</w:t>
      </w:r>
    </w:p>
    <w:p w14:paraId="619223F9" w14:textId="22F0F036" w:rsidR="00CA311A" w:rsidRDefault="00B4484B"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484B">
        <w:rPr>
          <w:rFonts w:ascii="Arial" w:hAnsi="Arial" w:cs="Arial"/>
        </w:rPr>
        <w:t>Aktualne problemy w ochronie upraw rolniczych - 73 uczestników.</w:t>
      </w:r>
    </w:p>
    <w:p w14:paraId="4C0A1A20" w14:textId="257C84DA" w:rsidR="00B42CA1" w:rsidRPr="00B42CA1" w:rsidRDefault="00B42CA1" w:rsidP="00A84EF1">
      <w:pPr>
        <w:pStyle w:val="NormalnyWeb"/>
        <w:tabs>
          <w:tab w:val="left" w:pos="284"/>
        </w:tabs>
        <w:spacing w:beforeAutospacing="0" w:after="120" w:afterAutospacing="0" w:line="360" w:lineRule="auto"/>
        <w:ind w:firstLine="284"/>
        <w:jc w:val="both"/>
        <w:rPr>
          <w:rFonts w:ascii="Arial" w:hAnsi="Arial" w:cs="Arial"/>
        </w:rPr>
      </w:pPr>
      <w:r w:rsidRPr="00B42CA1">
        <w:rPr>
          <w:rFonts w:ascii="Arial" w:hAnsi="Arial" w:cs="Arial"/>
        </w:rPr>
        <w:t>W 2023</w:t>
      </w:r>
      <w:r w:rsidR="00482FAD">
        <w:rPr>
          <w:rFonts w:ascii="Arial" w:hAnsi="Arial" w:cs="Arial"/>
        </w:rPr>
        <w:t> </w:t>
      </w:r>
      <w:r w:rsidRPr="00B42CA1">
        <w:rPr>
          <w:rFonts w:ascii="Arial" w:hAnsi="Arial" w:cs="Arial"/>
        </w:rPr>
        <w:t xml:space="preserve">r w elektronicznym biuletynie informacyjnym Centrum Doradztwa Rolniczego – pt. HORYZONT CDR, </w:t>
      </w:r>
      <w:r w:rsidR="00A05563">
        <w:rPr>
          <w:rFonts w:ascii="Arial" w:hAnsi="Arial" w:cs="Arial"/>
        </w:rPr>
        <w:t>przygotowano</w:t>
      </w:r>
      <w:r w:rsidRPr="00B42CA1">
        <w:rPr>
          <w:rFonts w:ascii="Arial" w:hAnsi="Arial" w:cs="Arial"/>
        </w:rPr>
        <w:t xml:space="preserve"> 4 artykuły poświęcone zagadnieniom związanym z ograniczaniem ryzyka związanego ze stosowaniem środków ochrony roślin. </w:t>
      </w:r>
    </w:p>
    <w:p w14:paraId="3A9915F7" w14:textId="3D5BF635" w:rsidR="00B42CA1" w:rsidRPr="00B42CA1" w:rsidRDefault="00B42CA1"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2CA1">
        <w:rPr>
          <w:rFonts w:ascii="Arial" w:hAnsi="Arial" w:cs="Arial"/>
        </w:rPr>
        <w:t>Regulacja zachwaszczenia w sadzie ekologicznym - HORYZONT CDR 2/2023</w:t>
      </w:r>
      <w:r w:rsidR="00CA47A5">
        <w:rPr>
          <w:rFonts w:ascii="Arial" w:hAnsi="Arial" w:cs="Arial"/>
        </w:rPr>
        <w:t>,</w:t>
      </w:r>
    </w:p>
    <w:p w14:paraId="1DEC847E" w14:textId="185C8D28" w:rsidR="00B42CA1" w:rsidRPr="00B42CA1" w:rsidRDefault="00B42CA1"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2CA1">
        <w:rPr>
          <w:rFonts w:ascii="Arial" w:hAnsi="Arial" w:cs="Arial"/>
        </w:rPr>
        <w:t>Środki mikrobiologiczne w rolnictwie - HORYZONT CDR 3/2023</w:t>
      </w:r>
      <w:r w:rsidR="00216869">
        <w:rPr>
          <w:rFonts w:ascii="Arial" w:hAnsi="Arial" w:cs="Arial"/>
        </w:rPr>
        <w:t>,</w:t>
      </w:r>
    </w:p>
    <w:p w14:paraId="15A38E7F" w14:textId="319FF02E" w:rsidR="00B42CA1" w:rsidRPr="00B42CA1" w:rsidRDefault="00B42CA1"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2CA1">
        <w:rPr>
          <w:rFonts w:ascii="Arial" w:hAnsi="Arial" w:cs="Arial"/>
        </w:rPr>
        <w:t>Mikroorganizmy pożyteczne w uprawach roślin rolniczych</w:t>
      </w:r>
      <w:r w:rsidR="00EB552E">
        <w:rPr>
          <w:rFonts w:ascii="Arial" w:hAnsi="Arial" w:cs="Arial"/>
        </w:rPr>
        <w:t>,</w:t>
      </w:r>
      <w:r w:rsidRPr="00B42CA1">
        <w:rPr>
          <w:rFonts w:ascii="Arial" w:hAnsi="Arial" w:cs="Arial"/>
        </w:rPr>
        <w:t xml:space="preserve"> identyfikacja i znaczenie - HORYZONT CDR 5/2023</w:t>
      </w:r>
      <w:r w:rsidR="00216869">
        <w:rPr>
          <w:rFonts w:ascii="Arial" w:hAnsi="Arial" w:cs="Arial"/>
        </w:rPr>
        <w:t>,</w:t>
      </w:r>
    </w:p>
    <w:p w14:paraId="0E2FCF1C" w14:textId="378C31BA" w:rsidR="00CA311A" w:rsidRDefault="00B42CA1"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B42CA1">
        <w:rPr>
          <w:rFonts w:ascii="Arial" w:hAnsi="Arial" w:cs="Arial"/>
        </w:rPr>
        <w:t>Ekologiczna uprawa malin - HORYZONT CDR 3/2023</w:t>
      </w:r>
      <w:r w:rsidR="00216869">
        <w:rPr>
          <w:rFonts w:ascii="Arial" w:hAnsi="Arial" w:cs="Arial"/>
        </w:rPr>
        <w:t>.</w:t>
      </w:r>
    </w:p>
    <w:p w14:paraId="2DD23A41" w14:textId="309FAE3B" w:rsidR="003D2578" w:rsidRDefault="00A84EF1" w:rsidP="00A84EF1">
      <w:pPr>
        <w:pStyle w:val="NormalnyWeb"/>
        <w:tabs>
          <w:tab w:val="left" w:pos="284"/>
        </w:tabs>
        <w:spacing w:before="120" w:beforeAutospacing="0" w:after="100" w:line="360" w:lineRule="auto"/>
        <w:ind w:firstLine="284"/>
        <w:jc w:val="both"/>
        <w:rPr>
          <w:rFonts w:ascii="Arial" w:hAnsi="Arial" w:cs="Arial"/>
        </w:rPr>
      </w:pPr>
      <w:r>
        <w:rPr>
          <w:rFonts w:ascii="Arial" w:hAnsi="Arial" w:cs="Arial"/>
        </w:rPr>
        <w:t>S</w:t>
      </w:r>
      <w:r w:rsidR="005B4E7D" w:rsidRPr="005B4E7D">
        <w:rPr>
          <w:rFonts w:ascii="Arial" w:hAnsi="Arial" w:cs="Arial"/>
        </w:rPr>
        <w:t xml:space="preserve">woją działalność szkoleniową, doradczą, informacyjną oraz upowszechnieniową prowadziły również wojewódzkie ośrodki doradztwa rolniczego. W tym czasie zrealizowano: </w:t>
      </w:r>
    </w:p>
    <w:p w14:paraId="15444935" w14:textId="795962A7" w:rsidR="003D2578" w:rsidRDefault="004346B4" w:rsidP="002C2ECE">
      <w:pPr>
        <w:pStyle w:val="NormalnyWeb"/>
        <w:tabs>
          <w:tab w:val="left" w:pos="284"/>
        </w:tabs>
        <w:spacing w:before="240" w:beforeAutospacing="0" w:after="120" w:afterAutospacing="0" w:line="360" w:lineRule="auto"/>
        <w:ind w:firstLine="284"/>
        <w:jc w:val="both"/>
        <w:rPr>
          <w:rFonts w:ascii="Arial" w:hAnsi="Arial" w:cs="Arial"/>
        </w:rPr>
      </w:pPr>
      <w:r w:rsidRPr="00EB53A2">
        <w:rPr>
          <w:noProof/>
        </w:rPr>
        <w:lastRenderedPageBreak/>
        <w:drawing>
          <wp:inline distT="0" distB="0" distL="0" distR="0" wp14:anchorId="5D2B566B" wp14:editId="5C5AF443">
            <wp:extent cx="5218981" cy="2173605"/>
            <wp:effectExtent l="0" t="0" r="0" b="0"/>
            <wp:docPr id="34366467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62495" cy="2275024"/>
                    </a:xfrm>
                    <a:prstGeom prst="rect">
                      <a:avLst/>
                    </a:prstGeom>
                    <a:noFill/>
                    <a:ln>
                      <a:noFill/>
                    </a:ln>
                  </pic:spPr>
                </pic:pic>
              </a:graphicData>
            </a:graphic>
          </wp:inline>
        </w:drawing>
      </w:r>
      <w:r w:rsidR="003D2578" w:rsidRPr="00BB4711">
        <w:rPr>
          <w:rFonts w:ascii="Arial" w:hAnsi="Arial" w:cs="Arial"/>
        </w:rPr>
        <w:t>Tematyka szkoleń</w:t>
      </w:r>
      <w:r w:rsidR="00BB4711">
        <w:rPr>
          <w:rFonts w:ascii="Arial" w:hAnsi="Arial" w:cs="Arial"/>
        </w:rPr>
        <w:t xml:space="preserve"> obejmowała </w:t>
      </w:r>
      <w:r w:rsidR="000844E7">
        <w:rPr>
          <w:rFonts w:ascii="Arial" w:hAnsi="Arial" w:cs="Arial"/>
        </w:rPr>
        <w:t xml:space="preserve">m.in. </w:t>
      </w:r>
      <w:r w:rsidR="0006081C">
        <w:rPr>
          <w:rFonts w:ascii="Arial" w:hAnsi="Arial" w:cs="Arial"/>
        </w:rPr>
        <w:t xml:space="preserve">zagadnienia </w:t>
      </w:r>
      <w:r w:rsidR="000844E7">
        <w:rPr>
          <w:rFonts w:ascii="Arial" w:hAnsi="Arial" w:cs="Arial"/>
        </w:rPr>
        <w:t>b</w:t>
      </w:r>
      <w:r w:rsidR="003D2578" w:rsidRPr="00BB4711">
        <w:rPr>
          <w:rFonts w:ascii="Arial" w:hAnsi="Arial" w:cs="Arial"/>
        </w:rPr>
        <w:t>ezpieczne</w:t>
      </w:r>
      <w:r w:rsidR="000844E7">
        <w:rPr>
          <w:rFonts w:ascii="Arial" w:hAnsi="Arial" w:cs="Arial"/>
        </w:rPr>
        <w:t>go</w:t>
      </w:r>
      <w:r w:rsidR="003D2578" w:rsidRPr="00BB4711">
        <w:rPr>
          <w:rFonts w:ascii="Arial" w:hAnsi="Arial" w:cs="Arial"/>
        </w:rPr>
        <w:t xml:space="preserve"> stosowanie środków ochrony roślin w</w:t>
      </w:r>
      <w:r w:rsidR="00097E3E">
        <w:rPr>
          <w:rFonts w:ascii="Arial" w:hAnsi="Arial" w:cs="Arial"/>
        </w:rPr>
        <w:t> </w:t>
      </w:r>
      <w:r w:rsidR="003D2578" w:rsidRPr="00BB4711">
        <w:rPr>
          <w:rFonts w:ascii="Arial" w:hAnsi="Arial" w:cs="Arial"/>
        </w:rPr>
        <w:t>gospodarstwach rolnych</w:t>
      </w:r>
      <w:r w:rsidR="000844E7">
        <w:rPr>
          <w:rFonts w:ascii="Arial" w:hAnsi="Arial" w:cs="Arial"/>
        </w:rPr>
        <w:t xml:space="preserve">, </w:t>
      </w:r>
      <w:r w:rsidR="00EF4C31">
        <w:rPr>
          <w:rFonts w:ascii="Arial" w:hAnsi="Arial" w:cs="Arial"/>
        </w:rPr>
        <w:t>s</w:t>
      </w:r>
      <w:r w:rsidR="003D2578" w:rsidRPr="00BB4711">
        <w:rPr>
          <w:rFonts w:ascii="Arial" w:hAnsi="Arial" w:cs="Arial"/>
        </w:rPr>
        <w:t>tosowani</w:t>
      </w:r>
      <w:r w:rsidR="00EF4C31">
        <w:rPr>
          <w:rFonts w:ascii="Arial" w:hAnsi="Arial" w:cs="Arial"/>
        </w:rPr>
        <w:t>a</w:t>
      </w:r>
      <w:r w:rsidR="003D2578" w:rsidRPr="00BB4711">
        <w:rPr>
          <w:rFonts w:ascii="Arial" w:hAnsi="Arial" w:cs="Arial"/>
        </w:rPr>
        <w:t xml:space="preserve"> środków ochrony roślin sprzętem naziemnym</w:t>
      </w:r>
      <w:r w:rsidR="00EF4C31">
        <w:rPr>
          <w:rFonts w:ascii="Arial" w:hAnsi="Arial" w:cs="Arial"/>
        </w:rPr>
        <w:t>,</w:t>
      </w:r>
      <w:r w:rsidR="003D2578" w:rsidRPr="00BB4711">
        <w:rPr>
          <w:rFonts w:ascii="Arial" w:hAnsi="Arial" w:cs="Arial"/>
        </w:rPr>
        <w:t xml:space="preserve"> </w:t>
      </w:r>
      <w:r w:rsidR="00EF4C31">
        <w:rPr>
          <w:rFonts w:ascii="Arial" w:hAnsi="Arial" w:cs="Arial"/>
        </w:rPr>
        <w:t>i</w:t>
      </w:r>
      <w:r w:rsidR="003D2578" w:rsidRPr="00BB4711">
        <w:rPr>
          <w:rFonts w:ascii="Arial" w:hAnsi="Arial" w:cs="Arial"/>
        </w:rPr>
        <w:t>ntegrowan</w:t>
      </w:r>
      <w:r w:rsidR="00EF4C31">
        <w:rPr>
          <w:rFonts w:ascii="Arial" w:hAnsi="Arial" w:cs="Arial"/>
        </w:rPr>
        <w:t>ej</w:t>
      </w:r>
      <w:r w:rsidR="003D2578" w:rsidRPr="00BB4711">
        <w:rPr>
          <w:rFonts w:ascii="Arial" w:hAnsi="Arial" w:cs="Arial"/>
        </w:rPr>
        <w:t xml:space="preserve"> produkcja owoców</w:t>
      </w:r>
      <w:r w:rsidR="00722FE4">
        <w:rPr>
          <w:rFonts w:ascii="Arial" w:hAnsi="Arial" w:cs="Arial"/>
        </w:rPr>
        <w:t>,</w:t>
      </w:r>
      <w:r w:rsidR="001215EA">
        <w:rPr>
          <w:rFonts w:ascii="Arial" w:hAnsi="Arial" w:cs="Arial"/>
        </w:rPr>
        <w:t xml:space="preserve"> </w:t>
      </w:r>
      <w:r w:rsidR="003D2578" w:rsidRPr="00BB4711">
        <w:rPr>
          <w:rFonts w:ascii="Arial" w:hAnsi="Arial" w:cs="Arial"/>
        </w:rPr>
        <w:t>rzepaku ozimego i jarego</w:t>
      </w:r>
      <w:r w:rsidR="00722FE4">
        <w:rPr>
          <w:rFonts w:ascii="Arial" w:hAnsi="Arial" w:cs="Arial"/>
        </w:rPr>
        <w:t xml:space="preserve">, </w:t>
      </w:r>
      <w:r w:rsidR="003D2578" w:rsidRPr="00BB4711">
        <w:rPr>
          <w:rFonts w:ascii="Arial" w:hAnsi="Arial" w:cs="Arial"/>
        </w:rPr>
        <w:t>cebulowych</w:t>
      </w:r>
      <w:r w:rsidR="000542C9">
        <w:rPr>
          <w:rFonts w:ascii="Arial" w:hAnsi="Arial" w:cs="Arial"/>
        </w:rPr>
        <w:t>,</w:t>
      </w:r>
      <w:r w:rsidR="003D2578" w:rsidRPr="00712B6F">
        <w:rPr>
          <w:rFonts w:ascii="Arial" w:hAnsi="Arial" w:cs="Arial"/>
        </w:rPr>
        <w:t xml:space="preserve"> </w:t>
      </w:r>
      <w:r w:rsidR="005E54B6" w:rsidRPr="00712B6F">
        <w:rPr>
          <w:rFonts w:ascii="Arial" w:hAnsi="Arial" w:cs="Arial"/>
        </w:rPr>
        <w:t>i</w:t>
      </w:r>
      <w:r w:rsidR="003D2578" w:rsidRPr="005E54B6">
        <w:rPr>
          <w:rFonts w:ascii="Arial" w:hAnsi="Arial" w:cs="Arial"/>
        </w:rPr>
        <w:t>ntegrowan</w:t>
      </w:r>
      <w:r w:rsidR="005E54B6">
        <w:rPr>
          <w:rFonts w:ascii="Arial" w:hAnsi="Arial" w:cs="Arial"/>
        </w:rPr>
        <w:t>ej</w:t>
      </w:r>
      <w:r w:rsidR="003D2578" w:rsidRPr="005E54B6">
        <w:rPr>
          <w:rFonts w:ascii="Arial" w:hAnsi="Arial" w:cs="Arial"/>
        </w:rPr>
        <w:t xml:space="preserve"> ochrona owoców z krzewów jagodowych</w:t>
      </w:r>
      <w:r w:rsidR="00CF665C">
        <w:rPr>
          <w:rFonts w:ascii="Arial" w:hAnsi="Arial" w:cs="Arial"/>
        </w:rPr>
        <w:t>, truskawek, zbóż,</w:t>
      </w:r>
      <w:r w:rsidR="007601C9">
        <w:rPr>
          <w:rFonts w:ascii="Arial" w:hAnsi="Arial" w:cs="Arial"/>
        </w:rPr>
        <w:t xml:space="preserve"> k</w:t>
      </w:r>
      <w:r w:rsidR="003D2578" w:rsidRPr="005E54B6">
        <w:rPr>
          <w:rFonts w:ascii="Arial" w:hAnsi="Arial" w:cs="Arial"/>
        </w:rPr>
        <w:t>ompleksowe</w:t>
      </w:r>
      <w:r w:rsidR="007601C9">
        <w:rPr>
          <w:rFonts w:ascii="Arial" w:hAnsi="Arial" w:cs="Arial"/>
        </w:rPr>
        <w:t>go</w:t>
      </w:r>
      <w:r w:rsidR="003D2578" w:rsidRPr="005E54B6">
        <w:rPr>
          <w:rFonts w:ascii="Arial" w:hAnsi="Arial" w:cs="Arial"/>
        </w:rPr>
        <w:t xml:space="preserve"> podejście do zwalczania chwastów</w:t>
      </w:r>
      <w:r w:rsidR="007601C9">
        <w:rPr>
          <w:rFonts w:ascii="Arial" w:hAnsi="Arial" w:cs="Arial"/>
        </w:rPr>
        <w:t xml:space="preserve"> oraz d</w:t>
      </w:r>
      <w:r w:rsidR="003D2578" w:rsidRPr="005E54B6">
        <w:rPr>
          <w:rFonts w:ascii="Arial" w:hAnsi="Arial" w:cs="Arial"/>
        </w:rPr>
        <w:t>oradztw</w:t>
      </w:r>
      <w:r w:rsidR="007601C9">
        <w:rPr>
          <w:rFonts w:ascii="Arial" w:hAnsi="Arial" w:cs="Arial"/>
        </w:rPr>
        <w:t>a</w:t>
      </w:r>
      <w:r w:rsidR="003D2578" w:rsidRPr="005E54B6">
        <w:rPr>
          <w:rFonts w:ascii="Arial" w:hAnsi="Arial" w:cs="Arial"/>
        </w:rPr>
        <w:t xml:space="preserve"> dotyczące</w:t>
      </w:r>
      <w:r w:rsidR="00112E50">
        <w:rPr>
          <w:rFonts w:ascii="Arial" w:hAnsi="Arial" w:cs="Arial"/>
        </w:rPr>
        <w:t>go</w:t>
      </w:r>
      <w:r w:rsidR="003D2578" w:rsidRPr="005E54B6">
        <w:rPr>
          <w:rFonts w:ascii="Arial" w:hAnsi="Arial" w:cs="Arial"/>
        </w:rPr>
        <w:t xml:space="preserve"> środków ochrony roślin</w:t>
      </w:r>
      <w:r w:rsidR="00A70F47">
        <w:rPr>
          <w:rFonts w:ascii="Arial" w:hAnsi="Arial" w:cs="Arial"/>
        </w:rPr>
        <w:t>.</w:t>
      </w:r>
    </w:p>
    <w:p w14:paraId="07582E61" w14:textId="2A9AF3AC" w:rsidR="00A70F47" w:rsidRPr="005E54B6" w:rsidRDefault="00D15778" w:rsidP="002C2ECE">
      <w:pPr>
        <w:pStyle w:val="NormalnyWeb"/>
        <w:tabs>
          <w:tab w:val="left" w:pos="284"/>
        </w:tabs>
        <w:spacing w:beforeAutospacing="0" w:after="120" w:afterAutospacing="0" w:line="360" w:lineRule="auto"/>
        <w:ind w:firstLine="284"/>
        <w:jc w:val="both"/>
        <w:rPr>
          <w:rFonts w:ascii="Arial" w:hAnsi="Arial" w:cs="Arial"/>
        </w:rPr>
      </w:pPr>
      <w:r w:rsidRPr="00D15778">
        <w:rPr>
          <w:rFonts w:ascii="Arial" w:hAnsi="Arial" w:cs="Arial"/>
        </w:rPr>
        <w:t xml:space="preserve">Jednostki doradztwa rolniczego (CDR oraz WODR) prowadziły </w:t>
      </w:r>
      <w:r w:rsidR="00134524">
        <w:rPr>
          <w:rFonts w:ascii="Arial" w:hAnsi="Arial" w:cs="Arial"/>
        </w:rPr>
        <w:t xml:space="preserve">również odpłatnie </w:t>
      </w:r>
      <w:r w:rsidRPr="00D15778">
        <w:rPr>
          <w:rFonts w:ascii="Arial" w:hAnsi="Arial" w:cs="Arial"/>
        </w:rPr>
        <w:t>działalność szkoleniową na podstawie uprawnień nadanych przez Wojewódzkie Inspektoraty Ochrony Roślin i</w:t>
      </w:r>
      <w:r w:rsidR="00134524">
        <w:rPr>
          <w:rFonts w:ascii="Arial" w:hAnsi="Arial" w:cs="Arial"/>
        </w:rPr>
        <w:t> </w:t>
      </w:r>
      <w:r w:rsidRPr="00D15778">
        <w:rPr>
          <w:rFonts w:ascii="Arial" w:hAnsi="Arial" w:cs="Arial"/>
        </w:rPr>
        <w:t>Nasiennictwa. Były to m.in. szkolenia przedstawione w Działaniu 1 niniejszego sprawozdania.</w:t>
      </w:r>
    </w:p>
    <w:p w14:paraId="04FBCFEB" w14:textId="0AAA874C" w:rsidR="00712B6F" w:rsidRPr="00712B6F" w:rsidRDefault="00437B6F" w:rsidP="00712B6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712B6F" w:rsidRPr="00712B6F">
        <w:rPr>
          <w:rFonts w:ascii="Arial" w:hAnsi="Arial" w:cs="Arial"/>
        </w:rPr>
        <w:t>ojewódzkie ośrodki doradztwa rolniczego zrealizowały 14 konferencji dla 1</w:t>
      </w:r>
      <w:r w:rsidR="00F847BB">
        <w:rPr>
          <w:rFonts w:ascii="Arial" w:hAnsi="Arial" w:cs="Arial"/>
        </w:rPr>
        <w:t> </w:t>
      </w:r>
      <w:r w:rsidR="00712B6F" w:rsidRPr="00712B6F">
        <w:rPr>
          <w:rFonts w:ascii="Arial" w:hAnsi="Arial" w:cs="Arial"/>
        </w:rPr>
        <w:t>375 osób, oraz 128 warsztatów terenowych dla grupy 1</w:t>
      </w:r>
      <w:r w:rsidR="00F847BB">
        <w:rPr>
          <w:rFonts w:ascii="Arial" w:hAnsi="Arial" w:cs="Arial"/>
        </w:rPr>
        <w:t> </w:t>
      </w:r>
      <w:r w:rsidR="00712B6F" w:rsidRPr="00712B6F">
        <w:rPr>
          <w:rFonts w:ascii="Arial" w:hAnsi="Arial" w:cs="Arial"/>
        </w:rPr>
        <w:t>968 uczestników.</w:t>
      </w:r>
      <w:r w:rsidR="008142CC">
        <w:rPr>
          <w:rFonts w:ascii="Arial" w:hAnsi="Arial" w:cs="Arial"/>
        </w:rPr>
        <w:t xml:space="preserve"> </w:t>
      </w:r>
    </w:p>
    <w:p w14:paraId="2055D1CB" w14:textId="03F0FF21" w:rsidR="00712B6F" w:rsidRPr="00712B6F" w:rsidRDefault="00BE4505" w:rsidP="00712B6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U</w:t>
      </w:r>
      <w:r w:rsidR="00712B6F" w:rsidRPr="00712B6F">
        <w:rPr>
          <w:rFonts w:ascii="Arial" w:hAnsi="Arial" w:cs="Arial"/>
        </w:rPr>
        <w:t xml:space="preserve">powszechniały wiedzę i informacje dotyczące zagadnień prawidłowego stosowania środków ochrony roślin w ramach publikowanych przez nich wydawnictw (drukowanych i elektronicznych). </w:t>
      </w:r>
    </w:p>
    <w:p w14:paraId="1088BB8B" w14:textId="45F74D1F" w:rsidR="00712B6F" w:rsidRPr="00712B6F" w:rsidRDefault="00712B6F" w:rsidP="00712B6F">
      <w:pPr>
        <w:pStyle w:val="NormalnyWeb"/>
        <w:tabs>
          <w:tab w:val="left" w:pos="284"/>
        </w:tabs>
        <w:spacing w:beforeAutospacing="0" w:after="120" w:afterAutospacing="0" w:line="360" w:lineRule="auto"/>
        <w:ind w:firstLine="284"/>
        <w:jc w:val="both"/>
        <w:rPr>
          <w:rFonts w:ascii="Arial" w:hAnsi="Arial" w:cs="Arial"/>
        </w:rPr>
      </w:pPr>
      <w:r w:rsidRPr="00712B6F">
        <w:rPr>
          <w:rFonts w:ascii="Arial" w:hAnsi="Arial" w:cs="Arial"/>
        </w:rPr>
        <w:t>Były to: publikacje drukowane – 26 pozycji, publikacje elektroniczne – 38, informacje</w:t>
      </w:r>
      <w:r w:rsidR="00092421">
        <w:rPr>
          <w:rFonts w:ascii="Arial" w:hAnsi="Arial" w:cs="Arial"/>
        </w:rPr>
        <w:t>/</w:t>
      </w:r>
      <w:r w:rsidRPr="00712B6F">
        <w:rPr>
          <w:rFonts w:ascii="Arial" w:hAnsi="Arial" w:cs="Arial"/>
        </w:rPr>
        <w:t xml:space="preserve"> artykuły drukowane – 153, informacje</w:t>
      </w:r>
      <w:r w:rsidR="00870829">
        <w:rPr>
          <w:rFonts w:ascii="Arial" w:hAnsi="Arial" w:cs="Arial"/>
        </w:rPr>
        <w:t>/</w:t>
      </w:r>
      <w:r w:rsidRPr="00712B6F">
        <w:rPr>
          <w:rFonts w:ascii="Arial" w:hAnsi="Arial" w:cs="Arial"/>
        </w:rPr>
        <w:t xml:space="preserve"> artykuły elektroniczne – 133 pozycje.</w:t>
      </w:r>
    </w:p>
    <w:p w14:paraId="6A9466EE" w14:textId="3B566D16" w:rsidR="00712B6F" w:rsidRDefault="00203110" w:rsidP="00712B6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Wśród nich </w:t>
      </w:r>
      <w:r w:rsidR="00406311">
        <w:rPr>
          <w:rFonts w:ascii="Arial" w:hAnsi="Arial" w:cs="Arial"/>
        </w:rPr>
        <w:t>znalazły się m. in:</w:t>
      </w:r>
      <w:r w:rsidR="00EC1119">
        <w:rPr>
          <w:rFonts w:ascii="Arial" w:hAnsi="Arial" w:cs="Arial"/>
        </w:rPr>
        <w:t xml:space="preserve"> </w:t>
      </w:r>
      <w:r w:rsidR="00712B6F" w:rsidRPr="00712B6F">
        <w:rPr>
          <w:rFonts w:ascii="Arial" w:hAnsi="Arial" w:cs="Arial"/>
        </w:rPr>
        <w:t>„Technika ochrony upraw polowych”, „Odmiany zbóż jarych”, „Dokumentacja dotycząca stosowania środków ochrony roślin”</w:t>
      </w:r>
      <w:r w:rsidR="00B20FB9">
        <w:rPr>
          <w:rFonts w:ascii="Arial" w:hAnsi="Arial" w:cs="Arial"/>
        </w:rPr>
        <w:t>,</w:t>
      </w:r>
      <w:r w:rsidR="001A6F55">
        <w:rPr>
          <w:rFonts w:ascii="Arial" w:hAnsi="Arial" w:cs="Arial"/>
        </w:rPr>
        <w:t xml:space="preserve"> „</w:t>
      </w:r>
      <w:r w:rsidR="00712B6F" w:rsidRPr="00712B6F">
        <w:rPr>
          <w:rFonts w:ascii="Arial" w:hAnsi="Arial" w:cs="Arial"/>
        </w:rPr>
        <w:t>Od siewu do zbioru z ochroną biologiczną w uprawie zbóż”, „Integrowana ochrona zbóż ozimych” „Technika stosowania środków ochrony roślin”, „Integrowana produkcja i integrowana ochrona roślin”</w:t>
      </w:r>
      <w:r w:rsidR="009C28FC">
        <w:rPr>
          <w:rFonts w:ascii="Arial" w:hAnsi="Arial" w:cs="Arial"/>
        </w:rPr>
        <w:t xml:space="preserve">, </w:t>
      </w:r>
      <w:r w:rsidR="00712B6F" w:rsidRPr="00712B6F">
        <w:rPr>
          <w:rFonts w:ascii="Arial" w:hAnsi="Arial" w:cs="Arial"/>
        </w:rPr>
        <w:t>„Uprawa borówki wysokiej”, „Antraknoza truskawki - choroba coraz częściej spotykana na plantacjach truskawek”</w:t>
      </w:r>
      <w:r w:rsidR="00E418F5">
        <w:rPr>
          <w:rFonts w:ascii="Arial" w:hAnsi="Arial" w:cs="Arial"/>
        </w:rPr>
        <w:t xml:space="preserve">, </w:t>
      </w:r>
      <w:r w:rsidR="00712B6F" w:rsidRPr="00712B6F">
        <w:rPr>
          <w:rFonts w:ascii="Arial" w:hAnsi="Arial" w:cs="Arial"/>
        </w:rPr>
        <w:t>„Zasady przygotowania, przechowywania i stosowania środków ochrony roślin”, „Certyfikacja integrowanej produkcji roślin - krok po kroku”</w:t>
      </w:r>
      <w:r w:rsidR="00B822FE">
        <w:rPr>
          <w:rFonts w:ascii="Arial" w:hAnsi="Arial" w:cs="Arial"/>
        </w:rPr>
        <w:t xml:space="preserve">, </w:t>
      </w:r>
      <w:r w:rsidR="00712B6F" w:rsidRPr="00712B6F">
        <w:rPr>
          <w:rFonts w:ascii="Arial" w:hAnsi="Arial" w:cs="Arial"/>
        </w:rPr>
        <w:t>„Ekoschemat: Integrowana Produkcja Roślin z obowiązkiem biologicznej ochrony?” „Biologiczna ochrona - element integrowanej ochrony”, „Nielegalne pestycydy zagrożeniem dla życia i zdrowia”</w:t>
      </w:r>
      <w:r w:rsidR="00D5506A">
        <w:rPr>
          <w:rFonts w:ascii="Arial" w:hAnsi="Arial" w:cs="Arial"/>
        </w:rPr>
        <w:t>.</w:t>
      </w:r>
    </w:p>
    <w:p w14:paraId="1035F6ED" w14:textId="09EF8FB4" w:rsidR="00543AFE" w:rsidRPr="00543AFE" w:rsidRDefault="00543AFE" w:rsidP="00543AFE">
      <w:pPr>
        <w:pStyle w:val="NormalnyWeb"/>
        <w:tabs>
          <w:tab w:val="left" w:pos="284"/>
        </w:tabs>
        <w:spacing w:beforeAutospacing="0" w:after="120" w:afterAutospacing="0" w:line="360" w:lineRule="auto"/>
        <w:ind w:firstLine="284"/>
        <w:jc w:val="both"/>
        <w:rPr>
          <w:rFonts w:ascii="Arial" w:hAnsi="Arial" w:cs="Arial"/>
        </w:rPr>
      </w:pPr>
      <w:r w:rsidRPr="00543AFE">
        <w:rPr>
          <w:rFonts w:ascii="Arial" w:hAnsi="Arial" w:cs="Arial"/>
        </w:rPr>
        <w:t>W 2023 r. ośrodki doradztwa rolniczego udzieliły 33</w:t>
      </w:r>
      <w:r w:rsidR="00FA2753">
        <w:rPr>
          <w:rFonts w:ascii="Arial" w:hAnsi="Arial" w:cs="Arial"/>
        </w:rPr>
        <w:t> </w:t>
      </w:r>
      <w:r w:rsidRPr="00543AFE">
        <w:rPr>
          <w:rFonts w:ascii="Arial" w:hAnsi="Arial" w:cs="Arial"/>
        </w:rPr>
        <w:t>605 porad indywidualnych oraz przekazały 23</w:t>
      </w:r>
      <w:r w:rsidR="000D01E3">
        <w:rPr>
          <w:rFonts w:ascii="Arial" w:hAnsi="Arial" w:cs="Arial"/>
        </w:rPr>
        <w:t> </w:t>
      </w:r>
      <w:r w:rsidRPr="00543AFE">
        <w:rPr>
          <w:rFonts w:ascii="Arial" w:hAnsi="Arial" w:cs="Arial"/>
        </w:rPr>
        <w:t>322 informacje nt. upowszechniania wiedzy z zakresu integrowanej ochrony roślin, oraz prowadzenia doradztwa w ochronie roślin.</w:t>
      </w:r>
    </w:p>
    <w:p w14:paraId="04A4FB8E" w14:textId="014E8BD6" w:rsidR="00543AFE" w:rsidRDefault="00543AFE" w:rsidP="00543AFE">
      <w:pPr>
        <w:pStyle w:val="NormalnyWeb"/>
        <w:tabs>
          <w:tab w:val="left" w:pos="284"/>
        </w:tabs>
        <w:spacing w:beforeAutospacing="0" w:after="120" w:afterAutospacing="0" w:line="360" w:lineRule="auto"/>
        <w:ind w:firstLine="284"/>
        <w:jc w:val="both"/>
        <w:rPr>
          <w:rFonts w:ascii="Arial" w:hAnsi="Arial" w:cs="Arial"/>
        </w:rPr>
      </w:pPr>
      <w:r w:rsidRPr="00543AFE">
        <w:rPr>
          <w:rFonts w:ascii="Arial" w:hAnsi="Arial" w:cs="Arial"/>
        </w:rPr>
        <w:t xml:space="preserve">Porady i informacje obejmowały następującą tematykę: sposoby ochrony roślin, nowe rozwiązania w produkcji roślinnej, produkcja roślinna, produkcja ogrodnicza, sektor owoców i warzyw, zasady </w:t>
      </w:r>
      <w:r w:rsidRPr="00543AFE">
        <w:rPr>
          <w:rFonts w:ascii="Arial" w:hAnsi="Arial" w:cs="Arial"/>
        </w:rPr>
        <w:lastRenderedPageBreak/>
        <w:t>integrowanej produkcji roślin, integrowana ochrona roślin, bhp w ochronie roślin, raporty z monitoringu agrofagów, zasady przeciwdziałania i adaptacji do zmian klimatu na poziomie gospodarstwa.</w:t>
      </w:r>
    </w:p>
    <w:p w14:paraId="32AB1CFA" w14:textId="5D566604" w:rsidR="001D67B3" w:rsidRPr="00FF0C93" w:rsidRDefault="001D67B3" w:rsidP="001D67B3">
      <w:pPr>
        <w:pStyle w:val="NormalnyWeb"/>
        <w:tabs>
          <w:tab w:val="left" w:pos="284"/>
        </w:tabs>
        <w:spacing w:beforeAutospacing="0" w:after="120" w:afterAutospacing="0" w:line="360" w:lineRule="auto"/>
        <w:ind w:firstLine="284"/>
        <w:jc w:val="both"/>
        <w:rPr>
          <w:rFonts w:ascii="Arial" w:hAnsi="Arial" w:cs="Arial"/>
        </w:rPr>
      </w:pPr>
      <w:r w:rsidRPr="00FF0C93">
        <w:rPr>
          <w:rFonts w:ascii="Arial" w:hAnsi="Arial" w:cs="Arial"/>
        </w:rPr>
        <w:t>W 2023</w:t>
      </w:r>
      <w:r>
        <w:rPr>
          <w:rFonts w:ascii="Arial" w:hAnsi="Arial" w:cs="Arial"/>
        </w:rPr>
        <w:t> </w:t>
      </w:r>
      <w:r w:rsidRPr="00FF0C93">
        <w:rPr>
          <w:rFonts w:ascii="Arial" w:hAnsi="Arial" w:cs="Arial"/>
        </w:rPr>
        <w:t>r</w:t>
      </w:r>
      <w:r>
        <w:rPr>
          <w:rFonts w:ascii="Arial" w:hAnsi="Arial" w:cs="Arial"/>
        </w:rPr>
        <w:t>.</w:t>
      </w:r>
      <w:r w:rsidRPr="00FF0C93">
        <w:rPr>
          <w:rFonts w:ascii="Arial" w:hAnsi="Arial" w:cs="Arial"/>
        </w:rPr>
        <w:t xml:space="preserve"> realizowanych było </w:t>
      </w:r>
      <w:r>
        <w:rPr>
          <w:rFonts w:ascii="Arial" w:hAnsi="Arial" w:cs="Arial"/>
        </w:rPr>
        <w:t xml:space="preserve">przez środki doradztwa rolniczego </w:t>
      </w:r>
      <w:r w:rsidRPr="00FF0C93">
        <w:rPr>
          <w:rFonts w:ascii="Arial" w:hAnsi="Arial" w:cs="Arial"/>
        </w:rPr>
        <w:t>wiele projektów obejmujących swoją tematyką działania na rzecz ograniczenia ryzyka związanego ze stosowaniem środków ochrony roślin</w:t>
      </w:r>
      <w:r>
        <w:rPr>
          <w:rFonts w:ascii="Arial" w:hAnsi="Arial" w:cs="Arial"/>
        </w:rPr>
        <w:t>:</w:t>
      </w:r>
    </w:p>
    <w:p w14:paraId="69837DC8" w14:textId="00C4617C" w:rsidR="001D67B3" w:rsidRPr="006F66C7"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6F66C7">
        <w:rPr>
          <w:rFonts w:ascii="Arial" w:hAnsi="Arial" w:cs="Arial"/>
        </w:rPr>
        <w:t>IPMWORKS - Europejska sieć gospodarstw demonstrująca efektywne rozwiązania w zakresie integrowanej ochrony roślin (IO). Lata realizacji 2020-2025. 950 odbiorców. Odbiorcami są zarówno rolnicy (głównie zaangażowani w projekcie ale też ich goście na wydarzeniach demonstracyjnych i szkoleniowych), jak i doradcy oraz grupy interesariuszy złożone z</w:t>
      </w:r>
      <w:r>
        <w:rPr>
          <w:rFonts w:ascii="Arial" w:hAnsi="Arial" w:cs="Arial"/>
        </w:rPr>
        <w:t> </w:t>
      </w:r>
      <w:r w:rsidRPr="006F66C7">
        <w:rPr>
          <w:rFonts w:ascii="Arial" w:hAnsi="Arial" w:cs="Arial"/>
        </w:rPr>
        <w:t>przedstawicieli wspierających instytucji, w Polsce to m.in. MRiRW, CRD, IOR</w:t>
      </w:r>
      <w:r w:rsidR="00BC7A8F">
        <w:rPr>
          <w:rFonts w:ascii="Arial" w:hAnsi="Arial" w:cs="Arial"/>
        </w:rPr>
        <w:t xml:space="preserve"> – </w:t>
      </w:r>
      <w:r w:rsidRPr="006F66C7">
        <w:rPr>
          <w:rFonts w:ascii="Arial" w:hAnsi="Arial" w:cs="Arial"/>
        </w:rPr>
        <w:t>PIB, PSOR.</w:t>
      </w:r>
    </w:p>
    <w:p w14:paraId="747D4F20" w14:textId="77777777" w:rsidR="001D67B3" w:rsidRPr="00FF0C93"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FF0C93">
        <w:rPr>
          <w:rFonts w:ascii="Arial" w:hAnsi="Arial" w:cs="Arial"/>
        </w:rPr>
        <w:t>Ochrona bioróżnorodności biologicznej w warunkach produkcji rolnej</w:t>
      </w:r>
      <w:r>
        <w:rPr>
          <w:rFonts w:ascii="Arial" w:hAnsi="Arial" w:cs="Arial"/>
        </w:rPr>
        <w:t xml:space="preserve">, </w:t>
      </w:r>
      <w:r w:rsidRPr="00FF0C93">
        <w:rPr>
          <w:rFonts w:ascii="Arial" w:hAnsi="Arial" w:cs="Arial"/>
        </w:rPr>
        <w:t>w ramach realizacji projektu odbyło się 227 szkoleń przeprowadzonych przez wojewódzkie ośrodki doradztwa rolniczego</w:t>
      </w:r>
      <w:r>
        <w:rPr>
          <w:rFonts w:ascii="Arial" w:hAnsi="Arial" w:cs="Arial"/>
        </w:rPr>
        <w:t>,</w:t>
      </w:r>
      <w:r w:rsidRPr="00FF0C93">
        <w:rPr>
          <w:rFonts w:ascii="Arial" w:hAnsi="Arial" w:cs="Arial"/>
        </w:rPr>
        <w:t xml:space="preserve"> przeszkolono 5</w:t>
      </w:r>
      <w:r>
        <w:rPr>
          <w:rFonts w:ascii="Arial" w:hAnsi="Arial" w:cs="Arial"/>
        </w:rPr>
        <w:t> </w:t>
      </w:r>
      <w:r w:rsidRPr="00FF0C93">
        <w:rPr>
          <w:rFonts w:ascii="Arial" w:hAnsi="Arial" w:cs="Arial"/>
        </w:rPr>
        <w:t>285 osób. Jednym z 7 tematów był temat "Zasady integrowanej ochrony roślin".</w:t>
      </w:r>
      <w:r>
        <w:rPr>
          <w:rFonts w:ascii="Arial" w:hAnsi="Arial" w:cs="Arial"/>
        </w:rPr>
        <w:t xml:space="preserve"> </w:t>
      </w:r>
      <w:r w:rsidRPr="00FF0C93">
        <w:rPr>
          <w:rFonts w:ascii="Arial" w:hAnsi="Arial" w:cs="Arial"/>
        </w:rPr>
        <w:t>Centrum Doradztwa Rolniczego w Brwinowie było liderem konsorcjum. W</w:t>
      </w:r>
      <w:r>
        <w:rPr>
          <w:rFonts w:ascii="Arial" w:hAnsi="Arial" w:cs="Arial"/>
        </w:rPr>
        <w:t> </w:t>
      </w:r>
      <w:r w:rsidRPr="00FF0C93">
        <w:rPr>
          <w:rFonts w:ascii="Arial" w:hAnsi="Arial" w:cs="Arial"/>
        </w:rPr>
        <w:t xml:space="preserve">ramach projektu odbiorcami byli: – rolnicy, właściciele lasów, domownicy rolnika, osoby zatrudnione w rolnictwie, małżonkowie rolników, młodzi rolnicy. </w:t>
      </w:r>
    </w:p>
    <w:p w14:paraId="065166EE" w14:textId="77777777" w:rsidR="001D67B3" w:rsidRPr="00FF0C93"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FF0C93">
        <w:rPr>
          <w:rFonts w:ascii="Arial" w:hAnsi="Arial" w:cs="Arial"/>
        </w:rPr>
        <w:t>„Integrowana ochrona roślin, w tym ocena zagrożenia agrofagami i pomoc rolnikowi w</w:t>
      </w:r>
      <w:r>
        <w:rPr>
          <w:rFonts w:ascii="Arial" w:hAnsi="Arial" w:cs="Arial"/>
        </w:rPr>
        <w:t> </w:t>
      </w:r>
      <w:r w:rsidRPr="00FF0C93">
        <w:rPr>
          <w:rFonts w:ascii="Arial" w:hAnsi="Arial" w:cs="Arial"/>
        </w:rPr>
        <w:t>podejmowaniu decyzji w zakresie stosowania metod i zabiegów” w ramach poddziałania 2.1 „Wsparcie korzystania z usług doradczych” objętego Programem Rozwoju Obszarów Wiejskich na lata 2014–2020. Realizacja 2023</w:t>
      </w:r>
      <w:r>
        <w:rPr>
          <w:rFonts w:ascii="Arial" w:hAnsi="Arial" w:cs="Arial"/>
        </w:rPr>
        <w:t>-</w:t>
      </w:r>
      <w:r w:rsidRPr="00FF0C93">
        <w:rPr>
          <w:rFonts w:ascii="Arial" w:hAnsi="Arial" w:cs="Arial"/>
        </w:rPr>
        <w:t>2025. III EDYCJA.</w:t>
      </w:r>
    </w:p>
    <w:p w14:paraId="7BE665F0" w14:textId="77777777" w:rsidR="001D67B3" w:rsidRPr="00FF0C93"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FF0C93">
        <w:rPr>
          <w:rFonts w:ascii="Arial" w:hAnsi="Arial" w:cs="Arial"/>
        </w:rPr>
        <w:t>„Integrowana ochrona roślin, w tym ocena zagrożenia agrofagami i pomoc rolnikowi w</w:t>
      </w:r>
      <w:r>
        <w:rPr>
          <w:rFonts w:ascii="Arial" w:hAnsi="Arial" w:cs="Arial"/>
        </w:rPr>
        <w:t> </w:t>
      </w:r>
      <w:r w:rsidRPr="00FF0C93">
        <w:rPr>
          <w:rFonts w:ascii="Arial" w:hAnsi="Arial" w:cs="Arial"/>
        </w:rPr>
        <w:t>podejmowaniu decyzji w zakresie stosowania metod i zabiegów” w ramach poddziałania 2.1 „Wsparcie korzystania z usług doradczych” objętego Programem Rozwoju Obszarów Wiejskich na lata 2014–2020. Realizacja 2021</w:t>
      </w:r>
      <w:r>
        <w:rPr>
          <w:rFonts w:ascii="Arial" w:hAnsi="Arial" w:cs="Arial"/>
        </w:rPr>
        <w:t>-</w:t>
      </w:r>
      <w:r w:rsidRPr="00FF0C93">
        <w:rPr>
          <w:rFonts w:ascii="Arial" w:hAnsi="Arial" w:cs="Arial"/>
        </w:rPr>
        <w:t>2023. II EDYCJA.</w:t>
      </w:r>
    </w:p>
    <w:p w14:paraId="50E1B234" w14:textId="77777777" w:rsidR="001D67B3" w:rsidRPr="00FF0C93"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FF0C93">
        <w:rPr>
          <w:rFonts w:ascii="Arial" w:hAnsi="Arial" w:cs="Arial"/>
        </w:rPr>
        <w:t>„Nowoczesne technologie uprawy zbóż” w ramach poddziałania „Wsparcie dla działań w</w:t>
      </w:r>
      <w:r>
        <w:rPr>
          <w:rFonts w:ascii="Arial" w:hAnsi="Arial" w:cs="Arial"/>
        </w:rPr>
        <w:t> </w:t>
      </w:r>
      <w:r w:rsidRPr="00FF0C93">
        <w:rPr>
          <w:rFonts w:ascii="Arial" w:hAnsi="Arial" w:cs="Arial"/>
        </w:rPr>
        <w:t>zakresie kształcenia zawodowego i nabywania umiejętności” w ramach działania „Transfer wiedzy i działania informacyjne” realizacja 2022-2023. W 2023</w:t>
      </w:r>
      <w:r>
        <w:rPr>
          <w:rFonts w:ascii="Arial" w:hAnsi="Arial" w:cs="Arial"/>
        </w:rPr>
        <w:t xml:space="preserve"> r. </w:t>
      </w:r>
      <w:r w:rsidRPr="00FF0C93">
        <w:rPr>
          <w:rFonts w:ascii="Arial" w:hAnsi="Arial" w:cs="Arial"/>
        </w:rPr>
        <w:t>przeszkolono 305 odbiorców.</w:t>
      </w:r>
    </w:p>
    <w:p w14:paraId="7D7E6534" w14:textId="77777777" w:rsidR="001D67B3" w:rsidRPr="00FF0C93"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FF0C93">
        <w:rPr>
          <w:rFonts w:ascii="Arial" w:hAnsi="Arial" w:cs="Arial"/>
        </w:rPr>
        <w:t>Interwencja I.14.2. Kompleksowe doradztwo rolnicze - moduł I - kompleksowe programy doradcze objęte PS WPR na lata 2023-2027. Realizacja w latach 2023</w:t>
      </w:r>
      <w:r>
        <w:rPr>
          <w:rFonts w:ascii="Arial" w:hAnsi="Arial" w:cs="Arial"/>
        </w:rPr>
        <w:t>-</w:t>
      </w:r>
      <w:r w:rsidRPr="00FF0C93">
        <w:rPr>
          <w:rFonts w:ascii="Arial" w:hAnsi="Arial" w:cs="Arial"/>
        </w:rPr>
        <w:t>2029</w:t>
      </w:r>
      <w:r>
        <w:rPr>
          <w:rFonts w:ascii="Arial" w:hAnsi="Arial" w:cs="Arial"/>
        </w:rPr>
        <w:t>.</w:t>
      </w:r>
      <w:r w:rsidRPr="00FF0C93">
        <w:rPr>
          <w:rFonts w:ascii="Arial" w:hAnsi="Arial" w:cs="Arial"/>
        </w:rPr>
        <w:t xml:space="preserve"> Rok 2023 – 62 odbiorców.</w:t>
      </w:r>
    </w:p>
    <w:p w14:paraId="74FD86CE" w14:textId="77777777" w:rsidR="001D67B3" w:rsidRPr="00FF0C93"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FF0C93">
        <w:rPr>
          <w:rFonts w:ascii="Arial" w:hAnsi="Arial" w:cs="Arial"/>
        </w:rPr>
        <w:t>Poddziałanie 1.1. Transfer wiedzy i działalność informacyjna objęta PROW 2014-2020, Operacja Nowoczesne technologie uprawy zbóż</w:t>
      </w:r>
      <w:r>
        <w:rPr>
          <w:rFonts w:ascii="Arial" w:hAnsi="Arial" w:cs="Arial"/>
        </w:rPr>
        <w:t xml:space="preserve"> </w:t>
      </w:r>
      <w:r w:rsidRPr="00FF0C93">
        <w:rPr>
          <w:rFonts w:ascii="Arial" w:hAnsi="Arial" w:cs="Arial"/>
        </w:rPr>
        <w:t>2022- 2023.</w:t>
      </w:r>
    </w:p>
    <w:p w14:paraId="3D29840C" w14:textId="77777777" w:rsidR="001D67B3" w:rsidRPr="00B97448"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F14695">
        <w:rPr>
          <w:rFonts w:ascii="Arial" w:hAnsi="Arial" w:cs="Arial"/>
        </w:rPr>
        <w:t>Aktualne wyzwania w nowoczesnych technologiach uprawy roślin jagodowych. Rok 2023 - 85 odbiorców.</w:t>
      </w:r>
    </w:p>
    <w:p w14:paraId="7CBB99E5" w14:textId="77777777" w:rsidR="001D67B3" w:rsidRPr="00D62C69"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D62C69">
        <w:rPr>
          <w:rFonts w:ascii="Arial" w:hAnsi="Arial" w:cs="Arial"/>
        </w:rPr>
        <w:t>ScaleAgData - prace związane z optymalizacją procesu zbierania danych do sygnalizacji agrofagów i uczenia maszynowego w rozpoznawaniu szkodników.</w:t>
      </w:r>
      <w:r>
        <w:rPr>
          <w:rFonts w:ascii="Arial" w:hAnsi="Arial" w:cs="Arial"/>
        </w:rPr>
        <w:t xml:space="preserve"> </w:t>
      </w:r>
      <w:r w:rsidRPr="00D62C69">
        <w:rPr>
          <w:rFonts w:ascii="Arial" w:hAnsi="Arial" w:cs="Arial"/>
        </w:rPr>
        <w:t>Realizacja w latach 2023-2026.</w:t>
      </w:r>
    </w:p>
    <w:p w14:paraId="440BE8B7" w14:textId="77777777" w:rsidR="001D67B3" w:rsidRPr="00FF0C93" w:rsidRDefault="001D67B3" w:rsidP="00E74A80">
      <w:pPr>
        <w:pStyle w:val="NormalnyWeb"/>
        <w:numPr>
          <w:ilvl w:val="0"/>
          <w:numId w:val="20"/>
        </w:numPr>
        <w:tabs>
          <w:tab w:val="left" w:pos="709"/>
        </w:tabs>
        <w:spacing w:beforeAutospacing="0" w:after="120" w:afterAutospacing="0" w:line="360" w:lineRule="auto"/>
        <w:ind w:left="709" w:hanging="425"/>
        <w:jc w:val="both"/>
        <w:rPr>
          <w:rFonts w:ascii="Arial" w:hAnsi="Arial" w:cs="Arial"/>
        </w:rPr>
      </w:pPr>
      <w:r w:rsidRPr="00FF0C93">
        <w:rPr>
          <w:rFonts w:ascii="Arial" w:hAnsi="Arial" w:cs="Arial"/>
        </w:rPr>
        <w:lastRenderedPageBreak/>
        <w:t>AI4EOSC - wykorzystanie sztucznej inteligencji w rozpoznawaniu chorób roślin. Realizacja 2022-09-01 - 2025-08-31.</w:t>
      </w:r>
    </w:p>
    <w:p w14:paraId="3A45BFCC" w14:textId="13D7C05D" w:rsidR="006B3C32" w:rsidRPr="006B3C32" w:rsidRDefault="006B3C32" w:rsidP="006B3C32">
      <w:pPr>
        <w:pStyle w:val="NormalnyWeb"/>
        <w:tabs>
          <w:tab w:val="left" w:pos="284"/>
        </w:tabs>
        <w:spacing w:beforeAutospacing="0" w:after="120" w:afterAutospacing="0" w:line="360" w:lineRule="auto"/>
        <w:ind w:firstLine="284"/>
        <w:jc w:val="both"/>
        <w:rPr>
          <w:rFonts w:ascii="Arial" w:hAnsi="Arial" w:cs="Arial"/>
        </w:rPr>
      </w:pPr>
      <w:r w:rsidRPr="006B3C32">
        <w:rPr>
          <w:rFonts w:ascii="Arial" w:hAnsi="Arial" w:cs="Arial"/>
        </w:rPr>
        <w:t>W 2023</w:t>
      </w:r>
      <w:r w:rsidR="008B1C9B">
        <w:rPr>
          <w:rFonts w:ascii="Arial" w:hAnsi="Arial" w:cs="Arial"/>
        </w:rPr>
        <w:t> </w:t>
      </w:r>
      <w:r w:rsidRPr="006B3C32">
        <w:rPr>
          <w:rFonts w:ascii="Arial" w:hAnsi="Arial" w:cs="Arial"/>
        </w:rPr>
        <w:t>r. kontynuowana była również realizacja zadań zapoczątkowanych projektem pn. Internetowa Platforma Doradztwa i Wspomagania Decyzji w Integrowanej Ochronie Roślin (eDWIN).</w:t>
      </w:r>
      <w:r w:rsidR="00ED5697">
        <w:rPr>
          <w:rFonts w:ascii="Arial" w:hAnsi="Arial" w:cs="Arial"/>
        </w:rPr>
        <w:t xml:space="preserve"> </w:t>
      </w:r>
      <w:r w:rsidRPr="006B3C32">
        <w:rPr>
          <w:rFonts w:ascii="Arial" w:hAnsi="Arial" w:cs="Arial"/>
        </w:rPr>
        <w:t xml:space="preserve">Platforma </w:t>
      </w:r>
      <w:r w:rsidR="00AB1962">
        <w:rPr>
          <w:rFonts w:ascii="Arial" w:hAnsi="Arial" w:cs="Arial"/>
        </w:rPr>
        <w:t>ta</w:t>
      </w:r>
      <w:r w:rsidRPr="006B3C32">
        <w:rPr>
          <w:rFonts w:ascii="Arial" w:hAnsi="Arial" w:cs="Arial"/>
        </w:rPr>
        <w:t xml:space="preserve"> ma na celu stworzenie krajowego systemu informatycznego na rzecz ochrony roślin, który ułatwia monitorowanie występowania agrofagów i ocenę ryzyka dla upraw. </w:t>
      </w:r>
    </w:p>
    <w:p w14:paraId="0436A2F8" w14:textId="47692F1A" w:rsidR="006B3C32" w:rsidRPr="006B3C32" w:rsidRDefault="006B3C32" w:rsidP="006B3C32">
      <w:pPr>
        <w:pStyle w:val="NormalnyWeb"/>
        <w:tabs>
          <w:tab w:val="left" w:pos="284"/>
        </w:tabs>
        <w:spacing w:beforeAutospacing="0" w:after="120" w:afterAutospacing="0" w:line="360" w:lineRule="auto"/>
        <w:ind w:firstLine="284"/>
        <w:jc w:val="both"/>
        <w:rPr>
          <w:rFonts w:ascii="Arial" w:hAnsi="Arial" w:cs="Arial"/>
        </w:rPr>
      </w:pPr>
      <w:r w:rsidRPr="006B3C32">
        <w:rPr>
          <w:rFonts w:ascii="Arial" w:hAnsi="Arial" w:cs="Arial"/>
        </w:rPr>
        <w:t xml:space="preserve">Centrum Doradztwa Rolniczego w Brwinowie, wspólnie z 16 wojewódzkimi ośrodkami doradztwa rolniczego, prowadzi </w:t>
      </w:r>
      <w:r w:rsidR="00AB1962">
        <w:rPr>
          <w:rFonts w:ascii="Arial" w:hAnsi="Arial" w:cs="Arial"/>
        </w:rPr>
        <w:t xml:space="preserve">także </w:t>
      </w:r>
      <w:r w:rsidR="001E79E9">
        <w:rPr>
          <w:rFonts w:ascii="Arial" w:hAnsi="Arial" w:cs="Arial"/>
        </w:rPr>
        <w:t xml:space="preserve">projekt </w:t>
      </w:r>
      <w:r w:rsidRPr="006B3C32">
        <w:rPr>
          <w:rFonts w:ascii="Arial" w:hAnsi="Arial" w:cs="Arial"/>
        </w:rPr>
        <w:t>Krajow</w:t>
      </w:r>
      <w:r w:rsidR="001E79E9">
        <w:rPr>
          <w:rFonts w:ascii="Arial" w:hAnsi="Arial" w:cs="Arial"/>
        </w:rPr>
        <w:t>a</w:t>
      </w:r>
      <w:r w:rsidRPr="006B3C32">
        <w:rPr>
          <w:rFonts w:ascii="Arial" w:hAnsi="Arial" w:cs="Arial"/>
        </w:rPr>
        <w:t xml:space="preserve"> Sieć Gospodarstw Demonstracyjnych </w:t>
      </w:r>
      <w:r w:rsidR="001E79E9" w:rsidRPr="001E79E9">
        <w:rPr>
          <w:rFonts w:ascii="Arial" w:hAnsi="Arial" w:cs="Arial"/>
        </w:rPr>
        <w:t>jako element usprawniający transfer wiedzy i innowacji, umożliwiający zapoznanie z dobrymi praktykami oraz zastosowanymi nowoczesnymi rozwiązaniami w sposób bezpośredni.</w:t>
      </w:r>
      <w:r w:rsidR="00D7189B">
        <w:rPr>
          <w:rFonts w:ascii="Arial" w:hAnsi="Arial" w:cs="Arial"/>
        </w:rPr>
        <w:t xml:space="preserve"> </w:t>
      </w:r>
      <w:r w:rsidRPr="006B3C32">
        <w:rPr>
          <w:rFonts w:ascii="Arial" w:hAnsi="Arial" w:cs="Arial"/>
        </w:rPr>
        <w:t>W</w:t>
      </w:r>
      <w:r w:rsidR="00BB5E95">
        <w:rPr>
          <w:rFonts w:ascii="Arial" w:hAnsi="Arial" w:cs="Arial"/>
        </w:rPr>
        <w:t xml:space="preserve"> 38</w:t>
      </w:r>
      <w:r w:rsidRPr="006B3C32">
        <w:rPr>
          <w:rFonts w:ascii="Arial" w:hAnsi="Arial" w:cs="Arial"/>
        </w:rPr>
        <w:t xml:space="preserve"> gospodarstwach należących do Sieci można też zapoznać się z technologiami ochrony różnych gatunków roślin, w tym z zastosowaniem rolnictwa precyzyjnego. W 2023 r., podczas szkoleń z wyjazdami studyjnymi do gospodarstw demonstracyjnych, kwestie ochrony roślin prezentowane były w gospodarstwach województwa świętokrzyskiego, kujawsko-pomorskiego i podkarpackiego. </w:t>
      </w:r>
    </w:p>
    <w:p w14:paraId="3F16A909" w14:textId="77777777" w:rsidR="006B3C32" w:rsidRPr="006B3C32" w:rsidRDefault="006B3C32" w:rsidP="006B3C32">
      <w:pPr>
        <w:pStyle w:val="NormalnyWeb"/>
        <w:tabs>
          <w:tab w:val="left" w:pos="284"/>
        </w:tabs>
        <w:spacing w:beforeAutospacing="0" w:after="120" w:afterAutospacing="0" w:line="360" w:lineRule="auto"/>
        <w:ind w:firstLine="284"/>
        <w:jc w:val="both"/>
        <w:rPr>
          <w:rFonts w:ascii="Arial" w:hAnsi="Arial" w:cs="Arial"/>
        </w:rPr>
      </w:pPr>
      <w:r w:rsidRPr="006B3C32">
        <w:rPr>
          <w:rFonts w:ascii="Arial" w:hAnsi="Arial" w:cs="Arial"/>
        </w:rPr>
        <w:t xml:space="preserve">Zrealizowany też został film „Promocja dobrych praktyk Krajowej Sieci Gospodarstw Demonstracyjnych”, w którym zaprezentowano m.in. gospodarstwo prowadzące produkcję integrowaną, zaakcentowano znaczenie wczesnego wykrywania chorób i występowania agrofagów oraz stosowania środków ochrony roślin w sposób najbardziej efektywny, pozwalający na minimalizowanie ilości zastosowanego środka. </w:t>
      </w:r>
    </w:p>
    <w:p w14:paraId="21D68003" w14:textId="77777777" w:rsidR="008B5F95" w:rsidRDefault="00923F0D">
      <w:pPr>
        <w:pStyle w:val="Nagwek2"/>
        <w:jc w:val="both"/>
        <w:rPr>
          <w:i w:val="0"/>
          <w:sz w:val="20"/>
          <w:szCs w:val="20"/>
        </w:rPr>
      </w:pPr>
      <w:bookmarkStart w:id="64" w:name="_Toc193716410"/>
      <w:r>
        <w:rPr>
          <w:i w:val="0"/>
          <w:sz w:val="20"/>
          <w:szCs w:val="20"/>
        </w:rPr>
        <w:t>Zadanie 10. Zapewnienie bezpieczeństwa owadów zapylających podczas wykonywania zabiegów ochrony roślin</w:t>
      </w:r>
      <w:bookmarkEnd w:id="64"/>
    </w:p>
    <w:p w14:paraId="3CF9BCF8"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Jednym z podstawowych celów integrowanej ochrony roślin jest ograniczenie wpływu zabiegów ochrony roślin na organizmy niebędące celem ich działania, w szczególności zaś na faunę pożyteczną, w tym na owady zapylające. </w:t>
      </w:r>
    </w:p>
    <w:p w14:paraId="53D353AE" w14:textId="1FF9D18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Owady zapylające, a przede wszystkim pszczoły miodne, spełniają niezwykle istotną rolę w rolnictwie, a także w naturalnych ekosystemach. Według danych Organizacji Narodów Zjednoczonych do spraw Wyżywienia i Rolnictwa FAO, spośród 100 głównych gatunków roślin uprawnych, stanowiących 90% produkowanej na świecie żywności, aż 71 jest zapylanych przez pszczoły. Owady te pełnią szczególnie istotną rolę w produkcji owoców (</w:t>
      </w:r>
      <w:r w:rsidR="0058686C">
        <w:rPr>
          <w:rFonts w:ascii="Arial" w:hAnsi="Arial" w:cs="Arial"/>
        </w:rPr>
        <w:t xml:space="preserve">np. </w:t>
      </w:r>
      <w:r>
        <w:rPr>
          <w:rFonts w:ascii="Arial" w:hAnsi="Arial" w:cs="Arial"/>
        </w:rPr>
        <w:t>jabłek, wiśni), warzyw (</w:t>
      </w:r>
      <w:r w:rsidR="0058686C">
        <w:rPr>
          <w:rFonts w:ascii="Arial" w:hAnsi="Arial" w:cs="Arial"/>
        </w:rPr>
        <w:t xml:space="preserve">np. </w:t>
      </w:r>
      <w:r>
        <w:rPr>
          <w:rFonts w:ascii="Arial" w:hAnsi="Arial" w:cs="Arial"/>
        </w:rPr>
        <w:t>ogórków, dyni, cukinii) oraz roślin przemysłowych (</w:t>
      </w:r>
      <w:r w:rsidR="0058686C">
        <w:rPr>
          <w:rFonts w:ascii="Arial" w:hAnsi="Arial" w:cs="Arial"/>
        </w:rPr>
        <w:t xml:space="preserve">np. </w:t>
      </w:r>
      <w:r>
        <w:rPr>
          <w:rFonts w:ascii="Arial" w:hAnsi="Arial" w:cs="Arial"/>
        </w:rPr>
        <w:t xml:space="preserve">rzepaku). </w:t>
      </w:r>
    </w:p>
    <w:p w14:paraId="6D3E0F07"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Jednocześnie środki ochrony roślin są wskazywane jako jedna z przyczyn upadków owadów zapylających obok chorób wirusowych, pasożytniczych oraz zmian środowiskowych. </w:t>
      </w:r>
    </w:p>
    <w:p w14:paraId="00D37110" w14:textId="116C5151"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Środki ochrony roślin przy niewłaściwym ich stosowaniu mogą bowiem powodować ostre zatrucia pszczół, powodując ich nagłe upadki, oraz zatrucia chroniczne, osłabiające organizm owadów i zwiększające narażenie ich na inne czynniki szkodliwe.</w:t>
      </w:r>
    </w:p>
    <w:p w14:paraId="4AA52D7B"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związku z powyższym, przyjęto rozwiązania mające na celu ograniczenie ryzyka, jakie dla owadów zapylających mogą stwarzać środki ochrony roślin. Zagadnienia ochrony zapylaczy są jednym </w:t>
      </w:r>
      <w:r>
        <w:rPr>
          <w:rFonts w:ascii="Arial" w:hAnsi="Arial" w:cs="Arial"/>
        </w:rPr>
        <w:lastRenderedPageBreak/>
        <w:t>z wymagań integrowanej ochrony roślin, określonych w przepisach rozporządzenia Ministra Rolnictwa i Rozwoju Wsi z dnia 18 kwietnia 2013 r. w sprawie wymagań integrowanej ochrony roślin (Dz. U. poz. 505), a także obligatoryjnych szkoleń dla osób stosujących środki ochrony roślin, których programy określa rozporządzenie Ministra Rolnictwa i Rozwoju Wsi z dnia 8 maja 2013 r. w sprawie szkoleń w zakresie środków ochrony roślin. Przepisy rozporządzenia Ministra Rolnictwa i Rozwoju Wsi z dnia z dnia 31 marca 2014 r. w sprawie warunków stosowania środków ochrony roślin określają także minimalne odległości od pasiek, w jakich można stosować te środki.</w:t>
      </w:r>
    </w:p>
    <w:p w14:paraId="4E653465" w14:textId="4C52C8C3" w:rsidR="00BE6CD2" w:rsidRDefault="00BE6CD2" w:rsidP="00A15B37">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A</w:t>
      </w:r>
      <w:r w:rsidRPr="00BE6CD2">
        <w:rPr>
          <w:rFonts w:ascii="Arial" w:hAnsi="Arial" w:cs="Arial"/>
        </w:rPr>
        <w:t>by prawidłowo oceniać ryzyko stwarzane przez środki ochrony roślin dla pszczół, na podstawie przepisów ustawy z dnia 8 marca 2013 r. o środkach ochrony roślin, ustanowiono, że urząd obsługujący ministra właściwego do spraw rolnictwa gromadzi informacje o zatruciach pszczół środkami ochrony roślin. System zbierania informacji o zatruciach pszczół pozwala na pełne poznanie skali tego zjawiska oraz, w razie konieczności, podjęcie dodatkowych działań zmierzających do jego ograniczenia.</w:t>
      </w:r>
    </w:p>
    <w:p w14:paraId="6254CB11" w14:textId="4A1A6410" w:rsidR="008A394E" w:rsidRPr="008A394E" w:rsidRDefault="00923F0D" w:rsidP="00A15B37">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ramach </w:t>
      </w:r>
      <w:r w:rsidR="008A394E">
        <w:rPr>
          <w:rFonts w:ascii="Arial" w:hAnsi="Arial" w:cs="Arial"/>
        </w:rPr>
        <w:t>zada</w:t>
      </w:r>
      <w:r w:rsidR="00A15B37">
        <w:rPr>
          <w:rFonts w:ascii="Arial" w:hAnsi="Arial" w:cs="Arial"/>
        </w:rPr>
        <w:t xml:space="preserve">nia </w:t>
      </w:r>
      <w:r w:rsidR="00A15B37" w:rsidRPr="008A394E">
        <w:rPr>
          <w:rFonts w:ascii="Arial" w:hAnsi="Arial" w:cs="Arial"/>
        </w:rPr>
        <w:t>od 2013 r.</w:t>
      </w:r>
      <w:r w:rsidR="00A15B37">
        <w:rPr>
          <w:rFonts w:ascii="Arial" w:hAnsi="Arial" w:cs="Arial"/>
        </w:rPr>
        <w:t xml:space="preserve"> g</w:t>
      </w:r>
      <w:r w:rsidR="008A394E" w:rsidRPr="008A394E">
        <w:rPr>
          <w:rFonts w:ascii="Arial" w:hAnsi="Arial" w:cs="Arial"/>
        </w:rPr>
        <w:t>romadz</w:t>
      </w:r>
      <w:r w:rsidR="00A15B37">
        <w:rPr>
          <w:rFonts w:ascii="Arial" w:hAnsi="Arial" w:cs="Arial"/>
        </w:rPr>
        <w:t>one są</w:t>
      </w:r>
      <w:r w:rsidR="008A394E" w:rsidRPr="008A394E">
        <w:rPr>
          <w:rFonts w:ascii="Arial" w:hAnsi="Arial" w:cs="Arial"/>
        </w:rPr>
        <w:t xml:space="preserve"> informacj</w:t>
      </w:r>
      <w:r w:rsidR="00A15B37">
        <w:rPr>
          <w:rFonts w:ascii="Arial" w:hAnsi="Arial" w:cs="Arial"/>
        </w:rPr>
        <w:t>e</w:t>
      </w:r>
      <w:r w:rsidR="008A394E" w:rsidRPr="008A394E">
        <w:rPr>
          <w:rFonts w:ascii="Arial" w:hAnsi="Arial" w:cs="Arial"/>
        </w:rPr>
        <w:t xml:space="preserve"> o zatruciach pszczół op</w:t>
      </w:r>
      <w:r w:rsidR="00A15B37">
        <w:rPr>
          <w:rFonts w:ascii="Arial" w:hAnsi="Arial" w:cs="Arial"/>
        </w:rPr>
        <w:t>a</w:t>
      </w:r>
      <w:r w:rsidR="008A394E" w:rsidRPr="008A394E">
        <w:rPr>
          <w:rFonts w:ascii="Arial" w:hAnsi="Arial" w:cs="Arial"/>
        </w:rPr>
        <w:t>r</w:t>
      </w:r>
      <w:r w:rsidR="00A15B37">
        <w:rPr>
          <w:rFonts w:ascii="Arial" w:hAnsi="Arial" w:cs="Arial"/>
        </w:rPr>
        <w:t>te</w:t>
      </w:r>
      <w:r w:rsidR="008A394E" w:rsidRPr="008A394E">
        <w:rPr>
          <w:rFonts w:ascii="Arial" w:hAnsi="Arial" w:cs="Arial"/>
        </w:rPr>
        <w:t xml:space="preserve"> na danych pochodzących z Państwowej Inspekcji Ochrony Roślin i Nasiennictwa. Liczbę </w:t>
      </w:r>
      <w:bookmarkStart w:id="65" w:name="_Hlk99360155"/>
      <w:r w:rsidR="008A394E" w:rsidRPr="008A394E">
        <w:rPr>
          <w:rFonts w:ascii="Arial" w:hAnsi="Arial" w:cs="Arial"/>
        </w:rPr>
        <w:t>zgłoszonych przypadków zatrucia pszczół środkami ochrony roślin</w:t>
      </w:r>
      <w:bookmarkEnd w:id="65"/>
      <w:r w:rsidR="008A394E" w:rsidRPr="008A394E">
        <w:rPr>
          <w:rFonts w:ascii="Arial" w:hAnsi="Arial" w:cs="Arial"/>
        </w:rPr>
        <w:t>, w tym potwierdzonych w toku postępowania przedstawia tabela</w:t>
      </w:r>
      <w:r w:rsidR="00FA6882">
        <w:rPr>
          <w:rFonts w:ascii="Arial" w:hAnsi="Arial" w:cs="Arial"/>
        </w:rPr>
        <w:t xml:space="preserve"> 8</w:t>
      </w:r>
      <w:r w:rsidR="008A394E" w:rsidRPr="008A394E">
        <w:rPr>
          <w:rFonts w:ascii="Arial" w:hAnsi="Arial" w:cs="Arial"/>
        </w:rPr>
        <w:t>.</w:t>
      </w:r>
    </w:p>
    <w:tbl>
      <w:tblPr>
        <w:tblStyle w:val="Tabela-Siatka"/>
        <w:tblW w:w="9067" w:type="dxa"/>
        <w:tblLook w:val="04A0" w:firstRow="1" w:lastRow="0" w:firstColumn="1" w:lastColumn="0" w:noHBand="0" w:noVBand="1"/>
      </w:tblPr>
      <w:tblGrid>
        <w:gridCol w:w="2815"/>
        <w:gridCol w:w="1250"/>
        <w:gridCol w:w="1250"/>
        <w:gridCol w:w="1251"/>
        <w:gridCol w:w="1250"/>
        <w:gridCol w:w="1251"/>
      </w:tblGrid>
      <w:tr w:rsidR="0092558E" w:rsidRPr="008A394E" w14:paraId="779D74B8" w14:textId="6BD15505" w:rsidTr="0092558E">
        <w:tc>
          <w:tcPr>
            <w:tcW w:w="2815" w:type="dxa"/>
            <w:vAlign w:val="center"/>
          </w:tcPr>
          <w:p w14:paraId="69FF46E1" w14:textId="77777777" w:rsidR="0092558E" w:rsidRPr="008A394E" w:rsidRDefault="0092558E" w:rsidP="008A394E">
            <w:pPr>
              <w:tabs>
                <w:tab w:val="left" w:pos="284"/>
              </w:tabs>
              <w:spacing w:after="120" w:line="360" w:lineRule="auto"/>
              <w:jc w:val="center"/>
              <w:rPr>
                <w:rFonts w:ascii="Arial" w:hAnsi="Arial" w:cs="Arial"/>
                <w:b/>
                <w:bCs/>
              </w:rPr>
            </w:pPr>
            <w:r w:rsidRPr="008A394E">
              <w:rPr>
                <w:rFonts w:ascii="Arial" w:hAnsi="Arial" w:cs="Arial"/>
                <w:b/>
                <w:bCs/>
              </w:rPr>
              <w:t>Rok</w:t>
            </w:r>
          </w:p>
        </w:tc>
        <w:tc>
          <w:tcPr>
            <w:tcW w:w="1250" w:type="dxa"/>
            <w:vAlign w:val="center"/>
          </w:tcPr>
          <w:p w14:paraId="53CB8798" w14:textId="77777777" w:rsidR="0092558E" w:rsidRPr="008A394E" w:rsidRDefault="0092558E" w:rsidP="008A394E">
            <w:pPr>
              <w:tabs>
                <w:tab w:val="left" w:pos="284"/>
              </w:tabs>
              <w:spacing w:after="120" w:line="360" w:lineRule="auto"/>
              <w:jc w:val="center"/>
              <w:rPr>
                <w:rFonts w:ascii="Arial" w:hAnsi="Arial" w:cs="Arial"/>
                <w:b/>
                <w:bCs/>
              </w:rPr>
            </w:pPr>
            <w:r w:rsidRPr="008A394E">
              <w:rPr>
                <w:rFonts w:ascii="Arial" w:hAnsi="Arial" w:cs="Arial"/>
                <w:b/>
                <w:bCs/>
              </w:rPr>
              <w:t>2019</w:t>
            </w:r>
          </w:p>
        </w:tc>
        <w:tc>
          <w:tcPr>
            <w:tcW w:w="1250" w:type="dxa"/>
            <w:vAlign w:val="center"/>
          </w:tcPr>
          <w:p w14:paraId="421DB054" w14:textId="77777777" w:rsidR="0092558E" w:rsidRPr="008A394E" w:rsidRDefault="0092558E" w:rsidP="008A394E">
            <w:pPr>
              <w:tabs>
                <w:tab w:val="left" w:pos="284"/>
              </w:tabs>
              <w:spacing w:after="120" w:line="360" w:lineRule="auto"/>
              <w:jc w:val="center"/>
              <w:rPr>
                <w:rFonts w:ascii="Arial" w:hAnsi="Arial" w:cs="Arial"/>
                <w:b/>
                <w:bCs/>
              </w:rPr>
            </w:pPr>
            <w:r w:rsidRPr="008A394E">
              <w:rPr>
                <w:rFonts w:ascii="Arial" w:hAnsi="Arial" w:cs="Arial"/>
                <w:b/>
                <w:bCs/>
              </w:rPr>
              <w:t>2020</w:t>
            </w:r>
          </w:p>
        </w:tc>
        <w:tc>
          <w:tcPr>
            <w:tcW w:w="1251" w:type="dxa"/>
            <w:vAlign w:val="center"/>
          </w:tcPr>
          <w:p w14:paraId="08027138" w14:textId="77777777" w:rsidR="0092558E" w:rsidRPr="008A394E" w:rsidRDefault="0092558E" w:rsidP="008A394E">
            <w:pPr>
              <w:tabs>
                <w:tab w:val="left" w:pos="284"/>
              </w:tabs>
              <w:spacing w:after="120" w:line="360" w:lineRule="auto"/>
              <w:jc w:val="center"/>
              <w:rPr>
                <w:rFonts w:ascii="Arial" w:hAnsi="Arial" w:cs="Arial"/>
                <w:b/>
                <w:bCs/>
              </w:rPr>
            </w:pPr>
            <w:r w:rsidRPr="008A394E">
              <w:rPr>
                <w:rFonts w:ascii="Arial" w:hAnsi="Arial" w:cs="Arial"/>
                <w:b/>
                <w:bCs/>
              </w:rPr>
              <w:t>2021</w:t>
            </w:r>
          </w:p>
        </w:tc>
        <w:tc>
          <w:tcPr>
            <w:tcW w:w="1250" w:type="dxa"/>
          </w:tcPr>
          <w:p w14:paraId="60BE17A1" w14:textId="77777777" w:rsidR="0092558E" w:rsidRPr="008A394E" w:rsidRDefault="0092558E" w:rsidP="008A394E">
            <w:pPr>
              <w:tabs>
                <w:tab w:val="left" w:pos="284"/>
              </w:tabs>
              <w:spacing w:after="120" w:line="360" w:lineRule="auto"/>
              <w:jc w:val="center"/>
              <w:rPr>
                <w:rFonts w:ascii="Arial" w:hAnsi="Arial" w:cs="Arial"/>
                <w:b/>
                <w:bCs/>
              </w:rPr>
            </w:pPr>
            <w:r w:rsidRPr="008A394E">
              <w:rPr>
                <w:rFonts w:ascii="Arial" w:hAnsi="Arial" w:cs="Arial"/>
                <w:b/>
                <w:bCs/>
              </w:rPr>
              <w:t>2022</w:t>
            </w:r>
          </w:p>
        </w:tc>
        <w:tc>
          <w:tcPr>
            <w:tcW w:w="1251" w:type="dxa"/>
          </w:tcPr>
          <w:p w14:paraId="58B7848B" w14:textId="2197C77A" w:rsidR="0092558E" w:rsidRPr="008A394E" w:rsidRDefault="0092558E" w:rsidP="008A394E">
            <w:pPr>
              <w:tabs>
                <w:tab w:val="left" w:pos="284"/>
              </w:tabs>
              <w:spacing w:after="120" w:line="360" w:lineRule="auto"/>
              <w:jc w:val="center"/>
              <w:rPr>
                <w:rFonts w:ascii="Arial" w:hAnsi="Arial" w:cs="Arial"/>
                <w:b/>
                <w:bCs/>
              </w:rPr>
            </w:pPr>
            <w:r>
              <w:rPr>
                <w:rFonts w:ascii="Arial" w:hAnsi="Arial" w:cs="Arial"/>
                <w:b/>
                <w:bCs/>
              </w:rPr>
              <w:t>2023</w:t>
            </w:r>
          </w:p>
        </w:tc>
      </w:tr>
      <w:tr w:rsidR="0092558E" w:rsidRPr="008A394E" w14:paraId="7EDC3A59" w14:textId="03ADA58B" w:rsidTr="0092558E">
        <w:tc>
          <w:tcPr>
            <w:tcW w:w="2815" w:type="dxa"/>
          </w:tcPr>
          <w:p w14:paraId="6E93B2FF" w14:textId="77777777" w:rsidR="0092558E" w:rsidRPr="008A394E" w:rsidRDefault="0092558E" w:rsidP="008A394E">
            <w:pPr>
              <w:tabs>
                <w:tab w:val="left" w:pos="284"/>
              </w:tabs>
              <w:spacing w:after="120" w:line="360" w:lineRule="auto"/>
              <w:rPr>
                <w:rFonts w:ascii="Arial" w:hAnsi="Arial" w:cs="Arial"/>
              </w:rPr>
            </w:pPr>
            <w:r w:rsidRPr="008A394E">
              <w:rPr>
                <w:rFonts w:ascii="Arial" w:hAnsi="Arial" w:cs="Arial"/>
              </w:rPr>
              <w:t>liczba zgłoszonych przypadków zatrucia pszczół środkami ochrony roślin</w:t>
            </w:r>
          </w:p>
        </w:tc>
        <w:tc>
          <w:tcPr>
            <w:tcW w:w="1250" w:type="dxa"/>
            <w:vAlign w:val="center"/>
          </w:tcPr>
          <w:p w14:paraId="410FAB25" w14:textId="77777777" w:rsidR="0092558E" w:rsidRPr="008A394E" w:rsidRDefault="0092558E" w:rsidP="00A15B37">
            <w:pPr>
              <w:tabs>
                <w:tab w:val="left" w:pos="284"/>
              </w:tabs>
              <w:spacing w:after="120" w:line="360" w:lineRule="auto"/>
              <w:jc w:val="center"/>
              <w:rPr>
                <w:rFonts w:ascii="Arial" w:hAnsi="Arial" w:cs="Arial"/>
              </w:rPr>
            </w:pPr>
            <w:r w:rsidRPr="008A394E">
              <w:rPr>
                <w:rFonts w:ascii="Arial" w:hAnsi="Arial" w:cs="Arial"/>
              </w:rPr>
              <w:t>117</w:t>
            </w:r>
          </w:p>
        </w:tc>
        <w:tc>
          <w:tcPr>
            <w:tcW w:w="1250" w:type="dxa"/>
            <w:vAlign w:val="center"/>
          </w:tcPr>
          <w:p w14:paraId="11258DA6" w14:textId="77777777" w:rsidR="0092558E" w:rsidRPr="008A394E" w:rsidRDefault="0092558E" w:rsidP="00A15B37">
            <w:pPr>
              <w:tabs>
                <w:tab w:val="left" w:pos="284"/>
              </w:tabs>
              <w:spacing w:after="120" w:line="360" w:lineRule="auto"/>
              <w:jc w:val="center"/>
              <w:rPr>
                <w:rFonts w:ascii="Arial" w:hAnsi="Arial" w:cs="Arial"/>
              </w:rPr>
            </w:pPr>
            <w:r w:rsidRPr="008A394E">
              <w:rPr>
                <w:rFonts w:ascii="Arial" w:hAnsi="Arial" w:cs="Arial"/>
              </w:rPr>
              <w:t>137</w:t>
            </w:r>
          </w:p>
        </w:tc>
        <w:tc>
          <w:tcPr>
            <w:tcW w:w="1251" w:type="dxa"/>
            <w:vAlign w:val="center"/>
          </w:tcPr>
          <w:p w14:paraId="68B7DFA9" w14:textId="77777777" w:rsidR="0092558E" w:rsidRPr="008A394E" w:rsidRDefault="0092558E" w:rsidP="00A15B37">
            <w:pPr>
              <w:tabs>
                <w:tab w:val="left" w:pos="284"/>
              </w:tabs>
              <w:spacing w:after="120" w:line="360" w:lineRule="auto"/>
              <w:jc w:val="center"/>
              <w:rPr>
                <w:rFonts w:ascii="Arial" w:hAnsi="Arial" w:cs="Arial"/>
              </w:rPr>
            </w:pPr>
            <w:r w:rsidRPr="008A394E">
              <w:rPr>
                <w:rFonts w:ascii="Arial" w:hAnsi="Arial" w:cs="Arial"/>
              </w:rPr>
              <w:t>28</w:t>
            </w:r>
          </w:p>
        </w:tc>
        <w:tc>
          <w:tcPr>
            <w:tcW w:w="1250" w:type="dxa"/>
            <w:vAlign w:val="center"/>
          </w:tcPr>
          <w:p w14:paraId="710C45BC" w14:textId="77777777" w:rsidR="0092558E" w:rsidRPr="008A394E" w:rsidRDefault="0092558E" w:rsidP="00A15B37">
            <w:pPr>
              <w:tabs>
                <w:tab w:val="left" w:pos="284"/>
              </w:tabs>
              <w:spacing w:after="120" w:line="360" w:lineRule="auto"/>
              <w:jc w:val="center"/>
              <w:rPr>
                <w:rFonts w:ascii="Arial" w:hAnsi="Arial" w:cs="Arial"/>
              </w:rPr>
            </w:pPr>
            <w:r w:rsidRPr="008A394E">
              <w:rPr>
                <w:rFonts w:ascii="Arial" w:hAnsi="Arial" w:cs="Arial"/>
              </w:rPr>
              <w:t>28</w:t>
            </w:r>
          </w:p>
        </w:tc>
        <w:tc>
          <w:tcPr>
            <w:tcW w:w="1251" w:type="dxa"/>
            <w:vAlign w:val="center"/>
          </w:tcPr>
          <w:p w14:paraId="37B466C4" w14:textId="02869C2C" w:rsidR="0092558E" w:rsidRPr="008A394E" w:rsidRDefault="0092558E" w:rsidP="00A15B37">
            <w:pPr>
              <w:tabs>
                <w:tab w:val="left" w:pos="284"/>
              </w:tabs>
              <w:spacing w:after="120" w:line="360" w:lineRule="auto"/>
              <w:jc w:val="center"/>
              <w:rPr>
                <w:rFonts w:ascii="Arial" w:hAnsi="Arial" w:cs="Arial"/>
              </w:rPr>
            </w:pPr>
            <w:r>
              <w:rPr>
                <w:rFonts w:ascii="Arial" w:hAnsi="Arial" w:cs="Arial"/>
              </w:rPr>
              <w:t>31</w:t>
            </w:r>
          </w:p>
        </w:tc>
      </w:tr>
      <w:tr w:rsidR="0092558E" w:rsidRPr="008A394E" w14:paraId="5A2AC717" w14:textId="2B00FF31" w:rsidTr="0092558E">
        <w:tc>
          <w:tcPr>
            <w:tcW w:w="2815" w:type="dxa"/>
          </w:tcPr>
          <w:p w14:paraId="61B76EAD" w14:textId="77777777" w:rsidR="0092558E" w:rsidRPr="008A394E" w:rsidRDefault="0092558E" w:rsidP="008A394E">
            <w:pPr>
              <w:tabs>
                <w:tab w:val="left" w:pos="284"/>
              </w:tabs>
              <w:spacing w:after="120" w:line="360" w:lineRule="auto"/>
              <w:rPr>
                <w:rFonts w:ascii="Arial" w:hAnsi="Arial" w:cs="Arial"/>
              </w:rPr>
            </w:pPr>
            <w:r w:rsidRPr="008A394E">
              <w:rPr>
                <w:rFonts w:ascii="Arial" w:hAnsi="Arial" w:cs="Arial"/>
              </w:rPr>
              <w:t>- w tym potwierdzonych</w:t>
            </w:r>
          </w:p>
        </w:tc>
        <w:tc>
          <w:tcPr>
            <w:tcW w:w="1250" w:type="dxa"/>
            <w:vAlign w:val="center"/>
          </w:tcPr>
          <w:p w14:paraId="74CA9058" w14:textId="77777777" w:rsidR="0092558E" w:rsidRPr="008A394E" w:rsidRDefault="0092558E" w:rsidP="00A15B37">
            <w:pPr>
              <w:tabs>
                <w:tab w:val="left" w:pos="284"/>
              </w:tabs>
              <w:spacing w:after="120" w:line="360" w:lineRule="auto"/>
              <w:jc w:val="center"/>
              <w:rPr>
                <w:rFonts w:ascii="Arial" w:hAnsi="Arial" w:cs="Arial"/>
              </w:rPr>
            </w:pPr>
            <w:r w:rsidRPr="008A394E">
              <w:rPr>
                <w:rFonts w:ascii="Arial" w:hAnsi="Arial" w:cs="Arial"/>
              </w:rPr>
              <w:t>29</w:t>
            </w:r>
          </w:p>
        </w:tc>
        <w:tc>
          <w:tcPr>
            <w:tcW w:w="1250" w:type="dxa"/>
            <w:vAlign w:val="center"/>
          </w:tcPr>
          <w:p w14:paraId="1A1068CC" w14:textId="77777777" w:rsidR="0092558E" w:rsidRPr="008A394E" w:rsidRDefault="0092558E" w:rsidP="00A15B37">
            <w:pPr>
              <w:tabs>
                <w:tab w:val="left" w:pos="284"/>
              </w:tabs>
              <w:spacing w:after="120" w:line="360" w:lineRule="auto"/>
              <w:jc w:val="center"/>
              <w:rPr>
                <w:rFonts w:ascii="Arial" w:hAnsi="Arial" w:cs="Arial"/>
              </w:rPr>
            </w:pPr>
            <w:r w:rsidRPr="008A394E">
              <w:rPr>
                <w:rFonts w:ascii="Arial" w:hAnsi="Arial" w:cs="Arial"/>
              </w:rPr>
              <w:t>17</w:t>
            </w:r>
          </w:p>
        </w:tc>
        <w:tc>
          <w:tcPr>
            <w:tcW w:w="1251" w:type="dxa"/>
            <w:vAlign w:val="center"/>
          </w:tcPr>
          <w:p w14:paraId="02911216" w14:textId="77777777" w:rsidR="0092558E" w:rsidRPr="008A394E" w:rsidRDefault="0092558E" w:rsidP="00A15B37">
            <w:pPr>
              <w:tabs>
                <w:tab w:val="left" w:pos="284"/>
              </w:tabs>
              <w:spacing w:after="120" w:line="360" w:lineRule="auto"/>
              <w:jc w:val="center"/>
              <w:rPr>
                <w:rFonts w:ascii="Arial" w:hAnsi="Arial" w:cs="Arial"/>
              </w:rPr>
            </w:pPr>
            <w:r w:rsidRPr="008A394E">
              <w:rPr>
                <w:rFonts w:ascii="Arial" w:hAnsi="Arial" w:cs="Arial"/>
              </w:rPr>
              <w:t>7</w:t>
            </w:r>
          </w:p>
        </w:tc>
        <w:tc>
          <w:tcPr>
            <w:tcW w:w="1250" w:type="dxa"/>
            <w:vAlign w:val="center"/>
          </w:tcPr>
          <w:p w14:paraId="126F7D68" w14:textId="77777777" w:rsidR="0092558E" w:rsidRPr="008A394E" w:rsidRDefault="0092558E" w:rsidP="00A15B37">
            <w:pPr>
              <w:tabs>
                <w:tab w:val="left" w:pos="284"/>
              </w:tabs>
              <w:spacing w:after="120" w:line="360" w:lineRule="auto"/>
              <w:jc w:val="center"/>
              <w:rPr>
                <w:rFonts w:ascii="Arial" w:hAnsi="Arial" w:cs="Arial"/>
              </w:rPr>
            </w:pPr>
            <w:r w:rsidRPr="008A394E">
              <w:rPr>
                <w:rFonts w:ascii="Arial" w:hAnsi="Arial" w:cs="Arial"/>
              </w:rPr>
              <w:t>3</w:t>
            </w:r>
          </w:p>
        </w:tc>
        <w:tc>
          <w:tcPr>
            <w:tcW w:w="1251" w:type="dxa"/>
            <w:vAlign w:val="center"/>
          </w:tcPr>
          <w:p w14:paraId="604AD251" w14:textId="30EBED75" w:rsidR="0092558E" w:rsidRPr="008A394E" w:rsidRDefault="0092558E" w:rsidP="00A15B37">
            <w:pPr>
              <w:tabs>
                <w:tab w:val="left" w:pos="284"/>
              </w:tabs>
              <w:spacing w:after="120" w:line="360" w:lineRule="auto"/>
              <w:jc w:val="center"/>
              <w:rPr>
                <w:rFonts w:ascii="Arial" w:hAnsi="Arial" w:cs="Arial"/>
              </w:rPr>
            </w:pPr>
            <w:r>
              <w:rPr>
                <w:rFonts w:ascii="Arial" w:hAnsi="Arial" w:cs="Arial"/>
              </w:rPr>
              <w:t>7</w:t>
            </w:r>
          </w:p>
        </w:tc>
      </w:tr>
    </w:tbl>
    <w:p w14:paraId="362492B3" w14:textId="77777777" w:rsidR="008A394E" w:rsidRDefault="008A394E" w:rsidP="008A394E">
      <w:pPr>
        <w:tabs>
          <w:tab w:val="left" w:pos="284"/>
        </w:tabs>
        <w:spacing w:after="120" w:line="360" w:lineRule="auto"/>
        <w:ind w:firstLine="284"/>
        <w:jc w:val="both"/>
        <w:rPr>
          <w:rFonts w:ascii="Arial" w:hAnsi="Arial" w:cs="Arial"/>
        </w:rPr>
      </w:pPr>
    </w:p>
    <w:p w14:paraId="609B6894" w14:textId="6448C1C3" w:rsidR="00C80E1C" w:rsidRPr="00723152" w:rsidRDefault="00C80E1C" w:rsidP="00723152">
      <w:pPr>
        <w:pStyle w:val="NormalnyWeb"/>
        <w:tabs>
          <w:tab w:val="left" w:pos="284"/>
        </w:tabs>
        <w:spacing w:beforeAutospacing="0" w:after="120" w:afterAutospacing="0" w:line="360" w:lineRule="auto"/>
        <w:ind w:firstLine="284"/>
        <w:jc w:val="both"/>
        <w:rPr>
          <w:rFonts w:ascii="Arial" w:hAnsi="Arial" w:cs="Arial"/>
        </w:rPr>
      </w:pPr>
      <w:r w:rsidRPr="00723152">
        <w:rPr>
          <w:rFonts w:ascii="Arial" w:hAnsi="Arial" w:cs="Arial"/>
        </w:rPr>
        <w:t>Pod koniec 2018 r. Rada Ministrów przyjęła uchwałę w sprawie ustanowienia programu wieloletniego „Ochrona zdrowia zwierząt i zdrowia publicznego” na lata 2019-2023 r. Jest ona kontynuacją trzech dotychczasowych edycji Programu realizowanych nieprzerwanie od 2003 r. W czwartej edycji, na lata 2019-2023, zaplanowano realizację 45 zadań badawczych, w śród których znalazło się zadanie pn. „Monitorowanie stanu zdrowotnego i strat rodzin pszczelich w krajowych pasiekach”.</w:t>
      </w:r>
    </w:p>
    <w:p w14:paraId="0498472E" w14:textId="49ADD978" w:rsidR="00723152" w:rsidRPr="00723152" w:rsidRDefault="00723152" w:rsidP="00723152">
      <w:pPr>
        <w:pStyle w:val="NormalnyWeb"/>
        <w:tabs>
          <w:tab w:val="left" w:pos="284"/>
        </w:tabs>
        <w:spacing w:beforeAutospacing="0" w:after="120" w:afterAutospacing="0" w:line="360" w:lineRule="auto"/>
        <w:ind w:firstLine="284"/>
        <w:jc w:val="both"/>
        <w:rPr>
          <w:rFonts w:ascii="Arial" w:hAnsi="Arial" w:cs="Arial"/>
          <w:b/>
        </w:rPr>
      </w:pPr>
      <w:r w:rsidRPr="00723152">
        <w:rPr>
          <w:rFonts w:ascii="Arial" w:hAnsi="Arial" w:cs="Arial"/>
          <w:b/>
        </w:rPr>
        <w:t>Ocena toksykologicznego zagrożenia dla zdrowia rodzin pszczelich – diagnostyka i</w:t>
      </w:r>
      <w:r>
        <w:rPr>
          <w:rFonts w:ascii="Arial" w:hAnsi="Arial" w:cs="Arial"/>
          <w:b/>
        </w:rPr>
        <w:t> </w:t>
      </w:r>
      <w:r w:rsidRPr="00723152">
        <w:rPr>
          <w:rFonts w:ascii="Arial" w:hAnsi="Arial" w:cs="Arial"/>
          <w:b/>
        </w:rPr>
        <w:t>rejestracja ostrych zatruć pszczół.</w:t>
      </w:r>
    </w:p>
    <w:p w14:paraId="6B6A6D68" w14:textId="4C677843" w:rsidR="00723152" w:rsidRPr="007403C1" w:rsidRDefault="00723152" w:rsidP="007403C1">
      <w:pPr>
        <w:pStyle w:val="NormalnyWeb"/>
        <w:tabs>
          <w:tab w:val="left" w:pos="284"/>
        </w:tabs>
        <w:spacing w:beforeAutospacing="0" w:after="120" w:afterAutospacing="0" w:line="360" w:lineRule="auto"/>
        <w:ind w:firstLine="284"/>
        <w:jc w:val="both"/>
        <w:rPr>
          <w:rFonts w:ascii="Arial" w:hAnsi="Arial" w:cs="Arial"/>
        </w:rPr>
      </w:pPr>
      <w:r w:rsidRPr="007403C1">
        <w:rPr>
          <w:rFonts w:ascii="Arial" w:hAnsi="Arial" w:cs="Arial"/>
        </w:rPr>
        <w:t>W ramach diagnostyki i rejestracji przypadków ostrych zatruć pszczół środkami ochrony roślin w</w:t>
      </w:r>
      <w:r w:rsidR="0092558E">
        <w:rPr>
          <w:rFonts w:ascii="Arial" w:hAnsi="Arial" w:cs="Arial"/>
        </w:rPr>
        <w:t> </w:t>
      </w:r>
      <w:r w:rsidRPr="007403C1">
        <w:rPr>
          <w:rFonts w:ascii="Arial" w:hAnsi="Arial" w:cs="Arial"/>
        </w:rPr>
        <w:t>2023</w:t>
      </w:r>
      <w:r w:rsidR="00A74392" w:rsidRPr="007403C1">
        <w:rPr>
          <w:rFonts w:ascii="Arial" w:hAnsi="Arial" w:cs="Arial"/>
        </w:rPr>
        <w:t> </w:t>
      </w:r>
      <w:r w:rsidRPr="007403C1">
        <w:rPr>
          <w:rFonts w:ascii="Arial" w:hAnsi="Arial" w:cs="Arial"/>
        </w:rPr>
        <w:t>r</w:t>
      </w:r>
      <w:r w:rsidR="00A74392" w:rsidRPr="007403C1">
        <w:rPr>
          <w:rFonts w:ascii="Arial" w:hAnsi="Arial" w:cs="Arial"/>
        </w:rPr>
        <w:t>.</w:t>
      </w:r>
      <w:r w:rsidRPr="007403C1">
        <w:rPr>
          <w:rFonts w:ascii="Arial" w:hAnsi="Arial" w:cs="Arial"/>
        </w:rPr>
        <w:t xml:space="preserve"> przebadano 23 próbki martwych pszczół. Próbki pochodziły z pasiek, w których istniało podejrzenie, że przyczyną zatrucia mogły być nieprawidłowości w zakresie stosowania środków ochrony roślin w sąsiadujących uprawach. Incydenty zatruć pszczół wystąpiły na terenie dziewięciu województw: mazowieckie (6), lubelskie (5), wielkopolskie (5), podkarpackie (2), dolnośląskie (1), kujawsko-pomorskie (1), łódzkie (1), śląskie (1), warmińsko-mazurskie (1). Próbki pszczół do badań pobierali lekarze weterynarii, w zdecydowanej większości pracownicy Powiatowych Inspektoratów Weterynarii lub lekarze wolnej praktyki. W trzech przypadkach próbki pszczół zostały pobrane przez Policję. </w:t>
      </w:r>
      <w:r w:rsidRPr="007403C1">
        <w:rPr>
          <w:rFonts w:ascii="Arial" w:hAnsi="Arial" w:cs="Arial"/>
        </w:rPr>
        <w:lastRenderedPageBreak/>
        <w:t xml:space="preserve">Każdorazowo poszkodowani pszczelarze informowali właściwe oddziały </w:t>
      </w:r>
      <w:r w:rsidR="0092558E">
        <w:rPr>
          <w:rFonts w:ascii="Arial" w:hAnsi="Arial" w:cs="Arial"/>
        </w:rPr>
        <w:t xml:space="preserve">Państwowej </w:t>
      </w:r>
      <w:r w:rsidRPr="007403C1">
        <w:rPr>
          <w:rFonts w:ascii="Arial" w:hAnsi="Arial" w:cs="Arial"/>
        </w:rPr>
        <w:t>Inspekcji Ochrony Roślin i</w:t>
      </w:r>
      <w:r w:rsidR="002974F6" w:rsidRPr="007403C1">
        <w:rPr>
          <w:rFonts w:ascii="Arial" w:hAnsi="Arial" w:cs="Arial"/>
        </w:rPr>
        <w:t> </w:t>
      </w:r>
      <w:r w:rsidRPr="007403C1">
        <w:rPr>
          <w:rFonts w:ascii="Arial" w:hAnsi="Arial" w:cs="Arial"/>
        </w:rPr>
        <w:t>Nasiennictwa o podejrzeniu nieprawidłowości w zakresie stosowania środków ochrony roślin mogące być przyczyną zatrucia pszczół.</w:t>
      </w:r>
    </w:p>
    <w:p w14:paraId="401F19F1" w14:textId="63B5B4B3" w:rsidR="00723152" w:rsidRPr="007403C1" w:rsidRDefault="00723152" w:rsidP="007403C1">
      <w:pPr>
        <w:pStyle w:val="NormalnyWeb"/>
        <w:tabs>
          <w:tab w:val="left" w:pos="284"/>
        </w:tabs>
        <w:spacing w:beforeAutospacing="0" w:after="120" w:afterAutospacing="0" w:line="360" w:lineRule="auto"/>
        <w:ind w:firstLine="284"/>
        <w:jc w:val="both"/>
        <w:rPr>
          <w:rFonts w:ascii="Arial" w:hAnsi="Arial" w:cs="Arial"/>
        </w:rPr>
      </w:pPr>
      <w:r w:rsidRPr="007403C1">
        <w:rPr>
          <w:rFonts w:ascii="Arial" w:hAnsi="Arial" w:cs="Arial"/>
        </w:rPr>
        <w:t>Próbki pszczół reprezentowały pasieki liczące w sumie 1</w:t>
      </w:r>
      <w:r w:rsidR="002974F6" w:rsidRPr="007403C1">
        <w:rPr>
          <w:rFonts w:ascii="Arial" w:hAnsi="Arial" w:cs="Arial"/>
        </w:rPr>
        <w:t> </w:t>
      </w:r>
      <w:r w:rsidRPr="007403C1">
        <w:rPr>
          <w:rFonts w:ascii="Arial" w:hAnsi="Arial" w:cs="Arial"/>
        </w:rPr>
        <w:t>053 rodzin pszczelich, w tym na dzień pobierania próbek objawy zatrucia wykazywało 603 rodzin pszczelich</w:t>
      </w:r>
      <w:r w:rsidR="002974F6" w:rsidRPr="007403C1">
        <w:rPr>
          <w:rFonts w:ascii="Arial" w:hAnsi="Arial" w:cs="Arial"/>
        </w:rPr>
        <w:t>,</w:t>
      </w:r>
      <w:r w:rsidRPr="007403C1">
        <w:rPr>
          <w:rFonts w:ascii="Arial" w:hAnsi="Arial" w:cs="Arial"/>
        </w:rPr>
        <w:t xml:space="preserve"> a 64 rodziny były całkowicie wymarłe. W wielu przypadkach wskazywano na znaczny osyp pszczół lotnych.</w:t>
      </w:r>
    </w:p>
    <w:p w14:paraId="77902590" w14:textId="24274996" w:rsidR="00723152" w:rsidRPr="007403C1" w:rsidRDefault="00723152" w:rsidP="007403C1">
      <w:pPr>
        <w:pStyle w:val="NormalnyWeb"/>
        <w:tabs>
          <w:tab w:val="left" w:pos="284"/>
        </w:tabs>
        <w:spacing w:beforeAutospacing="0" w:after="120" w:afterAutospacing="0" w:line="360" w:lineRule="auto"/>
        <w:ind w:firstLine="284"/>
        <w:jc w:val="both"/>
        <w:rPr>
          <w:rFonts w:ascii="Arial" w:hAnsi="Arial" w:cs="Arial"/>
        </w:rPr>
      </w:pPr>
      <w:r w:rsidRPr="007403C1">
        <w:rPr>
          <w:rFonts w:ascii="Arial" w:hAnsi="Arial" w:cs="Arial"/>
        </w:rPr>
        <w:t>Mediana czasu pobrania próbki martwych pszczół od zauważenia objawów zatrucia w pasiece wyniosła 1 dzień. Podejrzane uprawy mogące być miejscem narażenia pszczół wskazano w 10 przypadkach, w konsekwencji wskazania właścicieli plantacji. Jako podejrzaną uprawę wskazywano rzepak, sady jabłoniowe oraz zboża. W protokołach dotyczących próbek, dla których nie wskazano podejrzanej plantacji (właściciela plantacji) mogącej być źródłem zatrucia, wskazywano okoliczne uprawy mogące być również źródłem narażenia pszczół na środki ochrony roślin. Wszystkie próbki martwych pszczół poddano analizie toksykologicznej w kierunku oznaczania pozostałości co najmniej 249 pestycydów stosowanych w chemicznej ochronie roślin obejmujących substancje czynne środków ochrony roślin tj. insektycydy, fungicydy, herbicydy, akarycydy, regulatory wzrostu oraz substancje aktywne leków warroabójczych. W wyniku przeprowadzonych analiz ustalono, że 100% próbek martwych pszczół zawierało pozostałości pestycydów w stężeniach powyżej granic oznaczalności metody badawczej. W próbkach martwych pszczół oznaczono łącznie pozostałości 61 pestycydów. Zdecydowana większość oznaczonych pestycydów to substancje czynne środków ochrony roślin. W</w:t>
      </w:r>
      <w:r w:rsidR="00504710">
        <w:rPr>
          <w:rFonts w:ascii="Arial" w:hAnsi="Arial" w:cs="Arial"/>
        </w:rPr>
        <w:t> </w:t>
      </w:r>
      <w:r w:rsidRPr="007403C1">
        <w:rPr>
          <w:rFonts w:ascii="Arial" w:hAnsi="Arial" w:cs="Arial"/>
        </w:rPr>
        <w:t>próbkach oznaczono również pozostałości leków warroabójczych. W połowie badanych próbek wykrywano pozostałości co najmniej 8 pestycydów jednocześnie. Maksymalna liczba pestycydów, których pozostałości oznaczono w próbce martwych pszczół wyniosła aż 25 substancji. W 17 spośród 23 przebadanych próbek pszczół oznaczono pozostałości bardzo toksycznych substancji owadobójczych i nie można wykluczyć, że stanowiły one przyczynę zatrucia. W 9 spośród 17 próbek oznaczono jedną bardzo toksyczną dla pszczół substancję owadobójczą, w 3 próbkach oznaczono dwie takie substancje</w:t>
      </w:r>
      <w:r w:rsidR="00CE5315" w:rsidRPr="007403C1">
        <w:rPr>
          <w:rFonts w:ascii="Arial" w:hAnsi="Arial" w:cs="Arial"/>
        </w:rPr>
        <w:t>,</w:t>
      </w:r>
      <w:r w:rsidRPr="007403C1">
        <w:rPr>
          <w:rFonts w:ascii="Arial" w:hAnsi="Arial" w:cs="Arial"/>
        </w:rPr>
        <w:t xml:space="preserve"> a w 4 próbkach oznaczono więcej niż trzy takie substancje jednocześnie. Chlotianidyna, tiametoksam i fipronil to trzy </w:t>
      </w:r>
      <w:r w:rsidR="00861718" w:rsidRPr="007403C1">
        <w:rPr>
          <w:rFonts w:ascii="Arial" w:hAnsi="Arial" w:cs="Arial"/>
        </w:rPr>
        <w:t>substancje środków</w:t>
      </w:r>
      <w:r w:rsidR="00323211">
        <w:rPr>
          <w:rFonts w:ascii="Arial" w:hAnsi="Arial" w:cs="Arial"/>
        </w:rPr>
        <w:t xml:space="preserve"> </w:t>
      </w:r>
      <w:r w:rsidR="00323211" w:rsidRPr="007403C1">
        <w:rPr>
          <w:rFonts w:ascii="Arial" w:hAnsi="Arial" w:cs="Arial"/>
        </w:rPr>
        <w:t>ochrony roślin</w:t>
      </w:r>
      <w:r w:rsidRPr="007403C1">
        <w:rPr>
          <w:rFonts w:ascii="Arial" w:hAnsi="Arial" w:cs="Arial"/>
        </w:rPr>
        <w:t xml:space="preserve"> będące najczęstszą przyczyną zatruć pszczół w 2023 roku. Chlotianidynę oznaczono w 9 próbkach zatrutych pszczół, tiametoksam lub fipronil wraz z metabolitami każdorazowo w 5 próbkach. Kolejny rok z rzędu widać wyraźny efekt wycofania ze stosowania środków ochrony roślin zawierających chloropiryfos lub dimetoat. Chloropiryfos mógł być przyczyną zatrucia pszczół zaledwie w dwóch przypadkach. Dimetoatu nie stwierdzono w żadnej próbce zatrutych pszczół w 2023 r.</w:t>
      </w:r>
    </w:p>
    <w:p w14:paraId="4EF73F20" w14:textId="5A4E9023" w:rsidR="00723152" w:rsidRPr="007403C1" w:rsidRDefault="00723152" w:rsidP="007403C1">
      <w:pPr>
        <w:pStyle w:val="NormalnyWeb"/>
        <w:tabs>
          <w:tab w:val="left" w:pos="284"/>
        </w:tabs>
        <w:spacing w:beforeAutospacing="0" w:after="120" w:afterAutospacing="0" w:line="360" w:lineRule="auto"/>
        <w:ind w:firstLine="284"/>
        <w:jc w:val="both"/>
        <w:rPr>
          <w:rFonts w:ascii="Arial" w:hAnsi="Arial" w:cs="Arial"/>
        </w:rPr>
      </w:pPr>
      <w:r w:rsidRPr="007403C1">
        <w:rPr>
          <w:rFonts w:ascii="Arial" w:hAnsi="Arial" w:cs="Arial"/>
        </w:rPr>
        <w:t>Ponadto w próbkach martwych pszczół oznaczono pozostałości innych substancji owadobójczych m.in acetamipryd (48% próbek), cypermetryna (17%), imidaklopryd (9%), DDT (4%), chlorantraniliprol (4%), cyhalotryna (4%), etofenproks (4%), flupyradifuron (4%) oraz deltametryna (4%).</w:t>
      </w:r>
    </w:p>
    <w:p w14:paraId="2B097831" w14:textId="77777777" w:rsidR="00A74392" w:rsidRPr="007403C1" w:rsidRDefault="00723152" w:rsidP="007403C1">
      <w:pPr>
        <w:pStyle w:val="NormalnyWeb"/>
        <w:tabs>
          <w:tab w:val="left" w:pos="284"/>
        </w:tabs>
        <w:spacing w:beforeAutospacing="0" w:after="120" w:afterAutospacing="0" w:line="360" w:lineRule="auto"/>
        <w:ind w:firstLine="284"/>
        <w:jc w:val="both"/>
        <w:rPr>
          <w:rFonts w:ascii="Arial" w:hAnsi="Arial" w:cs="Arial"/>
        </w:rPr>
      </w:pPr>
      <w:r w:rsidRPr="007403C1">
        <w:rPr>
          <w:rFonts w:ascii="Arial" w:hAnsi="Arial" w:cs="Arial"/>
        </w:rPr>
        <w:t xml:space="preserve">Spośród licznych substancji o charakterze grzybobójczym najczęściej oznaczono tebukonazol (61% próbek), difenokonazol (43%), karbendazym (43%), boskalid (39%), azoksystrobinę (30%), cyprodynil (30%) oraz tiofanat metylowy (30%). Spośród substancji chwastobójczych najczęściej oznaczano pendimetalinę (61%). Pozostałości leków warroabójczych – metabolity amitrazy (DMF i/lub DMPF) </w:t>
      </w:r>
      <w:r w:rsidRPr="007403C1">
        <w:rPr>
          <w:rFonts w:ascii="Arial" w:hAnsi="Arial" w:cs="Arial"/>
        </w:rPr>
        <w:lastRenderedPageBreak/>
        <w:t xml:space="preserve">oznaczono w 43% próbek. Spośród pestycydów będących substancjami czynnymi produktów biobójczych najczęściej wykrywano fipronil i jego metabolit sulfon fipronilu. </w:t>
      </w:r>
    </w:p>
    <w:p w14:paraId="6A52D83C" w14:textId="77C711F9" w:rsidR="00723152" w:rsidRPr="00A74392" w:rsidRDefault="00723152" w:rsidP="00A74392">
      <w:pPr>
        <w:pStyle w:val="NormalnyWeb"/>
        <w:tabs>
          <w:tab w:val="left" w:pos="284"/>
        </w:tabs>
        <w:spacing w:beforeAutospacing="0" w:after="120" w:afterAutospacing="0" w:line="360" w:lineRule="auto"/>
        <w:ind w:firstLine="284"/>
        <w:jc w:val="both"/>
        <w:rPr>
          <w:rFonts w:ascii="Arial" w:hAnsi="Arial" w:cs="Arial"/>
          <w:b/>
        </w:rPr>
      </w:pPr>
      <w:r w:rsidRPr="00A74392">
        <w:rPr>
          <w:rFonts w:ascii="Arial" w:hAnsi="Arial" w:cs="Arial"/>
          <w:b/>
        </w:rPr>
        <w:t>Ocena toksykologicznego zagrożenia dla zdrowia rodzin pszczelich – monitorowanie pozostałości pestycydów w środowisku ula i w pszczołach.</w:t>
      </w:r>
    </w:p>
    <w:p w14:paraId="5487C3E6" w14:textId="2A45CA44" w:rsidR="00723152" w:rsidRPr="00395688" w:rsidRDefault="00723152" w:rsidP="00395688">
      <w:pPr>
        <w:pStyle w:val="NormalnyWeb"/>
        <w:tabs>
          <w:tab w:val="left" w:pos="284"/>
        </w:tabs>
        <w:spacing w:beforeAutospacing="0" w:after="120" w:afterAutospacing="0" w:line="360" w:lineRule="auto"/>
        <w:ind w:firstLine="284"/>
        <w:jc w:val="both"/>
        <w:rPr>
          <w:rFonts w:ascii="Arial" w:hAnsi="Arial" w:cs="Arial"/>
        </w:rPr>
      </w:pPr>
      <w:r w:rsidRPr="00395688">
        <w:rPr>
          <w:rFonts w:ascii="Arial" w:hAnsi="Arial" w:cs="Arial"/>
        </w:rPr>
        <w:t>W 2023 r</w:t>
      </w:r>
      <w:r w:rsidR="0092558E">
        <w:rPr>
          <w:rFonts w:ascii="Arial" w:hAnsi="Arial" w:cs="Arial"/>
        </w:rPr>
        <w:t>.</w:t>
      </w:r>
      <w:r w:rsidRPr="00395688">
        <w:rPr>
          <w:rFonts w:ascii="Arial" w:hAnsi="Arial" w:cs="Arial"/>
        </w:rPr>
        <w:t xml:space="preserve"> przebadano łącznie 177 próbek pobranych podczas wizyt kontrolnych z pasiek nadzorowanych w okresie wiosennym oraz letnim. Próbki poddano analizie toksykologicznej w kierunku oznaczania pozostałości pestycydów stosowanych w chemicznej ochronie roślin obejmujących substancje aktywne środków ochrony roślin tj. insektycydy, fungicydy, herbicydy, akarycydy, regulatory wzrostu oraz substancje aktywne leków warroabójczych.</w:t>
      </w:r>
    </w:p>
    <w:p w14:paraId="7C12E50A" w14:textId="05C4A6D7" w:rsidR="00723152" w:rsidRPr="00395688" w:rsidRDefault="00723152" w:rsidP="00395688">
      <w:pPr>
        <w:pStyle w:val="NormalnyWeb"/>
        <w:tabs>
          <w:tab w:val="left" w:pos="284"/>
        </w:tabs>
        <w:spacing w:beforeAutospacing="0" w:after="120" w:afterAutospacing="0" w:line="360" w:lineRule="auto"/>
        <w:ind w:firstLine="284"/>
        <w:jc w:val="both"/>
        <w:rPr>
          <w:rFonts w:ascii="Arial" w:hAnsi="Arial" w:cs="Arial"/>
        </w:rPr>
      </w:pPr>
      <w:r w:rsidRPr="00395688">
        <w:rPr>
          <w:rFonts w:ascii="Arial" w:hAnsi="Arial" w:cs="Arial"/>
        </w:rPr>
        <w:t>Analiza 37 próbek osypu pszczół pobranych w trakcie wiosennych wizyt kontrolnych wykazała, że</w:t>
      </w:r>
      <w:r w:rsidR="00A74392" w:rsidRPr="00395688">
        <w:rPr>
          <w:rFonts w:ascii="Arial" w:hAnsi="Arial" w:cs="Arial"/>
        </w:rPr>
        <w:t xml:space="preserve"> </w:t>
      </w:r>
      <w:r w:rsidRPr="00395688">
        <w:rPr>
          <w:rFonts w:ascii="Arial" w:hAnsi="Arial" w:cs="Arial"/>
        </w:rPr>
        <w:t>97% próbek zawierało pozostałości pestycydów w stężeniach powyżej granic oznaczalności metody</w:t>
      </w:r>
      <w:r w:rsidR="00A74392" w:rsidRPr="00395688">
        <w:rPr>
          <w:rFonts w:ascii="Arial" w:hAnsi="Arial" w:cs="Arial"/>
        </w:rPr>
        <w:t xml:space="preserve"> </w:t>
      </w:r>
      <w:r w:rsidRPr="00395688">
        <w:rPr>
          <w:rFonts w:ascii="Arial" w:hAnsi="Arial" w:cs="Arial"/>
        </w:rPr>
        <w:t>badawczej. Odsetek próbek osypanych pszczół zawierających pozostałości pestycydów jest bardzo</w:t>
      </w:r>
      <w:r w:rsidR="00A74392" w:rsidRPr="00395688">
        <w:rPr>
          <w:rFonts w:ascii="Arial" w:hAnsi="Arial" w:cs="Arial"/>
        </w:rPr>
        <w:t xml:space="preserve"> </w:t>
      </w:r>
      <w:r w:rsidRPr="00395688">
        <w:rPr>
          <w:rFonts w:ascii="Arial" w:hAnsi="Arial" w:cs="Arial"/>
        </w:rPr>
        <w:t>wysoki, głównie jednak za sprawą pozostałości metabolitów amitrazy (DMF, DMPF). W próbkach</w:t>
      </w:r>
      <w:r w:rsidR="00A74392" w:rsidRPr="00395688">
        <w:rPr>
          <w:rFonts w:ascii="Arial" w:hAnsi="Arial" w:cs="Arial"/>
        </w:rPr>
        <w:t xml:space="preserve"> </w:t>
      </w:r>
      <w:r w:rsidRPr="00395688">
        <w:rPr>
          <w:rFonts w:ascii="Arial" w:hAnsi="Arial" w:cs="Arial"/>
        </w:rPr>
        <w:t>osypanych pszczół oznaczono pozostałości 18 pestycydów: DMPF (92% próbek), DMF (92%),</w:t>
      </w:r>
      <w:r w:rsidR="00A74392" w:rsidRPr="00395688">
        <w:rPr>
          <w:rFonts w:ascii="Arial" w:hAnsi="Arial" w:cs="Arial"/>
        </w:rPr>
        <w:t xml:space="preserve"> </w:t>
      </w:r>
      <w:r w:rsidRPr="00395688">
        <w:rPr>
          <w:rFonts w:ascii="Arial" w:hAnsi="Arial" w:cs="Arial"/>
        </w:rPr>
        <w:t>pendimetalina (19%), azoksystrobina, prosulfokarb, tau-fluwalinat (11%), chloropiryfos (8%),</w:t>
      </w:r>
      <w:r w:rsidR="00A74392" w:rsidRPr="00395688">
        <w:rPr>
          <w:rFonts w:ascii="Arial" w:hAnsi="Arial" w:cs="Arial"/>
        </w:rPr>
        <w:t xml:space="preserve"> </w:t>
      </w:r>
      <w:r w:rsidRPr="00395688">
        <w:rPr>
          <w:rFonts w:ascii="Arial" w:hAnsi="Arial" w:cs="Arial"/>
        </w:rPr>
        <w:t>cypermetryna (5%), difenokonazol (5%). W próbkach osypanych pszczół oznaczono pozostałości do</w:t>
      </w:r>
      <w:r w:rsidR="00A74392" w:rsidRPr="00395688">
        <w:rPr>
          <w:rFonts w:ascii="Arial" w:hAnsi="Arial" w:cs="Arial"/>
        </w:rPr>
        <w:t xml:space="preserve"> </w:t>
      </w:r>
      <w:r w:rsidRPr="00395688">
        <w:rPr>
          <w:rFonts w:ascii="Arial" w:hAnsi="Arial" w:cs="Arial"/>
        </w:rPr>
        <w:t>5</w:t>
      </w:r>
      <w:r w:rsidR="0092558E">
        <w:rPr>
          <w:rFonts w:ascii="Arial" w:hAnsi="Arial" w:cs="Arial"/>
        </w:rPr>
        <w:t> </w:t>
      </w:r>
      <w:r w:rsidRPr="00395688">
        <w:rPr>
          <w:rFonts w:ascii="Arial" w:hAnsi="Arial" w:cs="Arial"/>
        </w:rPr>
        <w:t>pestycydów jednocześnie.</w:t>
      </w:r>
    </w:p>
    <w:p w14:paraId="29972CDB" w14:textId="1515FD72" w:rsidR="00723152" w:rsidRPr="00395688" w:rsidRDefault="00723152" w:rsidP="00395688">
      <w:pPr>
        <w:pStyle w:val="NormalnyWeb"/>
        <w:tabs>
          <w:tab w:val="left" w:pos="284"/>
        </w:tabs>
        <w:spacing w:beforeAutospacing="0" w:after="120" w:afterAutospacing="0" w:line="360" w:lineRule="auto"/>
        <w:ind w:firstLine="284"/>
        <w:jc w:val="both"/>
        <w:rPr>
          <w:rFonts w:ascii="Arial" w:hAnsi="Arial" w:cs="Arial"/>
        </w:rPr>
      </w:pPr>
      <w:r w:rsidRPr="00395688">
        <w:rPr>
          <w:rFonts w:ascii="Arial" w:hAnsi="Arial" w:cs="Arial"/>
        </w:rPr>
        <w:t>Analizie toksykologicznej poddano również 140 próbek pobranych w nadzorowanych pasiekach</w:t>
      </w:r>
      <w:r w:rsidR="00A74392" w:rsidRPr="00395688">
        <w:rPr>
          <w:rFonts w:ascii="Arial" w:hAnsi="Arial" w:cs="Arial"/>
        </w:rPr>
        <w:t xml:space="preserve"> </w:t>
      </w:r>
      <w:r w:rsidRPr="00395688">
        <w:rPr>
          <w:rFonts w:ascii="Arial" w:hAnsi="Arial" w:cs="Arial"/>
        </w:rPr>
        <w:t>w</w:t>
      </w:r>
      <w:r w:rsidR="0092558E">
        <w:rPr>
          <w:rFonts w:ascii="Arial" w:hAnsi="Arial" w:cs="Arial"/>
        </w:rPr>
        <w:t> </w:t>
      </w:r>
      <w:r w:rsidRPr="00395688">
        <w:rPr>
          <w:rFonts w:ascii="Arial" w:hAnsi="Arial" w:cs="Arial"/>
        </w:rPr>
        <w:t>trakcie letnich wizyt kontrolnych (63 próbki żywych pszczół i 77 próbek pierzgi). Analiza</w:t>
      </w:r>
      <w:r w:rsidR="00A74392" w:rsidRPr="00395688">
        <w:rPr>
          <w:rFonts w:ascii="Arial" w:hAnsi="Arial" w:cs="Arial"/>
        </w:rPr>
        <w:t xml:space="preserve"> </w:t>
      </w:r>
      <w:r w:rsidRPr="00395688">
        <w:rPr>
          <w:rFonts w:ascii="Arial" w:hAnsi="Arial" w:cs="Arial"/>
        </w:rPr>
        <w:t>wykazała, że 56% próbek żywych pszczół oraz 73% próbek pierzgi zawierało pozostałości</w:t>
      </w:r>
      <w:r w:rsidR="00A74392" w:rsidRPr="00395688">
        <w:rPr>
          <w:rFonts w:ascii="Arial" w:hAnsi="Arial" w:cs="Arial"/>
        </w:rPr>
        <w:t xml:space="preserve"> </w:t>
      </w:r>
      <w:r w:rsidRPr="00395688">
        <w:rPr>
          <w:rFonts w:ascii="Arial" w:hAnsi="Arial" w:cs="Arial"/>
        </w:rPr>
        <w:t>pestycydów. W próbkach żywych pszczół oznaczono pozostałości 22 pestycydów, najczęściej</w:t>
      </w:r>
      <w:r w:rsidR="00A74392" w:rsidRPr="00395688">
        <w:rPr>
          <w:rFonts w:ascii="Arial" w:hAnsi="Arial" w:cs="Arial"/>
        </w:rPr>
        <w:t xml:space="preserve"> </w:t>
      </w:r>
      <w:r w:rsidRPr="00395688">
        <w:rPr>
          <w:rFonts w:ascii="Arial" w:hAnsi="Arial" w:cs="Arial"/>
        </w:rPr>
        <w:t>acetamipryd, difenokonazol, DMPF (13% próbek), DMF, tau-fluwalinat, tebukonazol (10%),</w:t>
      </w:r>
      <w:r w:rsidR="00A74392" w:rsidRPr="00395688">
        <w:rPr>
          <w:rFonts w:ascii="Arial" w:hAnsi="Arial" w:cs="Arial"/>
        </w:rPr>
        <w:t xml:space="preserve"> </w:t>
      </w:r>
      <w:r w:rsidRPr="00395688">
        <w:rPr>
          <w:rFonts w:ascii="Arial" w:hAnsi="Arial" w:cs="Arial"/>
        </w:rPr>
        <w:t>azoksystrobina, chloropiryfos i fludioksonil (5%). W próbkach żywych pszczół oznaczono</w:t>
      </w:r>
      <w:r w:rsidR="00A74392" w:rsidRPr="00395688">
        <w:rPr>
          <w:rFonts w:ascii="Arial" w:hAnsi="Arial" w:cs="Arial"/>
        </w:rPr>
        <w:t xml:space="preserve"> </w:t>
      </w:r>
      <w:r w:rsidRPr="00395688">
        <w:rPr>
          <w:rFonts w:ascii="Arial" w:hAnsi="Arial" w:cs="Arial"/>
        </w:rPr>
        <w:t>pozostałości do 4 pestycydów jednocześnie.</w:t>
      </w:r>
    </w:p>
    <w:p w14:paraId="01F0A017" w14:textId="581EDC98" w:rsidR="00723152" w:rsidRPr="00395688" w:rsidRDefault="00723152" w:rsidP="00395688">
      <w:pPr>
        <w:pStyle w:val="NormalnyWeb"/>
        <w:tabs>
          <w:tab w:val="left" w:pos="284"/>
        </w:tabs>
        <w:spacing w:beforeAutospacing="0" w:after="120" w:afterAutospacing="0" w:line="360" w:lineRule="auto"/>
        <w:ind w:firstLine="284"/>
        <w:jc w:val="both"/>
        <w:rPr>
          <w:rFonts w:ascii="Arial" w:hAnsi="Arial" w:cs="Arial"/>
        </w:rPr>
      </w:pPr>
      <w:r w:rsidRPr="00395688">
        <w:rPr>
          <w:rFonts w:ascii="Arial" w:hAnsi="Arial" w:cs="Arial"/>
        </w:rPr>
        <w:t>W próbkach pierzgi z letniej wizyty kontrolnej oznaczono pozostałości 37 pestycydów, wśród nich</w:t>
      </w:r>
      <w:r w:rsidR="00A74392" w:rsidRPr="00395688">
        <w:rPr>
          <w:rFonts w:ascii="Arial" w:hAnsi="Arial" w:cs="Arial"/>
        </w:rPr>
        <w:t xml:space="preserve"> </w:t>
      </w:r>
      <w:r w:rsidRPr="00395688">
        <w:rPr>
          <w:rFonts w:ascii="Arial" w:hAnsi="Arial" w:cs="Arial"/>
        </w:rPr>
        <w:t>najczęściej azoksystrobinę (47%), acetamipryd (37% próbek), tebukonazol (30%), difenokonazol</w:t>
      </w:r>
      <w:r w:rsidR="00A74392" w:rsidRPr="00395688">
        <w:rPr>
          <w:rFonts w:ascii="Arial" w:hAnsi="Arial" w:cs="Arial"/>
        </w:rPr>
        <w:t xml:space="preserve"> </w:t>
      </w:r>
      <w:r w:rsidRPr="00395688">
        <w:rPr>
          <w:rFonts w:ascii="Arial" w:hAnsi="Arial" w:cs="Arial"/>
        </w:rPr>
        <w:t>(26%), boskalid (22%), karbendazym (14%), fluopyram (13%), DMF, DMPF (10%), metolachlor-S</w:t>
      </w:r>
      <w:r w:rsidR="00A74392" w:rsidRPr="00395688">
        <w:rPr>
          <w:rFonts w:ascii="Arial" w:hAnsi="Arial" w:cs="Arial"/>
        </w:rPr>
        <w:t xml:space="preserve"> </w:t>
      </w:r>
      <w:r w:rsidRPr="00395688">
        <w:rPr>
          <w:rFonts w:ascii="Arial" w:hAnsi="Arial" w:cs="Arial"/>
        </w:rPr>
        <w:t>(9%), tau-fluwalinat (30%), tiaklopryd (13%), protiokonazol-destio (9%), dimoksystrobina,</w:t>
      </w:r>
      <w:r w:rsidR="00A74392" w:rsidRPr="00395688">
        <w:rPr>
          <w:rFonts w:ascii="Arial" w:hAnsi="Arial" w:cs="Arial"/>
        </w:rPr>
        <w:t>m</w:t>
      </w:r>
      <w:r w:rsidRPr="00395688">
        <w:rPr>
          <w:rFonts w:ascii="Arial" w:hAnsi="Arial" w:cs="Arial"/>
        </w:rPr>
        <w:t>pyraklostrobina (8%), fludioksonil (6%), pendimetalina (5%). W próbkach pierzgi pobieranej</w:t>
      </w:r>
      <w:r w:rsidR="00A74392" w:rsidRPr="00395688">
        <w:rPr>
          <w:rFonts w:ascii="Arial" w:hAnsi="Arial" w:cs="Arial"/>
        </w:rPr>
        <w:t xml:space="preserve"> </w:t>
      </w:r>
      <w:r w:rsidRPr="00395688">
        <w:rPr>
          <w:rFonts w:ascii="Arial" w:hAnsi="Arial" w:cs="Arial"/>
        </w:rPr>
        <w:t>w trakcie letnich wizyt kontrolnych oznaczono pozostałości do 15 pestycydów jednocześnie.</w:t>
      </w:r>
      <w:r w:rsidR="00A74392" w:rsidRPr="00395688">
        <w:rPr>
          <w:rFonts w:ascii="Arial" w:hAnsi="Arial" w:cs="Arial"/>
        </w:rPr>
        <w:t xml:space="preserve"> </w:t>
      </w:r>
    </w:p>
    <w:p w14:paraId="469DA607" w14:textId="71C3B11A" w:rsidR="00723152" w:rsidRPr="00395688" w:rsidRDefault="00723152" w:rsidP="00395688">
      <w:pPr>
        <w:pStyle w:val="NormalnyWeb"/>
        <w:tabs>
          <w:tab w:val="left" w:pos="284"/>
        </w:tabs>
        <w:spacing w:beforeAutospacing="0" w:after="120" w:afterAutospacing="0" w:line="360" w:lineRule="auto"/>
        <w:ind w:firstLine="284"/>
        <w:jc w:val="both"/>
        <w:rPr>
          <w:rFonts w:ascii="Arial" w:hAnsi="Arial" w:cs="Arial"/>
        </w:rPr>
      </w:pPr>
      <w:r w:rsidRPr="00395688">
        <w:rPr>
          <w:rFonts w:ascii="Arial" w:hAnsi="Arial" w:cs="Arial"/>
        </w:rPr>
        <w:t>Należy zaznaczyć, że zdanie pn. „Monitorowanie stanu</w:t>
      </w:r>
      <w:r w:rsidR="00A74392" w:rsidRPr="00395688">
        <w:rPr>
          <w:rFonts w:ascii="Arial" w:hAnsi="Arial" w:cs="Arial"/>
        </w:rPr>
        <w:t xml:space="preserve"> </w:t>
      </w:r>
      <w:r w:rsidRPr="00395688">
        <w:rPr>
          <w:rFonts w:ascii="Arial" w:hAnsi="Arial" w:cs="Arial"/>
        </w:rPr>
        <w:t>zdrowotnego i strat rodzin pszczelich w</w:t>
      </w:r>
      <w:r w:rsidR="0092558E">
        <w:rPr>
          <w:rFonts w:ascii="Arial" w:hAnsi="Arial" w:cs="Arial"/>
        </w:rPr>
        <w:t> </w:t>
      </w:r>
      <w:r w:rsidRPr="00395688">
        <w:rPr>
          <w:rFonts w:ascii="Arial" w:hAnsi="Arial" w:cs="Arial"/>
        </w:rPr>
        <w:t>krajowych pasiekach”, kontynuowane będzie w kolejnej edycji programu wieloletniego „Ochrona zdrowia zwierząt i zdrowia publicznego" na lata 2024-2028</w:t>
      </w:r>
    </w:p>
    <w:p w14:paraId="3DE22508" w14:textId="28FF149A" w:rsidR="00BE6CD2" w:rsidRPr="00BE6CD2" w:rsidRDefault="00C80E1C" w:rsidP="00BE6CD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B</w:t>
      </w:r>
      <w:r w:rsidR="00BE6CD2" w:rsidRPr="00BE6CD2">
        <w:rPr>
          <w:rFonts w:ascii="Arial" w:hAnsi="Arial" w:cs="Arial"/>
        </w:rPr>
        <w:t>adania naukowe dotyczące wrażliwości pszczoły miodnej i innych zapylaczy na środki ochrony roślin</w:t>
      </w:r>
      <w:r w:rsidRPr="00C80E1C">
        <w:rPr>
          <w:rFonts w:ascii="Arial" w:hAnsi="Arial" w:cs="Arial"/>
        </w:rPr>
        <w:t xml:space="preserve"> </w:t>
      </w:r>
      <w:r w:rsidRPr="00BE6CD2">
        <w:rPr>
          <w:rFonts w:ascii="Arial" w:hAnsi="Arial" w:cs="Arial"/>
        </w:rPr>
        <w:t>prowadzone są</w:t>
      </w:r>
      <w:r>
        <w:rPr>
          <w:rFonts w:ascii="Arial" w:hAnsi="Arial" w:cs="Arial"/>
        </w:rPr>
        <w:t xml:space="preserve"> również </w:t>
      </w:r>
      <w:r w:rsidRPr="00BE6CD2">
        <w:rPr>
          <w:rFonts w:ascii="Arial" w:hAnsi="Arial" w:cs="Arial"/>
        </w:rPr>
        <w:t>od 2020 r.</w:t>
      </w:r>
      <w:r>
        <w:rPr>
          <w:rFonts w:ascii="Arial" w:hAnsi="Arial" w:cs="Arial"/>
        </w:rPr>
        <w:t xml:space="preserve"> </w:t>
      </w:r>
      <w:r w:rsidRPr="00180216">
        <w:rPr>
          <w:rFonts w:ascii="Arial" w:hAnsi="Arial" w:cs="Arial"/>
          <w:b/>
          <w:bCs/>
        </w:rPr>
        <w:t>w Instytucie Ogrodnictwa – PIB.</w:t>
      </w:r>
    </w:p>
    <w:p w14:paraId="4265C1BD" w14:textId="2A6B6A1F" w:rsidR="00BE6CD2" w:rsidRPr="00BE6CD2" w:rsidRDefault="00BE6CD2" w:rsidP="00BE6CD2">
      <w:pPr>
        <w:pStyle w:val="NormalnyWeb"/>
        <w:tabs>
          <w:tab w:val="left" w:pos="284"/>
        </w:tabs>
        <w:spacing w:beforeAutospacing="0" w:after="120" w:afterAutospacing="0" w:line="360" w:lineRule="auto"/>
        <w:ind w:firstLine="284"/>
        <w:jc w:val="both"/>
        <w:rPr>
          <w:rFonts w:ascii="Arial" w:hAnsi="Arial" w:cs="Arial"/>
        </w:rPr>
      </w:pPr>
      <w:r w:rsidRPr="00BE6CD2">
        <w:rPr>
          <w:rFonts w:ascii="Arial" w:hAnsi="Arial" w:cs="Arial"/>
        </w:rPr>
        <w:t>W 2023</w:t>
      </w:r>
      <w:r w:rsidR="0092558E">
        <w:rPr>
          <w:rFonts w:ascii="Arial" w:hAnsi="Arial" w:cs="Arial"/>
        </w:rPr>
        <w:t> </w:t>
      </w:r>
      <w:r w:rsidRPr="00BE6CD2">
        <w:rPr>
          <w:rFonts w:ascii="Arial" w:hAnsi="Arial" w:cs="Arial"/>
        </w:rPr>
        <w:t>r. monitorowano pozostałości stosowania środków ochrony roślin w gniazdach pszczół o</w:t>
      </w:r>
      <w:r>
        <w:rPr>
          <w:rFonts w:ascii="Arial" w:hAnsi="Arial" w:cs="Arial"/>
        </w:rPr>
        <w:t> </w:t>
      </w:r>
      <w:r w:rsidRPr="00BE6CD2">
        <w:rPr>
          <w:rFonts w:ascii="Arial" w:hAnsi="Arial" w:cs="Arial"/>
        </w:rPr>
        <w:t xml:space="preserve">największym znaczeniu gospodarczym. W tym celu przebadano łącznie 107 prób materiału pobranego z gniazd pszczół miodnych, trzmieli ziemnych i murarek ogrodowych. Spośród ogólnej liczby przebadanych prób tylko w dwóch nie wykryto żadnych pozostałości środków ochrony roślin, co stanowi </w:t>
      </w:r>
      <w:r w:rsidRPr="00BE6CD2">
        <w:rPr>
          <w:rFonts w:ascii="Arial" w:hAnsi="Arial" w:cs="Arial"/>
        </w:rPr>
        <w:lastRenderedPageBreak/>
        <w:t>1,8% ogółu. W czasie realizacji zadania wykryto 61, oznaczanych w zastosowanych metodach analitycznych, pozostałości środków ochrony roślin lub ich metabolitów, obejmujących fungicydy, insektycydy (w tym akarycydy) i herbicydy:</w:t>
      </w:r>
    </w:p>
    <w:p w14:paraId="5301E792" w14:textId="5E2F3FD4" w:rsidR="00BE6CD2" w:rsidRPr="00BE6CD2" w:rsidRDefault="00BE6CD2" w:rsidP="0092558E">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insektycydy fosforoorganiczne: bromfenwinfos, chloropiryfos, kumafos; </w:t>
      </w:r>
    </w:p>
    <w:p w14:paraId="0B1DBB76" w14:textId="29A7F015"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insektycydy neonikotynoidowe: acetamipryd, klotianidyna, tiaklopryd;</w:t>
      </w:r>
    </w:p>
    <w:p w14:paraId="0EAD552B" w14:textId="5D38EE3E"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insektycydy pyretroidowe: deltametryna, fluwalinat, lambda-cyhalotryna; </w:t>
      </w:r>
    </w:p>
    <w:p w14:paraId="2AA9080C" w14:textId="23F09C8A"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insektycydy pozostałe: amitraz (amitraz DMF, amitraz DMPF), antrachinon, awermektyna B1a, DEET, cyjanotraniliprol, fenpiroksymat, heksytiazoks, spirodiklofen, spirotetramat (BYI08330-Enol); </w:t>
      </w:r>
    </w:p>
    <w:p w14:paraId="31A67B65" w14:textId="2F52AB33"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fungicydy z grupy anilinopirimidyn: cyprodynil, pirymetanil; </w:t>
      </w:r>
    </w:p>
    <w:p w14:paraId="5AD88CA9" w14:textId="3FB8C438"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fungicydy z grupy karboksyamidów: boskalid, fluksapyroksad, fluopyram, pentiopirad; </w:t>
      </w:r>
    </w:p>
    <w:p w14:paraId="4099075C" w14:textId="439694AC"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fungicydy z grupy strobiluryn: azoksystrobina, dimoksystrobina, piraklostrobina, trifloksystrobina;</w:t>
      </w:r>
    </w:p>
    <w:p w14:paraId="49BC37B4" w14:textId="5D28CCC5"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fungicydy z grupy triazoli: difenokonazol, tebukonazol, tetrakonazol; </w:t>
      </w:r>
    </w:p>
    <w:p w14:paraId="54B1C1B7" w14:textId="5686BC3F"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fungicydy pozostałe: bupirymat, etyrymol (główny metabolit bupirymatu), fenheksamid, fenpropidyna, fludioksonil, folpet, ftalimid, imazalil, izofetamid, kaptan, karbendazym  produkt z</w:t>
      </w:r>
      <w:r w:rsidR="00C80E1C">
        <w:rPr>
          <w:rFonts w:ascii="Arial" w:hAnsi="Arial" w:cs="Arial"/>
        </w:rPr>
        <w:t> </w:t>
      </w:r>
      <w:r w:rsidRPr="00BE6CD2">
        <w:rPr>
          <w:rFonts w:ascii="Arial" w:hAnsi="Arial" w:cs="Arial"/>
        </w:rPr>
        <w:t xml:space="preserve">rozkładu tiofanatu metylowego), prochloraz (BTS 44595, BTS 44596),  propamokarb, THPI (produkt z rozkładu kaptanu), tiofanat metylowy, tolilofluanid; </w:t>
      </w:r>
    </w:p>
    <w:p w14:paraId="426174B4" w14:textId="49A11D31"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herbicydy: chlorotoluron. fenmedifam, metolachlor, napropamid, lenacyl, pendimetalina, prosulfokarb, trifensulfuron metylowy;</w:t>
      </w:r>
    </w:p>
    <w:p w14:paraId="7E9D08E3" w14:textId="2165EC64"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regulatory wzrostu/inne: piperonylobutoksyd. </w:t>
      </w:r>
    </w:p>
    <w:p w14:paraId="696AEB3E" w14:textId="55068F69" w:rsidR="00BE6CD2" w:rsidRPr="00BE6CD2" w:rsidRDefault="00BE6CD2" w:rsidP="00BE6CD2">
      <w:pPr>
        <w:pStyle w:val="NormalnyWeb"/>
        <w:tabs>
          <w:tab w:val="left" w:pos="284"/>
        </w:tabs>
        <w:spacing w:beforeAutospacing="0" w:after="120" w:afterAutospacing="0" w:line="360" w:lineRule="auto"/>
        <w:ind w:firstLine="284"/>
        <w:jc w:val="both"/>
        <w:rPr>
          <w:rFonts w:ascii="Arial" w:hAnsi="Arial" w:cs="Arial"/>
        </w:rPr>
      </w:pPr>
      <w:r w:rsidRPr="00BE6CD2">
        <w:rPr>
          <w:rFonts w:ascii="Arial" w:hAnsi="Arial" w:cs="Arial"/>
        </w:rPr>
        <w:t xml:space="preserve">Najczęściej stwierdzanym pestycydem w produktach pszczelich był acetamipryd, wykazany w 78% prób, a więc insektycyd neonikotynoidowy szeroko stosowany w rolnictwie m.in. do ochrony sadów, rzepaku, ziemniaków czy szkółek drzew. Wśród substancji czynnych środków ochrony roślin i ich metabolitów w badanych próbkach wykryto 10 substancji, których stosowanie jest niedozwolone na terenie Unii Europejskiej w chemicznej ochronie upraw – antrachinon, bromfenwinfos, chloropiryfos, karbendazym, klotianidyna, prochloraz, spirodiklofen, tiaklopryd, tiofanat metylowy, tolilofluanid. Spośród tych substancji najczęściej stwierdzane były: chloropiryfos (40% ogólnej liczby prób) i tiaklopryd (27% ogólnej liczby prób). </w:t>
      </w:r>
    </w:p>
    <w:p w14:paraId="46DDC236" w14:textId="77777777" w:rsidR="00BE6CD2" w:rsidRPr="00BE6CD2" w:rsidRDefault="00BE6CD2" w:rsidP="00BE6CD2">
      <w:pPr>
        <w:pStyle w:val="NormalnyWeb"/>
        <w:tabs>
          <w:tab w:val="left" w:pos="284"/>
        </w:tabs>
        <w:spacing w:beforeAutospacing="0" w:after="120" w:afterAutospacing="0" w:line="360" w:lineRule="auto"/>
        <w:ind w:firstLine="284"/>
        <w:jc w:val="both"/>
        <w:rPr>
          <w:rFonts w:ascii="Arial" w:hAnsi="Arial" w:cs="Arial"/>
        </w:rPr>
      </w:pPr>
      <w:r w:rsidRPr="00BE6CD2">
        <w:rPr>
          <w:rFonts w:ascii="Arial" w:hAnsi="Arial" w:cs="Arial"/>
        </w:rPr>
        <w:t>Analizując poszczególne grupy produktów pszczelich stwierdzono, że:</w:t>
      </w:r>
    </w:p>
    <w:p w14:paraId="44707F16" w14:textId="568CFBAF"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wszystkie próbki pokarmu białkowego (pyłek, pierzga, pyłek z gniazd) zawierały pozostałości środków ochrony roślin </w:t>
      </w:r>
    </w:p>
    <w:p w14:paraId="2AC8574B" w14:textId="2B10C1AC"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tylko 2 prób</w:t>
      </w:r>
      <w:r w:rsidR="00323211">
        <w:rPr>
          <w:rFonts w:ascii="Arial" w:hAnsi="Arial" w:cs="Arial"/>
        </w:rPr>
        <w:t>ki</w:t>
      </w:r>
      <w:r w:rsidRPr="00BE6CD2">
        <w:rPr>
          <w:rFonts w:ascii="Arial" w:hAnsi="Arial" w:cs="Arial"/>
        </w:rPr>
        <w:t xml:space="preserve"> pokarmu węglowodanowego (miód, nakrop) nie zawierało pozostałości środków ochrony roślin </w:t>
      </w:r>
    </w:p>
    <w:p w14:paraId="62C9AC17" w14:textId="3E564085"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lastRenderedPageBreak/>
        <w:t>z 30 przebadanych próbek wosku, we wszystkich stwierdzono obecność pozostałości środków ochrony roślin.</w:t>
      </w:r>
    </w:p>
    <w:p w14:paraId="251486E5" w14:textId="0D3B3F74" w:rsidR="00BE6CD2" w:rsidRPr="00BE6CD2" w:rsidRDefault="00BE6CD2" w:rsidP="00BE6CD2">
      <w:pPr>
        <w:pStyle w:val="NormalnyWeb"/>
        <w:tabs>
          <w:tab w:val="left" w:pos="284"/>
        </w:tabs>
        <w:spacing w:beforeAutospacing="0" w:after="120" w:afterAutospacing="0" w:line="360" w:lineRule="auto"/>
        <w:ind w:firstLine="284"/>
        <w:jc w:val="both"/>
        <w:rPr>
          <w:rFonts w:ascii="Arial" w:hAnsi="Arial" w:cs="Arial"/>
        </w:rPr>
      </w:pPr>
      <w:r w:rsidRPr="00BE6CD2">
        <w:rPr>
          <w:rFonts w:ascii="Arial" w:hAnsi="Arial" w:cs="Arial"/>
        </w:rPr>
        <w:t xml:space="preserve">Z analizy planów obserwacji kontrolnych oraz rejestru zabiegów biologicznej i chemicznej ochrony roślin z sadów konwencjonalnych wynika, że do momentu poboru prób, w sadach zastosowano środki chemicznej ochrony roślin zawierające następujące substancje: tlenchlorek miedziowy, ditianon (związek z grupy antrochinonów), pirymetanil, siarka – 80%, fluksapyroksad, pentiopirad. Wszystkie wymienione substancje są składnikami preparatów grzybobójczych. Spośród zastosowanych środków wykryto pozostałości pentiopiradu, pirymetanilu i fluksapyroksadu w następujących produktach pszczelich: </w:t>
      </w:r>
    </w:p>
    <w:p w14:paraId="39251F03" w14:textId="73FF7152"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pyłek pszczeli – fluksapyroksad (1), pirymetanil (2); </w:t>
      </w:r>
    </w:p>
    <w:p w14:paraId="60237CBF" w14:textId="2B7D53E2"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pierzga pszczela – fluksapyroksad (6), pentiopirad (4), pirymetanil (9); </w:t>
      </w:r>
    </w:p>
    <w:p w14:paraId="4C75903D" w14:textId="01C74353"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pyłek z gniazd trzmieli – fluksapyroksad (10), pentiopirad (9); pirymetanil (10); </w:t>
      </w:r>
    </w:p>
    <w:p w14:paraId="552B60BB" w14:textId="2BA5CF35"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pyłek z gniazd murarki – fluksapyroksad (6), pentiopirad (5), pirymetanil (2); </w:t>
      </w:r>
    </w:p>
    <w:p w14:paraId="7C2AC756" w14:textId="232DE528"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 xml:space="preserve">wosk pszczeli – fluksapyroksad (2), pentiopirad (4), pirymetanil (2); </w:t>
      </w:r>
    </w:p>
    <w:p w14:paraId="102E338B" w14:textId="180F1F58" w:rsidR="00BE6CD2" w:rsidRPr="00BE6CD2" w:rsidRDefault="00BE6CD2" w:rsidP="00E74A80">
      <w:pPr>
        <w:pStyle w:val="NormalnyWeb"/>
        <w:numPr>
          <w:ilvl w:val="0"/>
          <w:numId w:val="29"/>
        </w:numPr>
        <w:tabs>
          <w:tab w:val="left" w:pos="709"/>
        </w:tabs>
        <w:spacing w:beforeAutospacing="0" w:after="120" w:afterAutospacing="0" w:line="360" w:lineRule="auto"/>
        <w:jc w:val="both"/>
        <w:rPr>
          <w:rFonts w:ascii="Arial" w:hAnsi="Arial" w:cs="Arial"/>
        </w:rPr>
      </w:pPr>
      <w:r w:rsidRPr="00BE6CD2">
        <w:rPr>
          <w:rFonts w:ascii="Arial" w:hAnsi="Arial" w:cs="Arial"/>
        </w:rPr>
        <w:t>wosk trzmieli – fluksapyroksad (10), pentiopirad (10), pirymetanil (10).</w:t>
      </w:r>
    </w:p>
    <w:p w14:paraId="3F6AB6D4" w14:textId="1F7D8BC6" w:rsidR="008A394E" w:rsidRDefault="00BE6CD2" w:rsidP="00BE6CD2">
      <w:pPr>
        <w:pStyle w:val="NormalnyWeb"/>
        <w:tabs>
          <w:tab w:val="left" w:pos="284"/>
        </w:tabs>
        <w:spacing w:beforeAutospacing="0" w:after="120" w:afterAutospacing="0" w:line="360" w:lineRule="auto"/>
        <w:ind w:firstLine="284"/>
        <w:jc w:val="both"/>
        <w:rPr>
          <w:rFonts w:ascii="Arial" w:hAnsi="Arial" w:cs="Arial"/>
        </w:rPr>
      </w:pPr>
      <w:r w:rsidRPr="00BE6CD2">
        <w:rPr>
          <w:rFonts w:ascii="Arial" w:hAnsi="Arial" w:cs="Arial"/>
        </w:rPr>
        <w:t>Wszystkie próby materiału pobrane z sadów konwencjonalnych zawierały pozostałości środków ochrony roślin lub ich metabolitów. Uwzględniając tylko substancje stosowane przez sadowników w</w:t>
      </w:r>
      <w:r w:rsidR="00C80E1C">
        <w:rPr>
          <w:rFonts w:ascii="Arial" w:hAnsi="Arial" w:cs="Arial"/>
        </w:rPr>
        <w:t> </w:t>
      </w:r>
      <w:r w:rsidRPr="00BE6CD2">
        <w:rPr>
          <w:rFonts w:ascii="Arial" w:hAnsi="Arial" w:cs="Arial"/>
        </w:rPr>
        <w:t>sadach doświadczalnych, pozostałości stosowanych środków ochrony roślin zostały stwierdzone w</w:t>
      </w:r>
      <w:r w:rsidR="00C80E1C">
        <w:rPr>
          <w:rFonts w:ascii="Arial" w:hAnsi="Arial" w:cs="Arial"/>
        </w:rPr>
        <w:t> </w:t>
      </w:r>
      <w:r w:rsidRPr="00BE6CD2">
        <w:rPr>
          <w:rFonts w:ascii="Arial" w:hAnsi="Arial" w:cs="Arial"/>
        </w:rPr>
        <w:t>61,7%. Pozostałe związki wykazane w analizie pochodziły najprawdopodobniej z upraw (m.in. rzepaku, ale również zbóż ozimych i szkółek drzew) znajdujących się w zasięgu lotu pszczół. W</w:t>
      </w:r>
      <w:r w:rsidR="0092558E">
        <w:rPr>
          <w:rFonts w:ascii="Arial" w:hAnsi="Arial" w:cs="Arial"/>
        </w:rPr>
        <w:t> </w:t>
      </w:r>
      <w:r w:rsidRPr="00BE6CD2">
        <w:rPr>
          <w:rFonts w:ascii="Arial" w:hAnsi="Arial" w:cs="Arial"/>
        </w:rPr>
        <w:t>produktach pszczelich z sadu ekologicznego stwierdzono pozostałości 40 środków ochrony roślin lub produktów ich rozkładu pochodzące z innych plantacji.</w:t>
      </w:r>
    </w:p>
    <w:p w14:paraId="54F6FDAF" w14:textId="77777777" w:rsidR="008B5F95" w:rsidRDefault="00923F0D">
      <w:pPr>
        <w:pStyle w:val="Nagwek2"/>
        <w:jc w:val="both"/>
        <w:rPr>
          <w:i w:val="0"/>
          <w:sz w:val="20"/>
          <w:szCs w:val="20"/>
        </w:rPr>
      </w:pPr>
      <w:bookmarkStart w:id="66" w:name="_Toc193716411"/>
      <w:r>
        <w:rPr>
          <w:i w:val="0"/>
          <w:sz w:val="20"/>
          <w:szCs w:val="20"/>
        </w:rPr>
        <w:t>Zadanie 11. Monitoring odporności agrofagów na środki ochrony roślin oraz ograniczanie tego zjawiska</w:t>
      </w:r>
      <w:bookmarkEnd w:id="66"/>
    </w:p>
    <w:p w14:paraId="226EF4D9" w14:textId="4F65711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Podstawową zasadą integrowanej ochrony roślin jest ograniczenie stosowania chemicznych środków ochrony roślin do niezbędnego minimum. Zjawisko odporności agrofagów na środki ochrony roślin to obecnie bardzo często występująca przyczyna nieskuteczności zabiegu chemicznego. Zjawisko to wymusza intensyfikację zabiegów chemicznych, co jest sprzeczne z założeniami integrowanej ochrony roślin. W rezultacie do środowiska przyrodniczego dostaje się znacznie więcej substancji chemicznych. Również straty ekonomiczne w rolnictwie powstałe na skutek uodparniania się agrofagów są często bardzo duże (spadek plonowania roślin, wyższe koszty związane z częstszym wykonywaniem zabiegów chemicznych). </w:t>
      </w:r>
    </w:p>
    <w:p w14:paraId="15B3ED3F" w14:textId="1FDF2738"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Odporność agrofagów jest zjawiskiem dynamicznym, które stale ulega różnym zmianom i w związku z tym wymaga stałego monitorowania. Obecnie zjawisko to występuje w Polsce powszechnie i dotyczy środków ochrony roślin z grupy insektycydów, fungicydów, herbicydów oraz z innych grup środków chemicznych i</w:t>
      </w:r>
      <w:r w:rsidR="00F575AF">
        <w:rPr>
          <w:rFonts w:ascii="Arial" w:hAnsi="Arial" w:cs="Arial"/>
        </w:rPr>
        <w:t> </w:t>
      </w:r>
      <w:r>
        <w:rPr>
          <w:rFonts w:ascii="Arial" w:hAnsi="Arial" w:cs="Arial"/>
        </w:rPr>
        <w:t xml:space="preserve">biologicznych. </w:t>
      </w:r>
      <w:r w:rsidR="00F575AF">
        <w:rPr>
          <w:rFonts w:ascii="Arial" w:hAnsi="Arial" w:cs="Arial"/>
        </w:rPr>
        <w:t>Wśród</w:t>
      </w:r>
      <w:r>
        <w:rPr>
          <w:rFonts w:ascii="Arial" w:hAnsi="Arial" w:cs="Arial"/>
        </w:rPr>
        <w:t xml:space="preserve"> gatunków agrofagów o szczególnym znaczeniu z gospodarczego </w:t>
      </w:r>
      <w:r>
        <w:rPr>
          <w:rFonts w:ascii="Arial" w:hAnsi="Arial" w:cs="Arial"/>
        </w:rPr>
        <w:lastRenderedPageBreak/>
        <w:t xml:space="preserve">punktu widzenia, których odporność na środki chemiczne powoduje znaczne straty w rolnictwie, </w:t>
      </w:r>
      <w:r w:rsidR="00F575AF">
        <w:rPr>
          <w:rFonts w:ascii="Arial" w:hAnsi="Arial" w:cs="Arial"/>
        </w:rPr>
        <w:t>wymienić należy</w:t>
      </w:r>
      <w:r>
        <w:rPr>
          <w:rFonts w:ascii="Arial" w:hAnsi="Arial" w:cs="Arial"/>
        </w:rPr>
        <w:t xml:space="preserve">: </w:t>
      </w:r>
      <w:r w:rsidR="00F575AF">
        <w:rPr>
          <w:rFonts w:ascii="Arial" w:hAnsi="Arial" w:cs="Arial"/>
        </w:rPr>
        <w:t xml:space="preserve">słodyszka </w:t>
      </w:r>
      <w:r>
        <w:rPr>
          <w:rFonts w:ascii="Arial" w:hAnsi="Arial" w:cs="Arial"/>
        </w:rPr>
        <w:t>rzepakow</w:t>
      </w:r>
      <w:r w:rsidR="00F575AF">
        <w:rPr>
          <w:rFonts w:ascii="Arial" w:hAnsi="Arial" w:cs="Arial"/>
        </w:rPr>
        <w:t>ego</w:t>
      </w:r>
      <w:r>
        <w:rPr>
          <w:rFonts w:ascii="Arial" w:hAnsi="Arial" w:cs="Arial"/>
        </w:rPr>
        <w:t>, chowacz</w:t>
      </w:r>
      <w:r w:rsidR="00F575AF">
        <w:rPr>
          <w:rFonts w:ascii="Arial" w:hAnsi="Arial" w:cs="Arial"/>
        </w:rPr>
        <w:t>a</w:t>
      </w:r>
      <w:r>
        <w:rPr>
          <w:rFonts w:ascii="Arial" w:hAnsi="Arial" w:cs="Arial"/>
        </w:rPr>
        <w:t xml:space="preserve"> podobnik</w:t>
      </w:r>
      <w:r w:rsidR="00F575AF">
        <w:rPr>
          <w:rFonts w:ascii="Arial" w:hAnsi="Arial" w:cs="Arial"/>
        </w:rPr>
        <w:t>a</w:t>
      </w:r>
      <w:r>
        <w:rPr>
          <w:rFonts w:ascii="Arial" w:hAnsi="Arial" w:cs="Arial"/>
        </w:rPr>
        <w:t>, mszyc</w:t>
      </w:r>
      <w:r w:rsidR="00F575AF">
        <w:rPr>
          <w:rFonts w:ascii="Arial" w:hAnsi="Arial" w:cs="Arial"/>
        </w:rPr>
        <w:t>ę</w:t>
      </w:r>
      <w:r>
        <w:rPr>
          <w:rFonts w:ascii="Arial" w:hAnsi="Arial" w:cs="Arial"/>
        </w:rPr>
        <w:t xml:space="preserve"> brzoskwiniow</w:t>
      </w:r>
      <w:r w:rsidR="00F575AF">
        <w:rPr>
          <w:rFonts w:ascii="Arial" w:hAnsi="Arial" w:cs="Arial"/>
        </w:rPr>
        <w:t>ą</w:t>
      </w:r>
      <w:r>
        <w:rPr>
          <w:rFonts w:ascii="Arial" w:hAnsi="Arial" w:cs="Arial"/>
        </w:rPr>
        <w:t xml:space="preserve"> w rzepaku, chwościk</w:t>
      </w:r>
      <w:r w:rsidR="00F575AF">
        <w:rPr>
          <w:rFonts w:ascii="Arial" w:hAnsi="Arial" w:cs="Arial"/>
        </w:rPr>
        <w:t>a</w:t>
      </w:r>
      <w:r>
        <w:rPr>
          <w:rFonts w:ascii="Arial" w:hAnsi="Arial" w:cs="Arial"/>
        </w:rPr>
        <w:t xml:space="preserve"> buraka czy miotł</w:t>
      </w:r>
      <w:r w:rsidR="00F575AF">
        <w:rPr>
          <w:rFonts w:ascii="Arial" w:hAnsi="Arial" w:cs="Arial"/>
        </w:rPr>
        <w:t>ę</w:t>
      </w:r>
      <w:r>
        <w:rPr>
          <w:rFonts w:ascii="Arial" w:hAnsi="Arial" w:cs="Arial"/>
        </w:rPr>
        <w:t xml:space="preserve"> zbożow</w:t>
      </w:r>
      <w:r w:rsidR="00F575AF">
        <w:rPr>
          <w:rFonts w:ascii="Arial" w:hAnsi="Arial" w:cs="Arial"/>
        </w:rPr>
        <w:t>ą</w:t>
      </w:r>
      <w:r>
        <w:rPr>
          <w:rFonts w:ascii="Arial" w:hAnsi="Arial" w:cs="Arial"/>
        </w:rPr>
        <w:t xml:space="preserve">. </w:t>
      </w:r>
    </w:p>
    <w:p w14:paraId="4CA429BD" w14:textId="5505D642" w:rsidR="00840A8B" w:rsidRDefault="00840A8B" w:rsidP="00840A8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ramach zadania od 2018 r. w </w:t>
      </w:r>
      <w:r w:rsidRPr="00840A8B">
        <w:rPr>
          <w:rFonts w:ascii="Arial" w:hAnsi="Arial" w:cs="Arial"/>
        </w:rPr>
        <w:t>Instytu</w:t>
      </w:r>
      <w:r>
        <w:rPr>
          <w:rFonts w:ascii="Arial" w:hAnsi="Arial" w:cs="Arial"/>
        </w:rPr>
        <w:t>cie</w:t>
      </w:r>
      <w:r w:rsidRPr="00840A8B">
        <w:rPr>
          <w:rFonts w:ascii="Arial" w:hAnsi="Arial" w:cs="Arial"/>
        </w:rPr>
        <w:t xml:space="preserve"> Ogrodnictwa </w:t>
      </w:r>
      <w:r>
        <w:rPr>
          <w:rFonts w:ascii="Arial" w:hAnsi="Arial" w:cs="Arial"/>
        </w:rPr>
        <w:t>–</w:t>
      </w:r>
      <w:r w:rsidRPr="00840A8B">
        <w:rPr>
          <w:rFonts w:ascii="Arial" w:hAnsi="Arial" w:cs="Arial"/>
        </w:rPr>
        <w:t xml:space="preserve"> PIB</w:t>
      </w:r>
      <w:r>
        <w:rPr>
          <w:rFonts w:ascii="Arial" w:hAnsi="Arial" w:cs="Arial"/>
        </w:rPr>
        <w:t xml:space="preserve"> prowadzony jest m</w:t>
      </w:r>
      <w:r w:rsidRPr="00840A8B">
        <w:rPr>
          <w:rFonts w:ascii="Arial" w:hAnsi="Arial" w:cs="Arial"/>
        </w:rPr>
        <w:t>onitoring odporności agrofagów na środki ochrony roślin</w:t>
      </w:r>
      <w:r>
        <w:rPr>
          <w:rFonts w:ascii="Arial" w:hAnsi="Arial" w:cs="Arial"/>
        </w:rPr>
        <w:t>.</w:t>
      </w:r>
      <w:r w:rsidRPr="00840A8B">
        <w:rPr>
          <w:rFonts w:ascii="Arial" w:hAnsi="Arial" w:cs="Arial"/>
        </w:rPr>
        <w:t xml:space="preserve"> Oceni</w:t>
      </w:r>
      <w:r>
        <w:rPr>
          <w:rFonts w:ascii="Arial" w:hAnsi="Arial" w:cs="Arial"/>
        </w:rPr>
        <w:t xml:space="preserve">ana </w:t>
      </w:r>
      <w:r w:rsidR="00365D25">
        <w:rPr>
          <w:rFonts w:ascii="Arial" w:hAnsi="Arial" w:cs="Arial"/>
        </w:rPr>
        <w:t>była także</w:t>
      </w:r>
      <w:r>
        <w:rPr>
          <w:rFonts w:ascii="Arial" w:hAnsi="Arial" w:cs="Arial"/>
        </w:rPr>
        <w:t xml:space="preserve"> </w:t>
      </w:r>
      <w:r w:rsidRPr="00840A8B">
        <w:rPr>
          <w:rFonts w:ascii="Arial" w:hAnsi="Arial" w:cs="Arial"/>
        </w:rPr>
        <w:t xml:space="preserve">skuteczność działania, fitotoksyczność i wpływ na faunę pożyteczną wybranych preparatów w uprawach roślin. Szczegółowe informacje zawiera załącznik nr </w:t>
      </w:r>
      <w:r>
        <w:rPr>
          <w:rFonts w:ascii="Arial" w:hAnsi="Arial" w:cs="Arial"/>
        </w:rPr>
        <w:t>1</w:t>
      </w:r>
      <w:r w:rsidRPr="00840A8B">
        <w:rPr>
          <w:rFonts w:ascii="Arial" w:hAnsi="Arial" w:cs="Arial"/>
        </w:rPr>
        <w:t xml:space="preserve"> do sprawozdania.</w:t>
      </w:r>
    </w:p>
    <w:p w14:paraId="6BF037EC" w14:textId="12C18669" w:rsidR="0068152C" w:rsidRPr="008052EA" w:rsidRDefault="0068152C" w:rsidP="0068152C">
      <w:pPr>
        <w:pStyle w:val="Nagwek2"/>
        <w:jc w:val="both"/>
        <w:rPr>
          <w:i w:val="0"/>
          <w:sz w:val="20"/>
          <w:szCs w:val="20"/>
        </w:rPr>
      </w:pPr>
      <w:bookmarkStart w:id="67" w:name="_Toc193716412"/>
      <w:r>
        <w:rPr>
          <w:i w:val="0"/>
          <w:sz w:val="20"/>
          <w:szCs w:val="20"/>
        </w:rPr>
        <w:t xml:space="preserve">Zadanie 12. </w:t>
      </w:r>
      <w:r w:rsidRPr="008052EA">
        <w:rPr>
          <w:i w:val="0"/>
          <w:sz w:val="20"/>
          <w:szCs w:val="20"/>
        </w:rPr>
        <w:t>Zachęty do stosowania integrowanej ochrony roślin poprzez interwencje Planu Strategicznego Wspólnej Polityki Rolnej</w:t>
      </w:r>
      <w:bookmarkEnd w:id="67"/>
    </w:p>
    <w:p w14:paraId="52A91990" w14:textId="2A781E8F" w:rsidR="005733BB" w:rsidRPr="005733BB" w:rsidRDefault="005733BB" w:rsidP="005733BB">
      <w:pPr>
        <w:pStyle w:val="NormalnyWeb"/>
        <w:tabs>
          <w:tab w:val="left" w:pos="284"/>
        </w:tabs>
        <w:spacing w:beforeAutospacing="0" w:after="120" w:afterAutospacing="0" w:line="360" w:lineRule="auto"/>
        <w:ind w:firstLine="284"/>
        <w:jc w:val="both"/>
        <w:rPr>
          <w:rFonts w:ascii="Arial" w:hAnsi="Arial" w:cs="Arial"/>
        </w:rPr>
      </w:pPr>
      <w:r w:rsidRPr="005733BB">
        <w:rPr>
          <w:rFonts w:ascii="Arial" w:hAnsi="Arial" w:cs="Arial"/>
        </w:rPr>
        <w:t xml:space="preserve">Jednym </w:t>
      </w:r>
      <w:r>
        <w:rPr>
          <w:rFonts w:ascii="Arial" w:hAnsi="Arial" w:cs="Arial"/>
        </w:rPr>
        <w:t xml:space="preserve">z </w:t>
      </w:r>
      <w:r w:rsidRPr="005733BB">
        <w:rPr>
          <w:rFonts w:ascii="Arial" w:hAnsi="Arial" w:cs="Arial"/>
        </w:rPr>
        <w:t>istotnych elementów integrowanej ochrony roślin są niechemiczne metody ochrony roślin, w tym metody agrotechniczne, biologiczne, czy hodowlane (stosowanie odmian odpornych i</w:t>
      </w:r>
      <w:r>
        <w:rPr>
          <w:rFonts w:ascii="Arial" w:hAnsi="Arial" w:cs="Arial"/>
        </w:rPr>
        <w:t> </w:t>
      </w:r>
      <w:r w:rsidRPr="005733BB">
        <w:rPr>
          <w:rFonts w:ascii="Arial" w:hAnsi="Arial" w:cs="Arial"/>
        </w:rPr>
        <w:t>tolerancyjnych na agrofagi).</w:t>
      </w:r>
    </w:p>
    <w:p w14:paraId="795B9836" w14:textId="63125FB9" w:rsidR="005733BB" w:rsidRDefault="005733BB" w:rsidP="005733B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Aby zachęcić rolników do przechodzenia na zrównoważone metody gospodarowania zaprojektowane zostały interwencje PS WPR, ukierunkowane na promowanie niechemicznych metod ochrony roślin oraz zrównoważonego stosowania środków ochrony roślin. </w:t>
      </w:r>
    </w:p>
    <w:p w14:paraId="14AFA479" w14:textId="1F7E3428" w:rsidR="005733BB" w:rsidRDefault="005733BB" w:rsidP="005733B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Najważniejszą z takich interwencji, obok wsparcia rolnictwa ekologicznego, </w:t>
      </w:r>
      <w:r w:rsidR="00B110F7">
        <w:rPr>
          <w:rFonts w:ascii="Arial" w:hAnsi="Arial" w:cs="Arial"/>
        </w:rPr>
        <w:t>jest</w:t>
      </w:r>
      <w:r>
        <w:rPr>
          <w:rFonts w:ascii="Arial" w:hAnsi="Arial" w:cs="Arial"/>
        </w:rPr>
        <w:t xml:space="preserve"> ekoschemat dedykowany uczestnictwu w systemie integrowanej produkcji roślin. </w:t>
      </w:r>
    </w:p>
    <w:p w14:paraId="42DF3133" w14:textId="3CF38505" w:rsidR="005733BB" w:rsidRDefault="005733BB" w:rsidP="005733B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ramach tego ekoschematu wymagane </w:t>
      </w:r>
      <w:r w:rsidR="00B110F7">
        <w:rPr>
          <w:rFonts w:ascii="Arial" w:hAnsi="Arial" w:cs="Arial"/>
        </w:rPr>
        <w:t>jest</w:t>
      </w:r>
      <w:r>
        <w:rPr>
          <w:rFonts w:ascii="Arial" w:hAnsi="Arial" w:cs="Arial"/>
        </w:rPr>
        <w:t xml:space="preserve"> prowadzenie upraw zgodnie z metodykami integrowanej produkcji roślin </w:t>
      </w:r>
      <w:r w:rsidR="006426AD" w:rsidRPr="006426AD">
        <w:rPr>
          <w:rFonts w:ascii="Arial" w:hAnsi="Arial" w:cs="Arial"/>
        </w:rPr>
        <w:t>pod nadzorem podmiotów certyfikujących.</w:t>
      </w:r>
      <w:r>
        <w:rPr>
          <w:rFonts w:ascii="Arial" w:hAnsi="Arial" w:cs="Arial"/>
        </w:rPr>
        <w:t xml:space="preserve"> Należy podkreślić, że w ramach integrowanej produkcji roślin stawiane są takie wymagania jak m.in.:</w:t>
      </w:r>
    </w:p>
    <w:p w14:paraId="076F4D78" w14:textId="2E3672AF" w:rsidR="005733BB" w:rsidRDefault="005733BB" w:rsidP="00E74A80">
      <w:pPr>
        <w:pStyle w:val="NormalnyWeb"/>
        <w:numPr>
          <w:ilvl w:val="0"/>
          <w:numId w:val="15"/>
        </w:numPr>
        <w:tabs>
          <w:tab w:val="left" w:pos="284"/>
        </w:tabs>
        <w:spacing w:beforeAutospacing="0" w:after="120" w:afterAutospacing="0" w:line="360" w:lineRule="auto"/>
        <w:ind w:left="851" w:hanging="425"/>
        <w:jc w:val="both"/>
        <w:rPr>
          <w:rFonts w:ascii="Arial" w:hAnsi="Arial" w:cs="Arial"/>
        </w:rPr>
      </w:pPr>
      <w:r>
        <w:rPr>
          <w:rFonts w:ascii="Arial" w:hAnsi="Arial" w:cs="Arial"/>
        </w:rPr>
        <w:t>przestrzeganie właściwego płodozm</w:t>
      </w:r>
      <w:r w:rsidR="006426AD">
        <w:rPr>
          <w:rFonts w:ascii="Arial" w:hAnsi="Arial" w:cs="Arial"/>
        </w:rPr>
        <w:t>i</w:t>
      </w:r>
      <w:r>
        <w:rPr>
          <w:rFonts w:ascii="Arial" w:hAnsi="Arial" w:cs="Arial"/>
        </w:rPr>
        <w:t>anu;</w:t>
      </w:r>
    </w:p>
    <w:p w14:paraId="53FBA333" w14:textId="77777777" w:rsidR="005733BB" w:rsidRDefault="005733BB" w:rsidP="00E74A80">
      <w:pPr>
        <w:pStyle w:val="NormalnyWeb"/>
        <w:numPr>
          <w:ilvl w:val="0"/>
          <w:numId w:val="15"/>
        </w:numPr>
        <w:tabs>
          <w:tab w:val="left" w:pos="284"/>
        </w:tabs>
        <w:spacing w:beforeAutospacing="0" w:after="120" w:afterAutospacing="0" w:line="360" w:lineRule="auto"/>
        <w:ind w:left="851" w:hanging="425"/>
        <w:jc w:val="both"/>
        <w:rPr>
          <w:rFonts w:ascii="Arial" w:hAnsi="Arial" w:cs="Arial"/>
        </w:rPr>
      </w:pPr>
      <w:r>
        <w:rPr>
          <w:rFonts w:ascii="Arial" w:hAnsi="Arial" w:cs="Arial"/>
        </w:rPr>
        <w:t xml:space="preserve">stosowanie właściwej agrotechniki, ograniczającej występowanie agrofagów; </w:t>
      </w:r>
    </w:p>
    <w:p w14:paraId="77B0B49D" w14:textId="77777777" w:rsidR="005733BB" w:rsidRDefault="005733BB" w:rsidP="00E74A80">
      <w:pPr>
        <w:pStyle w:val="NormalnyWeb"/>
        <w:numPr>
          <w:ilvl w:val="0"/>
          <w:numId w:val="15"/>
        </w:numPr>
        <w:tabs>
          <w:tab w:val="left" w:pos="284"/>
        </w:tabs>
        <w:spacing w:beforeAutospacing="0" w:after="120" w:afterAutospacing="0" w:line="360" w:lineRule="auto"/>
        <w:ind w:left="851" w:hanging="425"/>
        <w:jc w:val="both"/>
        <w:rPr>
          <w:rFonts w:ascii="Arial" w:hAnsi="Arial" w:cs="Arial"/>
        </w:rPr>
      </w:pPr>
      <w:r>
        <w:rPr>
          <w:rFonts w:ascii="Arial" w:hAnsi="Arial" w:cs="Arial"/>
        </w:rPr>
        <w:t>stosowanie ochrony biologicznej;</w:t>
      </w:r>
    </w:p>
    <w:p w14:paraId="510DEA1D" w14:textId="77777777" w:rsidR="005733BB" w:rsidRDefault="005733BB" w:rsidP="00E74A80">
      <w:pPr>
        <w:pStyle w:val="NormalnyWeb"/>
        <w:numPr>
          <w:ilvl w:val="0"/>
          <w:numId w:val="15"/>
        </w:numPr>
        <w:tabs>
          <w:tab w:val="left" w:pos="284"/>
        </w:tabs>
        <w:spacing w:beforeAutospacing="0" w:after="120" w:afterAutospacing="0" w:line="360" w:lineRule="auto"/>
        <w:ind w:left="851" w:hanging="425"/>
        <w:jc w:val="both"/>
        <w:rPr>
          <w:rFonts w:ascii="Arial" w:hAnsi="Arial" w:cs="Arial"/>
        </w:rPr>
      </w:pPr>
      <w:r>
        <w:rPr>
          <w:rFonts w:ascii="Arial" w:hAnsi="Arial" w:cs="Arial"/>
        </w:rPr>
        <w:t>stwarzanie warunków korzystnych dla występowania organizmów pożytecznych;</w:t>
      </w:r>
    </w:p>
    <w:p w14:paraId="1DDB36C6" w14:textId="32966232" w:rsidR="005733BB" w:rsidRDefault="005733BB" w:rsidP="00E74A80">
      <w:pPr>
        <w:pStyle w:val="NormalnyWeb"/>
        <w:numPr>
          <w:ilvl w:val="0"/>
          <w:numId w:val="15"/>
        </w:numPr>
        <w:tabs>
          <w:tab w:val="left" w:pos="284"/>
        </w:tabs>
        <w:spacing w:beforeAutospacing="0" w:after="120" w:afterAutospacing="0" w:line="360" w:lineRule="auto"/>
        <w:ind w:left="851" w:hanging="425"/>
        <w:jc w:val="both"/>
        <w:rPr>
          <w:rFonts w:ascii="Arial" w:hAnsi="Arial" w:cs="Arial"/>
        </w:rPr>
      </w:pPr>
      <w:r>
        <w:rPr>
          <w:rFonts w:ascii="Arial" w:hAnsi="Arial" w:cs="Arial"/>
        </w:rPr>
        <w:t xml:space="preserve">wykorzystywanie odmian tolerancyjnych lub odpornych na agrofagi, zgodnie z zaleceniami </w:t>
      </w:r>
      <w:r w:rsidR="00DD2D59">
        <w:rPr>
          <w:rFonts w:ascii="Arial" w:hAnsi="Arial" w:cs="Arial"/>
        </w:rPr>
        <w:t>Porejestrowego Doświadczalnictwa Odmianowego</w:t>
      </w:r>
      <w:r>
        <w:rPr>
          <w:rFonts w:ascii="Arial" w:hAnsi="Arial" w:cs="Arial"/>
        </w:rPr>
        <w:t>;</w:t>
      </w:r>
    </w:p>
    <w:p w14:paraId="7DD11468" w14:textId="77777777" w:rsidR="005733BB" w:rsidRDefault="005733BB" w:rsidP="00E74A80">
      <w:pPr>
        <w:pStyle w:val="NormalnyWeb"/>
        <w:numPr>
          <w:ilvl w:val="0"/>
          <w:numId w:val="15"/>
        </w:numPr>
        <w:tabs>
          <w:tab w:val="left" w:pos="284"/>
        </w:tabs>
        <w:spacing w:beforeAutospacing="0" w:after="120" w:afterAutospacing="0" w:line="360" w:lineRule="auto"/>
        <w:ind w:left="851" w:hanging="425"/>
        <w:jc w:val="both"/>
        <w:rPr>
          <w:rFonts w:ascii="Arial" w:hAnsi="Arial" w:cs="Arial"/>
        </w:rPr>
      </w:pPr>
      <w:r>
        <w:rPr>
          <w:rFonts w:ascii="Arial" w:hAnsi="Arial" w:cs="Arial"/>
        </w:rPr>
        <w:t xml:space="preserve">stosowanie zrównoważonego nawożenia, opartego na faktycznych potrzebach roślin. </w:t>
      </w:r>
    </w:p>
    <w:p w14:paraId="6B3ED332" w14:textId="525761E0" w:rsidR="00724940" w:rsidRDefault="006426AD" w:rsidP="0092558E">
      <w:pPr>
        <w:pStyle w:val="NormalnyWeb"/>
        <w:tabs>
          <w:tab w:val="left" w:pos="284"/>
        </w:tabs>
        <w:spacing w:beforeAutospacing="0" w:after="120" w:afterAutospacing="0" w:line="360" w:lineRule="auto"/>
        <w:ind w:firstLine="284"/>
        <w:jc w:val="both"/>
        <w:rPr>
          <w:rFonts w:ascii="Arial" w:hAnsi="Arial" w:cs="Arial"/>
        </w:rPr>
      </w:pPr>
      <w:r w:rsidRPr="006426AD">
        <w:rPr>
          <w:rFonts w:ascii="Arial" w:hAnsi="Arial" w:cs="Arial"/>
        </w:rPr>
        <w:t xml:space="preserve">Wsparciem objęta </w:t>
      </w:r>
      <w:r w:rsidR="00B110F7">
        <w:rPr>
          <w:rFonts w:ascii="Arial" w:hAnsi="Arial" w:cs="Arial"/>
        </w:rPr>
        <w:t>jest</w:t>
      </w:r>
      <w:r w:rsidRPr="006426AD">
        <w:rPr>
          <w:rFonts w:ascii="Arial" w:hAnsi="Arial" w:cs="Arial"/>
        </w:rPr>
        <w:t xml:space="preserve"> powierzchnia upraw, na której realizowane </w:t>
      </w:r>
      <w:r w:rsidR="00B110F7">
        <w:rPr>
          <w:rFonts w:ascii="Arial" w:hAnsi="Arial" w:cs="Arial"/>
        </w:rPr>
        <w:t>są</w:t>
      </w:r>
      <w:r w:rsidRPr="006426AD">
        <w:rPr>
          <w:rFonts w:ascii="Arial" w:hAnsi="Arial" w:cs="Arial"/>
        </w:rPr>
        <w:t xml:space="preserve"> zobowiązania ekoschematu oraz powierzchnia trwałych użytków zielonych odpowiadająca równowartości powierzchni tych upraw w</w:t>
      </w:r>
      <w:r w:rsidR="00633EA2">
        <w:rPr>
          <w:rFonts w:ascii="Arial" w:hAnsi="Arial" w:cs="Arial"/>
        </w:rPr>
        <w:t> </w:t>
      </w:r>
      <w:r w:rsidRPr="006426AD">
        <w:rPr>
          <w:rFonts w:ascii="Arial" w:hAnsi="Arial" w:cs="Arial"/>
        </w:rPr>
        <w:t xml:space="preserve">wysokości ok. 292,13 euro/ha. Stawki płatności określane w EUR przeliczane </w:t>
      </w:r>
      <w:r w:rsidR="00A8483B">
        <w:rPr>
          <w:rFonts w:ascii="Arial" w:hAnsi="Arial" w:cs="Arial"/>
        </w:rPr>
        <w:t>są</w:t>
      </w:r>
      <w:r w:rsidRPr="006426AD">
        <w:rPr>
          <w:rFonts w:ascii="Arial" w:hAnsi="Arial" w:cs="Arial"/>
        </w:rPr>
        <w:t xml:space="preserve"> na zł wg kursu PLN/EUR ustalonego na ostatni dzień roboczy września danego roku.</w:t>
      </w:r>
      <w:r w:rsidR="00724940">
        <w:rPr>
          <w:rFonts w:ascii="Arial" w:hAnsi="Arial" w:cs="Arial"/>
        </w:rPr>
        <w:t xml:space="preserve"> </w:t>
      </w:r>
    </w:p>
    <w:p w14:paraId="6D40D2EA" w14:textId="53D6FB56" w:rsidR="001409D7" w:rsidRDefault="001409D7" w:rsidP="0092558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Zgodnie z przepisami rozporządzenia Ministra Rolnictwa i Rozwoju Wsi </w:t>
      </w:r>
      <w:r w:rsidRPr="001409D7">
        <w:rPr>
          <w:rFonts w:ascii="Arial" w:hAnsi="Arial" w:cs="Arial"/>
        </w:rPr>
        <w:t>z dnia 27 lutego 2024 r.</w:t>
      </w:r>
      <w:r w:rsidR="009A7829">
        <w:rPr>
          <w:rFonts w:ascii="Arial" w:hAnsi="Arial" w:cs="Arial"/>
        </w:rPr>
        <w:t xml:space="preserve"> </w:t>
      </w:r>
      <w:r w:rsidRPr="001409D7">
        <w:rPr>
          <w:rFonts w:ascii="Arial" w:hAnsi="Arial" w:cs="Arial"/>
        </w:rPr>
        <w:t>w</w:t>
      </w:r>
      <w:r w:rsidR="00BB474A">
        <w:rPr>
          <w:rFonts w:ascii="Arial" w:hAnsi="Arial" w:cs="Arial"/>
        </w:rPr>
        <w:t> </w:t>
      </w:r>
      <w:r w:rsidRPr="001409D7">
        <w:rPr>
          <w:rFonts w:ascii="Arial" w:hAnsi="Arial" w:cs="Arial"/>
        </w:rPr>
        <w:t>sprawie stawek płatności w ramach schematów na rzecz klimatu i środowiska za 2023 r.</w:t>
      </w:r>
      <w:r w:rsidR="00AE63CF">
        <w:rPr>
          <w:rFonts w:ascii="Arial" w:hAnsi="Arial" w:cs="Arial"/>
        </w:rPr>
        <w:t xml:space="preserve">(DZ. U. poz. </w:t>
      </w:r>
      <w:r w:rsidR="00854029">
        <w:rPr>
          <w:rFonts w:ascii="Arial" w:hAnsi="Arial" w:cs="Arial"/>
        </w:rPr>
        <w:t>265)</w:t>
      </w:r>
      <w:r w:rsidR="009A7829">
        <w:rPr>
          <w:rFonts w:ascii="Arial" w:hAnsi="Arial" w:cs="Arial"/>
        </w:rPr>
        <w:t xml:space="preserve">, </w:t>
      </w:r>
      <w:r w:rsidR="009E024D">
        <w:rPr>
          <w:rFonts w:ascii="Arial" w:hAnsi="Arial" w:cs="Arial"/>
        </w:rPr>
        <w:t xml:space="preserve">wydanego </w:t>
      </w:r>
      <w:r w:rsidR="009A7829">
        <w:rPr>
          <w:rFonts w:ascii="Arial" w:hAnsi="Arial" w:cs="Arial"/>
        </w:rPr>
        <w:t>na</w:t>
      </w:r>
      <w:r w:rsidRPr="001409D7">
        <w:rPr>
          <w:rFonts w:ascii="Arial" w:hAnsi="Arial" w:cs="Arial"/>
        </w:rPr>
        <w:t xml:space="preserve"> podstawie art. 49 ust. 1 ustawy z dnia 8 lutego 2023 r. o Planie Strategicznym dla Wspólnej Polityki Rolnej na lata</w:t>
      </w:r>
      <w:r w:rsidR="009A7829">
        <w:rPr>
          <w:rFonts w:ascii="Arial" w:hAnsi="Arial" w:cs="Arial"/>
        </w:rPr>
        <w:t xml:space="preserve"> </w:t>
      </w:r>
      <w:r w:rsidRPr="001409D7">
        <w:rPr>
          <w:rFonts w:ascii="Arial" w:hAnsi="Arial" w:cs="Arial"/>
        </w:rPr>
        <w:t xml:space="preserve">2023–2027 (Dz. U. z 2024 r. poz. 261) </w:t>
      </w:r>
      <w:r w:rsidR="009A7829">
        <w:rPr>
          <w:rFonts w:ascii="Arial" w:hAnsi="Arial" w:cs="Arial"/>
        </w:rPr>
        <w:t xml:space="preserve">określone </w:t>
      </w:r>
      <w:r w:rsidR="00F95673">
        <w:rPr>
          <w:rFonts w:ascii="Arial" w:hAnsi="Arial" w:cs="Arial"/>
        </w:rPr>
        <w:t xml:space="preserve">zostały </w:t>
      </w:r>
      <w:r w:rsidRPr="001409D7">
        <w:rPr>
          <w:rFonts w:ascii="Arial" w:hAnsi="Arial" w:cs="Arial"/>
        </w:rPr>
        <w:t>stawki płatności w ramach schematów na rzecz klimatu i środowiska, o których mowa w art. 16</w:t>
      </w:r>
      <w:r w:rsidR="00F95673">
        <w:rPr>
          <w:rFonts w:ascii="Arial" w:hAnsi="Arial" w:cs="Arial"/>
        </w:rPr>
        <w:t xml:space="preserve"> </w:t>
      </w:r>
      <w:r w:rsidRPr="001409D7">
        <w:rPr>
          <w:rFonts w:ascii="Arial" w:hAnsi="Arial" w:cs="Arial"/>
        </w:rPr>
        <w:t xml:space="preserve">ust. 2 lit. d </w:t>
      </w:r>
      <w:r w:rsidRPr="001409D7">
        <w:rPr>
          <w:rFonts w:ascii="Arial" w:hAnsi="Arial" w:cs="Arial"/>
        </w:rPr>
        <w:lastRenderedPageBreak/>
        <w:t>rozporządzenia Parlamentu Europejskiego i Rady (UE) 2021/2115 z dnia 2 grudnia 2021</w:t>
      </w:r>
      <w:r w:rsidR="00854029">
        <w:rPr>
          <w:rFonts w:ascii="Arial" w:hAnsi="Arial" w:cs="Arial"/>
        </w:rPr>
        <w:t> </w:t>
      </w:r>
      <w:r w:rsidRPr="001409D7">
        <w:rPr>
          <w:rFonts w:ascii="Arial" w:hAnsi="Arial" w:cs="Arial"/>
        </w:rPr>
        <w:t>r. ustanawiającego przepisy</w:t>
      </w:r>
      <w:r w:rsidR="00F95673">
        <w:rPr>
          <w:rFonts w:ascii="Arial" w:hAnsi="Arial" w:cs="Arial"/>
        </w:rPr>
        <w:t xml:space="preserve"> </w:t>
      </w:r>
      <w:r w:rsidRPr="001409D7">
        <w:rPr>
          <w:rFonts w:ascii="Arial" w:hAnsi="Arial" w:cs="Arial"/>
        </w:rPr>
        <w:t>dotyczące wsparcia planów strategicznych sporządzanych przez państwa członkowskie w ramach wspólnej polityki rolnej (planów</w:t>
      </w:r>
      <w:r w:rsidR="00F95673">
        <w:rPr>
          <w:rFonts w:ascii="Arial" w:hAnsi="Arial" w:cs="Arial"/>
        </w:rPr>
        <w:t xml:space="preserve"> </w:t>
      </w:r>
      <w:r w:rsidRPr="001409D7">
        <w:rPr>
          <w:rFonts w:ascii="Arial" w:hAnsi="Arial" w:cs="Arial"/>
        </w:rPr>
        <w:t>strategicznych WPR) i finansowanych z</w:t>
      </w:r>
      <w:r w:rsidR="00854029">
        <w:rPr>
          <w:rFonts w:ascii="Arial" w:hAnsi="Arial" w:cs="Arial"/>
        </w:rPr>
        <w:t> </w:t>
      </w:r>
      <w:r w:rsidRPr="001409D7">
        <w:rPr>
          <w:rFonts w:ascii="Arial" w:hAnsi="Arial" w:cs="Arial"/>
        </w:rPr>
        <w:t>Europejskiego Funduszu Rolniczego Gwarancji (EFRG) i z Europejskiego Funduszu</w:t>
      </w:r>
      <w:r w:rsidR="00F95673">
        <w:rPr>
          <w:rFonts w:ascii="Arial" w:hAnsi="Arial" w:cs="Arial"/>
        </w:rPr>
        <w:t xml:space="preserve"> </w:t>
      </w:r>
      <w:r w:rsidRPr="001409D7">
        <w:rPr>
          <w:rFonts w:ascii="Arial" w:hAnsi="Arial" w:cs="Arial"/>
        </w:rPr>
        <w:t>Rolnego na rzecz Rozwoju Obszarów Wiejskich (EFRROW) oraz uchylającego rozporządzenia (UE) nr 1305/2013 i (UE)</w:t>
      </w:r>
      <w:r w:rsidR="00F95673">
        <w:rPr>
          <w:rFonts w:ascii="Arial" w:hAnsi="Arial" w:cs="Arial"/>
        </w:rPr>
        <w:t xml:space="preserve"> </w:t>
      </w:r>
      <w:r w:rsidRPr="001409D7">
        <w:rPr>
          <w:rFonts w:ascii="Arial" w:hAnsi="Arial" w:cs="Arial"/>
        </w:rPr>
        <w:t>nr 1307/2013 (Dz. Urz. UE L 435 z 06.12.2021, str. 1, z późn. zm.2)), za 2023 r., obejmujące płatności do</w:t>
      </w:r>
      <w:r w:rsidR="00F95673">
        <w:rPr>
          <w:rFonts w:ascii="Arial" w:hAnsi="Arial" w:cs="Arial"/>
        </w:rPr>
        <w:t xml:space="preserve"> </w:t>
      </w:r>
      <w:r w:rsidRPr="001409D7">
        <w:rPr>
          <w:rFonts w:ascii="Arial" w:hAnsi="Arial" w:cs="Arial"/>
        </w:rPr>
        <w:t>integrowanej produkcji roślin</w:t>
      </w:r>
      <w:r w:rsidR="00F95673">
        <w:rPr>
          <w:rFonts w:ascii="Arial" w:hAnsi="Arial" w:cs="Arial"/>
        </w:rPr>
        <w:t xml:space="preserve"> oraz </w:t>
      </w:r>
      <w:r w:rsidRPr="001409D7">
        <w:rPr>
          <w:rFonts w:ascii="Arial" w:hAnsi="Arial" w:cs="Arial"/>
        </w:rPr>
        <w:t>biologicznej ochrony upraw</w:t>
      </w:r>
      <w:r w:rsidR="00DA738A">
        <w:rPr>
          <w:rFonts w:ascii="Arial" w:hAnsi="Arial" w:cs="Arial"/>
        </w:rPr>
        <w:t>.</w:t>
      </w:r>
    </w:p>
    <w:p w14:paraId="34B830CA" w14:textId="127CCA11" w:rsidR="00DA738A" w:rsidRDefault="00F02E03" w:rsidP="0092558E">
      <w:pPr>
        <w:pStyle w:val="NormalnyWeb"/>
        <w:tabs>
          <w:tab w:val="left" w:pos="284"/>
        </w:tabs>
        <w:spacing w:beforeAutospacing="0" w:after="120" w:afterAutospacing="0" w:line="360" w:lineRule="auto"/>
        <w:ind w:firstLine="284"/>
        <w:jc w:val="both"/>
        <w:rPr>
          <w:rFonts w:ascii="Arial" w:hAnsi="Arial" w:cs="Arial"/>
        </w:rPr>
      </w:pPr>
      <w:r w:rsidRPr="00F02E03">
        <w:rPr>
          <w:rFonts w:ascii="Arial" w:hAnsi="Arial" w:cs="Arial"/>
        </w:rPr>
        <w:t>Stawka p</w:t>
      </w:r>
      <w:r w:rsidRPr="00F02E03">
        <w:rPr>
          <w:rFonts w:ascii="Arial" w:hAnsi="Arial" w:cs="Arial" w:hint="eastAsia"/>
        </w:rPr>
        <w:t>ł</w:t>
      </w:r>
      <w:r w:rsidRPr="00F02E03">
        <w:rPr>
          <w:rFonts w:ascii="Arial" w:hAnsi="Arial" w:cs="Arial"/>
        </w:rPr>
        <w:t>atno</w:t>
      </w:r>
      <w:r w:rsidRPr="00F02E03">
        <w:rPr>
          <w:rFonts w:ascii="Arial" w:hAnsi="Arial" w:cs="Arial" w:hint="eastAsia"/>
        </w:rPr>
        <w:t>ś</w:t>
      </w:r>
      <w:r w:rsidRPr="00F02E03">
        <w:rPr>
          <w:rFonts w:ascii="Arial" w:hAnsi="Arial" w:cs="Arial"/>
        </w:rPr>
        <w:t>ci do integrowanej produkcji ro</w:t>
      </w:r>
      <w:r w:rsidRPr="00F02E03">
        <w:rPr>
          <w:rFonts w:ascii="Arial" w:hAnsi="Arial" w:cs="Arial" w:hint="eastAsia"/>
        </w:rPr>
        <w:t>ś</w:t>
      </w:r>
      <w:r w:rsidRPr="00F02E03">
        <w:rPr>
          <w:rFonts w:ascii="Arial" w:hAnsi="Arial" w:cs="Arial"/>
        </w:rPr>
        <w:t xml:space="preserve">lin </w:t>
      </w:r>
      <w:r w:rsidR="008435ED">
        <w:rPr>
          <w:rFonts w:ascii="Arial" w:hAnsi="Arial" w:cs="Arial"/>
        </w:rPr>
        <w:t xml:space="preserve">w 2023 r. </w:t>
      </w:r>
      <w:r w:rsidRPr="00F02E03">
        <w:rPr>
          <w:rFonts w:ascii="Arial" w:hAnsi="Arial" w:cs="Arial"/>
        </w:rPr>
        <w:t>wynosi</w:t>
      </w:r>
      <w:r w:rsidR="008435ED">
        <w:rPr>
          <w:rFonts w:ascii="Arial" w:hAnsi="Arial" w:cs="Arial"/>
        </w:rPr>
        <w:t>ła</w:t>
      </w:r>
      <w:r w:rsidRPr="00F02E03">
        <w:rPr>
          <w:rFonts w:ascii="Arial" w:hAnsi="Arial" w:cs="Arial"/>
        </w:rPr>
        <w:t xml:space="preserve"> 1</w:t>
      </w:r>
      <w:r w:rsidR="00A8483B">
        <w:rPr>
          <w:rFonts w:ascii="Arial" w:hAnsi="Arial" w:cs="Arial"/>
        </w:rPr>
        <w:t> </w:t>
      </w:r>
      <w:r w:rsidRPr="00F02E03">
        <w:rPr>
          <w:rFonts w:ascii="Arial" w:hAnsi="Arial" w:cs="Arial"/>
        </w:rPr>
        <w:t>363,77 z</w:t>
      </w:r>
      <w:r w:rsidRPr="00F02E03">
        <w:rPr>
          <w:rFonts w:ascii="Arial" w:hAnsi="Arial" w:cs="Arial" w:hint="eastAsia"/>
        </w:rPr>
        <w:t>ł</w:t>
      </w:r>
      <w:r w:rsidRPr="00F02E03">
        <w:rPr>
          <w:rFonts w:ascii="Arial" w:hAnsi="Arial" w:cs="Arial"/>
        </w:rPr>
        <w:t xml:space="preserve"> na hektar powierzchni obszaru zatwierdzonego</w:t>
      </w:r>
      <w:r w:rsidR="008435ED">
        <w:rPr>
          <w:rFonts w:ascii="Arial" w:hAnsi="Arial" w:cs="Arial"/>
        </w:rPr>
        <w:t xml:space="preserve"> </w:t>
      </w:r>
      <w:r w:rsidRPr="00F02E03">
        <w:rPr>
          <w:rFonts w:ascii="Arial" w:hAnsi="Arial" w:cs="Arial"/>
        </w:rPr>
        <w:t>do tej p</w:t>
      </w:r>
      <w:r w:rsidRPr="00F02E03">
        <w:rPr>
          <w:rFonts w:ascii="Arial" w:hAnsi="Arial" w:cs="Arial" w:hint="eastAsia"/>
        </w:rPr>
        <w:t>ł</w:t>
      </w:r>
      <w:r w:rsidRPr="00F02E03">
        <w:rPr>
          <w:rFonts w:ascii="Arial" w:hAnsi="Arial" w:cs="Arial"/>
        </w:rPr>
        <w:t>atno</w:t>
      </w:r>
      <w:r w:rsidRPr="00F02E03">
        <w:rPr>
          <w:rFonts w:ascii="Arial" w:hAnsi="Arial" w:cs="Arial" w:hint="eastAsia"/>
        </w:rPr>
        <w:t>ś</w:t>
      </w:r>
      <w:r w:rsidRPr="00F02E03">
        <w:rPr>
          <w:rFonts w:ascii="Arial" w:hAnsi="Arial" w:cs="Arial"/>
        </w:rPr>
        <w:t>ci</w:t>
      </w:r>
      <w:r w:rsidR="008435ED">
        <w:rPr>
          <w:rFonts w:ascii="Arial" w:hAnsi="Arial" w:cs="Arial"/>
        </w:rPr>
        <w:t>, natomiast s</w:t>
      </w:r>
      <w:r w:rsidRPr="00F02E03">
        <w:rPr>
          <w:rFonts w:ascii="Arial" w:hAnsi="Arial" w:cs="Arial"/>
        </w:rPr>
        <w:t>tawka p</w:t>
      </w:r>
      <w:r w:rsidRPr="00F02E03">
        <w:rPr>
          <w:rFonts w:ascii="Arial" w:hAnsi="Arial" w:cs="Arial" w:hint="eastAsia"/>
        </w:rPr>
        <w:t>ł</w:t>
      </w:r>
      <w:r w:rsidRPr="00F02E03">
        <w:rPr>
          <w:rFonts w:ascii="Arial" w:hAnsi="Arial" w:cs="Arial"/>
        </w:rPr>
        <w:t>atno</w:t>
      </w:r>
      <w:r w:rsidRPr="00F02E03">
        <w:rPr>
          <w:rFonts w:ascii="Arial" w:hAnsi="Arial" w:cs="Arial" w:hint="eastAsia"/>
        </w:rPr>
        <w:t>ś</w:t>
      </w:r>
      <w:r w:rsidRPr="00F02E03">
        <w:rPr>
          <w:rFonts w:ascii="Arial" w:hAnsi="Arial" w:cs="Arial"/>
        </w:rPr>
        <w:t>ci do biologicznej ochrony upraw wynosi</w:t>
      </w:r>
      <w:r w:rsidR="00BB474A">
        <w:rPr>
          <w:rFonts w:ascii="Arial" w:hAnsi="Arial" w:cs="Arial"/>
        </w:rPr>
        <w:t>ła</w:t>
      </w:r>
      <w:r w:rsidRPr="00F02E03">
        <w:rPr>
          <w:rFonts w:ascii="Arial" w:hAnsi="Arial" w:cs="Arial"/>
        </w:rPr>
        <w:t xml:space="preserve"> 419,64 z</w:t>
      </w:r>
      <w:r w:rsidRPr="00F02E03">
        <w:rPr>
          <w:rFonts w:ascii="Arial" w:hAnsi="Arial" w:cs="Arial" w:hint="eastAsia"/>
        </w:rPr>
        <w:t>ł</w:t>
      </w:r>
      <w:r w:rsidRPr="00F02E03">
        <w:rPr>
          <w:rFonts w:ascii="Arial" w:hAnsi="Arial" w:cs="Arial"/>
        </w:rPr>
        <w:t xml:space="preserve"> na hektar powierzchni obszaru zatwierdzonego</w:t>
      </w:r>
      <w:r w:rsidR="00BB474A">
        <w:rPr>
          <w:rFonts w:ascii="Arial" w:hAnsi="Arial" w:cs="Arial"/>
        </w:rPr>
        <w:t xml:space="preserve"> </w:t>
      </w:r>
      <w:r w:rsidRPr="00F02E03">
        <w:rPr>
          <w:rFonts w:ascii="Arial" w:hAnsi="Arial" w:cs="Arial"/>
        </w:rPr>
        <w:t>do tej p</w:t>
      </w:r>
      <w:r w:rsidRPr="00F02E03">
        <w:rPr>
          <w:rFonts w:ascii="Arial" w:hAnsi="Arial" w:cs="Arial" w:hint="eastAsia"/>
        </w:rPr>
        <w:t>ł</w:t>
      </w:r>
      <w:r w:rsidRPr="00F02E03">
        <w:rPr>
          <w:rFonts w:ascii="Arial" w:hAnsi="Arial" w:cs="Arial"/>
        </w:rPr>
        <w:t>atno</w:t>
      </w:r>
      <w:r w:rsidRPr="00F02E03">
        <w:rPr>
          <w:rFonts w:ascii="Arial" w:hAnsi="Arial" w:cs="Arial" w:hint="eastAsia"/>
        </w:rPr>
        <w:t>ś</w:t>
      </w:r>
      <w:r w:rsidRPr="00F02E03">
        <w:rPr>
          <w:rFonts w:ascii="Arial" w:hAnsi="Arial" w:cs="Arial"/>
        </w:rPr>
        <w:t>ci.</w:t>
      </w:r>
    </w:p>
    <w:p w14:paraId="5860B402" w14:textId="4F296832" w:rsidR="0092558E" w:rsidRDefault="0092558E" w:rsidP="0092558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2023 r. z płatności w ramach ekoschematu biologiczna ochrona upraw skorzystało 812 rolników, natomiast z ekoschematu integrowana produkcja roślin – 6 178 rolników.</w:t>
      </w:r>
    </w:p>
    <w:tbl>
      <w:tblPr>
        <w:tblW w:w="9060" w:type="dxa"/>
        <w:tblInd w:w="2" w:type="dxa"/>
        <w:tblCellMar>
          <w:left w:w="0" w:type="dxa"/>
          <w:right w:w="0" w:type="dxa"/>
        </w:tblCellMar>
        <w:tblLook w:val="04A0" w:firstRow="1" w:lastRow="0" w:firstColumn="1" w:lastColumn="0" w:noHBand="0" w:noVBand="1"/>
      </w:tblPr>
      <w:tblGrid>
        <w:gridCol w:w="3414"/>
        <w:gridCol w:w="3222"/>
        <w:gridCol w:w="2424"/>
      </w:tblGrid>
      <w:tr w:rsidR="004007EA" w14:paraId="51EC8F31" w14:textId="77777777" w:rsidTr="0048389F">
        <w:trPr>
          <w:trHeight w:val="653"/>
        </w:trPr>
        <w:tc>
          <w:tcPr>
            <w:tcW w:w="3414" w:type="dxa"/>
            <w:vMerge w:val="restart"/>
            <w:tcBorders>
              <w:top w:val="single" w:sz="8" w:space="0" w:color="auto"/>
              <w:left w:val="single" w:sz="8" w:space="0" w:color="auto"/>
              <w:bottom w:val="single" w:sz="8" w:space="0" w:color="auto"/>
              <w:right w:val="single" w:sz="4" w:space="0" w:color="auto"/>
            </w:tcBorders>
            <w:shd w:val="clear" w:color="auto" w:fill="C0E6F5"/>
            <w:tcMar>
              <w:top w:w="0" w:type="dxa"/>
              <w:left w:w="70" w:type="dxa"/>
              <w:bottom w:w="0" w:type="dxa"/>
              <w:right w:w="70" w:type="dxa"/>
            </w:tcMar>
            <w:vAlign w:val="center"/>
            <w:hideMark/>
          </w:tcPr>
          <w:p w14:paraId="388C11F2" w14:textId="77777777" w:rsidR="004007EA" w:rsidRDefault="004007EA">
            <w:pPr>
              <w:jc w:val="center"/>
              <w:rPr>
                <w:rFonts w:ascii="Aptos Narrow" w:hAnsi="Aptos Narrow"/>
                <w:color w:val="000000"/>
              </w:rPr>
            </w:pPr>
            <w:r>
              <w:rPr>
                <w:rFonts w:ascii="Aptos Narrow" w:hAnsi="Aptos Narrow"/>
                <w:color w:val="000000"/>
              </w:rPr>
              <w:t>ekoschemat</w:t>
            </w:r>
          </w:p>
        </w:tc>
        <w:tc>
          <w:tcPr>
            <w:tcW w:w="5646" w:type="dxa"/>
            <w:gridSpan w:val="2"/>
            <w:tcBorders>
              <w:top w:val="single" w:sz="4" w:space="0" w:color="auto"/>
              <w:left w:val="single" w:sz="4" w:space="0" w:color="auto"/>
              <w:bottom w:val="single" w:sz="4" w:space="0" w:color="auto"/>
              <w:right w:val="single" w:sz="4" w:space="0" w:color="auto"/>
            </w:tcBorders>
            <w:shd w:val="clear" w:color="auto" w:fill="C0E6F5"/>
            <w:tcMar>
              <w:top w:w="0" w:type="dxa"/>
              <w:left w:w="70" w:type="dxa"/>
              <w:bottom w:w="0" w:type="dxa"/>
              <w:right w:w="70" w:type="dxa"/>
            </w:tcMar>
            <w:vAlign w:val="center"/>
            <w:hideMark/>
          </w:tcPr>
          <w:p w14:paraId="70994AE6" w14:textId="7707C260" w:rsidR="004007EA" w:rsidRDefault="004007EA" w:rsidP="00D4307B">
            <w:pPr>
              <w:jc w:val="center"/>
              <w:rPr>
                <w:rFonts w:ascii="Aptos Narrow" w:hAnsi="Aptos Narrow"/>
                <w:color w:val="000000"/>
              </w:rPr>
            </w:pPr>
            <w:r w:rsidRPr="004007EA">
              <w:rPr>
                <w:rFonts w:ascii="Aptos Narrow" w:hAnsi="Aptos Narrow"/>
              </w:rPr>
              <w:t>Zrealizowane płatności w 2023 r.</w:t>
            </w:r>
          </w:p>
        </w:tc>
      </w:tr>
      <w:tr w:rsidR="00FA3491" w14:paraId="4ED474D1" w14:textId="77777777" w:rsidTr="0048389F">
        <w:trPr>
          <w:trHeight w:val="632"/>
        </w:trPr>
        <w:tc>
          <w:tcPr>
            <w:tcW w:w="0" w:type="auto"/>
            <w:vMerge/>
            <w:tcBorders>
              <w:top w:val="single" w:sz="8" w:space="0" w:color="auto"/>
              <w:left w:val="single" w:sz="8" w:space="0" w:color="auto"/>
              <w:bottom w:val="single" w:sz="8" w:space="0" w:color="auto"/>
              <w:right w:val="single" w:sz="4" w:space="0" w:color="auto"/>
            </w:tcBorders>
            <w:vAlign w:val="center"/>
            <w:hideMark/>
          </w:tcPr>
          <w:p w14:paraId="327AA1FA" w14:textId="77777777" w:rsidR="00FA3491" w:rsidRDefault="00FA3491">
            <w:pPr>
              <w:rPr>
                <w:rFonts w:ascii="Aptos Narrow" w:eastAsiaTheme="minorHAnsi" w:hAnsi="Aptos Narrow" w:cs="Calibri"/>
                <w:color w:val="000000"/>
                <w:sz w:val="22"/>
                <w:szCs w:val="22"/>
              </w:rPr>
            </w:pPr>
          </w:p>
        </w:tc>
        <w:tc>
          <w:tcPr>
            <w:tcW w:w="3222" w:type="dxa"/>
            <w:tcBorders>
              <w:top w:val="single" w:sz="4" w:space="0" w:color="auto"/>
              <w:left w:val="single" w:sz="4" w:space="0" w:color="auto"/>
              <w:bottom w:val="single" w:sz="4" w:space="0" w:color="auto"/>
              <w:right w:val="single" w:sz="4" w:space="0" w:color="auto"/>
            </w:tcBorders>
            <w:shd w:val="clear" w:color="auto" w:fill="C0E6F5"/>
            <w:tcMar>
              <w:top w:w="0" w:type="dxa"/>
              <w:left w:w="70" w:type="dxa"/>
              <w:bottom w:w="0" w:type="dxa"/>
              <w:right w:w="70" w:type="dxa"/>
            </w:tcMar>
            <w:vAlign w:val="center"/>
            <w:hideMark/>
          </w:tcPr>
          <w:p w14:paraId="25A4BB9B" w14:textId="77777777" w:rsidR="00FA3491" w:rsidRDefault="00FA3491">
            <w:pPr>
              <w:jc w:val="center"/>
              <w:rPr>
                <w:rFonts w:ascii="Aptos Narrow" w:hAnsi="Aptos Narrow"/>
                <w:color w:val="000000"/>
              </w:rPr>
            </w:pPr>
            <w:r>
              <w:rPr>
                <w:rFonts w:ascii="Aptos Narrow" w:hAnsi="Aptos Narrow"/>
                <w:color w:val="000000"/>
              </w:rPr>
              <w:t>liczba rolników</w:t>
            </w:r>
          </w:p>
        </w:tc>
        <w:tc>
          <w:tcPr>
            <w:tcW w:w="2424" w:type="dxa"/>
            <w:tcBorders>
              <w:top w:val="single" w:sz="4" w:space="0" w:color="auto"/>
              <w:left w:val="single" w:sz="4" w:space="0" w:color="auto"/>
              <w:bottom w:val="single" w:sz="4" w:space="0" w:color="auto"/>
              <w:right w:val="single" w:sz="4" w:space="0" w:color="auto"/>
            </w:tcBorders>
            <w:shd w:val="clear" w:color="auto" w:fill="C0E6F5"/>
            <w:tcMar>
              <w:top w:w="0" w:type="dxa"/>
              <w:left w:w="70" w:type="dxa"/>
              <w:bottom w:w="0" w:type="dxa"/>
              <w:right w:w="70" w:type="dxa"/>
            </w:tcMar>
            <w:vAlign w:val="center"/>
            <w:hideMark/>
          </w:tcPr>
          <w:p w14:paraId="3BBDDD3C" w14:textId="77777777" w:rsidR="00FA3491" w:rsidRDefault="00FA3491">
            <w:pPr>
              <w:jc w:val="center"/>
              <w:rPr>
                <w:rFonts w:ascii="Aptos Narrow" w:hAnsi="Aptos Narrow"/>
                <w:color w:val="000000"/>
              </w:rPr>
            </w:pPr>
            <w:r>
              <w:rPr>
                <w:rFonts w:ascii="Aptos Narrow" w:hAnsi="Aptos Narrow"/>
                <w:color w:val="000000"/>
              </w:rPr>
              <w:t>powierzchnia [ha]</w:t>
            </w:r>
          </w:p>
        </w:tc>
      </w:tr>
      <w:tr w:rsidR="00FA3491" w14:paraId="3B8905D4" w14:textId="77777777" w:rsidTr="0048389F">
        <w:trPr>
          <w:trHeight w:val="632"/>
        </w:trPr>
        <w:tc>
          <w:tcPr>
            <w:tcW w:w="3414" w:type="dxa"/>
            <w:tcBorders>
              <w:top w:val="nil"/>
              <w:left w:val="single" w:sz="8" w:space="0" w:color="auto"/>
              <w:bottom w:val="single" w:sz="8" w:space="0" w:color="auto"/>
              <w:right w:val="single" w:sz="8" w:space="0" w:color="auto"/>
            </w:tcBorders>
            <w:shd w:val="clear" w:color="auto" w:fill="C0E6F5"/>
            <w:tcMar>
              <w:top w:w="0" w:type="dxa"/>
              <w:left w:w="70" w:type="dxa"/>
              <w:bottom w:w="0" w:type="dxa"/>
              <w:right w:w="70" w:type="dxa"/>
            </w:tcMar>
            <w:vAlign w:val="center"/>
            <w:hideMark/>
          </w:tcPr>
          <w:p w14:paraId="479259E1" w14:textId="77777777" w:rsidR="00FA3491" w:rsidRDefault="00FA3491">
            <w:pPr>
              <w:jc w:val="center"/>
              <w:rPr>
                <w:rFonts w:ascii="Aptos Narrow" w:hAnsi="Aptos Narrow"/>
                <w:color w:val="000000"/>
              </w:rPr>
            </w:pPr>
            <w:r>
              <w:rPr>
                <w:rFonts w:ascii="Aptos Narrow" w:hAnsi="Aptos Narrow"/>
                <w:color w:val="000000"/>
              </w:rPr>
              <w:t>Ekoschemat - Biologiczna ochrona upraw</w:t>
            </w:r>
          </w:p>
        </w:tc>
        <w:tc>
          <w:tcPr>
            <w:tcW w:w="3222"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48EF26A" w14:textId="77777777" w:rsidR="00FA3491" w:rsidRDefault="00FA3491">
            <w:pPr>
              <w:jc w:val="right"/>
              <w:rPr>
                <w:rFonts w:ascii="Aptos Narrow" w:hAnsi="Aptos Narrow"/>
                <w:color w:val="000000"/>
              </w:rPr>
            </w:pPr>
            <w:r>
              <w:rPr>
                <w:rFonts w:ascii="Aptos Narrow" w:hAnsi="Aptos Narrow"/>
                <w:color w:val="000000"/>
              </w:rPr>
              <w:t xml:space="preserve">812   </w:t>
            </w:r>
          </w:p>
        </w:tc>
        <w:tc>
          <w:tcPr>
            <w:tcW w:w="242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AF6B902" w14:textId="77777777" w:rsidR="00FA3491" w:rsidRDefault="00FA3491">
            <w:pPr>
              <w:jc w:val="right"/>
              <w:rPr>
                <w:rFonts w:ascii="Aptos Narrow" w:hAnsi="Aptos Narrow"/>
                <w:color w:val="000000"/>
              </w:rPr>
            </w:pPr>
            <w:r>
              <w:rPr>
                <w:rFonts w:ascii="Aptos Narrow" w:hAnsi="Aptos Narrow"/>
                <w:color w:val="000000"/>
              </w:rPr>
              <w:t xml:space="preserve">17 870   </w:t>
            </w:r>
          </w:p>
        </w:tc>
      </w:tr>
      <w:tr w:rsidR="00FA3491" w14:paraId="15AF4883" w14:textId="77777777" w:rsidTr="0048389F">
        <w:trPr>
          <w:trHeight w:val="648"/>
        </w:trPr>
        <w:tc>
          <w:tcPr>
            <w:tcW w:w="3414" w:type="dxa"/>
            <w:tcBorders>
              <w:top w:val="nil"/>
              <w:left w:val="single" w:sz="8" w:space="0" w:color="auto"/>
              <w:bottom w:val="single" w:sz="8" w:space="0" w:color="auto"/>
              <w:right w:val="single" w:sz="8" w:space="0" w:color="auto"/>
            </w:tcBorders>
            <w:shd w:val="clear" w:color="auto" w:fill="C0E6F5"/>
            <w:tcMar>
              <w:top w:w="0" w:type="dxa"/>
              <w:left w:w="70" w:type="dxa"/>
              <w:bottom w:w="0" w:type="dxa"/>
              <w:right w:w="70" w:type="dxa"/>
            </w:tcMar>
            <w:vAlign w:val="center"/>
            <w:hideMark/>
          </w:tcPr>
          <w:p w14:paraId="12B1673E" w14:textId="77777777" w:rsidR="00FA3491" w:rsidRDefault="00FA3491">
            <w:pPr>
              <w:jc w:val="center"/>
              <w:rPr>
                <w:rFonts w:ascii="Aptos Narrow" w:hAnsi="Aptos Narrow"/>
                <w:color w:val="000000"/>
              </w:rPr>
            </w:pPr>
            <w:r>
              <w:rPr>
                <w:rFonts w:ascii="Aptos Narrow" w:hAnsi="Aptos Narrow"/>
                <w:color w:val="000000"/>
              </w:rPr>
              <w:t>Ekoschemat - Integrowana Produkcja Roślina</w:t>
            </w:r>
          </w:p>
        </w:tc>
        <w:tc>
          <w:tcPr>
            <w:tcW w:w="322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D2651B" w14:textId="77777777" w:rsidR="00FA3491" w:rsidRDefault="00FA3491">
            <w:pPr>
              <w:jc w:val="right"/>
              <w:rPr>
                <w:rFonts w:ascii="Aptos Narrow" w:hAnsi="Aptos Narrow"/>
                <w:color w:val="000000"/>
              </w:rPr>
            </w:pPr>
            <w:r>
              <w:rPr>
                <w:rFonts w:ascii="Aptos Narrow" w:hAnsi="Aptos Narrow"/>
                <w:color w:val="000000"/>
              </w:rPr>
              <w:t xml:space="preserve">6 178   </w:t>
            </w:r>
          </w:p>
        </w:tc>
        <w:tc>
          <w:tcPr>
            <w:tcW w:w="242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7D7D66" w14:textId="77777777" w:rsidR="00FA3491" w:rsidRDefault="00FA3491">
            <w:pPr>
              <w:jc w:val="right"/>
              <w:rPr>
                <w:rFonts w:ascii="Aptos Narrow" w:hAnsi="Aptos Narrow"/>
                <w:color w:val="000000"/>
              </w:rPr>
            </w:pPr>
            <w:r>
              <w:rPr>
                <w:rFonts w:ascii="Aptos Narrow" w:hAnsi="Aptos Narrow"/>
                <w:color w:val="000000"/>
              </w:rPr>
              <w:t xml:space="preserve">137 277   </w:t>
            </w:r>
          </w:p>
        </w:tc>
      </w:tr>
    </w:tbl>
    <w:p w14:paraId="2FABA3BF" w14:textId="77777777" w:rsidR="00DA71CB" w:rsidRDefault="00DA71CB" w:rsidP="003469F1">
      <w:pPr>
        <w:pStyle w:val="NormalnyWeb"/>
        <w:tabs>
          <w:tab w:val="left" w:pos="284"/>
        </w:tabs>
        <w:spacing w:beforeAutospacing="0" w:after="120" w:afterAutospacing="0" w:line="360" w:lineRule="auto"/>
        <w:jc w:val="both"/>
        <w:rPr>
          <w:rFonts w:ascii="Arial" w:hAnsi="Arial" w:cs="Arial"/>
        </w:rPr>
      </w:pPr>
    </w:p>
    <w:p w14:paraId="44A0F9D8" w14:textId="77777777" w:rsidR="008B5F95" w:rsidRDefault="00923F0D" w:rsidP="001019EE">
      <w:pPr>
        <w:pStyle w:val="Nagwek1"/>
        <w:numPr>
          <w:ilvl w:val="3"/>
          <w:numId w:val="2"/>
        </w:numPr>
        <w:tabs>
          <w:tab w:val="left" w:pos="2552"/>
        </w:tabs>
        <w:ind w:left="284" w:hanging="426"/>
        <w:jc w:val="both"/>
        <w:rPr>
          <w:i w:val="0"/>
          <w:sz w:val="22"/>
          <w:szCs w:val="22"/>
        </w:rPr>
      </w:pPr>
      <w:bookmarkStart w:id="68" w:name="_Toc341876112"/>
      <w:bookmarkStart w:id="69" w:name="_Toc193716413"/>
      <w:r>
        <w:rPr>
          <w:i w:val="0"/>
          <w:sz w:val="22"/>
          <w:szCs w:val="22"/>
        </w:rPr>
        <w:t>Działanie 11. Analiza ryzyka związanego ze stosowaniem środków ochrony roślin</w:t>
      </w:r>
      <w:bookmarkEnd w:id="68"/>
      <w:bookmarkEnd w:id="69"/>
    </w:p>
    <w:p w14:paraId="6E9DA4C3" w14:textId="301E819D"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Prawidłowe ukierunkowanie działań regulacyjnych oraz kontrolnych w zakresie obrotu środkami ochrony roślin i stosowania środków ochrony roślin na obszary ryzyka, a także kreowanie polityki państwa w odniesieniu do tych środków, wymaga ustanowienia sprawnego systemu gromadzenia i analizy danych dotyczących ryzyka związanego ze stosowaniem środków ochrony roślin, a także kształtowania poziomu wiedzy o zachowaniach użytkowników tych środków. Działanie to służy osiągnięciu celów określonych w art. 15 dyrektywy 2009/128/WE.</w:t>
      </w:r>
    </w:p>
    <w:p w14:paraId="30C6D01E" w14:textId="530435C4"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związku z powyższym, w ramach krajowego planu działania </w:t>
      </w:r>
      <w:r w:rsidR="0056781C">
        <w:rPr>
          <w:rFonts w:ascii="Arial" w:hAnsi="Arial" w:cs="Arial"/>
        </w:rPr>
        <w:t>są</w:t>
      </w:r>
      <w:r>
        <w:rPr>
          <w:rFonts w:ascii="Arial" w:hAnsi="Arial" w:cs="Arial"/>
        </w:rPr>
        <w:t xml:space="preserve"> przeprowadzane kontrole i prowadzony monitoring oraz badania statystyczne, których celem </w:t>
      </w:r>
      <w:r w:rsidR="000B710B">
        <w:rPr>
          <w:rFonts w:ascii="Arial" w:hAnsi="Arial" w:cs="Arial"/>
        </w:rPr>
        <w:t>jest</w:t>
      </w:r>
      <w:r>
        <w:rPr>
          <w:rFonts w:ascii="Arial" w:hAnsi="Arial" w:cs="Arial"/>
        </w:rPr>
        <w:t xml:space="preserve"> uzyskanie informacji o wpływie środków ochrony roślin na środowisko. Na podstawie uzyskanych danych </w:t>
      </w:r>
      <w:r w:rsidR="00683FE1">
        <w:rPr>
          <w:rFonts w:ascii="Arial" w:hAnsi="Arial" w:cs="Arial"/>
        </w:rPr>
        <w:t>są</w:t>
      </w:r>
      <w:r>
        <w:rPr>
          <w:rFonts w:ascii="Arial" w:hAnsi="Arial" w:cs="Arial"/>
        </w:rPr>
        <w:t xml:space="preserve"> obliczane wskaźniki ryzyka pestycydowego. </w:t>
      </w:r>
    </w:p>
    <w:p w14:paraId="562ACB5D" w14:textId="3261015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tym celu </w:t>
      </w:r>
      <w:r w:rsidR="0092558E">
        <w:rPr>
          <w:rFonts w:ascii="Arial" w:hAnsi="Arial" w:cs="Arial"/>
        </w:rPr>
        <w:t xml:space="preserve">były </w:t>
      </w:r>
      <w:r>
        <w:rPr>
          <w:rFonts w:ascii="Arial" w:hAnsi="Arial" w:cs="Arial"/>
        </w:rPr>
        <w:t xml:space="preserve">realizowane następujące zadania szczegółowe. </w:t>
      </w:r>
    </w:p>
    <w:p w14:paraId="42C89F07" w14:textId="77777777" w:rsidR="008B5F95" w:rsidRDefault="00923F0D">
      <w:pPr>
        <w:pStyle w:val="Nagwek2"/>
        <w:jc w:val="both"/>
        <w:rPr>
          <w:i w:val="0"/>
          <w:sz w:val="20"/>
          <w:szCs w:val="20"/>
        </w:rPr>
      </w:pPr>
      <w:bookmarkStart w:id="70" w:name="_Toc193716414"/>
      <w:r>
        <w:rPr>
          <w:i w:val="0"/>
          <w:sz w:val="20"/>
          <w:szCs w:val="20"/>
        </w:rPr>
        <w:t>Zadanie 1. Badania statystyczne dotyczące środków ochrony roślin</w:t>
      </w:r>
      <w:bookmarkEnd w:id="70"/>
      <w:r>
        <w:rPr>
          <w:i w:val="0"/>
          <w:sz w:val="20"/>
          <w:szCs w:val="20"/>
        </w:rPr>
        <w:t xml:space="preserve"> </w:t>
      </w:r>
    </w:p>
    <w:p w14:paraId="2589AD21" w14:textId="13012D9F"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 potrzeby realizacji krajowego planu działania </w:t>
      </w:r>
      <w:r w:rsidR="00014222">
        <w:rPr>
          <w:rFonts w:ascii="Arial" w:hAnsi="Arial" w:cs="Arial"/>
        </w:rPr>
        <w:t xml:space="preserve">są </w:t>
      </w:r>
      <w:r>
        <w:rPr>
          <w:rFonts w:ascii="Arial" w:hAnsi="Arial" w:cs="Arial"/>
        </w:rPr>
        <w:t>wykorzystywane dane pochodzące z badań statystycznych prowadzonych przez Główny Urząd Statystyczny na podstawie przepisów wydanych na podstawie art. 18 ust. 1 ustawy z dnia 29 czerwca 1995 r. o statystyce publicznej (Dz. U. z 20</w:t>
      </w:r>
      <w:r w:rsidR="00B84F1C">
        <w:rPr>
          <w:rFonts w:ascii="Arial" w:hAnsi="Arial" w:cs="Arial"/>
        </w:rPr>
        <w:t>22</w:t>
      </w:r>
      <w:r>
        <w:rPr>
          <w:rFonts w:ascii="Arial" w:hAnsi="Arial" w:cs="Arial"/>
        </w:rPr>
        <w:t xml:space="preserve"> r. </w:t>
      </w:r>
      <w:r>
        <w:rPr>
          <w:rFonts w:ascii="Arial" w:hAnsi="Arial" w:cs="Arial"/>
        </w:rPr>
        <w:lastRenderedPageBreak/>
        <w:t>poz. </w:t>
      </w:r>
      <w:r w:rsidR="00B84F1C">
        <w:rPr>
          <w:rFonts w:ascii="Arial" w:hAnsi="Arial" w:cs="Arial"/>
        </w:rPr>
        <w:t>459</w:t>
      </w:r>
      <w:r w:rsidR="00D159AD">
        <w:rPr>
          <w:rFonts w:ascii="Arial" w:hAnsi="Arial" w:cs="Arial"/>
        </w:rPr>
        <w:t>, z późn. zm.</w:t>
      </w:r>
      <w:r>
        <w:rPr>
          <w:rFonts w:ascii="Arial" w:hAnsi="Arial" w:cs="Arial"/>
        </w:rPr>
        <w:t xml:space="preserve">). </w:t>
      </w:r>
    </w:p>
    <w:p w14:paraId="2DC39FCF" w14:textId="24732031"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ramach zadania b</w:t>
      </w:r>
      <w:r w:rsidR="009E3DE2">
        <w:rPr>
          <w:rFonts w:ascii="Arial" w:hAnsi="Arial" w:cs="Arial"/>
        </w:rPr>
        <w:t>yły</w:t>
      </w:r>
      <w:r>
        <w:rPr>
          <w:rFonts w:ascii="Arial" w:hAnsi="Arial" w:cs="Arial"/>
        </w:rPr>
        <w:t xml:space="preserve"> wykonywane następujące podzadania.</w:t>
      </w:r>
    </w:p>
    <w:p w14:paraId="44D6935A" w14:textId="77777777" w:rsidR="008B5F95" w:rsidRDefault="00923F0D">
      <w:pPr>
        <w:pStyle w:val="Nagwek3"/>
        <w:numPr>
          <w:ilvl w:val="0"/>
          <w:numId w:val="0"/>
        </w:numPr>
        <w:tabs>
          <w:tab w:val="left" w:pos="2410"/>
        </w:tabs>
        <w:spacing w:before="120" w:after="120" w:line="360" w:lineRule="auto"/>
        <w:ind w:left="709"/>
        <w:rPr>
          <w:i w:val="0"/>
          <w:sz w:val="20"/>
          <w:szCs w:val="20"/>
        </w:rPr>
      </w:pPr>
      <w:bookmarkStart w:id="71" w:name="_Toc193716415"/>
      <w:r>
        <w:rPr>
          <w:i w:val="0"/>
          <w:sz w:val="20"/>
          <w:szCs w:val="20"/>
        </w:rPr>
        <w:t>Podzadanie 1. Prowadzenie badań statystycznych sprzedaży środków ochrony roślin</w:t>
      </w:r>
      <w:bookmarkEnd w:id="71"/>
      <w:r>
        <w:rPr>
          <w:i w:val="0"/>
          <w:sz w:val="20"/>
          <w:szCs w:val="20"/>
        </w:rPr>
        <w:t xml:space="preserve"> </w:t>
      </w:r>
    </w:p>
    <w:p w14:paraId="3A6A0001" w14:textId="288D94BF" w:rsidR="00C87B3B" w:rsidRPr="00C87B3B" w:rsidRDefault="00C87B3B" w:rsidP="00C87B3B">
      <w:pPr>
        <w:pStyle w:val="NormalnyWeb"/>
        <w:tabs>
          <w:tab w:val="left" w:pos="284"/>
        </w:tabs>
        <w:spacing w:beforeAutospacing="0" w:after="120" w:afterAutospacing="0" w:line="360" w:lineRule="auto"/>
        <w:ind w:firstLine="284"/>
        <w:jc w:val="both"/>
        <w:rPr>
          <w:rFonts w:ascii="Arial" w:hAnsi="Arial" w:cs="Arial"/>
        </w:rPr>
      </w:pPr>
      <w:r w:rsidRPr="00C87B3B">
        <w:rPr>
          <w:rFonts w:ascii="Arial" w:hAnsi="Arial" w:cs="Arial"/>
        </w:rPr>
        <w:t xml:space="preserve">Badania statystyczne dotyczące sprzedaży środków ochrony roślin prowadzone </w:t>
      </w:r>
      <w:r w:rsidR="00402ACE">
        <w:rPr>
          <w:rFonts w:ascii="Arial" w:hAnsi="Arial" w:cs="Arial"/>
        </w:rPr>
        <w:t>były</w:t>
      </w:r>
      <w:r w:rsidRPr="00C87B3B">
        <w:rPr>
          <w:rFonts w:ascii="Arial" w:hAnsi="Arial" w:cs="Arial"/>
        </w:rPr>
        <w:t xml:space="preserve"> przez Główny Urząd Statystyczny we współpracy z Ministerstwem Rolnictwa i Rozwoju Wsi oraz Instytutem Ochrony Roślin – PIB. </w:t>
      </w:r>
    </w:p>
    <w:p w14:paraId="0F8EFE08" w14:textId="3B16B30E" w:rsidR="00C87B3B" w:rsidRPr="00C87B3B" w:rsidRDefault="00C87B3B" w:rsidP="00C87B3B">
      <w:pPr>
        <w:pStyle w:val="NormalnyWeb"/>
        <w:tabs>
          <w:tab w:val="left" w:pos="284"/>
        </w:tabs>
        <w:spacing w:beforeAutospacing="0" w:after="120" w:afterAutospacing="0" w:line="360" w:lineRule="auto"/>
        <w:ind w:firstLine="284"/>
        <w:jc w:val="both"/>
        <w:rPr>
          <w:rFonts w:ascii="Arial" w:hAnsi="Arial" w:cs="Arial"/>
        </w:rPr>
      </w:pPr>
      <w:r w:rsidRPr="00C87B3B">
        <w:rPr>
          <w:rFonts w:ascii="Arial" w:hAnsi="Arial" w:cs="Arial"/>
        </w:rPr>
        <w:t>Sprzedaż środków ochrony roślin w przeliczeniu na substancje czynne w 2023 r. wyniosła 20</w:t>
      </w:r>
      <w:r w:rsidR="00063443">
        <w:rPr>
          <w:rFonts w:ascii="Arial" w:hAnsi="Arial" w:cs="Arial"/>
        </w:rPr>
        <w:t> </w:t>
      </w:r>
      <w:r w:rsidRPr="00C87B3B">
        <w:rPr>
          <w:rFonts w:ascii="Arial" w:hAnsi="Arial" w:cs="Arial"/>
        </w:rPr>
        <w:t>047 tys.kg i była niższa o 10% w porównaniu do 2022 r. i o 26% niższa w porównaniu do 2021</w:t>
      </w:r>
      <w:r w:rsidR="00063443">
        <w:rPr>
          <w:rFonts w:ascii="Arial" w:hAnsi="Arial" w:cs="Arial"/>
        </w:rPr>
        <w:t xml:space="preserve"> r.</w:t>
      </w:r>
      <w:r w:rsidRPr="00C87B3B">
        <w:rPr>
          <w:rFonts w:ascii="Arial" w:hAnsi="Arial" w:cs="Arial"/>
        </w:rPr>
        <w:t xml:space="preserve"> 2023</w:t>
      </w:r>
      <w:r w:rsidR="00063443">
        <w:rPr>
          <w:rFonts w:ascii="Arial" w:hAnsi="Arial" w:cs="Arial"/>
        </w:rPr>
        <w:t xml:space="preserve"> r.</w:t>
      </w:r>
      <w:r w:rsidRPr="00C87B3B">
        <w:rPr>
          <w:rFonts w:ascii="Arial" w:hAnsi="Arial" w:cs="Arial"/>
        </w:rPr>
        <w:t xml:space="preserve"> był drugim kolejnym, w którym nastąpiło obniżenie sprzedaży środków ochrony roślin.</w:t>
      </w:r>
    </w:p>
    <w:p w14:paraId="15465109" w14:textId="60759F83" w:rsidR="00C87B3B" w:rsidRDefault="00C87B3B" w:rsidP="00C87B3B">
      <w:pPr>
        <w:pStyle w:val="NormalnyWeb"/>
        <w:tabs>
          <w:tab w:val="left" w:pos="284"/>
          <w:tab w:val="left" w:pos="3969"/>
        </w:tabs>
        <w:spacing w:beforeAutospacing="0" w:after="120" w:afterAutospacing="0" w:line="360" w:lineRule="auto"/>
        <w:ind w:firstLine="284"/>
        <w:jc w:val="both"/>
        <w:rPr>
          <w:rFonts w:ascii="Arial" w:hAnsi="Arial" w:cs="Arial"/>
        </w:rPr>
      </w:pPr>
      <w:r w:rsidRPr="00C87B3B">
        <w:rPr>
          <w:rFonts w:ascii="Arial" w:hAnsi="Arial" w:cs="Arial"/>
        </w:rPr>
        <w:t xml:space="preserve">Rysunek </w:t>
      </w:r>
      <w:r w:rsidR="00ED3895">
        <w:rPr>
          <w:rFonts w:ascii="Arial" w:hAnsi="Arial" w:cs="Arial"/>
        </w:rPr>
        <w:t>3</w:t>
      </w:r>
      <w:r w:rsidRPr="00C87B3B">
        <w:rPr>
          <w:rFonts w:ascii="Arial" w:hAnsi="Arial" w:cs="Arial"/>
        </w:rPr>
        <w:t xml:space="preserve"> – Sprzedaż środków ochrony roślin w przeliczeniu na substancje czynne [w tonach] – lata 2014-2023 wraz z linią trendu</w:t>
      </w:r>
    </w:p>
    <w:p w14:paraId="7E6F3CDE" w14:textId="767632D3" w:rsidR="00A75F2F" w:rsidRDefault="00A75F2F">
      <w:pPr>
        <w:pStyle w:val="NormalnyWeb"/>
        <w:tabs>
          <w:tab w:val="left" w:pos="284"/>
          <w:tab w:val="left" w:pos="3969"/>
        </w:tabs>
        <w:spacing w:beforeAutospacing="0" w:after="120" w:afterAutospacing="0" w:line="360" w:lineRule="auto"/>
        <w:ind w:firstLine="284"/>
        <w:jc w:val="both"/>
        <w:rPr>
          <w:rFonts w:ascii="Arial" w:hAnsi="Arial" w:cs="Arial"/>
        </w:rPr>
      </w:pPr>
      <w:r>
        <w:rPr>
          <w:noProof/>
        </w:rPr>
        <w:drawing>
          <wp:inline distT="0" distB="0" distL="0" distR="0" wp14:anchorId="2A7E076E" wp14:editId="5DD39A3B">
            <wp:extent cx="5072332" cy="2605178"/>
            <wp:effectExtent l="0" t="0" r="14605" b="5080"/>
            <wp:docPr id="1815426386" name="Wykres 18154263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B8C4637" w14:textId="188D4464" w:rsidR="00C87B3B" w:rsidRPr="00C87B3B" w:rsidRDefault="00C87B3B" w:rsidP="00C87B3B">
      <w:pPr>
        <w:pStyle w:val="NormalnyWeb"/>
        <w:tabs>
          <w:tab w:val="left" w:pos="284"/>
        </w:tabs>
        <w:spacing w:beforeAutospacing="0" w:after="120" w:afterAutospacing="0" w:line="360" w:lineRule="auto"/>
        <w:ind w:firstLine="284"/>
        <w:jc w:val="both"/>
        <w:rPr>
          <w:rFonts w:ascii="Arial" w:hAnsi="Arial" w:cs="Arial"/>
        </w:rPr>
      </w:pPr>
      <w:r w:rsidRPr="00C87B3B">
        <w:rPr>
          <w:rFonts w:ascii="Arial" w:hAnsi="Arial" w:cs="Arial"/>
        </w:rPr>
        <w:t xml:space="preserve">W </w:t>
      </w:r>
      <w:r w:rsidR="00483FB7">
        <w:rPr>
          <w:rFonts w:ascii="Arial" w:hAnsi="Arial" w:cs="Arial"/>
        </w:rPr>
        <w:t xml:space="preserve">tabeli </w:t>
      </w:r>
      <w:r w:rsidR="002F06D3">
        <w:rPr>
          <w:rFonts w:ascii="Arial" w:hAnsi="Arial" w:cs="Arial"/>
        </w:rPr>
        <w:t>9 p</w:t>
      </w:r>
      <w:r w:rsidRPr="00C87B3B">
        <w:rPr>
          <w:rFonts w:ascii="Arial" w:hAnsi="Arial" w:cs="Arial"/>
        </w:rPr>
        <w:t>oniżej pokazano sprzedaż środków ochrony roślin w ostatnich pięciu latach w porównaniu do roku poprzedniego.</w:t>
      </w:r>
    </w:p>
    <w:p w14:paraId="4F6EA716" w14:textId="179B0B95" w:rsidR="00C87B3B" w:rsidRPr="00C87B3B" w:rsidRDefault="00C87B3B" w:rsidP="00C87B3B">
      <w:pPr>
        <w:pStyle w:val="NormalnyWeb"/>
        <w:tabs>
          <w:tab w:val="left" w:pos="284"/>
        </w:tabs>
        <w:spacing w:beforeAutospacing="0" w:after="120" w:afterAutospacing="0" w:line="360" w:lineRule="auto"/>
        <w:ind w:firstLine="284"/>
        <w:jc w:val="both"/>
        <w:rPr>
          <w:rFonts w:ascii="Arial" w:hAnsi="Arial" w:cs="Arial"/>
        </w:rPr>
      </w:pPr>
      <w:r w:rsidRPr="00C87B3B">
        <w:rPr>
          <w:rFonts w:ascii="Arial" w:hAnsi="Arial" w:cs="Arial"/>
        </w:rPr>
        <w:t xml:space="preserve">Tabela </w:t>
      </w:r>
      <w:r w:rsidR="00EC3CE6">
        <w:rPr>
          <w:rFonts w:ascii="Arial" w:hAnsi="Arial" w:cs="Arial"/>
        </w:rPr>
        <w:t>9</w:t>
      </w:r>
      <w:r w:rsidRPr="00C87B3B">
        <w:rPr>
          <w:rFonts w:ascii="Arial" w:hAnsi="Arial" w:cs="Arial"/>
        </w:rPr>
        <w:t xml:space="preserve"> Sprzedaż środków ochrony roślin w przeliczeniu na substancje czynne w latach 2019-2023</w:t>
      </w:r>
    </w:p>
    <w:tbl>
      <w:tblPr>
        <w:tblW w:w="3520" w:type="pct"/>
        <w:jc w:val="center"/>
        <w:tblCellMar>
          <w:left w:w="70" w:type="dxa"/>
          <w:right w:w="70" w:type="dxa"/>
        </w:tblCellMar>
        <w:tblLook w:val="04A0" w:firstRow="1" w:lastRow="0" w:firstColumn="1" w:lastColumn="0" w:noHBand="0" w:noVBand="1"/>
      </w:tblPr>
      <w:tblGrid>
        <w:gridCol w:w="1633"/>
        <w:gridCol w:w="2454"/>
        <w:gridCol w:w="2293"/>
      </w:tblGrid>
      <w:tr w:rsidR="00C87B3B" w:rsidRPr="00C87B3B" w14:paraId="46E8E52E" w14:textId="77777777" w:rsidTr="00C712DC">
        <w:trPr>
          <w:trHeight w:val="920"/>
          <w:jc w:val="center"/>
        </w:trPr>
        <w:tc>
          <w:tcPr>
            <w:tcW w:w="1280" w:type="pct"/>
            <w:tcBorders>
              <w:top w:val="single" w:sz="4" w:space="0" w:color="auto"/>
              <w:left w:val="single" w:sz="4" w:space="0" w:color="auto"/>
              <w:bottom w:val="single" w:sz="4" w:space="0" w:color="auto"/>
              <w:right w:val="single" w:sz="4" w:space="0" w:color="auto"/>
            </w:tcBorders>
            <w:vAlign w:val="center"/>
            <w:hideMark/>
          </w:tcPr>
          <w:p w14:paraId="630CE19D" w14:textId="77777777" w:rsidR="00C87B3B" w:rsidRPr="00C87B3B" w:rsidRDefault="00C87B3B" w:rsidP="00C87B3B">
            <w:pPr>
              <w:widowControl/>
              <w:autoSpaceDN w:val="0"/>
              <w:jc w:val="center"/>
              <w:rPr>
                <w:rFonts w:ascii="Arial" w:eastAsia="Calibri" w:hAnsi="Arial" w:cs="Arial"/>
                <w:sz w:val="19"/>
                <w:szCs w:val="19"/>
                <w:lang w:val="en-US" w:eastAsia="en-US"/>
              </w:rPr>
            </w:pPr>
            <w:r w:rsidRPr="00C87B3B">
              <w:rPr>
                <w:rFonts w:ascii="Arial" w:eastAsia="Calibri" w:hAnsi="Arial" w:cs="Arial"/>
                <w:sz w:val="19"/>
                <w:szCs w:val="19"/>
                <w:lang w:val="en-US" w:eastAsia="en-US"/>
              </w:rPr>
              <w:t>Rok</w:t>
            </w:r>
          </w:p>
        </w:tc>
        <w:tc>
          <w:tcPr>
            <w:tcW w:w="1923" w:type="pct"/>
            <w:tcBorders>
              <w:top w:val="single" w:sz="4" w:space="0" w:color="auto"/>
              <w:left w:val="nil"/>
              <w:bottom w:val="single" w:sz="4" w:space="0" w:color="auto"/>
              <w:right w:val="single" w:sz="4" w:space="0" w:color="auto"/>
            </w:tcBorders>
            <w:vAlign w:val="center"/>
            <w:hideMark/>
          </w:tcPr>
          <w:p w14:paraId="00383016" w14:textId="77777777" w:rsidR="00C87B3B" w:rsidRPr="004B08BD" w:rsidRDefault="00C87B3B" w:rsidP="00C87B3B">
            <w:pPr>
              <w:widowControl/>
              <w:autoSpaceDN w:val="0"/>
              <w:jc w:val="center"/>
              <w:rPr>
                <w:rFonts w:ascii="Arial" w:eastAsia="Calibri" w:hAnsi="Arial" w:cs="Arial"/>
                <w:sz w:val="19"/>
                <w:szCs w:val="19"/>
                <w:lang w:eastAsia="en-US"/>
              </w:rPr>
            </w:pPr>
            <w:r w:rsidRPr="004B08BD">
              <w:rPr>
                <w:rFonts w:ascii="Arial" w:eastAsia="Calibri" w:hAnsi="Arial" w:cs="Arial"/>
                <w:sz w:val="19"/>
                <w:szCs w:val="19"/>
                <w:lang w:eastAsia="en-US"/>
              </w:rPr>
              <w:t>Sprzedaż substancji czynnych [w tonach]</w:t>
            </w:r>
          </w:p>
        </w:tc>
        <w:tc>
          <w:tcPr>
            <w:tcW w:w="1797" w:type="pct"/>
            <w:tcBorders>
              <w:top w:val="single" w:sz="4" w:space="0" w:color="auto"/>
              <w:left w:val="nil"/>
              <w:bottom w:val="single" w:sz="4" w:space="0" w:color="auto"/>
              <w:right w:val="single" w:sz="4" w:space="0" w:color="auto"/>
            </w:tcBorders>
            <w:vAlign w:val="center"/>
            <w:hideMark/>
          </w:tcPr>
          <w:p w14:paraId="06996CA0" w14:textId="77777777" w:rsidR="00C87B3B" w:rsidRPr="004B08BD" w:rsidRDefault="00C87B3B" w:rsidP="00C87B3B">
            <w:pPr>
              <w:widowControl/>
              <w:autoSpaceDN w:val="0"/>
              <w:jc w:val="center"/>
              <w:rPr>
                <w:rFonts w:ascii="Arial" w:eastAsia="Calibri" w:hAnsi="Arial" w:cs="Arial"/>
                <w:sz w:val="19"/>
                <w:szCs w:val="19"/>
                <w:lang w:eastAsia="en-US"/>
              </w:rPr>
            </w:pPr>
            <w:r w:rsidRPr="004B08BD">
              <w:rPr>
                <w:rFonts w:ascii="Arial" w:eastAsia="Calibri" w:hAnsi="Arial" w:cs="Arial"/>
                <w:sz w:val="19"/>
                <w:szCs w:val="19"/>
                <w:lang w:eastAsia="en-US"/>
              </w:rPr>
              <w:t>Sprzedaż w odniesieniu do roku poprzedniego</w:t>
            </w:r>
          </w:p>
        </w:tc>
      </w:tr>
      <w:tr w:rsidR="00C87B3B" w:rsidRPr="00C87B3B" w14:paraId="1485DEBF" w14:textId="77777777" w:rsidTr="00C712DC">
        <w:trPr>
          <w:trHeight w:val="543"/>
          <w:jc w:val="center"/>
        </w:trPr>
        <w:tc>
          <w:tcPr>
            <w:tcW w:w="1280" w:type="pct"/>
            <w:tcBorders>
              <w:top w:val="nil"/>
              <w:left w:val="single" w:sz="4" w:space="0" w:color="auto"/>
              <w:bottom w:val="single" w:sz="4" w:space="0" w:color="auto"/>
              <w:right w:val="single" w:sz="4" w:space="0" w:color="auto"/>
            </w:tcBorders>
            <w:vAlign w:val="center"/>
            <w:hideMark/>
          </w:tcPr>
          <w:p w14:paraId="6FAD009E"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2019</w:t>
            </w:r>
          </w:p>
        </w:tc>
        <w:tc>
          <w:tcPr>
            <w:tcW w:w="1923" w:type="pct"/>
            <w:tcBorders>
              <w:top w:val="nil"/>
              <w:left w:val="nil"/>
              <w:bottom w:val="single" w:sz="4" w:space="0" w:color="auto"/>
              <w:right w:val="single" w:sz="4" w:space="0" w:color="auto"/>
            </w:tcBorders>
            <w:vAlign w:val="center"/>
            <w:hideMark/>
          </w:tcPr>
          <w:p w14:paraId="5AFD9E77"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24281</w:t>
            </w:r>
          </w:p>
        </w:tc>
        <w:tc>
          <w:tcPr>
            <w:tcW w:w="1797" w:type="pct"/>
            <w:tcBorders>
              <w:top w:val="nil"/>
              <w:left w:val="nil"/>
              <w:bottom w:val="single" w:sz="4" w:space="0" w:color="auto"/>
              <w:right w:val="single" w:sz="4" w:space="0" w:color="auto"/>
            </w:tcBorders>
            <w:vAlign w:val="center"/>
            <w:hideMark/>
          </w:tcPr>
          <w:p w14:paraId="4EB518D1"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104,76%</w:t>
            </w:r>
          </w:p>
        </w:tc>
      </w:tr>
      <w:tr w:rsidR="00C87B3B" w:rsidRPr="00C87B3B" w14:paraId="3EB47FBC" w14:textId="77777777" w:rsidTr="00C712DC">
        <w:trPr>
          <w:trHeight w:val="543"/>
          <w:jc w:val="center"/>
        </w:trPr>
        <w:tc>
          <w:tcPr>
            <w:tcW w:w="1280" w:type="pct"/>
            <w:tcBorders>
              <w:top w:val="nil"/>
              <w:left w:val="single" w:sz="4" w:space="0" w:color="auto"/>
              <w:bottom w:val="single" w:sz="4" w:space="0" w:color="auto"/>
              <w:right w:val="single" w:sz="4" w:space="0" w:color="auto"/>
            </w:tcBorders>
            <w:vAlign w:val="center"/>
            <w:hideMark/>
          </w:tcPr>
          <w:p w14:paraId="6EBF108A"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2020</w:t>
            </w:r>
          </w:p>
        </w:tc>
        <w:tc>
          <w:tcPr>
            <w:tcW w:w="1923" w:type="pct"/>
            <w:tcBorders>
              <w:top w:val="nil"/>
              <w:left w:val="nil"/>
              <w:bottom w:val="single" w:sz="4" w:space="0" w:color="auto"/>
              <w:right w:val="single" w:sz="4" w:space="0" w:color="auto"/>
            </w:tcBorders>
            <w:vAlign w:val="center"/>
            <w:hideMark/>
          </w:tcPr>
          <w:p w14:paraId="32EA5F17"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24628</w:t>
            </w:r>
          </w:p>
        </w:tc>
        <w:tc>
          <w:tcPr>
            <w:tcW w:w="1797" w:type="pct"/>
            <w:tcBorders>
              <w:top w:val="nil"/>
              <w:left w:val="nil"/>
              <w:bottom w:val="single" w:sz="4" w:space="0" w:color="auto"/>
              <w:right w:val="single" w:sz="4" w:space="0" w:color="auto"/>
            </w:tcBorders>
            <w:vAlign w:val="center"/>
            <w:hideMark/>
          </w:tcPr>
          <w:p w14:paraId="644ED0FE"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101,43%</w:t>
            </w:r>
          </w:p>
        </w:tc>
      </w:tr>
      <w:tr w:rsidR="00C87B3B" w:rsidRPr="00C87B3B" w14:paraId="6A0CC40C" w14:textId="77777777" w:rsidTr="00C712DC">
        <w:trPr>
          <w:trHeight w:val="543"/>
          <w:jc w:val="center"/>
        </w:trPr>
        <w:tc>
          <w:tcPr>
            <w:tcW w:w="1280" w:type="pct"/>
            <w:tcBorders>
              <w:top w:val="nil"/>
              <w:left w:val="single" w:sz="4" w:space="0" w:color="auto"/>
              <w:bottom w:val="single" w:sz="4" w:space="0" w:color="auto"/>
              <w:right w:val="single" w:sz="4" w:space="0" w:color="auto"/>
            </w:tcBorders>
            <w:vAlign w:val="center"/>
            <w:hideMark/>
          </w:tcPr>
          <w:p w14:paraId="2D951282"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2021</w:t>
            </w:r>
          </w:p>
        </w:tc>
        <w:tc>
          <w:tcPr>
            <w:tcW w:w="1923" w:type="pct"/>
            <w:tcBorders>
              <w:top w:val="nil"/>
              <w:left w:val="nil"/>
              <w:bottom w:val="single" w:sz="4" w:space="0" w:color="auto"/>
              <w:right w:val="single" w:sz="4" w:space="0" w:color="auto"/>
            </w:tcBorders>
            <w:vAlign w:val="center"/>
            <w:hideMark/>
          </w:tcPr>
          <w:p w14:paraId="4AF3DC71"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26973</w:t>
            </w:r>
          </w:p>
        </w:tc>
        <w:tc>
          <w:tcPr>
            <w:tcW w:w="1797" w:type="pct"/>
            <w:tcBorders>
              <w:top w:val="nil"/>
              <w:left w:val="nil"/>
              <w:bottom w:val="single" w:sz="4" w:space="0" w:color="auto"/>
              <w:right w:val="single" w:sz="4" w:space="0" w:color="auto"/>
            </w:tcBorders>
            <w:vAlign w:val="center"/>
            <w:hideMark/>
          </w:tcPr>
          <w:p w14:paraId="085CC561"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109,52%</w:t>
            </w:r>
          </w:p>
        </w:tc>
      </w:tr>
      <w:tr w:rsidR="00C87B3B" w:rsidRPr="00C87B3B" w14:paraId="3EE05B80" w14:textId="77777777" w:rsidTr="00C712DC">
        <w:trPr>
          <w:trHeight w:val="543"/>
          <w:jc w:val="center"/>
        </w:trPr>
        <w:tc>
          <w:tcPr>
            <w:tcW w:w="1280" w:type="pct"/>
            <w:tcBorders>
              <w:top w:val="single" w:sz="4" w:space="0" w:color="auto"/>
              <w:left w:val="single" w:sz="4" w:space="0" w:color="auto"/>
              <w:bottom w:val="single" w:sz="4" w:space="0" w:color="auto"/>
              <w:right w:val="single" w:sz="4" w:space="0" w:color="auto"/>
            </w:tcBorders>
            <w:vAlign w:val="center"/>
            <w:hideMark/>
          </w:tcPr>
          <w:p w14:paraId="06C9E7D7"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2022</w:t>
            </w:r>
          </w:p>
        </w:tc>
        <w:tc>
          <w:tcPr>
            <w:tcW w:w="1923" w:type="pct"/>
            <w:tcBorders>
              <w:top w:val="single" w:sz="4" w:space="0" w:color="auto"/>
              <w:left w:val="nil"/>
              <w:bottom w:val="single" w:sz="4" w:space="0" w:color="auto"/>
              <w:right w:val="single" w:sz="4" w:space="0" w:color="auto"/>
            </w:tcBorders>
            <w:vAlign w:val="center"/>
            <w:hideMark/>
          </w:tcPr>
          <w:p w14:paraId="0ACFD0AA"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22320</w:t>
            </w:r>
          </w:p>
        </w:tc>
        <w:tc>
          <w:tcPr>
            <w:tcW w:w="1797" w:type="pct"/>
            <w:tcBorders>
              <w:top w:val="single" w:sz="4" w:space="0" w:color="auto"/>
              <w:left w:val="nil"/>
              <w:bottom w:val="single" w:sz="4" w:space="0" w:color="auto"/>
              <w:right w:val="single" w:sz="4" w:space="0" w:color="auto"/>
            </w:tcBorders>
            <w:vAlign w:val="center"/>
            <w:hideMark/>
          </w:tcPr>
          <w:p w14:paraId="6184CE04"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82,75%</w:t>
            </w:r>
          </w:p>
        </w:tc>
      </w:tr>
      <w:tr w:rsidR="00C87B3B" w:rsidRPr="00C87B3B" w14:paraId="5479C098" w14:textId="77777777" w:rsidTr="00C712DC">
        <w:trPr>
          <w:trHeight w:val="543"/>
          <w:jc w:val="center"/>
        </w:trPr>
        <w:tc>
          <w:tcPr>
            <w:tcW w:w="1280" w:type="pct"/>
            <w:tcBorders>
              <w:top w:val="single" w:sz="4" w:space="0" w:color="auto"/>
              <w:left w:val="single" w:sz="4" w:space="0" w:color="auto"/>
              <w:bottom w:val="single" w:sz="4" w:space="0" w:color="auto"/>
              <w:right w:val="single" w:sz="4" w:space="0" w:color="auto"/>
            </w:tcBorders>
            <w:vAlign w:val="center"/>
            <w:hideMark/>
          </w:tcPr>
          <w:p w14:paraId="4023147E"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2023</w:t>
            </w:r>
          </w:p>
        </w:tc>
        <w:tc>
          <w:tcPr>
            <w:tcW w:w="1923" w:type="pct"/>
            <w:tcBorders>
              <w:top w:val="single" w:sz="4" w:space="0" w:color="auto"/>
              <w:left w:val="nil"/>
              <w:bottom w:val="single" w:sz="4" w:space="0" w:color="auto"/>
              <w:right w:val="single" w:sz="4" w:space="0" w:color="auto"/>
            </w:tcBorders>
            <w:vAlign w:val="center"/>
            <w:hideMark/>
          </w:tcPr>
          <w:p w14:paraId="1CD5FB32"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20047</w:t>
            </w:r>
          </w:p>
        </w:tc>
        <w:tc>
          <w:tcPr>
            <w:tcW w:w="1797" w:type="pct"/>
            <w:tcBorders>
              <w:top w:val="single" w:sz="4" w:space="0" w:color="auto"/>
              <w:left w:val="nil"/>
              <w:bottom w:val="single" w:sz="4" w:space="0" w:color="auto"/>
              <w:right w:val="single" w:sz="4" w:space="0" w:color="auto"/>
            </w:tcBorders>
            <w:vAlign w:val="center"/>
            <w:hideMark/>
          </w:tcPr>
          <w:p w14:paraId="58126356" w14:textId="77777777" w:rsidR="00C87B3B" w:rsidRPr="00C87B3B" w:rsidRDefault="00C87B3B" w:rsidP="00C87B3B">
            <w:pPr>
              <w:widowControl/>
              <w:autoSpaceDN w:val="0"/>
              <w:jc w:val="center"/>
              <w:rPr>
                <w:rFonts w:ascii="Arial" w:hAnsi="Arial" w:cs="Arial"/>
                <w:sz w:val="19"/>
                <w:szCs w:val="19"/>
                <w:lang w:val="en-US"/>
              </w:rPr>
            </w:pPr>
            <w:r w:rsidRPr="00C87B3B">
              <w:rPr>
                <w:rFonts w:ascii="Arial" w:hAnsi="Arial" w:cs="Arial"/>
                <w:sz w:val="19"/>
                <w:szCs w:val="19"/>
                <w:lang w:val="en-US"/>
              </w:rPr>
              <w:t>89,82%</w:t>
            </w:r>
          </w:p>
        </w:tc>
      </w:tr>
    </w:tbl>
    <w:p w14:paraId="37F0861B" w14:textId="156F5BE1" w:rsidR="00C87B3B" w:rsidRPr="00C87B3B" w:rsidRDefault="00C87B3B" w:rsidP="00C87B3B">
      <w:pPr>
        <w:pStyle w:val="NormalnyWeb"/>
        <w:tabs>
          <w:tab w:val="left" w:pos="284"/>
        </w:tabs>
        <w:spacing w:beforeAutospacing="0" w:after="120" w:afterAutospacing="0" w:line="360" w:lineRule="auto"/>
        <w:ind w:firstLine="284"/>
        <w:jc w:val="both"/>
        <w:rPr>
          <w:rFonts w:ascii="Arial" w:hAnsi="Arial" w:cs="Arial"/>
        </w:rPr>
      </w:pPr>
      <w:r w:rsidRPr="00C87B3B">
        <w:rPr>
          <w:rFonts w:ascii="Arial" w:hAnsi="Arial" w:cs="Arial"/>
        </w:rPr>
        <w:lastRenderedPageBreak/>
        <w:t xml:space="preserve">Sprzedaż środków ochrony roślin w przeliczeniu na substancje czynne w podziale na grupy środków ochrony roślin przedstawiona jest na rysunku </w:t>
      </w:r>
      <w:r w:rsidR="005A7B62">
        <w:rPr>
          <w:rFonts w:ascii="Arial" w:hAnsi="Arial" w:cs="Arial"/>
        </w:rPr>
        <w:t>4</w:t>
      </w:r>
      <w:r w:rsidRPr="00C87B3B">
        <w:rPr>
          <w:rFonts w:ascii="Arial" w:hAnsi="Arial" w:cs="Arial"/>
        </w:rPr>
        <w:t xml:space="preserve">. W 2023 </w:t>
      </w:r>
      <w:r w:rsidR="00063443">
        <w:rPr>
          <w:rFonts w:ascii="Arial" w:hAnsi="Arial" w:cs="Arial"/>
        </w:rPr>
        <w:t xml:space="preserve">r. </w:t>
      </w:r>
      <w:r w:rsidRPr="00C87B3B">
        <w:rPr>
          <w:rFonts w:ascii="Arial" w:hAnsi="Arial" w:cs="Arial"/>
        </w:rPr>
        <w:t>zanotowano dalszy spadek sprzedaży fungicydów i herbicydów (odpowiednio o 17% i 7% w porównaniu do 2022</w:t>
      </w:r>
      <w:r w:rsidR="00063443">
        <w:rPr>
          <w:rFonts w:ascii="Arial" w:hAnsi="Arial" w:cs="Arial"/>
        </w:rPr>
        <w:t xml:space="preserve"> r.</w:t>
      </w:r>
      <w:r w:rsidRPr="00C87B3B">
        <w:rPr>
          <w:rFonts w:ascii="Arial" w:hAnsi="Arial" w:cs="Arial"/>
        </w:rPr>
        <w:t>).</w:t>
      </w:r>
    </w:p>
    <w:p w14:paraId="215579E0" w14:textId="14C62CB4" w:rsidR="00C87B3B" w:rsidRPr="00C87B3B" w:rsidRDefault="00C87B3B" w:rsidP="00C87B3B">
      <w:pPr>
        <w:pStyle w:val="NormalnyWeb"/>
        <w:tabs>
          <w:tab w:val="left" w:pos="284"/>
        </w:tabs>
        <w:spacing w:beforeAutospacing="0" w:after="120" w:afterAutospacing="0" w:line="360" w:lineRule="auto"/>
        <w:ind w:firstLine="284"/>
        <w:jc w:val="both"/>
        <w:rPr>
          <w:rFonts w:ascii="Arial" w:hAnsi="Arial" w:cs="Arial"/>
        </w:rPr>
      </w:pPr>
      <w:r w:rsidRPr="00C87B3B">
        <w:rPr>
          <w:rFonts w:ascii="Arial" w:hAnsi="Arial" w:cs="Arial"/>
        </w:rPr>
        <w:t xml:space="preserve">Rysunek </w:t>
      </w:r>
      <w:r w:rsidR="005A7B62">
        <w:rPr>
          <w:rFonts w:ascii="Arial" w:hAnsi="Arial" w:cs="Arial"/>
        </w:rPr>
        <w:t>4</w:t>
      </w:r>
      <w:r w:rsidRPr="00C87B3B">
        <w:rPr>
          <w:rFonts w:ascii="Arial" w:hAnsi="Arial" w:cs="Arial"/>
        </w:rPr>
        <w:t xml:space="preserve"> – Sprzedaż środków ochrony roślin w przeliczeniu na substancje czynne w podziale na grupy w okresie 2019-2023</w:t>
      </w:r>
    </w:p>
    <w:p w14:paraId="67314576" w14:textId="49FE6FDD" w:rsidR="00C87B3B" w:rsidRPr="00C87B3B" w:rsidRDefault="00C87B3B" w:rsidP="00BF028F">
      <w:pPr>
        <w:autoSpaceDE w:val="0"/>
        <w:autoSpaceDN w:val="0"/>
        <w:spacing w:line="364" w:lineRule="auto"/>
        <w:ind w:left="142" w:right="652"/>
        <w:jc w:val="both"/>
        <w:rPr>
          <w:rFonts w:ascii="Arial" w:eastAsia="Arial" w:hAnsi="Arial" w:cs="Arial"/>
          <w:sz w:val="19"/>
          <w:szCs w:val="19"/>
          <w:lang w:eastAsia="en-US"/>
        </w:rPr>
      </w:pPr>
      <w:r w:rsidRPr="00C87B3B">
        <w:rPr>
          <w:rFonts w:ascii="Arial" w:eastAsia="Arial" w:hAnsi="Arial" w:cs="Arial"/>
          <w:noProof/>
          <w:sz w:val="19"/>
          <w:szCs w:val="19"/>
        </w:rPr>
        <w:drawing>
          <wp:inline distT="0" distB="0" distL="0" distR="0" wp14:anchorId="5A5D5CC6" wp14:editId="6209D3A9">
            <wp:extent cx="5667554" cy="3105510"/>
            <wp:effectExtent l="0" t="0" r="9525" b="0"/>
            <wp:docPr id="4" name="Wykres 10823740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842BDD2" w14:textId="2F333942" w:rsidR="00C87B3B" w:rsidRPr="00483FB7" w:rsidRDefault="00C87B3B" w:rsidP="00483FB7">
      <w:pPr>
        <w:pStyle w:val="NormalnyWeb"/>
        <w:tabs>
          <w:tab w:val="left" w:pos="284"/>
        </w:tabs>
        <w:spacing w:beforeAutospacing="0" w:after="120" w:afterAutospacing="0" w:line="360" w:lineRule="auto"/>
        <w:ind w:firstLine="284"/>
        <w:jc w:val="both"/>
        <w:rPr>
          <w:rFonts w:ascii="Arial" w:hAnsi="Arial" w:cs="Arial"/>
        </w:rPr>
      </w:pPr>
      <w:r w:rsidRPr="00483FB7">
        <w:rPr>
          <w:rFonts w:ascii="Arial" w:hAnsi="Arial" w:cs="Arial"/>
        </w:rPr>
        <w:t xml:space="preserve">Tabela </w:t>
      </w:r>
      <w:r w:rsidR="001F1174">
        <w:rPr>
          <w:rFonts w:ascii="Arial" w:hAnsi="Arial" w:cs="Arial"/>
        </w:rPr>
        <w:t>10</w:t>
      </w:r>
      <w:r w:rsidRPr="00483FB7">
        <w:rPr>
          <w:rFonts w:ascii="Arial" w:hAnsi="Arial" w:cs="Arial"/>
        </w:rPr>
        <w:t xml:space="preserve"> zawiera</w:t>
      </w:r>
      <w:r w:rsidR="00063443">
        <w:rPr>
          <w:rFonts w:ascii="Arial" w:hAnsi="Arial" w:cs="Arial"/>
        </w:rPr>
        <w:t xml:space="preserve"> dane nt. </w:t>
      </w:r>
      <w:r w:rsidRPr="00483FB7">
        <w:rPr>
          <w:rFonts w:ascii="Arial" w:hAnsi="Arial" w:cs="Arial"/>
        </w:rPr>
        <w:t>sprzedaży środków ochrony roślin w przeliczeniu na substancje czynne w podziale na grupy w 2023</w:t>
      </w:r>
      <w:r w:rsidR="00063443">
        <w:rPr>
          <w:rFonts w:ascii="Arial" w:hAnsi="Arial" w:cs="Arial"/>
        </w:rPr>
        <w:t xml:space="preserve"> r.</w:t>
      </w:r>
      <w:r w:rsidRPr="00483FB7">
        <w:rPr>
          <w:rFonts w:ascii="Arial" w:hAnsi="Arial" w:cs="Arial"/>
        </w:rPr>
        <w:t xml:space="preserve"> w porównaniu do średniej z lat 2015-2017 or</w:t>
      </w:r>
      <w:r w:rsidR="00063443">
        <w:rPr>
          <w:rFonts w:ascii="Arial" w:hAnsi="Arial" w:cs="Arial"/>
        </w:rPr>
        <w:t xml:space="preserve">az poprzedniego roku. Pomiędzy </w:t>
      </w:r>
      <w:r w:rsidRPr="00483FB7">
        <w:rPr>
          <w:rFonts w:ascii="Arial" w:hAnsi="Arial" w:cs="Arial"/>
        </w:rPr>
        <w:t>2023</w:t>
      </w:r>
      <w:r w:rsidR="00063443">
        <w:rPr>
          <w:rFonts w:ascii="Arial" w:hAnsi="Arial" w:cs="Arial"/>
        </w:rPr>
        <w:t xml:space="preserve"> r.</w:t>
      </w:r>
      <w:r w:rsidRPr="00483FB7">
        <w:rPr>
          <w:rFonts w:ascii="Arial" w:hAnsi="Arial" w:cs="Arial"/>
        </w:rPr>
        <w:t xml:space="preserve"> i latami 2015-2017 nastąpił spadek sprzedaży o 4467 ton (18%).</w:t>
      </w:r>
      <w:r w:rsidR="00E74001">
        <w:rPr>
          <w:rFonts w:ascii="Arial" w:hAnsi="Arial" w:cs="Arial"/>
        </w:rPr>
        <w:t xml:space="preserve"> Zaobserwowano znaczy wzrost sprzedaży moluskocydów, które jednak mają niewielki udział w całkowitej sprzedaży </w:t>
      </w:r>
      <w:r w:rsidR="00E74001" w:rsidRPr="00483FB7">
        <w:rPr>
          <w:rFonts w:ascii="Arial" w:hAnsi="Arial" w:cs="Arial"/>
        </w:rPr>
        <w:t>środków ochrony roślin</w:t>
      </w:r>
      <w:r w:rsidR="00E74001">
        <w:rPr>
          <w:rFonts w:ascii="Arial" w:hAnsi="Arial" w:cs="Arial"/>
        </w:rPr>
        <w:t xml:space="preserve"> (0,2% w 2023 r.).</w:t>
      </w:r>
    </w:p>
    <w:p w14:paraId="63790817" w14:textId="3D1F0DBC" w:rsidR="00C87B3B" w:rsidRPr="00483FB7" w:rsidRDefault="00C87B3B" w:rsidP="00483FB7">
      <w:pPr>
        <w:pStyle w:val="NormalnyWeb"/>
        <w:tabs>
          <w:tab w:val="left" w:pos="284"/>
        </w:tabs>
        <w:spacing w:beforeAutospacing="0" w:after="120" w:afterAutospacing="0" w:line="360" w:lineRule="auto"/>
        <w:ind w:firstLine="284"/>
        <w:jc w:val="both"/>
        <w:rPr>
          <w:rFonts w:ascii="Arial" w:hAnsi="Arial" w:cs="Arial"/>
        </w:rPr>
      </w:pPr>
      <w:r w:rsidRPr="00483FB7">
        <w:rPr>
          <w:rFonts w:ascii="Arial" w:hAnsi="Arial" w:cs="Arial"/>
        </w:rPr>
        <w:t xml:space="preserve">Tabela </w:t>
      </w:r>
      <w:r w:rsidR="001F1174">
        <w:rPr>
          <w:rFonts w:ascii="Arial" w:hAnsi="Arial" w:cs="Arial"/>
        </w:rPr>
        <w:t>10</w:t>
      </w:r>
      <w:r w:rsidRPr="00483FB7">
        <w:rPr>
          <w:rFonts w:ascii="Arial" w:hAnsi="Arial" w:cs="Arial"/>
        </w:rPr>
        <w:t xml:space="preserve"> – Sprzedaż środków ochrony roślin w przeliczeniu na substancje czynne w</w:t>
      </w:r>
      <w:r w:rsidR="00063443">
        <w:rPr>
          <w:rFonts w:ascii="Arial" w:hAnsi="Arial" w:cs="Arial"/>
        </w:rPr>
        <w:t xml:space="preserve"> </w:t>
      </w:r>
      <w:r w:rsidRPr="00483FB7">
        <w:rPr>
          <w:rFonts w:ascii="Arial" w:hAnsi="Arial" w:cs="Arial"/>
        </w:rPr>
        <w:t>2023</w:t>
      </w:r>
      <w:r w:rsidR="00895FE0">
        <w:rPr>
          <w:rFonts w:ascii="Arial" w:hAnsi="Arial" w:cs="Arial"/>
        </w:rPr>
        <w:t> </w:t>
      </w:r>
      <w:r w:rsidR="00063443">
        <w:rPr>
          <w:rFonts w:ascii="Arial" w:hAnsi="Arial" w:cs="Arial"/>
        </w:rPr>
        <w:t>r.</w:t>
      </w:r>
      <w:r w:rsidRPr="00483FB7">
        <w:rPr>
          <w:rFonts w:ascii="Arial" w:hAnsi="Arial" w:cs="Arial"/>
        </w:rPr>
        <w:t xml:space="preserve"> w porównaniu do roku poprzedniego i średniej z lat 2015-2017</w:t>
      </w:r>
    </w:p>
    <w:p w14:paraId="40CECA19" w14:textId="77777777" w:rsidR="00F05BB1" w:rsidRPr="00B76C35" w:rsidRDefault="00F05BB1" w:rsidP="00F05BB1">
      <w:pPr>
        <w:tabs>
          <w:tab w:val="left" w:pos="284"/>
        </w:tabs>
        <w:jc w:val="both"/>
        <w:rPr>
          <w:rFonts w:ascii="Arial" w:hAnsi="Arial" w:cs="Arial"/>
        </w:rPr>
      </w:pPr>
    </w:p>
    <w:tbl>
      <w:tblPr>
        <w:tblStyle w:val="Tabela-Siatka"/>
        <w:tblW w:w="9062" w:type="dxa"/>
        <w:tblLayout w:type="fixed"/>
        <w:tblLook w:val="0600" w:firstRow="0" w:lastRow="0" w:firstColumn="0" w:lastColumn="0" w:noHBand="1" w:noVBand="1"/>
      </w:tblPr>
      <w:tblGrid>
        <w:gridCol w:w="2972"/>
        <w:gridCol w:w="1276"/>
        <w:gridCol w:w="992"/>
        <w:gridCol w:w="992"/>
        <w:gridCol w:w="1415"/>
        <w:gridCol w:w="1415"/>
      </w:tblGrid>
      <w:tr w:rsidR="00F05BB1" w:rsidRPr="00751CEF" w14:paraId="3D4E1464" w14:textId="77777777" w:rsidTr="00D4307B">
        <w:trPr>
          <w:trHeight w:val="397"/>
        </w:trPr>
        <w:tc>
          <w:tcPr>
            <w:tcW w:w="2972" w:type="dxa"/>
            <w:vMerge w:val="restart"/>
            <w:vAlign w:val="center"/>
            <w:hideMark/>
          </w:tcPr>
          <w:p w14:paraId="582C0B08" w14:textId="77777777" w:rsidR="00F05BB1" w:rsidRPr="00E820D4" w:rsidRDefault="00F05BB1" w:rsidP="00D4307B">
            <w:pPr>
              <w:rPr>
                <w:rFonts w:ascii="Arial" w:hAnsi="Arial" w:cs="Arial"/>
              </w:rPr>
            </w:pPr>
            <w:r w:rsidRPr="00E820D4">
              <w:rPr>
                <w:rFonts w:ascii="Arial" w:hAnsi="Arial" w:cs="Arial"/>
              </w:rPr>
              <w:t>Grupa środków ochrony roślin</w:t>
            </w:r>
          </w:p>
        </w:tc>
        <w:tc>
          <w:tcPr>
            <w:tcW w:w="3260" w:type="dxa"/>
            <w:gridSpan w:val="3"/>
            <w:vAlign w:val="center"/>
          </w:tcPr>
          <w:p w14:paraId="2CB0059A" w14:textId="77777777" w:rsidR="00F05BB1" w:rsidRPr="00E820D4" w:rsidRDefault="00F05BB1" w:rsidP="00D4307B">
            <w:pPr>
              <w:jc w:val="center"/>
              <w:rPr>
                <w:rFonts w:ascii="Arial" w:hAnsi="Arial" w:cs="Arial"/>
              </w:rPr>
            </w:pPr>
            <w:r w:rsidRPr="00E820D4">
              <w:rPr>
                <w:rFonts w:ascii="Arial" w:hAnsi="Arial" w:cs="Arial"/>
              </w:rPr>
              <w:t>Sprzedaż w przeliczeniu na substancje czynne [w tonach]</w:t>
            </w:r>
          </w:p>
        </w:tc>
        <w:tc>
          <w:tcPr>
            <w:tcW w:w="1415" w:type="dxa"/>
            <w:vMerge w:val="restart"/>
            <w:vAlign w:val="center"/>
          </w:tcPr>
          <w:p w14:paraId="77D3BAA9" w14:textId="77777777" w:rsidR="00F05BB1" w:rsidRPr="00E820D4" w:rsidRDefault="00F05BB1" w:rsidP="00D4307B">
            <w:pPr>
              <w:jc w:val="center"/>
              <w:rPr>
                <w:rFonts w:ascii="Arial" w:hAnsi="Arial" w:cs="Arial"/>
              </w:rPr>
            </w:pPr>
            <w:r w:rsidRPr="00E820D4">
              <w:rPr>
                <w:rFonts w:ascii="Arial" w:hAnsi="Arial" w:cs="Arial"/>
              </w:rPr>
              <w:t>2023/</w:t>
            </w:r>
          </w:p>
          <w:p w14:paraId="10ACDDCF" w14:textId="77777777" w:rsidR="00F05BB1" w:rsidRPr="00E820D4" w:rsidRDefault="00F05BB1" w:rsidP="00D4307B">
            <w:pPr>
              <w:jc w:val="center"/>
              <w:rPr>
                <w:rFonts w:ascii="Arial" w:hAnsi="Arial" w:cs="Arial"/>
              </w:rPr>
            </w:pPr>
            <w:r w:rsidRPr="00E820D4">
              <w:rPr>
                <w:rFonts w:ascii="Arial" w:hAnsi="Arial" w:cs="Arial"/>
              </w:rPr>
              <w:t>2022</w:t>
            </w:r>
          </w:p>
        </w:tc>
        <w:tc>
          <w:tcPr>
            <w:tcW w:w="1415" w:type="dxa"/>
            <w:vMerge w:val="restart"/>
            <w:vAlign w:val="center"/>
          </w:tcPr>
          <w:p w14:paraId="52C5FDC7" w14:textId="77777777" w:rsidR="00F05BB1" w:rsidRPr="00E820D4" w:rsidRDefault="00F05BB1" w:rsidP="00D4307B">
            <w:pPr>
              <w:jc w:val="center"/>
              <w:rPr>
                <w:rFonts w:ascii="Arial" w:hAnsi="Arial" w:cs="Arial"/>
              </w:rPr>
            </w:pPr>
            <w:r w:rsidRPr="00E820D4">
              <w:rPr>
                <w:rFonts w:ascii="Arial" w:hAnsi="Arial" w:cs="Arial"/>
              </w:rPr>
              <w:t>2023/</w:t>
            </w:r>
          </w:p>
          <w:p w14:paraId="10A5A23F" w14:textId="77777777" w:rsidR="00F05BB1" w:rsidRPr="00E820D4" w:rsidRDefault="00F05BB1" w:rsidP="00D4307B">
            <w:pPr>
              <w:jc w:val="center"/>
              <w:rPr>
                <w:rFonts w:ascii="Arial" w:hAnsi="Arial" w:cs="Arial"/>
              </w:rPr>
            </w:pPr>
            <w:r w:rsidRPr="00E820D4">
              <w:rPr>
                <w:rFonts w:ascii="Arial" w:hAnsi="Arial" w:cs="Arial"/>
              </w:rPr>
              <w:t>(średnia 2015-2017)</w:t>
            </w:r>
          </w:p>
        </w:tc>
      </w:tr>
      <w:tr w:rsidR="00F05BB1" w:rsidRPr="00751CEF" w14:paraId="40F62CCC" w14:textId="77777777" w:rsidTr="00D4307B">
        <w:trPr>
          <w:trHeight w:val="397"/>
        </w:trPr>
        <w:tc>
          <w:tcPr>
            <w:tcW w:w="2972" w:type="dxa"/>
            <w:vMerge/>
            <w:vAlign w:val="center"/>
            <w:hideMark/>
          </w:tcPr>
          <w:p w14:paraId="7771216F" w14:textId="77777777" w:rsidR="00F05BB1" w:rsidRPr="00E820D4" w:rsidRDefault="00F05BB1" w:rsidP="00D4307B">
            <w:pPr>
              <w:rPr>
                <w:rFonts w:ascii="Arial" w:hAnsi="Arial" w:cs="Arial"/>
              </w:rPr>
            </w:pPr>
          </w:p>
        </w:tc>
        <w:tc>
          <w:tcPr>
            <w:tcW w:w="1276" w:type="dxa"/>
            <w:vAlign w:val="center"/>
          </w:tcPr>
          <w:p w14:paraId="4A1C88BF" w14:textId="77777777" w:rsidR="00F05BB1" w:rsidRPr="00E820D4" w:rsidRDefault="00F05BB1" w:rsidP="00D4307B">
            <w:pPr>
              <w:jc w:val="center"/>
              <w:rPr>
                <w:rFonts w:ascii="Arial" w:hAnsi="Arial" w:cs="Arial"/>
              </w:rPr>
            </w:pPr>
            <w:r w:rsidRPr="00E820D4">
              <w:rPr>
                <w:rFonts w:ascii="Arial" w:hAnsi="Arial" w:cs="Arial"/>
              </w:rPr>
              <w:t>Średnia 2015-2017</w:t>
            </w:r>
          </w:p>
        </w:tc>
        <w:tc>
          <w:tcPr>
            <w:tcW w:w="992" w:type="dxa"/>
            <w:vAlign w:val="center"/>
          </w:tcPr>
          <w:p w14:paraId="43B6F71B" w14:textId="77777777" w:rsidR="00F05BB1" w:rsidRPr="00E820D4" w:rsidRDefault="00F05BB1" w:rsidP="00D4307B">
            <w:pPr>
              <w:jc w:val="center"/>
              <w:rPr>
                <w:rFonts w:ascii="Arial" w:hAnsi="Arial" w:cs="Arial"/>
              </w:rPr>
            </w:pPr>
            <w:r w:rsidRPr="00E820D4">
              <w:rPr>
                <w:rFonts w:ascii="Arial" w:hAnsi="Arial" w:cs="Arial"/>
              </w:rPr>
              <w:t>2022</w:t>
            </w:r>
          </w:p>
        </w:tc>
        <w:tc>
          <w:tcPr>
            <w:tcW w:w="992" w:type="dxa"/>
            <w:vAlign w:val="center"/>
          </w:tcPr>
          <w:p w14:paraId="5D3299FA" w14:textId="77777777" w:rsidR="00F05BB1" w:rsidRPr="00E820D4" w:rsidRDefault="00F05BB1" w:rsidP="00D4307B">
            <w:pPr>
              <w:jc w:val="center"/>
              <w:rPr>
                <w:rFonts w:ascii="Arial" w:hAnsi="Arial" w:cs="Arial"/>
              </w:rPr>
            </w:pPr>
            <w:r w:rsidRPr="00E820D4">
              <w:rPr>
                <w:rFonts w:ascii="Arial" w:hAnsi="Arial" w:cs="Arial"/>
              </w:rPr>
              <w:t>2023</w:t>
            </w:r>
          </w:p>
        </w:tc>
        <w:tc>
          <w:tcPr>
            <w:tcW w:w="1415" w:type="dxa"/>
            <w:vMerge/>
            <w:vAlign w:val="center"/>
          </w:tcPr>
          <w:p w14:paraId="7949FD7C" w14:textId="77777777" w:rsidR="00F05BB1" w:rsidRPr="00E820D4" w:rsidRDefault="00F05BB1" w:rsidP="00D4307B">
            <w:pPr>
              <w:jc w:val="center"/>
              <w:rPr>
                <w:rFonts w:ascii="Arial" w:hAnsi="Arial" w:cs="Arial"/>
              </w:rPr>
            </w:pPr>
          </w:p>
        </w:tc>
        <w:tc>
          <w:tcPr>
            <w:tcW w:w="1415" w:type="dxa"/>
            <w:vMerge/>
            <w:vAlign w:val="center"/>
          </w:tcPr>
          <w:p w14:paraId="268E6CF1" w14:textId="77777777" w:rsidR="00F05BB1" w:rsidRPr="00E820D4" w:rsidRDefault="00F05BB1" w:rsidP="00D4307B">
            <w:pPr>
              <w:jc w:val="center"/>
              <w:rPr>
                <w:rFonts w:ascii="Arial" w:hAnsi="Arial" w:cs="Arial"/>
              </w:rPr>
            </w:pPr>
          </w:p>
        </w:tc>
      </w:tr>
      <w:tr w:rsidR="00F05BB1" w:rsidRPr="00751CEF" w14:paraId="10A08F1F" w14:textId="77777777" w:rsidTr="00D4307B">
        <w:trPr>
          <w:trHeight w:val="369"/>
        </w:trPr>
        <w:tc>
          <w:tcPr>
            <w:tcW w:w="2972" w:type="dxa"/>
            <w:vAlign w:val="center"/>
            <w:hideMark/>
          </w:tcPr>
          <w:p w14:paraId="3F216062" w14:textId="77777777" w:rsidR="00F05BB1" w:rsidRPr="00E820D4" w:rsidRDefault="00F05BB1" w:rsidP="00D4307B">
            <w:pPr>
              <w:rPr>
                <w:rFonts w:ascii="Arial" w:hAnsi="Arial" w:cs="Arial"/>
              </w:rPr>
            </w:pPr>
            <w:r w:rsidRPr="00E820D4">
              <w:rPr>
                <w:rFonts w:ascii="Arial" w:hAnsi="Arial" w:cs="Arial"/>
              </w:rPr>
              <w:t>Fungicydy i bakteriocydy</w:t>
            </w:r>
          </w:p>
        </w:tc>
        <w:tc>
          <w:tcPr>
            <w:tcW w:w="1276" w:type="dxa"/>
            <w:vAlign w:val="center"/>
          </w:tcPr>
          <w:p w14:paraId="7E7B5402" w14:textId="77777777" w:rsidR="00F05BB1" w:rsidRPr="00E820D4" w:rsidRDefault="00F05BB1" w:rsidP="00D4307B">
            <w:pPr>
              <w:jc w:val="center"/>
              <w:rPr>
                <w:rFonts w:ascii="Arial" w:hAnsi="Arial" w:cs="Arial"/>
              </w:rPr>
            </w:pPr>
            <w:r w:rsidRPr="00E820D4">
              <w:rPr>
                <w:rFonts w:ascii="Arial" w:hAnsi="Arial" w:cs="Arial"/>
              </w:rPr>
              <w:t>7 400</w:t>
            </w:r>
          </w:p>
        </w:tc>
        <w:tc>
          <w:tcPr>
            <w:tcW w:w="992" w:type="dxa"/>
            <w:vAlign w:val="center"/>
          </w:tcPr>
          <w:p w14:paraId="5C52CAB5" w14:textId="77777777" w:rsidR="00F05BB1" w:rsidRPr="00E820D4" w:rsidRDefault="00F05BB1" w:rsidP="00D4307B">
            <w:pPr>
              <w:jc w:val="center"/>
              <w:rPr>
                <w:rFonts w:ascii="Arial" w:hAnsi="Arial" w:cs="Arial"/>
              </w:rPr>
            </w:pPr>
            <w:r w:rsidRPr="00E820D4">
              <w:rPr>
                <w:rFonts w:ascii="Arial" w:hAnsi="Arial" w:cs="Arial"/>
              </w:rPr>
              <w:t>7 085</w:t>
            </w:r>
          </w:p>
        </w:tc>
        <w:tc>
          <w:tcPr>
            <w:tcW w:w="992" w:type="dxa"/>
            <w:vAlign w:val="center"/>
          </w:tcPr>
          <w:p w14:paraId="6F3776DD" w14:textId="77777777" w:rsidR="00F05BB1" w:rsidRPr="00E820D4" w:rsidRDefault="00F05BB1" w:rsidP="00D4307B">
            <w:pPr>
              <w:jc w:val="center"/>
              <w:rPr>
                <w:rFonts w:ascii="Arial" w:hAnsi="Arial" w:cs="Arial"/>
              </w:rPr>
            </w:pPr>
            <w:r w:rsidRPr="00E820D4">
              <w:rPr>
                <w:rFonts w:ascii="Arial" w:hAnsi="Arial" w:cs="Arial"/>
              </w:rPr>
              <w:t>5 890</w:t>
            </w:r>
          </w:p>
        </w:tc>
        <w:tc>
          <w:tcPr>
            <w:tcW w:w="1415" w:type="dxa"/>
            <w:vAlign w:val="center"/>
          </w:tcPr>
          <w:p w14:paraId="3DD7F8D1" w14:textId="77777777" w:rsidR="00F05BB1" w:rsidRPr="00E820D4" w:rsidRDefault="00F05BB1" w:rsidP="00D4307B">
            <w:pPr>
              <w:jc w:val="center"/>
              <w:rPr>
                <w:rFonts w:ascii="Arial" w:hAnsi="Arial" w:cs="Arial"/>
              </w:rPr>
            </w:pPr>
            <w:r w:rsidRPr="00E820D4">
              <w:rPr>
                <w:rFonts w:ascii="Arial" w:hAnsi="Arial" w:cs="Arial"/>
              </w:rPr>
              <w:t>83%</w:t>
            </w:r>
          </w:p>
        </w:tc>
        <w:tc>
          <w:tcPr>
            <w:tcW w:w="1415" w:type="dxa"/>
            <w:vAlign w:val="center"/>
          </w:tcPr>
          <w:p w14:paraId="21713F92" w14:textId="77777777" w:rsidR="00F05BB1" w:rsidRPr="00E820D4" w:rsidRDefault="00F05BB1" w:rsidP="00D4307B">
            <w:pPr>
              <w:jc w:val="center"/>
              <w:rPr>
                <w:rFonts w:ascii="Arial" w:hAnsi="Arial" w:cs="Arial"/>
              </w:rPr>
            </w:pPr>
            <w:r w:rsidRPr="00E820D4">
              <w:rPr>
                <w:rFonts w:ascii="Arial" w:hAnsi="Arial" w:cs="Arial"/>
              </w:rPr>
              <w:t>80%</w:t>
            </w:r>
          </w:p>
        </w:tc>
      </w:tr>
      <w:tr w:rsidR="00F05BB1" w:rsidRPr="00751CEF" w14:paraId="7E485DF4" w14:textId="77777777" w:rsidTr="00D4307B">
        <w:trPr>
          <w:trHeight w:val="369"/>
        </w:trPr>
        <w:tc>
          <w:tcPr>
            <w:tcW w:w="2972" w:type="dxa"/>
            <w:vAlign w:val="center"/>
            <w:hideMark/>
          </w:tcPr>
          <w:p w14:paraId="7A9F4BE2" w14:textId="77777777" w:rsidR="00F05BB1" w:rsidRPr="00E820D4" w:rsidRDefault="00F05BB1" w:rsidP="00D4307B">
            <w:pPr>
              <w:rPr>
                <w:rFonts w:ascii="Arial" w:hAnsi="Arial" w:cs="Arial"/>
              </w:rPr>
            </w:pPr>
            <w:r w:rsidRPr="00E820D4">
              <w:rPr>
                <w:rFonts w:ascii="Arial" w:hAnsi="Arial" w:cs="Arial"/>
              </w:rPr>
              <w:t>Herbicydy, związki ograniczające rozwój łodyg i związki mchobójcze</w:t>
            </w:r>
          </w:p>
        </w:tc>
        <w:tc>
          <w:tcPr>
            <w:tcW w:w="1276" w:type="dxa"/>
            <w:vAlign w:val="center"/>
          </w:tcPr>
          <w:p w14:paraId="4C2F2313" w14:textId="77777777" w:rsidR="00F05BB1" w:rsidRPr="00E820D4" w:rsidRDefault="00F05BB1" w:rsidP="00D4307B">
            <w:pPr>
              <w:jc w:val="center"/>
              <w:rPr>
                <w:rFonts w:ascii="Arial" w:hAnsi="Arial" w:cs="Arial"/>
              </w:rPr>
            </w:pPr>
            <w:r w:rsidRPr="00E820D4">
              <w:rPr>
                <w:rFonts w:ascii="Arial" w:hAnsi="Arial" w:cs="Arial"/>
              </w:rPr>
              <w:t>12 846</w:t>
            </w:r>
          </w:p>
        </w:tc>
        <w:tc>
          <w:tcPr>
            <w:tcW w:w="992" w:type="dxa"/>
            <w:vAlign w:val="center"/>
          </w:tcPr>
          <w:p w14:paraId="4761610D" w14:textId="77777777" w:rsidR="00F05BB1" w:rsidRPr="00E820D4" w:rsidRDefault="00F05BB1" w:rsidP="00D4307B">
            <w:pPr>
              <w:jc w:val="center"/>
              <w:rPr>
                <w:rFonts w:ascii="Arial" w:hAnsi="Arial" w:cs="Arial"/>
              </w:rPr>
            </w:pPr>
            <w:r w:rsidRPr="00E820D4">
              <w:rPr>
                <w:rFonts w:ascii="Arial" w:hAnsi="Arial" w:cs="Arial"/>
              </w:rPr>
              <w:t>12 239</w:t>
            </w:r>
          </w:p>
        </w:tc>
        <w:tc>
          <w:tcPr>
            <w:tcW w:w="992" w:type="dxa"/>
            <w:vAlign w:val="center"/>
          </w:tcPr>
          <w:p w14:paraId="7DD4FEB2" w14:textId="77777777" w:rsidR="00F05BB1" w:rsidRPr="00E820D4" w:rsidRDefault="00F05BB1" w:rsidP="00D4307B">
            <w:pPr>
              <w:jc w:val="center"/>
              <w:rPr>
                <w:rFonts w:ascii="Arial" w:hAnsi="Arial" w:cs="Arial"/>
              </w:rPr>
            </w:pPr>
            <w:r w:rsidRPr="00E820D4">
              <w:rPr>
                <w:rFonts w:ascii="Arial" w:hAnsi="Arial" w:cs="Arial"/>
              </w:rPr>
              <w:t>11 367</w:t>
            </w:r>
          </w:p>
        </w:tc>
        <w:tc>
          <w:tcPr>
            <w:tcW w:w="1415" w:type="dxa"/>
            <w:vAlign w:val="center"/>
          </w:tcPr>
          <w:p w14:paraId="6F3BDDBC" w14:textId="77777777" w:rsidR="00F05BB1" w:rsidRPr="00E820D4" w:rsidRDefault="00F05BB1" w:rsidP="00D4307B">
            <w:pPr>
              <w:jc w:val="center"/>
              <w:rPr>
                <w:rFonts w:ascii="Arial" w:hAnsi="Arial" w:cs="Arial"/>
              </w:rPr>
            </w:pPr>
            <w:r w:rsidRPr="00E820D4">
              <w:rPr>
                <w:rFonts w:ascii="Arial" w:hAnsi="Arial" w:cs="Arial"/>
              </w:rPr>
              <w:t>93%</w:t>
            </w:r>
          </w:p>
        </w:tc>
        <w:tc>
          <w:tcPr>
            <w:tcW w:w="1415" w:type="dxa"/>
            <w:vAlign w:val="center"/>
          </w:tcPr>
          <w:p w14:paraId="66B664DD" w14:textId="77777777" w:rsidR="00F05BB1" w:rsidRPr="00E820D4" w:rsidRDefault="00F05BB1" w:rsidP="00D4307B">
            <w:pPr>
              <w:jc w:val="center"/>
              <w:rPr>
                <w:rFonts w:ascii="Arial" w:hAnsi="Arial" w:cs="Arial"/>
              </w:rPr>
            </w:pPr>
            <w:r w:rsidRPr="00E820D4">
              <w:rPr>
                <w:rFonts w:ascii="Arial" w:hAnsi="Arial" w:cs="Arial"/>
              </w:rPr>
              <w:t>88%</w:t>
            </w:r>
          </w:p>
        </w:tc>
      </w:tr>
      <w:tr w:rsidR="00F05BB1" w:rsidRPr="00751CEF" w14:paraId="7DEF0FBA" w14:textId="77777777" w:rsidTr="00D4307B">
        <w:trPr>
          <w:trHeight w:val="369"/>
        </w:trPr>
        <w:tc>
          <w:tcPr>
            <w:tcW w:w="2972" w:type="dxa"/>
            <w:vAlign w:val="center"/>
            <w:hideMark/>
          </w:tcPr>
          <w:p w14:paraId="39495A85" w14:textId="77777777" w:rsidR="00F05BB1" w:rsidRPr="00E820D4" w:rsidRDefault="00F05BB1" w:rsidP="00D4307B">
            <w:pPr>
              <w:rPr>
                <w:rFonts w:ascii="Arial" w:hAnsi="Arial" w:cs="Arial"/>
              </w:rPr>
            </w:pPr>
            <w:r w:rsidRPr="00E820D4">
              <w:rPr>
                <w:rFonts w:ascii="Arial" w:hAnsi="Arial" w:cs="Arial"/>
              </w:rPr>
              <w:t>Insektycydy i akarycydy</w:t>
            </w:r>
          </w:p>
        </w:tc>
        <w:tc>
          <w:tcPr>
            <w:tcW w:w="1276" w:type="dxa"/>
            <w:vAlign w:val="center"/>
          </w:tcPr>
          <w:p w14:paraId="4E2263FA" w14:textId="77777777" w:rsidR="00F05BB1" w:rsidRPr="00E820D4" w:rsidRDefault="00F05BB1" w:rsidP="00D4307B">
            <w:pPr>
              <w:jc w:val="center"/>
              <w:rPr>
                <w:rFonts w:ascii="Arial" w:hAnsi="Arial" w:cs="Arial"/>
              </w:rPr>
            </w:pPr>
            <w:r w:rsidRPr="00E820D4">
              <w:rPr>
                <w:rFonts w:ascii="Arial" w:hAnsi="Arial" w:cs="Arial"/>
              </w:rPr>
              <w:t>1 615</w:t>
            </w:r>
          </w:p>
        </w:tc>
        <w:tc>
          <w:tcPr>
            <w:tcW w:w="992" w:type="dxa"/>
            <w:vAlign w:val="center"/>
          </w:tcPr>
          <w:p w14:paraId="1862487C" w14:textId="77777777" w:rsidR="00F05BB1" w:rsidRPr="00E820D4" w:rsidRDefault="00F05BB1" w:rsidP="00D4307B">
            <w:pPr>
              <w:jc w:val="center"/>
              <w:rPr>
                <w:rFonts w:ascii="Arial" w:hAnsi="Arial" w:cs="Arial"/>
              </w:rPr>
            </w:pPr>
            <w:r w:rsidRPr="00E820D4">
              <w:rPr>
                <w:rFonts w:ascii="Arial" w:hAnsi="Arial" w:cs="Arial"/>
              </w:rPr>
              <w:t>637</w:t>
            </w:r>
          </w:p>
        </w:tc>
        <w:tc>
          <w:tcPr>
            <w:tcW w:w="992" w:type="dxa"/>
            <w:vAlign w:val="center"/>
          </w:tcPr>
          <w:p w14:paraId="0D838EA6" w14:textId="77777777" w:rsidR="00F05BB1" w:rsidRPr="00E820D4" w:rsidRDefault="00F05BB1" w:rsidP="00D4307B">
            <w:pPr>
              <w:jc w:val="center"/>
              <w:rPr>
                <w:rFonts w:ascii="Arial" w:hAnsi="Arial" w:cs="Arial"/>
              </w:rPr>
            </w:pPr>
            <w:r w:rsidRPr="00E820D4">
              <w:rPr>
                <w:rFonts w:ascii="Arial" w:hAnsi="Arial" w:cs="Arial"/>
              </w:rPr>
              <w:t>754</w:t>
            </w:r>
          </w:p>
        </w:tc>
        <w:tc>
          <w:tcPr>
            <w:tcW w:w="1415" w:type="dxa"/>
            <w:vAlign w:val="center"/>
          </w:tcPr>
          <w:p w14:paraId="0B04225E" w14:textId="77777777" w:rsidR="00F05BB1" w:rsidRPr="00E820D4" w:rsidRDefault="00F05BB1" w:rsidP="00D4307B">
            <w:pPr>
              <w:jc w:val="center"/>
              <w:rPr>
                <w:rFonts w:ascii="Arial" w:hAnsi="Arial" w:cs="Arial"/>
              </w:rPr>
            </w:pPr>
            <w:r w:rsidRPr="00E820D4">
              <w:rPr>
                <w:rFonts w:ascii="Arial" w:hAnsi="Arial" w:cs="Arial"/>
              </w:rPr>
              <w:t>118%</w:t>
            </w:r>
          </w:p>
        </w:tc>
        <w:tc>
          <w:tcPr>
            <w:tcW w:w="1415" w:type="dxa"/>
            <w:vAlign w:val="center"/>
          </w:tcPr>
          <w:p w14:paraId="38A71C22" w14:textId="77777777" w:rsidR="00F05BB1" w:rsidRPr="00E820D4" w:rsidRDefault="00F05BB1" w:rsidP="00D4307B">
            <w:pPr>
              <w:jc w:val="center"/>
              <w:rPr>
                <w:rFonts w:ascii="Arial" w:hAnsi="Arial" w:cs="Arial"/>
              </w:rPr>
            </w:pPr>
            <w:r w:rsidRPr="00E820D4">
              <w:rPr>
                <w:rFonts w:ascii="Arial" w:hAnsi="Arial" w:cs="Arial"/>
              </w:rPr>
              <w:t>47%</w:t>
            </w:r>
          </w:p>
        </w:tc>
      </w:tr>
      <w:tr w:rsidR="00F05BB1" w:rsidRPr="00751CEF" w14:paraId="1BF3AB40" w14:textId="77777777" w:rsidTr="00D4307B">
        <w:trPr>
          <w:trHeight w:val="369"/>
        </w:trPr>
        <w:tc>
          <w:tcPr>
            <w:tcW w:w="2972" w:type="dxa"/>
            <w:vAlign w:val="center"/>
            <w:hideMark/>
          </w:tcPr>
          <w:p w14:paraId="573B486E" w14:textId="77777777" w:rsidR="00F05BB1" w:rsidRPr="00E820D4" w:rsidRDefault="00F05BB1" w:rsidP="00D4307B">
            <w:pPr>
              <w:rPr>
                <w:rFonts w:ascii="Arial" w:hAnsi="Arial" w:cs="Arial"/>
              </w:rPr>
            </w:pPr>
            <w:r w:rsidRPr="00E820D4">
              <w:rPr>
                <w:rFonts w:ascii="Arial" w:hAnsi="Arial" w:cs="Arial"/>
              </w:rPr>
              <w:t>Moluskocydy</w:t>
            </w:r>
          </w:p>
        </w:tc>
        <w:tc>
          <w:tcPr>
            <w:tcW w:w="1276" w:type="dxa"/>
            <w:vAlign w:val="center"/>
          </w:tcPr>
          <w:p w14:paraId="18569987" w14:textId="77777777" w:rsidR="00F05BB1" w:rsidRPr="00E820D4" w:rsidRDefault="00F05BB1" w:rsidP="00D4307B">
            <w:pPr>
              <w:jc w:val="center"/>
              <w:rPr>
                <w:rFonts w:ascii="Arial" w:hAnsi="Arial" w:cs="Arial"/>
              </w:rPr>
            </w:pPr>
            <w:r w:rsidRPr="00E820D4">
              <w:rPr>
                <w:rFonts w:ascii="Arial" w:hAnsi="Arial" w:cs="Arial"/>
              </w:rPr>
              <w:t>8</w:t>
            </w:r>
          </w:p>
        </w:tc>
        <w:tc>
          <w:tcPr>
            <w:tcW w:w="992" w:type="dxa"/>
            <w:vAlign w:val="center"/>
          </w:tcPr>
          <w:p w14:paraId="4D4C834B" w14:textId="77777777" w:rsidR="00F05BB1" w:rsidRPr="00E820D4" w:rsidRDefault="00F05BB1" w:rsidP="00D4307B">
            <w:pPr>
              <w:jc w:val="center"/>
              <w:rPr>
                <w:rFonts w:ascii="Arial" w:hAnsi="Arial" w:cs="Arial"/>
              </w:rPr>
            </w:pPr>
            <w:r w:rsidRPr="00E820D4">
              <w:rPr>
                <w:rFonts w:ascii="Arial" w:hAnsi="Arial" w:cs="Arial"/>
              </w:rPr>
              <w:t>50</w:t>
            </w:r>
          </w:p>
        </w:tc>
        <w:tc>
          <w:tcPr>
            <w:tcW w:w="992" w:type="dxa"/>
            <w:vAlign w:val="center"/>
          </w:tcPr>
          <w:p w14:paraId="0B55B761" w14:textId="77777777" w:rsidR="00F05BB1" w:rsidRPr="00E820D4" w:rsidRDefault="00F05BB1" w:rsidP="00D4307B">
            <w:pPr>
              <w:jc w:val="center"/>
              <w:rPr>
                <w:rFonts w:ascii="Arial" w:hAnsi="Arial" w:cs="Arial"/>
              </w:rPr>
            </w:pPr>
            <w:r w:rsidRPr="00E820D4">
              <w:rPr>
                <w:rFonts w:ascii="Arial" w:hAnsi="Arial" w:cs="Arial"/>
              </w:rPr>
              <w:t>37</w:t>
            </w:r>
          </w:p>
        </w:tc>
        <w:tc>
          <w:tcPr>
            <w:tcW w:w="1415" w:type="dxa"/>
            <w:vAlign w:val="center"/>
          </w:tcPr>
          <w:p w14:paraId="7268C3A0" w14:textId="77777777" w:rsidR="00F05BB1" w:rsidRPr="00E820D4" w:rsidRDefault="00F05BB1" w:rsidP="00D4307B">
            <w:pPr>
              <w:jc w:val="center"/>
              <w:rPr>
                <w:rFonts w:ascii="Arial" w:hAnsi="Arial" w:cs="Arial"/>
              </w:rPr>
            </w:pPr>
            <w:r w:rsidRPr="00E820D4">
              <w:rPr>
                <w:rFonts w:ascii="Arial" w:hAnsi="Arial" w:cs="Arial"/>
              </w:rPr>
              <w:t>74%</w:t>
            </w:r>
          </w:p>
        </w:tc>
        <w:tc>
          <w:tcPr>
            <w:tcW w:w="1415" w:type="dxa"/>
            <w:vAlign w:val="center"/>
          </w:tcPr>
          <w:p w14:paraId="3825C497" w14:textId="77777777" w:rsidR="00F05BB1" w:rsidRPr="00E820D4" w:rsidRDefault="00F05BB1" w:rsidP="00D4307B">
            <w:pPr>
              <w:jc w:val="center"/>
              <w:rPr>
                <w:rFonts w:ascii="Arial" w:hAnsi="Arial" w:cs="Arial"/>
              </w:rPr>
            </w:pPr>
            <w:r w:rsidRPr="00E820D4">
              <w:rPr>
                <w:rFonts w:ascii="Arial" w:hAnsi="Arial" w:cs="Arial"/>
              </w:rPr>
              <w:t>453%</w:t>
            </w:r>
          </w:p>
        </w:tc>
      </w:tr>
      <w:tr w:rsidR="00F05BB1" w:rsidRPr="00751CEF" w14:paraId="193308B3" w14:textId="77777777" w:rsidTr="00D4307B">
        <w:trPr>
          <w:trHeight w:val="369"/>
        </w:trPr>
        <w:tc>
          <w:tcPr>
            <w:tcW w:w="2972" w:type="dxa"/>
            <w:vAlign w:val="center"/>
            <w:hideMark/>
          </w:tcPr>
          <w:p w14:paraId="6DFD7A48" w14:textId="77777777" w:rsidR="00F05BB1" w:rsidRPr="00E820D4" w:rsidRDefault="00F05BB1" w:rsidP="00D4307B">
            <w:pPr>
              <w:rPr>
                <w:rFonts w:ascii="Arial" w:hAnsi="Arial" w:cs="Arial"/>
              </w:rPr>
            </w:pPr>
            <w:r w:rsidRPr="00E820D4">
              <w:rPr>
                <w:rFonts w:ascii="Arial" w:hAnsi="Arial" w:cs="Arial"/>
              </w:rPr>
              <w:t>Regulatory wzrostu</w:t>
            </w:r>
          </w:p>
        </w:tc>
        <w:tc>
          <w:tcPr>
            <w:tcW w:w="1276" w:type="dxa"/>
            <w:vAlign w:val="center"/>
          </w:tcPr>
          <w:p w14:paraId="304919AA" w14:textId="77777777" w:rsidR="00F05BB1" w:rsidRPr="00E820D4" w:rsidRDefault="00F05BB1" w:rsidP="00D4307B">
            <w:pPr>
              <w:jc w:val="center"/>
              <w:rPr>
                <w:rFonts w:ascii="Arial" w:hAnsi="Arial" w:cs="Arial"/>
              </w:rPr>
            </w:pPr>
            <w:r w:rsidRPr="00E820D4">
              <w:rPr>
                <w:rFonts w:ascii="Arial" w:hAnsi="Arial" w:cs="Arial"/>
              </w:rPr>
              <w:t>2 163</w:t>
            </w:r>
          </w:p>
        </w:tc>
        <w:tc>
          <w:tcPr>
            <w:tcW w:w="992" w:type="dxa"/>
            <w:vAlign w:val="center"/>
          </w:tcPr>
          <w:p w14:paraId="7F6A4BD2" w14:textId="77777777" w:rsidR="00F05BB1" w:rsidRPr="00E820D4" w:rsidRDefault="00F05BB1" w:rsidP="00D4307B">
            <w:pPr>
              <w:jc w:val="center"/>
              <w:rPr>
                <w:rFonts w:ascii="Arial" w:hAnsi="Arial" w:cs="Arial"/>
              </w:rPr>
            </w:pPr>
            <w:r w:rsidRPr="00E820D4">
              <w:rPr>
                <w:rFonts w:ascii="Arial" w:hAnsi="Arial" w:cs="Arial"/>
              </w:rPr>
              <w:t>1 818</w:t>
            </w:r>
          </w:p>
        </w:tc>
        <w:tc>
          <w:tcPr>
            <w:tcW w:w="992" w:type="dxa"/>
            <w:vAlign w:val="center"/>
          </w:tcPr>
          <w:p w14:paraId="2BEBB8EB" w14:textId="77777777" w:rsidR="00F05BB1" w:rsidRPr="00E820D4" w:rsidRDefault="00F05BB1" w:rsidP="00D4307B">
            <w:pPr>
              <w:jc w:val="center"/>
              <w:rPr>
                <w:rFonts w:ascii="Arial" w:hAnsi="Arial" w:cs="Arial"/>
              </w:rPr>
            </w:pPr>
            <w:r w:rsidRPr="00E820D4">
              <w:rPr>
                <w:rFonts w:ascii="Arial" w:hAnsi="Arial" w:cs="Arial"/>
              </w:rPr>
              <w:t>1 497</w:t>
            </w:r>
          </w:p>
        </w:tc>
        <w:tc>
          <w:tcPr>
            <w:tcW w:w="1415" w:type="dxa"/>
            <w:vAlign w:val="center"/>
          </w:tcPr>
          <w:p w14:paraId="0D21CC24" w14:textId="77777777" w:rsidR="00F05BB1" w:rsidRPr="00E820D4" w:rsidRDefault="00F05BB1" w:rsidP="00D4307B">
            <w:pPr>
              <w:jc w:val="center"/>
              <w:rPr>
                <w:rFonts w:ascii="Arial" w:hAnsi="Arial" w:cs="Arial"/>
              </w:rPr>
            </w:pPr>
            <w:r w:rsidRPr="00E820D4">
              <w:rPr>
                <w:rFonts w:ascii="Arial" w:hAnsi="Arial" w:cs="Arial"/>
              </w:rPr>
              <w:t>82%</w:t>
            </w:r>
          </w:p>
        </w:tc>
        <w:tc>
          <w:tcPr>
            <w:tcW w:w="1415" w:type="dxa"/>
            <w:vAlign w:val="center"/>
          </w:tcPr>
          <w:p w14:paraId="64A14077" w14:textId="77777777" w:rsidR="00F05BB1" w:rsidRPr="00E820D4" w:rsidRDefault="00F05BB1" w:rsidP="00D4307B">
            <w:pPr>
              <w:jc w:val="center"/>
              <w:rPr>
                <w:rFonts w:ascii="Arial" w:hAnsi="Arial" w:cs="Arial"/>
              </w:rPr>
            </w:pPr>
            <w:r w:rsidRPr="00E820D4">
              <w:rPr>
                <w:rFonts w:ascii="Arial" w:hAnsi="Arial" w:cs="Arial"/>
              </w:rPr>
              <w:t>69%</w:t>
            </w:r>
          </w:p>
        </w:tc>
      </w:tr>
      <w:tr w:rsidR="00F05BB1" w:rsidRPr="00751CEF" w14:paraId="54D55B95" w14:textId="77777777" w:rsidTr="00D4307B">
        <w:trPr>
          <w:trHeight w:val="369"/>
        </w:trPr>
        <w:tc>
          <w:tcPr>
            <w:tcW w:w="2972" w:type="dxa"/>
            <w:vAlign w:val="center"/>
            <w:hideMark/>
          </w:tcPr>
          <w:p w14:paraId="55E16AFB" w14:textId="77777777" w:rsidR="00F05BB1" w:rsidRPr="00E820D4" w:rsidRDefault="00F05BB1" w:rsidP="00D4307B">
            <w:pPr>
              <w:rPr>
                <w:rFonts w:ascii="Arial" w:hAnsi="Arial" w:cs="Arial"/>
              </w:rPr>
            </w:pPr>
            <w:r w:rsidRPr="00E820D4">
              <w:rPr>
                <w:rFonts w:ascii="Arial" w:hAnsi="Arial" w:cs="Arial"/>
              </w:rPr>
              <w:t>Inne środki ochrony roślin</w:t>
            </w:r>
          </w:p>
        </w:tc>
        <w:tc>
          <w:tcPr>
            <w:tcW w:w="1276" w:type="dxa"/>
            <w:vAlign w:val="center"/>
          </w:tcPr>
          <w:p w14:paraId="43D2029D" w14:textId="77777777" w:rsidR="00F05BB1" w:rsidRPr="00E820D4" w:rsidRDefault="00F05BB1" w:rsidP="00D4307B">
            <w:pPr>
              <w:jc w:val="center"/>
              <w:rPr>
                <w:rFonts w:ascii="Arial" w:hAnsi="Arial" w:cs="Arial"/>
              </w:rPr>
            </w:pPr>
            <w:r w:rsidRPr="00E820D4">
              <w:rPr>
                <w:rFonts w:ascii="Arial" w:hAnsi="Arial" w:cs="Arial"/>
              </w:rPr>
              <w:t>482</w:t>
            </w:r>
          </w:p>
        </w:tc>
        <w:tc>
          <w:tcPr>
            <w:tcW w:w="992" w:type="dxa"/>
            <w:vAlign w:val="center"/>
          </w:tcPr>
          <w:p w14:paraId="6ABB1C4C" w14:textId="77777777" w:rsidR="00F05BB1" w:rsidRPr="00E820D4" w:rsidRDefault="00F05BB1" w:rsidP="00D4307B">
            <w:pPr>
              <w:jc w:val="center"/>
              <w:rPr>
                <w:rFonts w:ascii="Arial" w:hAnsi="Arial" w:cs="Arial"/>
              </w:rPr>
            </w:pPr>
            <w:r w:rsidRPr="00E820D4">
              <w:rPr>
                <w:rFonts w:ascii="Arial" w:hAnsi="Arial" w:cs="Arial"/>
              </w:rPr>
              <w:t>491</w:t>
            </w:r>
          </w:p>
        </w:tc>
        <w:tc>
          <w:tcPr>
            <w:tcW w:w="992" w:type="dxa"/>
            <w:vAlign w:val="center"/>
          </w:tcPr>
          <w:p w14:paraId="27397297" w14:textId="77777777" w:rsidR="00F05BB1" w:rsidRPr="00E820D4" w:rsidRDefault="00F05BB1" w:rsidP="00D4307B">
            <w:pPr>
              <w:jc w:val="center"/>
              <w:rPr>
                <w:rFonts w:ascii="Arial" w:hAnsi="Arial" w:cs="Arial"/>
              </w:rPr>
            </w:pPr>
            <w:r w:rsidRPr="00E820D4">
              <w:rPr>
                <w:rFonts w:ascii="Arial" w:hAnsi="Arial" w:cs="Arial"/>
              </w:rPr>
              <w:t>503</w:t>
            </w:r>
          </w:p>
        </w:tc>
        <w:tc>
          <w:tcPr>
            <w:tcW w:w="1415" w:type="dxa"/>
            <w:vAlign w:val="center"/>
          </w:tcPr>
          <w:p w14:paraId="61EDE2AB" w14:textId="77777777" w:rsidR="00F05BB1" w:rsidRPr="00E820D4" w:rsidRDefault="00F05BB1" w:rsidP="00D4307B">
            <w:pPr>
              <w:jc w:val="center"/>
              <w:rPr>
                <w:rFonts w:ascii="Arial" w:hAnsi="Arial" w:cs="Arial"/>
              </w:rPr>
            </w:pPr>
            <w:r w:rsidRPr="00E820D4">
              <w:rPr>
                <w:rFonts w:ascii="Arial" w:hAnsi="Arial" w:cs="Arial"/>
              </w:rPr>
              <w:t>102%</w:t>
            </w:r>
          </w:p>
        </w:tc>
        <w:tc>
          <w:tcPr>
            <w:tcW w:w="1415" w:type="dxa"/>
            <w:vAlign w:val="center"/>
          </w:tcPr>
          <w:p w14:paraId="7E1DB5D3" w14:textId="77777777" w:rsidR="00F05BB1" w:rsidRPr="00E820D4" w:rsidRDefault="00F05BB1" w:rsidP="00D4307B">
            <w:pPr>
              <w:jc w:val="center"/>
              <w:rPr>
                <w:rFonts w:ascii="Arial" w:hAnsi="Arial" w:cs="Arial"/>
              </w:rPr>
            </w:pPr>
            <w:r w:rsidRPr="00E820D4">
              <w:rPr>
                <w:rFonts w:ascii="Arial" w:hAnsi="Arial" w:cs="Arial"/>
              </w:rPr>
              <w:t>104%</w:t>
            </w:r>
          </w:p>
        </w:tc>
      </w:tr>
      <w:tr w:rsidR="00F05BB1" w:rsidRPr="00751CEF" w14:paraId="68319F10" w14:textId="77777777" w:rsidTr="00D4307B">
        <w:trPr>
          <w:trHeight w:val="369"/>
        </w:trPr>
        <w:tc>
          <w:tcPr>
            <w:tcW w:w="2972" w:type="dxa"/>
            <w:vAlign w:val="center"/>
            <w:hideMark/>
          </w:tcPr>
          <w:p w14:paraId="18274DC1" w14:textId="77777777" w:rsidR="00F05BB1" w:rsidRPr="00E820D4" w:rsidRDefault="00F05BB1" w:rsidP="00D4307B">
            <w:pPr>
              <w:rPr>
                <w:rFonts w:ascii="Arial" w:hAnsi="Arial" w:cs="Arial"/>
              </w:rPr>
            </w:pPr>
            <w:r w:rsidRPr="00E820D4">
              <w:rPr>
                <w:rFonts w:ascii="Arial" w:hAnsi="Arial" w:cs="Arial"/>
              </w:rPr>
              <w:t>Suma</w:t>
            </w:r>
          </w:p>
        </w:tc>
        <w:tc>
          <w:tcPr>
            <w:tcW w:w="1276" w:type="dxa"/>
            <w:vAlign w:val="center"/>
          </w:tcPr>
          <w:p w14:paraId="36DEAACC" w14:textId="77777777" w:rsidR="00F05BB1" w:rsidRPr="00E820D4" w:rsidRDefault="00F05BB1" w:rsidP="00D4307B">
            <w:pPr>
              <w:jc w:val="center"/>
              <w:rPr>
                <w:rFonts w:ascii="Arial" w:hAnsi="Arial" w:cs="Arial"/>
              </w:rPr>
            </w:pPr>
            <w:r w:rsidRPr="00E820D4">
              <w:rPr>
                <w:rFonts w:ascii="Arial" w:hAnsi="Arial" w:cs="Arial"/>
              </w:rPr>
              <w:t>24 515</w:t>
            </w:r>
          </w:p>
        </w:tc>
        <w:tc>
          <w:tcPr>
            <w:tcW w:w="992" w:type="dxa"/>
            <w:vAlign w:val="center"/>
          </w:tcPr>
          <w:p w14:paraId="174B2B1B" w14:textId="77777777" w:rsidR="00F05BB1" w:rsidRPr="00E820D4" w:rsidRDefault="00F05BB1" w:rsidP="00D4307B">
            <w:pPr>
              <w:jc w:val="center"/>
              <w:rPr>
                <w:rFonts w:ascii="Arial" w:hAnsi="Arial" w:cs="Arial"/>
              </w:rPr>
            </w:pPr>
            <w:r w:rsidRPr="00E820D4">
              <w:rPr>
                <w:rFonts w:ascii="Arial" w:hAnsi="Arial" w:cs="Arial"/>
              </w:rPr>
              <w:t>22 320</w:t>
            </w:r>
          </w:p>
        </w:tc>
        <w:tc>
          <w:tcPr>
            <w:tcW w:w="992" w:type="dxa"/>
            <w:vAlign w:val="center"/>
          </w:tcPr>
          <w:p w14:paraId="39C159DD" w14:textId="77777777" w:rsidR="00F05BB1" w:rsidRPr="00E820D4" w:rsidRDefault="00F05BB1" w:rsidP="00D4307B">
            <w:pPr>
              <w:jc w:val="center"/>
              <w:rPr>
                <w:rFonts w:ascii="Arial" w:hAnsi="Arial" w:cs="Arial"/>
              </w:rPr>
            </w:pPr>
            <w:r w:rsidRPr="00E820D4">
              <w:rPr>
                <w:rFonts w:ascii="Arial" w:hAnsi="Arial" w:cs="Arial"/>
              </w:rPr>
              <w:t>20 047</w:t>
            </w:r>
          </w:p>
        </w:tc>
        <w:tc>
          <w:tcPr>
            <w:tcW w:w="1415" w:type="dxa"/>
            <w:vAlign w:val="center"/>
          </w:tcPr>
          <w:p w14:paraId="49A14FD2" w14:textId="77777777" w:rsidR="00F05BB1" w:rsidRPr="00E820D4" w:rsidRDefault="00F05BB1" w:rsidP="00D4307B">
            <w:pPr>
              <w:jc w:val="center"/>
              <w:rPr>
                <w:rFonts w:ascii="Arial" w:hAnsi="Arial" w:cs="Arial"/>
              </w:rPr>
            </w:pPr>
            <w:r w:rsidRPr="00E820D4">
              <w:rPr>
                <w:rFonts w:ascii="Arial" w:hAnsi="Arial" w:cs="Arial"/>
              </w:rPr>
              <w:t>90%</w:t>
            </w:r>
          </w:p>
        </w:tc>
        <w:tc>
          <w:tcPr>
            <w:tcW w:w="1415" w:type="dxa"/>
            <w:vAlign w:val="center"/>
          </w:tcPr>
          <w:p w14:paraId="4C8011A4" w14:textId="77777777" w:rsidR="00F05BB1" w:rsidRPr="00E820D4" w:rsidRDefault="00F05BB1" w:rsidP="00D4307B">
            <w:pPr>
              <w:jc w:val="center"/>
              <w:rPr>
                <w:rFonts w:ascii="Arial" w:hAnsi="Arial" w:cs="Arial"/>
              </w:rPr>
            </w:pPr>
            <w:r w:rsidRPr="00E820D4">
              <w:rPr>
                <w:rFonts w:ascii="Arial" w:hAnsi="Arial" w:cs="Arial"/>
              </w:rPr>
              <w:t>82%</w:t>
            </w:r>
          </w:p>
        </w:tc>
      </w:tr>
    </w:tbl>
    <w:p w14:paraId="6AD0BC3E" w14:textId="2E09F581" w:rsidR="00C87B3B" w:rsidRPr="00483FB7" w:rsidRDefault="00C87B3B" w:rsidP="00483FB7">
      <w:pPr>
        <w:pStyle w:val="NormalnyWeb"/>
        <w:tabs>
          <w:tab w:val="left" w:pos="284"/>
        </w:tabs>
        <w:spacing w:beforeAutospacing="0" w:after="120" w:afterAutospacing="0" w:line="360" w:lineRule="auto"/>
        <w:ind w:firstLine="284"/>
        <w:jc w:val="both"/>
        <w:rPr>
          <w:rFonts w:ascii="Arial" w:hAnsi="Arial" w:cs="Arial"/>
        </w:rPr>
      </w:pPr>
      <w:r w:rsidRPr="00483FB7">
        <w:rPr>
          <w:rFonts w:ascii="Arial" w:hAnsi="Arial" w:cs="Arial"/>
        </w:rPr>
        <w:lastRenderedPageBreak/>
        <w:t>Udział sprzedaży każdej z grup w całości sprzedaży w</w:t>
      </w:r>
      <w:r w:rsidR="00063443">
        <w:rPr>
          <w:rFonts w:ascii="Arial" w:hAnsi="Arial" w:cs="Arial"/>
        </w:rPr>
        <w:t xml:space="preserve"> 2</w:t>
      </w:r>
      <w:r w:rsidRPr="00483FB7">
        <w:rPr>
          <w:rFonts w:ascii="Arial" w:hAnsi="Arial" w:cs="Arial"/>
        </w:rPr>
        <w:t xml:space="preserve">023 </w:t>
      </w:r>
      <w:r w:rsidR="00063443">
        <w:rPr>
          <w:rFonts w:ascii="Arial" w:hAnsi="Arial" w:cs="Arial"/>
        </w:rPr>
        <w:t xml:space="preserve">r. </w:t>
      </w:r>
      <w:r w:rsidRPr="00483FB7">
        <w:rPr>
          <w:rFonts w:ascii="Arial" w:hAnsi="Arial" w:cs="Arial"/>
        </w:rPr>
        <w:t>przedstawiono na rysunku </w:t>
      </w:r>
      <w:r w:rsidR="00027FA7">
        <w:rPr>
          <w:rFonts w:ascii="Arial" w:hAnsi="Arial" w:cs="Arial"/>
        </w:rPr>
        <w:t>5</w:t>
      </w:r>
      <w:r w:rsidRPr="00483FB7">
        <w:rPr>
          <w:rFonts w:ascii="Arial" w:hAnsi="Arial" w:cs="Arial"/>
        </w:rPr>
        <w:t>. Sprzedaż herbicydów stanowi 56,7% wielkości sprzedaży. Drugą znaczącą grupą są fungicydy (29,4%).</w:t>
      </w:r>
    </w:p>
    <w:p w14:paraId="56D741D3" w14:textId="7E3A55F3" w:rsidR="00C87B3B" w:rsidRPr="00483FB7" w:rsidRDefault="00C87B3B" w:rsidP="00483FB7">
      <w:pPr>
        <w:pStyle w:val="NormalnyWeb"/>
        <w:tabs>
          <w:tab w:val="left" w:pos="284"/>
        </w:tabs>
        <w:spacing w:beforeAutospacing="0" w:after="120" w:afterAutospacing="0" w:line="360" w:lineRule="auto"/>
        <w:ind w:firstLine="284"/>
        <w:jc w:val="both"/>
        <w:rPr>
          <w:rFonts w:ascii="Arial" w:hAnsi="Arial" w:cs="Arial"/>
        </w:rPr>
      </w:pPr>
      <w:r w:rsidRPr="00483FB7">
        <w:rPr>
          <w:rFonts w:ascii="Arial" w:hAnsi="Arial" w:cs="Arial"/>
        </w:rPr>
        <w:t xml:space="preserve">Rysunek </w:t>
      </w:r>
      <w:r w:rsidR="00027FA7">
        <w:rPr>
          <w:rFonts w:ascii="Arial" w:hAnsi="Arial" w:cs="Arial"/>
        </w:rPr>
        <w:t>5</w:t>
      </w:r>
      <w:r w:rsidRPr="00483FB7">
        <w:rPr>
          <w:rFonts w:ascii="Arial" w:hAnsi="Arial" w:cs="Arial"/>
        </w:rPr>
        <w:t xml:space="preserve"> – Sprzedaż substancji czynnych w podziale na grupy środków ochrony roślin w</w:t>
      </w:r>
      <w:r w:rsidR="00483FB7">
        <w:rPr>
          <w:rFonts w:ascii="Arial" w:hAnsi="Arial" w:cs="Arial"/>
        </w:rPr>
        <w:t xml:space="preserve"> 2023 r.</w:t>
      </w:r>
    </w:p>
    <w:p w14:paraId="1B05236E" w14:textId="77777777" w:rsidR="00C87B3B" w:rsidRPr="00C87B3B" w:rsidRDefault="00C87B3B" w:rsidP="00C87B3B">
      <w:pPr>
        <w:autoSpaceDE w:val="0"/>
        <w:autoSpaceDN w:val="0"/>
        <w:spacing w:line="364" w:lineRule="auto"/>
        <w:ind w:left="611" w:right="652" w:firstLine="275"/>
        <w:rPr>
          <w:rFonts w:ascii="Arial" w:eastAsia="Arial" w:hAnsi="Arial" w:cs="Arial"/>
          <w:sz w:val="19"/>
          <w:szCs w:val="19"/>
          <w:lang w:eastAsia="en-US"/>
        </w:rPr>
      </w:pPr>
      <w:r w:rsidRPr="00C87B3B">
        <w:rPr>
          <w:rFonts w:ascii="Arial" w:eastAsia="Arial" w:hAnsi="Arial" w:cs="Arial"/>
          <w:noProof/>
          <w:sz w:val="19"/>
          <w:szCs w:val="19"/>
        </w:rPr>
        <w:drawing>
          <wp:inline distT="0" distB="0" distL="0" distR="0" wp14:anchorId="50CFBEFE" wp14:editId="2BA290DC">
            <wp:extent cx="5029200" cy="2968283"/>
            <wp:effectExtent l="0" t="0" r="0" b="3810"/>
            <wp:docPr id="18" name="Wykres 3524553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F2CFC64" w14:textId="77777777" w:rsidR="00C87B3B" w:rsidRPr="00C87B3B" w:rsidRDefault="00C87B3B" w:rsidP="00C87B3B">
      <w:pPr>
        <w:autoSpaceDE w:val="0"/>
        <w:autoSpaceDN w:val="0"/>
        <w:spacing w:line="364" w:lineRule="auto"/>
        <w:ind w:left="611" w:right="652" w:firstLine="275"/>
        <w:rPr>
          <w:rFonts w:ascii="Arial" w:eastAsia="Arial" w:hAnsi="Arial" w:cs="Arial"/>
          <w:sz w:val="19"/>
          <w:szCs w:val="19"/>
          <w:lang w:eastAsia="en-US"/>
        </w:rPr>
      </w:pPr>
    </w:p>
    <w:p w14:paraId="01881629" w14:textId="77777777" w:rsidR="008B5F95" w:rsidRDefault="00923F0D">
      <w:pPr>
        <w:pStyle w:val="Nagwek3"/>
        <w:numPr>
          <w:ilvl w:val="0"/>
          <w:numId w:val="0"/>
        </w:numPr>
        <w:tabs>
          <w:tab w:val="left" w:pos="2410"/>
        </w:tabs>
        <w:spacing w:before="120" w:after="120" w:line="360" w:lineRule="auto"/>
        <w:ind w:left="709"/>
        <w:rPr>
          <w:i w:val="0"/>
          <w:sz w:val="20"/>
          <w:szCs w:val="20"/>
        </w:rPr>
      </w:pPr>
      <w:bookmarkStart w:id="72" w:name="_Toc193716416"/>
      <w:r>
        <w:rPr>
          <w:i w:val="0"/>
          <w:sz w:val="20"/>
          <w:szCs w:val="20"/>
        </w:rPr>
        <w:t>Podzadanie 2. Prowadzenie badań statystycznych zużycia środków ochrony roślin</w:t>
      </w:r>
      <w:bookmarkEnd w:id="72"/>
    </w:p>
    <w:p w14:paraId="5CC6CE20" w14:textId="6E374DF4"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 xml:space="preserve">Zadanie </w:t>
      </w:r>
      <w:r w:rsidR="00D31FDB">
        <w:rPr>
          <w:rFonts w:ascii="Arial" w:hAnsi="Arial" w:cs="Arial"/>
        </w:rPr>
        <w:t xml:space="preserve">jest </w:t>
      </w:r>
      <w:r>
        <w:rPr>
          <w:rFonts w:ascii="Arial" w:hAnsi="Arial" w:cs="Arial"/>
        </w:rPr>
        <w:t>realizowane w ramach badań statystycznych zgodnie z metodologią określoną w przepisach rozporządzenia Parlamentu Europejskiego i Rady (WE) nr 1185/2009 z dnia 25 listopada 2009 r. w sprawie statystyk dotyczących pestycydów (Dz. Urz. UE L 324 z 10.12.2009, str. 1</w:t>
      </w:r>
      <w:r w:rsidR="00D159AD">
        <w:rPr>
          <w:rFonts w:ascii="Arial" w:hAnsi="Arial" w:cs="Arial"/>
        </w:rPr>
        <w:t>, z późn. zm.</w:t>
      </w:r>
      <w:r>
        <w:rPr>
          <w:rFonts w:ascii="Arial" w:hAnsi="Arial" w:cs="Arial"/>
        </w:rPr>
        <w:t>) przez Główny Urząd Statystyczny we współpracy z Państwową Inspekcją Ochrony Roślin i</w:t>
      </w:r>
      <w:r w:rsidR="000326FF">
        <w:rPr>
          <w:rFonts w:ascii="Arial" w:hAnsi="Arial" w:cs="Arial"/>
        </w:rPr>
        <w:t> </w:t>
      </w:r>
      <w:r>
        <w:rPr>
          <w:rFonts w:ascii="Arial" w:hAnsi="Arial" w:cs="Arial"/>
        </w:rPr>
        <w:t>Nasiennictwa, Ministerstwem Rolnictwa i Rozwoju Wsi oraz</w:t>
      </w:r>
      <w:r w:rsidR="00175593">
        <w:rPr>
          <w:rFonts w:ascii="Arial" w:hAnsi="Arial" w:cs="Arial"/>
        </w:rPr>
        <w:t xml:space="preserve"> IOR</w:t>
      </w:r>
      <w:r w:rsidR="00BC7A8F">
        <w:rPr>
          <w:rFonts w:ascii="Arial" w:hAnsi="Arial" w:cs="Arial"/>
        </w:rPr>
        <w:t xml:space="preserve"> – </w:t>
      </w:r>
      <w:r w:rsidR="004850AE">
        <w:rPr>
          <w:rFonts w:ascii="Arial" w:hAnsi="Arial" w:cs="Arial"/>
        </w:rPr>
        <w:t>PIB</w:t>
      </w:r>
      <w:r>
        <w:rPr>
          <w:rFonts w:ascii="Arial" w:hAnsi="Arial" w:cs="Arial"/>
        </w:rPr>
        <w:t xml:space="preserve">. </w:t>
      </w:r>
    </w:p>
    <w:p w14:paraId="51DE9A69" w14:textId="2DB3DB2D"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 xml:space="preserve">Celem badania </w:t>
      </w:r>
      <w:r w:rsidR="00063443">
        <w:rPr>
          <w:rFonts w:ascii="Arial" w:hAnsi="Arial" w:cs="Arial"/>
        </w:rPr>
        <w:t>jest</w:t>
      </w:r>
      <w:r>
        <w:rPr>
          <w:rFonts w:ascii="Arial" w:hAnsi="Arial" w:cs="Arial"/>
        </w:rPr>
        <w:t xml:space="preserve"> określenie przeciętnego zużycia substancji czynnej</w:t>
      </w:r>
      <w:r w:rsidR="00175593">
        <w:rPr>
          <w:rFonts w:ascii="Arial" w:hAnsi="Arial" w:cs="Arial"/>
        </w:rPr>
        <w:t>,</w:t>
      </w:r>
      <w:r>
        <w:rPr>
          <w:rFonts w:ascii="Arial" w:hAnsi="Arial" w:cs="Arial"/>
        </w:rPr>
        <w:t xml:space="preserve"> wyrażonego w kg/ha powierzchni</w:t>
      </w:r>
      <w:r w:rsidR="00175593">
        <w:rPr>
          <w:rFonts w:ascii="Arial" w:hAnsi="Arial" w:cs="Arial"/>
        </w:rPr>
        <w:t>,</w:t>
      </w:r>
      <w:r>
        <w:rPr>
          <w:rFonts w:ascii="Arial" w:hAnsi="Arial" w:cs="Arial"/>
        </w:rPr>
        <w:t xml:space="preserve"> dla poszczególnych gatunków roślin uprawnych. Badanie prowadzone</w:t>
      </w:r>
      <w:r w:rsidR="00063443">
        <w:rPr>
          <w:rFonts w:ascii="Arial" w:hAnsi="Arial" w:cs="Arial"/>
        </w:rPr>
        <w:t xml:space="preserve"> jest</w:t>
      </w:r>
      <w:r>
        <w:rPr>
          <w:rFonts w:ascii="Arial" w:hAnsi="Arial" w:cs="Arial"/>
        </w:rPr>
        <w:t xml:space="preserve"> z uwzględnieniem struktury upraw i wielkości produkcji oraz danych dotyczących sprzedaży środków ochrony roślin w losowo wytypowanych gospodarstwach. </w:t>
      </w:r>
    </w:p>
    <w:p w14:paraId="3B0DF333" w14:textId="77777777" w:rsidR="00D31FDB" w:rsidRPr="00D31FDB" w:rsidRDefault="00D31FDB" w:rsidP="00D31FDB">
      <w:pPr>
        <w:pStyle w:val="NormalnyWeb"/>
        <w:tabs>
          <w:tab w:val="left" w:pos="284"/>
        </w:tabs>
        <w:spacing w:before="120" w:beforeAutospacing="0" w:after="120" w:afterAutospacing="0" w:line="360" w:lineRule="auto"/>
        <w:ind w:firstLine="284"/>
        <w:jc w:val="both"/>
        <w:rPr>
          <w:rFonts w:ascii="Arial" w:hAnsi="Arial" w:cs="Arial"/>
        </w:rPr>
      </w:pPr>
      <w:r w:rsidRPr="00D31FDB">
        <w:rPr>
          <w:rFonts w:ascii="Arial" w:hAnsi="Arial" w:cs="Arial"/>
        </w:rPr>
        <w:t>Dane dotyczące zużycia środków ochrony roślin są zbierane przez inspektorów Państwowej Inspekcji Ochrony Roślin i Nasiennictwa, a ich pozyskiwanie opiera się na prowadzonej przez rolnika ewidencji wykonywanych zabiegów ochrony roślin. Badania te prowadzone są w cyklach 5-letnich.</w:t>
      </w:r>
    </w:p>
    <w:p w14:paraId="2137CC69" w14:textId="0ADC76F1" w:rsidR="00D31FDB" w:rsidRPr="00D31FDB" w:rsidRDefault="00D31FDB" w:rsidP="00D31FDB">
      <w:pPr>
        <w:pStyle w:val="NormalnyWeb"/>
        <w:tabs>
          <w:tab w:val="left" w:pos="284"/>
        </w:tabs>
        <w:spacing w:before="120" w:beforeAutospacing="0" w:after="120" w:afterAutospacing="0" w:line="360" w:lineRule="auto"/>
        <w:ind w:firstLine="284"/>
        <w:jc w:val="both"/>
        <w:rPr>
          <w:rFonts w:ascii="Arial" w:hAnsi="Arial" w:cs="Arial"/>
        </w:rPr>
      </w:pPr>
      <w:r w:rsidRPr="00D31FDB">
        <w:rPr>
          <w:rFonts w:ascii="Arial" w:hAnsi="Arial" w:cs="Arial"/>
        </w:rPr>
        <w:t>W 2023</w:t>
      </w:r>
      <w:r>
        <w:rPr>
          <w:rFonts w:ascii="Arial" w:hAnsi="Arial" w:cs="Arial"/>
        </w:rPr>
        <w:t xml:space="preserve"> r.</w:t>
      </w:r>
      <w:r w:rsidRPr="00D31FDB">
        <w:rPr>
          <w:rFonts w:ascii="Arial" w:hAnsi="Arial" w:cs="Arial"/>
        </w:rPr>
        <w:t xml:space="preserve"> badaniami objęto uprawy borówki amerykańskiej, malin</w:t>
      </w:r>
      <w:r>
        <w:rPr>
          <w:rFonts w:ascii="Arial" w:hAnsi="Arial" w:cs="Arial"/>
        </w:rPr>
        <w:t>y</w:t>
      </w:r>
      <w:r w:rsidRPr="00D31FDB">
        <w:rPr>
          <w:rFonts w:ascii="Arial" w:hAnsi="Arial" w:cs="Arial"/>
        </w:rPr>
        <w:t>, ogórka gruntowego, pszenżyta ozimego i wiśni. Badanie przeprowadzono w ramach kolejnego cyklu badania zużycia środków ochrony roślin obejmującego lata 2020-2024 r., a zbierane dane dotyczyły sezonu 2022.</w:t>
      </w:r>
    </w:p>
    <w:p w14:paraId="74A9ACA9" w14:textId="4278466A" w:rsidR="00D31FDB" w:rsidRPr="00D31FDB" w:rsidRDefault="00D31FDB" w:rsidP="00D31FDB">
      <w:pPr>
        <w:pStyle w:val="NormalnyWeb"/>
        <w:tabs>
          <w:tab w:val="left" w:pos="284"/>
        </w:tabs>
        <w:spacing w:before="120" w:beforeAutospacing="0" w:after="120" w:afterAutospacing="0" w:line="360" w:lineRule="auto"/>
        <w:ind w:firstLine="284"/>
        <w:jc w:val="both"/>
        <w:rPr>
          <w:rFonts w:ascii="Arial" w:hAnsi="Arial" w:cs="Arial"/>
        </w:rPr>
      </w:pPr>
      <w:r w:rsidRPr="00D31FDB">
        <w:rPr>
          <w:rFonts w:ascii="Arial" w:hAnsi="Arial" w:cs="Arial"/>
        </w:rPr>
        <w:t>Sumaryczne wyniki badania zużycia w wybranych uprawach w postaci średniego wskaźnika zużycia substancji czynnych w kg/ha zawiera Tabela </w:t>
      </w:r>
      <w:r w:rsidR="00E259EE">
        <w:rPr>
          <w:rFonts w:ascii="Arial" w:hAnsi="Arial" w:cs="Arial"/>
        </w:rPr>
        <w:t>1</w:t>
      </w:r>
      <w:r w:rsidRPr="00D31FDB">
        <w:rPr>
          <w:rFonts w:ascii="Arial" w:hAnsi="Arial" w:cs="Arial"/>
        </w:rPr>
        <w:t>1</w:t>
      </w:r>
    </w:p>
    <w:p w14:paraId="28915274" w14:textId="77777777" w:rsidR="005379F8" w:rsidRDefault="005379F8" w:rsidP="00D31FDB">
      <w:pPr>
        <w:pStyle w:val="NormalnyWeb"/>
        <w:tabs>
          <w:tab w:val="left" w:pos="284"/>
        </w:tabs>
        <w:spacing w:before="120" w:beforeAutospacing="0" w:after="120" w:afterAutospacing="0" w:line="360" w:lineRule="auto"/>
        <w:ind w:firstLine="284"/>
        <w:jc w:val="center"/>
        <w:rPr>
          <w:rFonts w:ascii="Arial" w:hAnsi="Arial" w:cs="Arial"/>
        </w:rPr>
      </w:pPr>
    </w:p>
    <w:p w14:paraId="2C51CB67" w14:textId="2D264F37" w:rsidR="00D31FDB" w:rsidRDefault="00D31FDB" w:rsidP="00D31FDB">
      <w:pPr>
        <w:pStyle w:val="NormalnyWeb"/>
        <w:tabs>
          <w:tab w:val="left" w:pos="284"/>
        </w:tabs>
        <w:spacing w:before="120" w:beforeAutospacing="0" w:after="120" w:afterAutospacing="0" w:line="360" w:lineRule="auto"/>
        <w:ind w:firstLine="284"/>
        <w:jc w:val="center"/>
        <w:rPr>
          <w:rFonts w:ascii="Arial" w:hAnsi="Arial" w:cs="Arial"/>
        </w:rPr>
      </w:pPr>
      <w:r w:rsidRPr="00D31FDB">
        <w:rPr>
          <w:rFonts w:ascii="Arial" w:hAnsi="Arial" w:cs="Arial"/>
        </w:rPr>
        <w:lastRenderedPageBreak/>
        <w:t xml:space="preserve">Tabela </w:t>
      </w:r>
      <w:r w:rsidR="00E259EE">
        <w:rPr>
          <w:rFonts w:ascii="Arial" w:hAnsi="Arial" w:cs="Arial"/>
        </w:rPr>
        <w:t>1</w:t>
      </w:r>
      <w:r w:rsidRPr="00D31FDB">
        <w:rPr>
          <w:rFonts w:ascii="Arial" w:hAnsi="Arial" w:cs="Arial"/>
        </w:rPr>
        <w:t xml:space="preserve">1 Średni wskaźnik zużycia s.cz. w kg/ha w badanych uprawach </w:t>
      </w:r>
      <w:r>
        <w:rPr>
          <w:rFonts w:ascii="Arial" w:hAnsi="Arial" w:cs="Arial"/>
        </w:rPr>
        <w:t>–</w:t>
      </w:r>
      <w:r w:rsidRPr="00D31FDB">
        <w:rPr>
          <w:rFonts w:ascii="Arial" w:hAnsi="Arial" w:cs="Arial"/>
        </w:rPr>
        <w:t xml:space="preserve"> 2022</w:t>
      </w:r>
      <w:r>
        <w:rPr>
          <w:rFonts w:ascii="Arial" w:hAnsi="Arial" w:cs="Arial"/>
        </w:rPr>
        <w:t xml:space="preserve"> r.</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3047"/>
        <w:gridCol w:w="3048"/>
      </w:tblGrid>
      <w:tr w:rsidR="00B01499" w:rsidRPr="0012532A" w14:paraId="6B279A62" w14:textId="77777777" w:rsidTr="00D4307B">
        <w:trPr>
          <w:trHeight w:val="285"/>
          <w:jc w:val="center"/>
        </w:trPr>
        <w:tc>
          <w:tcPr>
            <w:tcW w:w="2405" w:type="dxa"/>
            <w:shd w:val="clear" w:color="auto" w:fill="auto"/>
            <w:noWrap/>
            <w:vAlign w:val="center"/>
            <w:hideMark/>
          </w:tcPr>
          <w:p w14:paraId="2AAE907D" w14:textId="77777777" w:rsidR="00B01499" w:rsidRPr="004546C3" w:rsidRDefault="00B01499" w:rsidP="00D4307B">
            <w:pPr>
              <w:spacing w:before="40" w:after="40"/>
              <w:jc w:val="center"/>
              <w:rPr>
                <w:rFonts w:ascii="Arial" w:hAnsi="Arial" w:cs="Arial"/>
                <w:color w:val="000000"/>
              </w:rPr>
            </w:pPr>
            <w:r w:rsidRPr="004546C3">
              <w:rPr>
                <w:rFonts w:ascii="Arial" w:hAnsi="Arial" w:cs="Arial"/>
                <w:color w:val="000000"/>
              </w:rPr>
              <w:t>Uprawa</w:t>
            </w:r>
          </w:p>
        </w:tc>
        <w:tc>
          <w:tcPr>
            <w:tcW w:w="3047" w:type="dxa"/>
            <w:shd w:val="clear" w:color="auto" w:fill="auto"/>
            <w:noWrap/>
            <w:vAlign w:val="center"/>
            <w:hideMark/>
          </w:tcPr>
          <w:p w14:paraId="05E9E6E7" w14:textId="77777777" w:rsidR="00B01499" w:rsidRPr="004546C3" w:rsidRDefault="00B01499" w:rsidP="00D4307B">
            <w:pPr>
              <w:spacing w:before="40" w:after="40"/>
              <w:jc w:val="center"/>
              <w:rPr>
                <w:rFonts w:ascii="Arial" w:hAnsi="Arial" w:cs="Arial"/>
                <w:color w:val="000000"/>
              </w:rPr>
            </w:pPr>
            <w:r w:rsidRPr="004546C3">
              <w:rPr>
                <w:rFonts w:ascii="Arial" w:hAnsi="Arial" w:cs="Arial"/>
                <w:color w:val="000000"/>
              </w:rPr>
              <w:t>Średni wskaźnik zużycia s.cz. [kg/ha]</w:t>
            </w:r>
          </w:p>
        </w:tc>
        <w:tc>
          <w:tcPr>
            <w:tcW w:w="3048" w:type="dxa"/>
          </w:tcPr>
          <w:p w14:paraId="794BD713" w14:textId="77777777" w:rsidR="00B01499" w:rsidRPr="004546C3" w:rsidRDefault="00B01499" w:rsidP="00D4307B">
            <w:pPr>
              <w:spacing w:before="40" w:after="40"/>
              <w:jc w:val="center"/>
              <w:rPr>
                <w:rFonts w:ascii="Arial" w:hAnsi="Arial" w:cs="Arial"/>
                <w:color w:val="000000"/>
              </w:rPr>
            </w:pPr>
            <w:r w:rsidRPr="004546C3">
              <w:rPr>
                <w:rFonts w:ascii="Arial" w:hAnsi="Arial" w:cs="Arial"/>
                <w:color w:val="000000"/>
              </w:rPr>
              <w:t xml:space="preserve">Średni wskaźnik zużycia s.cz. </w:t>
            </w:r>
          </w:p>
          <w:p w14:paraId="6D86E5B7" w14:textId="77777777" w:rsidR="00B01499" w:rsidRPr="004546C3" w:rsidRDefault="00B01499" w:rsidP="00D4307B">
            <w:pPr>
              <w:spacing w:before="40" w:after="40"/>
              <w:jc w:val="center"/>
              <w:rPr>
                <w:rFonts w:ascii="Arial" w:hAnsi="Arial" w:cs="Arial"/>
                <w:color w:val="000000"/>
              </w:rPr>
            </w:pPr>
            <w:r w:rsidRPr="004546C3">
              <w:rPr>
                <w:rFonts w:ascii="Arial" w:hAnsi="Arial" w:cs="Arial"/>
                <w:color w:val="000000"/>
              </w:rPr>
              <w:t>na powierzchnię chronioną [kg/ha]</w:t>
            </w:r>
          </w:p>
        </w:tc>
      </w:tr>
      <w:tr w:rsidR="00B01499" w:rsidRPr="0012532A" w14:paraId="4F6B296D" w14:textId="77777777" w:rsidTr="00D4307B">
        <w:trPr>
          <w:trHeight w:val="340"/>
          <w:jc w:val="center"/>
        </w:trPr>
        <w:tc>
          <w:tcPr>
            <w:tcW w:w="2405" w:type="dxa"/>
            <w:shd w:val="clear" w:color="auto" w:fill="auto"/>
            <w:noWrap/>
            <w:tcMar>
              <w:top w:w="28" w:type="dxa"/>
              <w:left w:w="68" w:type="dxa"/>
              <w:bottom w:w="28" w:type="dxa"/>
              <w:right w:w="68" w:type="dxa"/>
            </w:tcMar>
            <w:vAlign w:val="center"/>
          </w:tcPr>
          <w:p w14:paraId="695A9A02" w14:textId="77777777" w:rsidR="00B01499" w:rsidRPr="000A141D" w:rsidRDefault="00B01499" w:rsidP="00D4307B">
            <w:pPr>
              <w:rPr>
                <w:rFonts w:ascii="Arial" w:hAnsi="Arial" w:cs="Arial"/>
                <w:color w:val="000000"/>
              </w:rPr>
            </w:pPr>
            <w:r w:rsidRPr="000A141D">
              <w:rPr>
                <w:rFonts w:ascii="Arial" w:hAnsi="Arial" w:cs="Arial"/>
                <w:color w:val="000000"/>
              </w:rPr>
              <w:t>Borówka</w:t>
            </w:r>
          </w:p>
        </w:tc>
        <w:tc>
          <w:tcPr>
            <w:tcW w:w="3047" w:type="dxa"/>
            <w:shd w:val="clear" w:color="auto" w:fill="auto"/>
            <w:noWrap/>
            <w:tcMar>
              <w:top w:w="28" w:type="dxa"/>
              <w:left w:w="68" w:type="dxa"/>
              <w:bottom w:w="28" w:type="dxa"/>
              <w:right w:w="68" w:type="dxa"/>
            </w:tcMar>
            <w:vAlign w:val="center"/>
          </w:tcPr>
          <w:p w14:paraId="53D33B08" w14:textId="77777777" w:rsidR="00B01499" w:rsidRPr="00DD7692" w:rsidRDefault="00B01499" w:rsidP="00D4307B">
            <w:pPr>
              <w:jc w:val="center"/>
              <w:rPr>
                <w:rFonts w:ascii="Arial" w:hAnsi="Arial" w:cs="Arial"/>
                <w:color w:val="000000"/>
              </w:rPr>
            </w:pPr>
            <w:r w:rsidRPr="00DD7692">
              <w:rPr>
                <w:rFonts w:ascii="Arial" w:hAnsi="Arial" w:cs="Arial"/>
                <w:color w:val="000000"/>
              </w:rPr>
              <w:t>1,417</w:t>
            </w:r>
          </w:p>
        </w:tc>
        <w:tc>
          <w:tcPr>
            <w:tcW w:w="3048" w:type="dxa"/>
            <w:vAlign w:val="center"/>
          </w:tcPr>
          <w:p w14:paraId="698C88DB" w14:textId="77777777" w:rsidR="00B01499" w:rsidRPr="00DD7692" w:rsidRDefault="00B01499" w:rsidP="00D4307B">
            <w:pPr>
              <w:jc w:val="center"/>
              <w:rPr>
                <w:rFonts w:ascii="Arial" w:hAnsi="Arial" w:cs="Arial"/>
                <w:color w:val="000000"/>
              </w:rPr>
            </w:pPr>
            <w:r w:rsidRPr="00DD7692">
              <w:rPr>
                <w:rFonts w:ascii="Arial" w:hAnsi="Arial" w:cs="Arial"/>
                <w:color w:val="000000"/>
              </w:rPr>
              <w:t>1,829</w:t>
            </w:r>
          </w:p>
        </w:tc>
      </w:tr>
      <w:tr w:rsidR="00B01499" w:rsidRPr="0012532A" w14:paraId="58048574" w14:textId="77777777" w:rsidTr="00D4307B">
        <w:trPr>
          <w:trHeight w:val="340"/>
          <w:jc w:val="center"/>
        </w:trPr>
        <w:tc>
          <w:tcPr>
            <w:tcW w:w="2405" w:type="dxa"/>
            <w:shd w:val="clear" w:color="auto" w:fill="auto"/>
            <w:noWrap/>
            <w:tcMar>
              <w:top w:w="28" w:type="dxa"/>
              <w:left w:w="68" w:type="dxa"/>
              <w:bottom w:w="28" w:type="dxa"/>
              <w:right w:w="68" w:type="dxa"/>
            </w:tcMar>
            <w:vAlign w:val="center"/>
          </w:tcPr>
          <w:p w14:paraId="5D211BB4" w14:textId="77777777" w:rsidR="00B01499" w:rsidRPr="000A141D" w:rsidRDefault="00B01499" w:rsidP="00D4307B">
            <w:pPr>
              <w:rPr>
                <w:rFonts w:ascii="Arial" w:hAnsi="Arial" w:cs="Arial"/>
                <w:color w:val="000000"/>
              </w:rPr>
            </w:pPr>
            <w:r w:rsidRPr="000A141D">
              <w:rPr>
                <w:rFonts w:ascii="Arial" w:hAnsi="Arial" w:cs="Arial"/>
                <w:color w:val="000000"/>
              </w:rPr>
              <w:t>Malina</w:t>
            </w:r>
          </w:p>
        </w:tc>
        <w:tc>
          <w:tcPr>
            <w:tcW w:w="3047" w:type="dxa"/>
            <w:shd w:val="clear" w:color="auto" w:fill="auto"/>
            <w:noWrap/>
            <w:tcMar>
              <w:top w:w="28" w:type="dxa"/>
              <w:left w:w="68" w:type="dxa"/>
              <w:bottom w:w="28" w:type="dxa"/>
              <w:right w:w="68" w:type="dxa"/>
            </w:tcMar>
            <w:vAlign w:val="center"/>
          </w:tcPr>
          <w:p w14:paraId="5A30B1D0" w14:textId="77777777" w:rsidR="00B01499" w:rsidRPr="00DD7692" w:rsidRDefault="00B01499" w:rsidP="00D4307B">
            <w:pPr>
              <w:jc w:val="center"/>
              <w:rPr>
                <w:rFonts w:ascii="Arial" w:hAnsi="Arial" w:cs="Arial"/>
                <w:color w:val="000000"/>
              </w:rPr>
            </w:pPr>
            <w:r w:rsidRPr="00DD7692">
              <w:rPr>
                <w:rFonts w:ascii="Arial" w:hAnsi="Arial" w:cs="Arial"/>
                <w:color w:val="000000"/>
              </w:rPr>
              <w:t>1,544</w:t>
            </w:r>
          </w:p>
        </w:tc>
        <w:tc>
          <w:tcPr>
            <w:tcW w:w="3048" w:type="dxa"/>
            <w:vAlign w:val="center"/>
          </w:tcPr>
          <w:p w14:paraId="19226835" w14:textId="77777777" w:rsidR="00B01499" w:rsidRPr="00DD7692" w:rsidRDefault="00B01499" w:rsidP="00D4307B">
            <w:pPr>
              <w:jc w:val="center"/>
              <w:rPr>
                <w:rFonts w:ascii="Arial" w:hAnsi="Arial" w:cs="Arial"/>
                <w:color w:val="000000"/>
              </w:rPr>
            </w:pPr>
            <w:r w:rsidRPr="00DD7692">
              <w:rPr>
                <w:rFonts w:ascii="Arial" w:hAnsi="Arial" w:cs="Arial"/>
                <w:color w:val="000000"/>
              </w:rPr>
              <w:t>2,111</w:t>
            </w:r>
          </w:p>
        </w:tc>
      </w:tr>
      <w:tr w:rsidR="00B01499" w:rsidRPr="0012532A" w14:paraId="4BE5F022" w14:textId="77777777" w:rsidTr="00D4307B">
        <w:trPr>
          <w:trHeight w:val="340"/>
          <w:jc w:val="center"/>
        </w:trPr>
        <w:tc>
          <w:tcPr>
            <w:tcW w:w="2405" w:type="dxa"/>
            <w:shd w:val="clear" w:color="auto" w:fill="auto"/>
            <w:noWrap/>
            <w:tcMar>
              <w:top w:w="28" w:type="dxa"/>
              <w:left w:w="68" w:type="dxa"/>
              <w:bottom w:w="28" w:type="dxa"/>
              <w:right w:w="68" w:type="dxa"/>
            </w:tcMar>
            <w:vAlign w:val="center"/>
          </w:tcPr>
          <w:p w14:paraId="4080A8EE" w14:textId="77777777" w:rsidR="00B01499" w:rsidRPr="000A141D" w:rsidRDefault="00B01499" w:rsidP="00D4307B">
            <w:pPr>
              <w:rPr>
                <w:rFonts w:ascii="Arial" w:hAnsi="Arial" w:cs="Arial"/>
                <w:color w:val="000000"/>
              </w:rPr>
            </w:pPr>
            <w:r w:rsidRPr="000A141D">
              <w:rPr>
                <w:rFonts w:ascii="Arial" w:hAnsi="Arial" w:cs="Arial"/>
                <w:color w:val="000000"/>
              </w:rPr>
              <w:t>Ogórek gruntowy</w:t>
            </w:r>
          </w:p>
        </w:tc>
        <w:tc>
          <w:tcPr>
            <w:tcW w:w="3047" w:type="dxa"/>
            <w:shd w:val="clear" w:color="auto" w:fill="auto"/>
            <w:noWrap/>
            <w:tcMar>
              <w:top w:w="28" w:type="dxa"/>
              <w:left w:w="68" w:type="dxa"/>
              <w:bottom w:w="28" w:type="dxa"/>
              <w:right w:w="68" w:type="dxa"/>
            </w:tcMar>
            <w:vAlign w:val="center"/>
          </w:tcPr>
          <w:p w14:paraId="22DD7A9E" w14:textId="77777777" w:rsidR="00B01499" w:rsidRPr="00DD7692" w:rsidRDefault="00B01499" w:rsidP="00D4307B">
            <w:pPr>
              <w:jc w:val="center"/>
              <w:rPr>
                <w:rFonts w:ascii="Arial" w:hAnsi="Arial" w:cs="Arial"/>
                <w:color w:val="000000"/>
              </w:rPr>
            </w:pPr>
            <w:r w:rsidRPr="00DD7692">
              <w:rPr>
                <w:rFonts w:ascii="Arial" w:hAnsi="Arial" w:cs="Arial"/>
                <w:color w:val="000000"/>
              </w:rPr>
              <w:t>1,914</w:t>
            </w:r>
          </w:p>
        </w:tc>
        <w:tc>
          <w:tcPr>
            <w:tcW w:w="3048" w:type="dxa"/>
            <w:vAlign w:val="center"/>
          </w:tcPr>
          <w:p w14:paraId="25B5D62B" w14:textId="77777777" w:rsidR="00B01499" w:rsidRPr="00DD7692" w:rsidRDefault="00B01499" w:rsidP="00D4307B">
            <w:pPr>
              <w:jc w:val="center"/>
              <w:rPr>
                <w:rFonts w:ascii="Arial" w:hAnsi="Arial" w:cs="Arial"/>
                <w:color w:val="000000"/>
              </w:rPr>
            </w:pPr>
            <w:r w:rsidRPr="00DD7692">
              <w:rPr>
                <w:rFonts w:ascii="Arial" w:hAnsi="Arial" w:cs="Arial"/>
                <w:color w:val="000000"/>
              </w:rPr>
              <w:t>2,149</w:t>
            </w:r>
          </w:p>
        </w:tc>
      </w:tr>
      <w:tr w:rsidR="00B01499" w:rsidRPr="0012532A" w14:paraId="5E542750" w14:textId="77777777" w:rsidTr="00D4307B">
        <w:trPr>
          <w:trHeight w:val="340"/>
          <w:jc w:val="center"/>
        </w:trPr>
        <w:tc>
          <w:tcPr>
            <w:tcW w:w="2405" w:type="dxa"/>
            <w:shd w:val="clear" w:color="auto" w:fill="auto"/>
            <w:noWrap/>
            <w:tcMar>
              <w:top w:w="28" w:type="dxa"/>
              <w:left w:w="68" w:type="dxa"/>
              <w:bottom w:w="28" w:type="dxa"/>
              <w:right w:w="68" w:type="dxa"/>
            </w:tcMar>
            <w:vAlign w:val="center"/>
          </w:tcPr>
          <w:p w14:paraId="4F3A3140" w14:textId="77777777" w:rsidR="00B01499" w:rsidRPr="000A141D" w:rsidRDefault="00B01499" w:rsidP="00D4307B">
            <w:pPr>
              <w:rPr>
                <w:rFonts w:ascii="Arial" w:hAnsi="Arial" w:cs="Arial"/>
                <w:color w:val="000000"/>
              </w:rPr>
            </w:pPr>
            <w:r w:rsidRPr="000A141D">
              <w:rPr>
                <w:rFonts w:ascii="Arial" w:hAnsi="Arial" w:cs="Arial"/>
                <w:color w:val="000000"/>
              </w:rPr>
              <w:t>Pszenżyto ozime</w:t>
            </w:r>
          </w:p>
        </w:tc>
        <w:tc>
          <w:tcPr>
            <w:tcW w:w="3047" w:type="dxa"/>
            <w:shd w:val="clear" w:color="auto" w:fill="auto"/>
            <w:noWrap/>
            <w:tcMar>
              <w:top w:w="28" w:type="dxa"/>
              <w:left w:w="68" w:type="dxa"/>
              <w:bottom w:w="28" w:type="dxa"/>
              <w:right w:w="68" w:type="dxa"/>
            </w:tcMar>
            <w:vAlign w:val="center"/>
          </w:tcPr>
          <w:p w14:paraId="0680497B" w14:textId="77777777" w:rsidR="00B01499" w:rsidRPr="00DD7692" w:rsidRDefault="00B01499" w:rsidP="00D4307B">
            <w:pPr>
              <w:jc w:val="center"/>
              <w:rPr>
                <w:rFonts w:ascii="Arial" w:hAnsi="Arial" w:cs="Arial"/>
                <w:color w:val="000000"/>
              </w:rPr>
            </w:pPr>
            <w:r w:rsidRPr="00DD7692">
              <w:rPr>
                <w:rFonts w:ascii="Arial" w:hAnsi="Arial" w:cs="Arial"/>
                <w:color w:val="000000"/>
              </w:rPr>
              <w:t>0,577</w:t>
            </w:r>
          </w:p>
        </w:tc>
        <w:tc>
          <w:tcPr>
            <w:tcW w:w="3048" w:type="dxa"/>
            <w:vAlign w:val="center"/>
          </w:tcPr>
          <w:p w14:paraId="028FB660" w14:textId="77777777" w:rsidR="00B01499" w:rsidRPr="00DD7692" w:rsidRDefault="00B01499" w:rsidP="00D4307B">
            <w:pPr>
              <w:jc w:val="center"/>
              <w:rPr>
                <w:rFonts w:ascii="Arial" w:hAnsi="Arial" w:cs="Arial"/>
                <w:color w:val="000000"/>
              </w:rPr>
            </w:pPr>
            <w:r w:rsidRPr="00DD7692">
              <w:rPr>
                <w:rFonts w:ascii="Arial" w:hAnsi="Arial" w:cs="Arial"/>
                <w:color w:val="000000"/>
              </w:rPr>
              <w:t>0,625</w:t>
            </w:r>
          </w:p>
        </w:tc>
      </w:tr>
      <w:tr w:rsidR="00B01499" w:rsidRPr="0012532A" w14:paraId="6981DC7A" w14:textId="77777777" w:rsidTr="00D4307B">
        <w:trPr>
          <w:trHeight w:val="340"/>
          <w:jc w:val="center"/>
        </w:trPr>
        <w:tc>
          <w:tcPr>
            <w:tcW w:w="2405" w:type="dxa"/>
            <w:shd w:val="clear" w:color="auto" w:fill="auto"/>
            <w:noWrap/>
            <w:tcMar>
              <w:top w:w="28" w:type="dxa"/>
              <w:left w:w="68" w:type="dxa"/>
              <w:bottom w:w="28" w:type="dxa"/>
              <w:right w:w="68" w:type="dxa"/>
            </w:tcMar>
            <w:vAlign w:val="center"/>
          </w:tcPr>
          <w:p w14:paraId="5D7508DF" w14:textId="77777777" w:rsidR="00B01499" w:rsidRPr="000A141D" w:rsidRDefault="00B01499" w:rsidP="00D4307B">
            <w:pPr>
              <w:rPr>
                <w:rFonts w:ascii="Arial" w:hAnsi="Arial" w:cs="Arial"/>
                <w:color w:val="000000"/>
              </w:rPr>
            </w:pPr>
            <w:r w:rsidRPr="000A141D">
              <w:rPr>
                <w:rFonts w:ascii="Arial" w:hAnsi="Arial" w:cs="Arial"/>
                <w:color w:val="000000"/>
              </w:rPr>
              <w:t>Wiśnia</w:t>
            </w:r>
          </w:p>
        </w:tc>
        <w:tc>
          <w:tcPr>
            <w:tcW w:w="3047" w:type="dxa"/>
            <w:shd w:val="clear" w:color="auto" w:fill="auto"/>
            <w:noWrap/>
            <w:tcMar>
              <w:top w:w="28" w:type="dxa"/>
              <w:left w:w="68" w:type="dxa"/>
              <w:bottom w:w="28" w:type="dxa"/>
              <w:right w:w="68" w:type="dxa"/>
            </w:tcMar>
            <w:vAlign w:val="center"/>
          </w:tcPr>
          <w:p w14:paraId="6DE23790" w14:textId="77777777" w:rsidR="00B01499" w:rsidRPr="00DD7692" w:rsidRDefault="00B01499" w:rsidP="00D4307B">
            <w:pPr>
              <w:jc w:val="center"/>
              <w:rPr>
                <w:rFonts w:ascii="Arial" w:hAnsi="Arial" w:cs="Arial"/>
                <w:color w:val="000000"/>
              </w:rPr>
            </w:pPr>
            <w:r w:rsidRPr="00DD7692">
              <w:rPr>
                <w:rFonts w:ascii="Arial" w:hAnsi="Arial" w:cs="Arial"/>
                <w:color w:val="000000"/>
              </w:rPr>
              <w:t>5,380</w:t>
            </w:r>
          </w:p>
        </w:tc>
        <w:tc>
          <w:tcPr>
            <w:tcW w:w="3048" w:type="dxa"/>
            <w:vAlign w:val="center"/>
          </w:tcPr>
          <w:p w14:paraId="1A7A8660" w14:textId="77777777" w:rsidR="00B01499" w:rsidRPr="00DD7692" w:rsidRDefault="00B01499" w:rsidP="00D4307B">
            <w:pPr>
              <w:jc w:val="center"/>
              <w:rPr>
                <w:rFonts w:ascii="Arial" w:hAnsi="Arial" w:cs="Arial"/>
                <w:color w:val="000000"/>
              </w:rPr>
            </w:pPr>
            <w:r w:rsidRPr="00DD7692">
              <w:rPr>
                <w:rFonts w:ascii="Arial" w:hAnsi="Arial" w:cs="Arial"/>
                <w:color w:val="000000"/>
              </w:rPr>
              <w:t>5,633</w:t>
            </w:r>
          </w:p>
        </w:tc>
      </w:tr>
    </w:tbl>
    <w:p w14:paraId="2567CDA9" w14:textId="6F3342A1" w:rsidR="00D31FDB" w:rsidRPr="00D31FDB" w:rsidRDefault="00D31FDB" w:rsidP="00402ACE">
      <w:pPr>
        <w:pStyle w:val="NormalnyWeb"/>
        <w:tabs>
          <w:tab w:val="left" w:pos="284"/>
        </w:tabs>
        <w:spacing w:before="240" w:beforeAutospacing="0" w:after="120" w:afterAutospacing="0" w:line="360" w:lineRule="auto"/>
        <w:ind w:firstLine="284"/>
        <w:jc w:val="both"/>
        <w:rPr>
          <w:rFonts w:ascii="Arial" w:hAnsi="Arial" w:cs="Arial"/>
        </w:rPr>
      </w:pPr>
      <w:r w:rsidRPr="00D31FDB">
        <w:rPr>
          <w:rFonts w:ascii="Arial" w:hAnsi="Arial" w:cs="Arial"/>
        </w:rPr>
        <w:t>Zestawienie średniej liczby zabiegów (zastosowań substancji czynnych) w badanych uprawach zawiera tabela </w:t>
      </w:r>
      <w:r w:rsidR="00E259EE">
        <w:rPr>
          <w:rFonts w:ascii="Arial" w:hAnsi="Arial" w:cs="Arial"/>
        </w:rPr>
        <w:t>1</w:t>
      </w:r>
      <w:r w:rsidRPr="00D31FDB">
        <w:rPr>
          <w:rFonts w:ascii="Arial" w:hAnsi="Arial" w:cs="Arial"/>
        </w:rPr>
        <w:t>2.</w:t>
      </w:r>
    </w:p>
    <w:p w14:paraId="1A498797" w14:textId="1C901586" w:rsidR="00D31FDB" w:rsidRDefault="00D31FDB" w:rsidP="00D31FDB">
      <w:pPr>
        <w:pStyle w:val="NormalnyWeb"/>
        <w:tabs>
          <w:tab w:val="left" w:pos="284"/>
        </w:tabs>
        <w:spacing w:before="120" w:beforeAutospacing="0" w:after="120" w:afterAutospacing="0" w:line="360" w:lineRule="auto"/>
        <w:ind w:firstLine="284"/>
        <w:jc w:val="center"/>
        <w:rPr>
          <w:rFonts w:ascii="Arial" w:hAnsi="Arial" w:cs="Arial"/>
        </w:rPr>
      </w:pPr>
      <w:r w:rsidRPr="00D31FDB">
        <w:rPr>
          <w:rFonts w:ascii="Arial" w:hAnsi="Arial" w:cs="Arial"/>
        </w:rPr>
        <w:t xml:space="preserve">Tabela </w:t>
      </w:r>
      <w:r w:rsidR="00E259EE">
        <w:rPr>
          <w:rFonts w:ascii="Arial" w:hAnsi="Arial" w:cs="Arial"/>
        </w:rPr>
        <w:t>1</w:t>
      </w:r>
      <w:r w:rsidRPr="00D31FDB">
        <w:rPr>
          <w:rFonts w:ascii="Arial" w:hAnsi="Arial" w:cs="Arial"/>
        </w:rPr>
        <w:t>2. Średnia liczba zastosowań substancji czynnych w badanych uprawach</w:t>
      </w:r>
    </w:p>
    <w:p w14:paraId="0F6F4403" w14:textId="77777777" w:rsidR="009D2AD6" w:rsidRPr="00643D28" w:rsidRDefault="009D2AD6" w:rsidP="009D2AD6">
      <w:pPr>
        <w:tabs>
          <w:tab w:val="left" w:pos="284"/>
        </w:tabs>
        <w:jc w:val="both"/>
        <w:rPr>
          <w:rFonts w:ascii="Arial" w:hAnsi="Arial" w:cs="Arial"/>
        </w:rPr>
      </w:pPr>
    </w:p>
    <w:tbl>
      <w:tblPr>
        <w:tblW w:w="35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63"/>
        <w:gridCol w:w="2072"/>
        <w:gridCol w:w="2072"/>
      </w:tblGrid>
      <w:tr w:rsidR="009D2AD6" w:rsidRPr="0012532A" w14:paraId="575B64C3" w14:textId="77777777" w:rsidTr="00D4307B">
        <w:trPr>
          <w:trHeight w:val="285"/>
          <w:jc w:val="center"/>
        </w:trPr>
        <w:tc>
          <w:tcPr>
            <w:tcW w:w="1766" w:type="pct"/>
            <w:shd w:val="clear" w:color="auto" w:fill="auto"/>
            <w:noWrap/>
            <w:vAlign w:val="center"/>
            <w:hideMark/>
          </w:tcPr>
          <w:p w14:paraId="3A90D34C" w14:textId="77777777" w:rsidR="009D2AD6" w:rsidRPr="003B0013" w:rsidRDefault="009D2AD6" w:rsidP="00D4307B">
            <w:pPr>
              <w:spacing w:before="60" w:after="60"/>
              <w:jc w:val="center"/>
              <w:rPr>
                <w:rFonts w:ascii="Arial" w:hAnsi="Arial" w:cs="Arial"/>
                <w:color w:val="000000"/>
              </w:rPr>
            </w:pPr>
            <w:r w:rsidRPr="003B0013">
              <w:rPr>
                <w:rFonts w:ascii="Arial" w:hAnsi="Arial" w:cs="Arial"/>
                <w:color w:val="000000"/>
              </w:rPr>
              <w:t>Uprawa</w:t>
            </w:r>
          </w:p>
        </w:tc>
        <w:tc>
          <w:tcPr>
            <w:tcW w:w="1617" w:type="pct"/>
            <w:shd w:val="clear" w:color="auto" w:fill="auto"/>
            <w:noWrap/>
            <w:vAlign w:val="center"/>
            <w:hideMark/>
          </w:tcPr>
          <w:p w14:paraId="6106EAE4" w14:textId="77777777" w:rsidR="009D2AD6" w:rsidRPr="003B0013" w:rsidRDefault="009D2AD6" w:rsidP="00D4307B">
            <w:pPr>
              <w:spacing w:before="60" w:after="60"/>
              <w:jc w:val="center"/>
              <w:rPr>
                <w:rFonts w:ascii="Arial" w:hAnsi="Arial" w:cs="Arial"/>
                <w:color w:val="000000"/>
              </w:rPr>
            </w:pPr>
            <w:r w:rsidRPr="003B0013">
              <w:rPr>
                <w:rFonts w:ascii="Arial" w:hAnsi="Arial" w:cs="Arial"/>
                <w:color w:val="000000"/>
              </w:rPr>
              <w:t>Średnia liczba za</w:t>
            </w:r>
            <w:r>
              <w:rPr>
                <w:rFonts w:ascii="Arial" w:hAnsi="Arial" w:cs="Arial"/>
                <w:color w:val="000000"/>
              </w:rPr>
              <w:t>stosowań s.cz.</w:t>
            </w:r>
            <w:r w:rsidRPr="003B0013">
              <w:rPr>
                <w:rFonts w:ascii="Arial" w:hAnsi="Arial" w:cs="Arial"/>
                <w:color w:val="000000"/>
              </w:rPr>
              <w:t xml:space="preserve"> na powierzchni uprawy</w:t>
            </w:r>
          </w:p>
        </w:tc>
        <w:tc>
          <w:tcPr>
            <w:tcW w:w="1617" w:type="pct"/>
            <w:vAlign w:val="center"/>
          </w:tcPr>
          <w:p w14:paraId="616E1653" w14:textId="77777777" w:rsidR="009D2AD6" w:rsidRPr="003B0013" w:rsidRDefault="009D2AD6" w:rsidP="00D4307B">
            <w:pPr>
              <w:spacing w:before="60" w:after="60"/>
              <w:jc w:val="center"/>
              <w:rPr>
                <w:rFonts w:ascii="Arial" w:hAnsi="Arial" w:cs="Arial"/>
                <w:color w:val="000000"/>
              </w:rPr>
            </w:pPr>
            <w:r w:rsidRPr="003B0013">
              <w:rPr>
                <w:rFonts w:ascii="Arial" w:hAnsi="Arial" w:cs="Arial"/>
                <w:color w:val="000000"/>
              </w:rPr>
              <w:t>Średnia liczba za</w:t>
            </w:r>
            <w:r>
              <w:rPr>
                <w:rFonts w:ascii="Arial" w:hAnsi="Arial" w:cs="Arial"/>
                <w:color w:val="000000"/>
              </w:rPr>
              <w:t>stosowań s.cz.</w:t>
            </w:r>
            <w:r w:rsidRPr="003B0013">
              <w:rPr>
                <w:rFonts w:ascii="Arial" w:hAnsi="Arial" w:cs="Arial"/>
                <w:color w:val="000000"/>
              </w:rPr>
              <w:t xml:space="preserve"> na powierzchni chronionej uprawy</w:t>
            </w:r>
          </w:p>
        </w:tc>
      </w:tr>
      <w:tr w:rsidR="009D2AD6" w:rsidRPr="0012532A" w14:paraId="6BD454C2" w14:textId="77777777" w:rsidTr="00D4307B">
        <w:trPr>
          <w:trHeight w:val="397"/>
          <w:jc w:val="center"/>
        </w:trPr>
        <w:tc>
          <w:tcPr>
            <w:tcW w:w="1766" w:type="pct"/>
            <w:shd w:val="clear" w:color="auto" w:fill="auto"/>
            <w:noWrap/>
            <w:vAlign w:val="center"/>
            <w:hideMark/>
          </w:tcPr>
          <w:p w14:paraId="68357B48" w14:textId="77777777" w:rsidR="009D2AD6" w:rsidRPr="000A141D" w:rsidRDefault="009D2AD6" w:rsidP="00D4307B">
            <w:pPr>
              <w:rPr>
                <w:rFonts w:ascii="Arial" w:hAnsi="Arial" w:cs="Arial"/>
                <w:color w:val="000000"/>
              </w:rPr>
            </w:pPr>
            <w:r w:rsidRPr="000A141D">
              <w:rPr>
                <w:rFonts w:ascii="Arial" w:hAnsi="Arial" w:cs="Arial"/>
                <w:color w:val="000000"/>
              </w:rPr>
              <w:t>Borówka</w:t>
            </w:r>
          </w:p>
        </w:tc>
        <w:tc>
          <w:tcPr>
            <w:tcW w:w="1617" w:type="pct"/>
            <w:shd w:val="clear" w:color="auto" w:fill="auto"/>
            <w:noWrap/>
            <w:vAlign w:val="center"/>
            <w:hideMark/>
          </w:tcPr>
          <w:p w14:paraId="66C76F51" w14:textId="77777777" w:rsidR="009D2AD6" w:rsidRPr="009D00D5" w:rsidRDefault="009D2AD6" w:rsidP="00D4307B">
            <w:pPr>
              <w:jc w:val="center"/>
              <w:rPr>
                <w:rFonts w:ascii="Arial" w:hAnsi="Arial" w:cs="Arial"/>
                <w:color w:val="000000"/>
              </w:rPr>
            </w:pPr>
            <w:r w:rsidRPr="009D00D5">
              <w:rPr>
                <w:rFonts w:ascii="Arial" w:hAnsi="Arial" w:cs="Arial"/>
                <w:color w:val="000000"/>
              </w:rPr>
              <w:t>4,89</w:t>
            </w:r>
          </w:p>
        </w:tc>
        <w:tc>
          <w:tcPr>
            <w:tcW w:w="1617" w:type="pct"/>
            <w:vAlign w:val="center"/>
          </w:tcPr>
          <w:p w14:paraId="0C06616D" w14:textId="77777777" w:rsidR="009D2AD6" w:rsidRDefault="009D2AD6" w:rsidP="00D4307B">
            <w:pPr>
              <w:jc w:val="center"/>
              <w:rPr>
                <w:rFonts w:ascii="Arial" w:hAnsi="Arial" w:cs="Arial"/>
                <w:color w:val="000000"/>
              </w:rPr>
            </w:pPr>
            <w:r>
              <w:rPr>
                <w:rFonts w:ascii="Arial" w:hAnsi="Arial" w:cs="Arial"/>
                <w:color w:val="000000"/>
              </w:rPr>
              <w:t>6,32</w:t>
            </w:r>
          </w:p>
        </w:tc>
      </w:tr>
      <w:tr w:rsidR="009D2AD6" w:rsidRPr="0012532A" w14:paraId="1464E151" w14:textId="77777777" w:rsidTr="00D4307B">
        <w:trPr>
          <w:trHeight w:val="397"/>
          <w:jc w:val="center"/>
        </w:trPr>
        <w:tc>
          <w:tcPr>
            <w:tcW w:w="1766" w:type="pct"/>
            <w:shd w:val="clear" w:color="auto" w:fill="auto"/>
            <w:noWrap/>
            <w:vAlign w:val="center"/>
            <w:hideMark/>
          </w:tcPr>
          <w:p w14:paraId="4BC47F3A" w14:textId="77777777" w:rsidR="009D2AD6" w:rsidRPr="000A141D" w:rsidRDefault="009D2AD6" w:rsidP="00D4307B">
            <w:pPr>
              <w:rPr>
                <w:rFonts w:ascii="Arial" w:hAnsi="Arial" w:cs="Arial"/>
                <w:color w:val="000000"/>
              </w:rPr>
            </w:pPr>
            <w:r w:rsidRPr="000A141D">
              <w:rPr>
                <w:rFonts w:ascii="Arial" w:hAnsi="Arial" w:cs="Arial"/>
                <w:color w:val="000000"/>
              </w:rPr>
              <w:t>Malina</w:t>
            </w:r>
          </w:p>
        </w:tc>
        <w:tc>
          <w:tcPr>
            <w:tcW w:w="1617" w:type="pct"/>
            <w:shd w:val="clear" w:color="auto" w:fill="auto"/>
            <w:noWrap/>
            <w:vAlign w:val="center"/>
            <w:hideMark/>
          </w:tcPr>
          <w:p w14:paraId="4C51AB83" w14:textId="77777777" w:rsidR="009D2AD6" w:rsidRPr="009D00D5" w:rsidRDefault="009D2AD6" w:rsidP="00D4307B">
            <w:pPr>
              <w:jc w:val="center"/>
              <w:rPr>
                <w:rFonts w:ascii="Arial" w:hAnsi="Arial" w:cs="Arial"/>
                <w:color w:val="000000"/>
              </w:rPr>
            </w:pPr>
            <w:r w:rsidRPr="009D00D5">
              <w:rPr>
                <w:rFonts w:ascii="Arial" w:hAnsi="Arial" w:cs="Arial"/>
                <w:color w:val="000000"/>
              </w:rPr>
              <w:t>4,93</w:t>
            </w:r>
          </w:p>
        </w:tc>
        <w:tc>
          <w:tcPr>
            <w:tcW w:w="1617" w:type="pct"/>
            <w:vAlign w:val="center"/>
          </w:tcPr>
          <w:p w14:paraId="742D9974" w14:textId="77777777" w:rsidR="009D2AD6" w:rsidRDefault="009D2AD6" w:rsidP="00D4307B">
            <w:pPr>
              <w:jc w:val="center"/>
              <w:rPr>
                <w:rFonts w:ascii="Arial" w:hAnsi="Arial" w:cs="Arial"/>
                <w:color w:val="000000"/>
              </w:rPr>
            </w:pPr>
            <w:r>
              <w:rPr>
                <w:rFonts w:ascii="Arial" w:hAnsi="Arial" w:cs="Arial"/>
                <w:color w:val="000000"/>
              </w:rPr>
              <w:t>6,74</w:t>
            </w:r>
          </w:p>
        </w:tc>
      </w:tr>
      <w:tr w:rsidR="009D2AD6" w:rsidRPr="0012532A" w14:paraId="23DB9F43" w14:textId="77777777" w:rsidTr="00D4307B">
        <w:trPr>
          <w:trHeight w:val="397"/>
          <w:jc w:val="center"/>
        </w:trPr>
        <w:tc>
          <w:tcPr>
            <w:tcW w:w="1766" w:type="pct"/>
            <w:shd w:val="clear" w:color="auto" w:fill="auto"/>
            <w:noWrap/>
            <w:vAlign w:val="center"/>
            <w:hideMark/>
          </w:tcPr>
          <w:p w14:paraId="7D24A2BC" w14:textId="77777777" w:rsidR="009D2AD6" w:rsidRPr="000A141D" w:rsidRDefault="009D2AD6" w:rsidP="00D4307B">
            <w:pPr>
              <w:rPr>
                <w:rFonts w:ascii="Arial" w:hAnsi="Arial" w:cs="Arial"/>
                <w:color w:val="000000"/>
              </w:rPr>
            </w:pPr>
            <w:r w:rsidRPr="000A141D">
              <w:rPr>
                <w:rFonts w:ascii="Arial" w:hAnsi="Arial" w:cs="Arial"/>
                <w:color w:val="000000"/>
              </w:rPr>
              <w:t>Ogórek gruntowy</w:t>
            </w:r>
          </w:p>
        </w:tc>
        <w:tc>
          <w:tcPr>
            <w:tcW w:w="1617" w:type="pct"/>
            <w:shd w:val="clear" w:color="auto" w:fill="auto"/>
            <w:noWrap/>
            <w:vAlign w:val="center"/>
            <w:hideMark/>
          </w:tcPr>
          <w:p w14:paraId="0183FCFD" w14:textId="77777777" w:rsidR="009D2AD6" w:rsidRPr="009D00D5" w:rsidRDefault="009D2AD6" w:rsidP="00D4307B">
            <w:pPr>
              <w:jc w:val="center"/>
              <w:rPr>
                <w:rFonts w:ascii="Arial" w:hAnsi="Arial" w:cs="Arial"/>
                <w:color w:val="000000"/>
              </w:rPr>
            </w:pPr>
            <w:r w:rsidRPr="009D00D5">
              <w:rPr>
                <w:rFonts w:ascii="Arial" w:hAnsi="Arial" w:cs="Arial"/>
                <w:color w:val="000000"/>
              </w:rPr>
              <w:t>4,95</w:t>
            </w:r>
          </w:p>
        </w:tc>
        <w:tc>
          <w:tcPr>
            <w:tcW w:w="1617" w:type="pct"/>
            <w:vAlign w:val="center"/>
          </w:tcPr>
          <w:p w14:paraId="3F8D1E99" w14:textId="77777777" w:rsidR="009D2AD6" w:rsidRDefault="009D2AD6" w:rsidP="00D4307B">
            <w:pPr>
              <w:jc w:val="center"/>
              <w:rPr>
                <w:rFonts w:ascii="Arial" w:hAnsi="Arial" w:cs="Arial"/>
                <w:color w:val="000000"/>
              </w:rPr>
            </w:pPr>
            <w:r>
              <w:rPr>
                <w:rFonts w:ascii="Arial" w:hAnsi="Arial" w:cs="Arial"/>
                <w:color w:val="000000"/>
              </w:rPr>
              <w:t>5,56</w:t>
            </w:r>
          </w:p>
        </w:tc>
      </w:tr>
      <w:tr w:rsidR="009D2AD6" w:rsidRPr="0012532A" w14:paraId="60D04627" w14:textId="77777777" w:rsidTr="00D4307B">
        <w:trPr>
          <w:trHeight w:val="397"/>
          <w:jc w:val="center"/>
        </w:trPr>
        <w:tc>
          <w:tcPr>
            <w:tcW w:w="1766" w:type="pct"/>
            <w:shd w:val="clear" w:color="auto" w:fill="auto"/>
            <w:noWrap/>
            <w:vAlign w:val="center"/>
          </w:tcPr>
          <w:p w14:paraId="3B799DD0" w14:textId="77777777" w:rsidR="009D2AD6" w:rsidRPr="000A141D" w:rsidRDefault="009D2AD6" w:rsidP="00D4307B">
            <w:pPr>
              <w:rPr>
                <w:rFonts w:ascii="Arial" w:hAnsi="Arial" w:cs="Arial"/>
                <w:color w:val="000000"/>
              </w:rPr>
            </w:pPr>
            <w:r w:rsidRPr="000A141D">
              <w:rPr>
                <w:rFonts w:ascii="Arial" w:hAnsi="Arial" w:cs="Arial"/>
                <w:color w:val="000000"/>
              </w:rPr>
              <w:t>Pszenżyto ozime</w:t>
            </w:r>
          </w:p>
        </w:tc>
        <w:tc>
          <w:tcPr>
            <w:tcW w:w="1617" w:type="pct"/>
            <w:shd w:val="clear" w:color="auto" w:fill="auto"/>
            <w:noWrap/>
            <w:vAlign w:val="center"/>
          </w:tcPr>
          <w:p w14:paraId="43A8118C" w14:textId="77777777" w:rsidR="009D2AD6" w:rsidRPr="009D00D5" w:rsidRDefault="009D2AD6" w:rsidP="00D4307B">
            <w:pPr>
              <w:jc w:val="center"/>
              <w:rPr>
                <w:rFonts w:ascii="Arial" w:hAnsi="Arial" w:cs="Arial"/>
                <w:color w:val="000000"/>
              </w:rPr>
            </w:pPr>
            <w:r w:rsidRPr="009D00D5">
              <w:rPr>
                <w:rFonts w:ascii="Arial" w:hAnsi="Arial" w:cs="Arial"/>
                <w:color w:val="000000"/>
              </w:rPr>
              <w:t>3,72</w:t>
            </w:r>
          </w:p>
        </w:tc>
        <w:tc>
          <w:tcPr>
            <w:tcW w:w="1617" w:type="pct"/>
            <w:vAlign w:val="center"/>
          </w:tcPr>
          <w:p w14:paraId="21B611A9" w14:textId="77777777" w:rsidR="009D2AD6" w:rsidRDefault="009D2AD6" w:rsidP="00D4307B">
            <w:pPr>
              <w:jc w:val="center"/>
              <w:rPr>
                <w:rFonts w:ascii="Arial" w:hAnsi="Arial" w:cs="Arial"/>
                <w:color w:val="000000"/>
              </w:rPr>
            </w:pPr>
            <w:r>
              <w:rPr>
                <w:rFonts w:ascii="Arial" w:hAnsi="Arial" w:cs="Arial"/>
                <w:color w:val="000000"/>
              </w:rPr>
              <w:t>4,02</w:t>
            </w:r>
          </w:p>
        </w:tc>
      </w:tr>
      <w:tr w:rsidR="009D2AD6" w:rsidRPr="0012532A" w14:paraId="13DAA6CB" w14:textId="77777777" w:rsidTr="00D4307B">
        <w:trPr>
          <w:trHeight w:val="397"/>
          <w:jc w:val="center"/>
        </w:trPr>
        <w:tc>
          <w:tcPr>
            <w:tcW w:w="1766" w:type="pct"/>
            <w:shd w:val="clear" w:color="auto" w:fill="auto"/>
            <w:noWrap/>
            <w:vAlign w:val="center"/>
          </w:tcPr>
          <w:p w14:paraId="31202421" w14:textId="77777777" w:rsidR="009D2AD6" w:rsidRPr="000A141D" w:rsidRDefault="009D2AD6" w:rsidP="00D4307B">
            <w:pPr>
              <w:rPr>
                <w:rFonts w:ascii="Arial" w:hAnsi="Arial" w:cs="Arial"/>
                <w:color w:val="000000"/>
              </w:rPr>
            </w:pPr>
            <w:r w:rsidRPr="000A141D">
              <w:rPr>
                <w:rFonts w:ascii="Arial" w:hAnsi="Arial" w:cs="Arial"/>
                <w:color w:val="000000"/>
              </w:rPr>
              <w:t>Wiśnia</w:t>
            </w:r>
          </w:p>
        </w:tc>
        <w:tc>
          <w:tcPr>
            <w:tcW w:w="1617" w:type="pct"/>
            <w:shd w:val="clear" w:color="auto" w:fill="auto"/>
            <w:noWrap/>
            <w:vAlign w:val="center"/>
          </w:tcPr>
          <w:p w14:paraId="3916D749" w14:textId="77777777" w:rsidR="009D2AD6" w:rsidRPr="009D00D5" w:rsidRDefault="009D2AD6" w:rsidP="00D4307B">
            <w:pPr>
              <w:jc w:val="center"/>
              <w:rPr>
                <w:rFonts w:ascii="Arial" w:hAnsi="Arial" w:cs="Arial"/>
                <w:color w:val="000000"/>
              </w:rPr>
            </w:pPr>
            <w:r w:rsidRPr="009D00D5">
              <w:rPr>
                <w:rFonts w:ascii="Arial" w:hAnsi="Arial" w:cs="Arial"/>
                <w:color w:val="000000"/>
              </w:rPr>
              <w:t>7,69</w:t>
            </w:r>
          </w:p>
        </w:tc>
        <w:tc>
          <w:tcPr>
            <w:tcW w:w="1617" w:type="pct"/>
            <w:vAlign w:val="center"/>
          </w:tcPr>
          <w:p w14:paraId="3C4DE86E" w14:textId="77777777" w:rsidR="009D2AD6" w:rsidRDefault="009D2AD6" w:rsidP="00D4307B">
            <w:pPr>
              <w:jc w:val="center"/>
              <w:rPr>
                <w:rFonts w:ascii="Arial" w:hAnsi="Arial" w:cs="Arial"/>
                <w:color w:val="000000"/>
              </w:rPr>
            </w:pPr>
            <w:r>
              <w:rPr>
                <w:rFonts w:ascii="Arial" w:hAnsi="Arial" w:cs="Arial"/>
                <w:color w:val="000000"/>
              </w:rPr>
              <w:t>8,06</w:t>
            </w:r>
          </w:p>
        </w:tc>
      </w:tr>
    </w:tbl>
    <w:p w14:paraId="0233A180" w14:textId="77777777" w:rsidR="009D2AD6" w:rsidRPr="00D31FDB" w:rsidRDefault="009D2AD6" w:rsidP="00D31FDB">
      <w:pPr>
        <w:pStyle w:val="NormalnyWeb"/>
        <w:tabs>
          <w:tab w:val="left" w:pos="284"/>
        </w:tabs>
        <w:spacing w:before="120" w:beforeAutospacing="0" w:after="120" w:afterAutospacing="0" w:line="360" w:lineRule="auto"/>
        <w:ind w:firstLine="284"/>
        <w:jc w:val="center"/>
        <w:rPr>
          <w:rFonts w:ascii="Arial" w:hAnsi="Arial" w:cs="Arial"/>
        </w:rPr>
      </w:pPr>
    </w:p>
    <w:p w14:paraId="514249F0" w14:textId="77777777" w:rsidR="008B5F95" w:rsidRDefault="00923F0D">
      <w:pPr>
        <w:pStyle w:val="Nagwek2"/>
        <w:spacing w:before="120" w:after="120" w:line="360" w:lineRule="auto"/>
        <w:jc w:val="both"/>
        <w:rPr>
          <w:i w:val="0"/>
        </w:rPr>
      </w:pPr>
      <w:bookmarkStart w:id="73" w:name="_Toc193716417"/>
      <w:bookmarkStart w:id="74" w:name="_Toc341876086"/>
      <w:r>
        <w:rPr>
          <w:i w:val="0"/>
          <w:sz w:val="20"/>
          <w:szCs w:val="20"/>
        </w:rPr>
        <w:t>Zadanie 2. Kontrole i monitoringi dotyczące środków ochrony roślin</w:t>
      </w:r>
      <w:bookmarkEnd w:id="73"/>
      <w:r>
        <w:rPr>
          <w:i w:val="0"/>
          <w:sz w:val="20"/>
          <w:szCs w:val="20"/>
        </w:rPr>
        <w:t xml:space="preserve"> </w:t>
      </w:r>
      <w:bookmarkEnd w:id="74"/>
    </w:p>
    <w:p w14:paraId="771B5E44" w14:textId="698652D9"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W Polsce kontrole są przeprowadzane przez organy określone w obowiązujących ustawach. Prowadzone są także badania monitoringowe, które odnoszą się do prawidłowości stosowania środków ochrony roślin. Można tu wyróżnić obszary bezpieczeństwa ludzi (w tym bezpieczeństwa żywności), zwierząt i środowiska. Najczęściej są to badania poziomu pozostałości środków ochrony roślin lub ich metabolitów.</w:t>
      </w:r>
    </w:p>
    <w:p w14:paraId="6FFC4DFD" w14:textId="79964C05"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Wyniki analiz stanowi</w:t>
      </w:r>
      <w:r w:rsidR="000301F7">
        <w:rPr>
          <w:rFonts w:ascii="Arial" w:hAnsi="Arial" w:cs="Arial"/>
        </w:rPr>
        <w:t>ą</w:t>
      </w:r>
      <w:r>
        <w:rPr>
          <w:rFonts w:ascii="Arial" w:hAnsi="Arial" w:cs="Arial"/>
        </w:rPr>
        <w:t xml:space="preserve"> podstawę do oceny stopnia realizacji celów krajowego planu działania, a</w:t>
      </w:r>
      <w:r w:rsidR="00402ACE">
        <w:rPr>
          <w:rFonts w:ascii="Arial" w:hAnsi="Arial" w:cs="Arial"/>
        </w:rPr>
        <w:t> </w:t>
      </w:r>
      <w:r>
        <w:rPr>
          <w:rFonts w:ascii="Arial" w:hAnsi="Arial" w:cs="Arial"/>
        </w:rPr>
        <w:t>także do ewentualnej zmiany przepisów dotyczących zarządzania ryzykiem związanym z obrotem środkami ochrony roślin i stosowaniem środków ochrony roślin.</w:t>
      </w:r>
    </w:p>
    <w:p w14:paraId="3D48C358" w14:textId="1B56981B"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ramach zadania b</w:t>
      </w:r>
      <w:r w:rsidR="00607C6A">
        <w:rPr>
          <w:rFonts w:ascii="Arial" w:hAnsi="Arial" w:cs="Arial"/>
        </w:rPr>
        <w:t>yły</w:t>
      </w:r>
      <w:r>
        <w:rPr>
          <w:rFonts w:ascii="Arial" w:hAnsi="Arial" w:cs="Arial"/>
        </w:rPr>
        <w:t xml:space="preserve"> wykonywane następujące podzadania.</w:t>
      </w:r>
    </w:p>
    <w:p w14:paraId="2B7AD81E" w14:textId="77777777" w:rsidR="008B5F95" w:rsidRDefault="00923F0D">
      <w:pPr>
        <w:pStyle w:val="Nagwek3"/>
        <w:numPr>
          <w:ilvl w:val="0"/>
          <w:numId w:val="0"/>
        </w:numPr>
        <w:tabs>
          <w:tab w:val="left" w:pos="2410"/>
        </w:tabs>
        <w:spacing w:after="120"/>
        <w:ind w:left="709"/>
        <w:rPr>
          <w:i w:val="0"/>
          <w:sz w:val="20"/>
          <w:szCs w:val="20"/>
        </w:rPr>
      </w:pPr>
      <w:bookmarkStart w:id="75" w:name="_Toc341876087"/>
      <w:bookmarkStart w:id="76" w:name="_Toc301334608"/>
      <w:bookmarkStart w:id="77" w:name="_Toc193716418"/>
      <w:bookmarkStart w:id="78" w:name="_Toc300916219"/>
      <w:r>
        <w:rPr>
          <w:i w:val="0"/>
          <w:sz w:val="20"/>
          <w:szCs w:val="20"/>
        </w:rPr>
        <w:t>Podzadanie 1. Kontrola żywności pochodzenia roślinnego na obecność pozostałości środkami ochrony roślin</w:t>
      </w:r>
      <w:bookmarkEnd w:id="75"/>
      <w:bookmarkEnd w:id="76"/>
      <w:bookmarkEnd w:id="77"/>
      <w:r>
        <w:rPr>
          <w:i w:val="0"/>
          <w:sz w:val="20"/>
          <w:szCs w:val="20"/>
        </w:rPr>
        <w:t xml:space="preserve"> </w:t>
      </w:r>
      <w:bookmarkEnd w:id="78"/>
    </w:p>
    <w:p w14:paraId="22C1C5E0" w14:textId="6AAD387E"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 xml:space="preserve">Organy Państwowej Inspekcji Sanitarnej prowadzą urzędowe kontrole żywności pochodzenia </w:t>
      </w:r>
      <w:r>
        <w:rPr>
          <w:rFonts w:ascii="Arial" w:hAnsi="Arial" w:cs="Arial"/>
        </w:rPr>
        <w:lastRenderedPageBreak/>
        <w:t>roślinnego produkowanej i wprowadzanej do obrotu oraz żywności pochodzenia zwierzęcego wprowadzonej do obrotu – zgodnie z kompetencjami określonymi w ustawie z dnia 25 sierpnia 2006 r. o bezpieczeństwie żywności i żywienia (Dz. U. z 20</w:t>
      </w:r>
      <w:r w:rsidR="00CA144D">
        <w:rPr>
          <w:rFonts w:ascii="Arial" w:hAnsi="Arial" w:cs="Arial"/>
        </w:rPr>
        <w:t>2</w:t>
      </w:r>
      <w:r w:rsidR="00D159AD">
        <w:rPr>
          <w:rFonts w:ascii="Arial" w:hAnsi="Arial" w:cs="Arial"/>
        </w:rPr>
        <w:t>2</w:t>
      </w:r>
      <w:r>
        <w:rPr>
          <w:rFonts w:ascii="Arial" w:hAnsi="Arial" w:cs="Arial"/>
        </w:rPr>
        <w:t xml:space="preserve"> r. poz. </w:t>
      </w:r>
      <w:r w:rsidR="006666C3">
        <w:rPr>
          <w:rFonts w:ascii="Arial" w:hAnsi="Arial" w:cs="Arial"/>
        </w:rPr>
        <w:t>2</w:t>
      </w:r>
      <w:r w:rsidR="00D159AD">
        <w:rPr>
          <w:rFonts w:ascii="Arial" w:hAnsi="Arial" w:cs="Arial"/>
        </w:rPr>
        <w:t>132</w:t>
      </w:r>
      <w:r>
        <w:rPr>
          <w:rFonts w:ascii="Arial" w:hAnsi="Arial" w:cs="Arial"/>
        </w:rPr>
        <w:t xml:space="preserve">) oraz w ustawie z dnia 14 marca 1985 r. o Państwowej Inspekcji Sanitarnej. </w:t>
      </w:r>
    </w:p>
    <w:p w14:paraId="7ED0E715" w14:textId="77777777"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Państwowa Inspekcja Sanitarna w ramach opracowywanego corocznie planu pobierania próbek, w części dotyczącej badania pozostałości pestycydów realizuje:</w:t>
      </w:r>
    </w:p>
    <w:p w14:paraId="2F3E0020" w14:textId="70E46CAB" w:rsidR="008B5F95" w:rsidRDefault="00923F0D" w:rsidP="00E74A80">
      <w:pPr>
        <w:pStyle w:val="NormalnyWeb"/>
        <w:numPr>
          <w:ilvl w:val="0"/>
          <w:numId w:val="13"/>
        </w:numPr>
        <w:tabs>
          <w:tab w:val="left" w:pos="284"/>
        </w:tabs>
        <w:spacing w:before="120" w:beforeAutospacing="0" w:afterAutospacing="0" w:line="360" w:lineRule="auto"/>
        <w:ind w:left="851" w:hanging="425"/>
        <w:jc w:val="both"/>
        <w:rPr>
          <w:rFonts w:ascii="Arial" w:hAnsi="Arial" w:cs="Arial"/>
        </w:rPr>
      </w:pPr>
      <w:r>
        <w:rPr>
          <w:rFonts w:ascii="Arial" w:hAnsi="Arial" w:cs="Arial"/>
        </w:rPr>
        <w:t xml:space="preserve">skoordynowany monitoring </w:t>
      </w:r>
      <w:r w:rsidR="00FE425A">
        <w:rPr>
          <w:rFonts w:ascii="Arial" w:hAnsi="Arial" w:cs="Arial"/>
        </w:rPr>
        <w:t>UE</w:t>
      </w:r>
      <w:r>
        <w:rPr>
          <w:rFonts w:ascii="Arial" w:hAnsi="Arial" w:cs="Arial"/>
        </w:rPr>
        <w:t xml:space="preserve"> (zgodnie z rozporządzeniami </w:t>
      </w:r>
      <w:r w:rsidR="00FE425A">
        <w:rPr>
          <w:rFonts w:ascii="Arial" w:hAnsi="Arial" w:cs="Arial"/>
        </w:rPr>
        <w:t>KE</w:t>
      </w:r>
      <w:r>
        <w:rPr>
          <w:rFonts w:ascii="Arial" w:hAnsi="Arial" w:cs="Arial"/>
        </w:rPr>
        <w:t xml:space="preserve"> dotyczącymi wieloletnich skoordynowanych unijnych programów kontroli na kolejne lata);</w:t>
      </w:r>
    </w:p>
    <w:p w14:paraId="789789E3" w14:textId="77777777" w:rsidR="008B5F95" w:rsidRDefault="00923F0D" w:rsidP="00E74A80">
      <w:pPr>
        <w:pStyle w:val="NormalnyWeb"/>
        <w:numPr>
          <w:ilvl w:val="0"/>
          <w:numId w:val="13"/>
        </w:numPr>
        <w:tabs>
          <w:tab w:val="left" w:pos="284"/>
        </w:tabs>
        <w:spacing w:before="120" w:beforeAutospacing="0" w:afterAutospacing="0" w:line="360" w:lineRule="auto"/>
        <w:ind w:left="851" w:hanging="425"/>
        <w:jc w:val="both"/>
        <w:rPr>
          <w:rFonts w:ascii="Arial" w:hAnsi="Arial" w:cs="Arial"/>
        </w:rPr>
      </w:pPr>
      <w:r>
        <w:rPr>
          <w:rFonts w:ascii="Arial" w:hAnsi="Arial" w:cs="Arial"/>
        </w:rPr>
        <w:t>monitoring i urzędową kontrolę pozostałości pestycydów w żywności;</w:t>
      </w:r>
    </w:p>
    <w:p w14:paraId="6891C77E" w14:textId="0629D2D0" w:rsidR="008B5F95" w:rsidRDefault="00923F0D" w:rsidP="00E74A80">
      <w:pPr>
        <w:pStyle w:val="NormalnyWeb"/>
        <w:numPr>
          <w:ilvl w:val="0"/>
          <w:numId w:val="13"/>
        </w:numPr>
        <w:tabs>
          <w:tab w:val="left" w:pos="284"/>
        </w:tabs>
        <w:spacing w:before="120" w:beforeAutospacing="0" w:after="120" w:afterAutospacing="0" w:line="360" w:lineRule="auto"/>
        <w:ind w:left="851" w:hanging="425"/>
        <w:jc w:val="both"/>
        <w:rPr>
          <w:rFonts w:ascii="Arial" w:hAnsi="Arial" w:cs="Arial"/>
        </w:rPr>
      </w:pPr>
      <w:r>
        <w:rPr>
          <w:rFonts w:ascii="Arial" w:hAnsi="Arial" w:cs="Arial"/>
        </w:rPr>
        <w:t xml:space="preserve">kontrolę graniczną (zgodnie z przepisami </w:t>
      </w:r>
      <w:r w:rsidR="00FE425A">
        <w:rPr>
          <w:rFonts w:ascii="Arial" w:hAnsi="Arial" w:cs="Arial"/>
        </w:rPr>
        <w:t xml:space="preserve">UE </w:t>
      </w:r>
      <w:r>
        <w:rPr>
          <w:rFonts w:ascii="Arial" w:hAnsi="Arial" w:cs="Arial"/>
        </w:rPr>
        <w:t>oraz przepisami krajowymi dotyczącymi kontroli granicznej).</w:t>
      </w:r>
    </w:p>
    <w:p w14:paraId="3B9F1AB2" w14:textId="77777777" w:rsidR="008B5F95" w:rsidRDefault="00923F0D">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Realizacja ww. planu w części dotyczącej pozostałości pestycydów obejmuje:</w:t>
      </w:r>
    </w:p>
    <w:p w14:paraId="61CFE40C" w14:textId="2B95353D" w:rsidR="008B5F95" w:rsidRDefault="00923F0D" w:rsidP="00E74A80">
      <w:pPr>
        <w:pStyle w:val="NormalnyWeb"/>
        <w:numPr>
          <w:ilvl w:val="0"/>
          <w:numId w:val="14"/>
        </w:numPr>
        <w:tabs>
          <w:tab w:val="left" w:pos="284"/>
        </w:tabs>
        <w:spacing w:before="120" w:beforeAutospacing="0" w:afterAutospacing="0" w:line="360" w:lineRule="auto"/>
        <w:ind w:left="851" w:hanging="425"/>
        <w:jc w:val="both"/>
        <w:rPr>
          <w:rFonts w:ascii="Arial" w:hAnsi="Arial" w:cs="Arial"/>
        </w:rPr>
      </w:pPr>
      <w:r>
        <w:rPr>
          <w:rFonts w:ascii="Arial" w:hAnsi="Arial" w:cs="Arial"/>
        </w:rPr>
        <w:t>kontrolę żywności na rynku krajowym w kierunku obecności pozostałości pestycydów i weryfikację zgodności z wartościami NDP określonymi w rozporządzeniu (WE) nr 396/2005 Parlamentu Europejskiego i Rady z dnia 23 lutego 2005 r. w sprawie najwyższych dopuszczalnych poziomów pozostałości pestycydów w żywności i paszy pochodzenia roślinnego i zwierzęcego oraz na ich powierzchni, zmieniającym dyrektywę Rady 91/414/EWG</w:t>
      </w:r>
      <w:r w:rsidR="00321450">
        <w:rPr>
          <w:rFonts w:ascii="Arial" w:hAnsi="Arial" w:cs="Arial"/>
        </w:rPr>
        <w:t xml:space="preserve"> (Dz. Urz. UE L 70, z 16.03.2005, str. 1, z późn. zm.</w:t>
      </w:r>
      <w:r>
        <w:rPr>
          <w:rFonts w:ascii="Arial" w:hAnsi="Arial" w:cs="Arial"/>
        </w:rPr>
        <w:t>);</w:t>
      </w:r>
    </w:p>
    <w:p w14:paraId="7F6C81D6" w14:textId="77777777" w:rsidR="008B5F95" w:rsidRDefault="00923F0D" w:rsidP="00E74A80">
      <w:pPr>
        <w:pStyle w:val="NormalnyWeb"/>
        <w:numPr>
          <w:ilvl w:val="0"/>
          <w:numId w:val="14"/>
        </w:numPr>
        <w:tabs>
          <w:tab w:val="left" w:pos="284"/>
        </w:tabs>
        <w:spacing w:before="120" w:beforeAutospacing="0" w:after="120" w:afterAutospacing="0" w:line="360" w:lineRule="auto"/>
        <w:ind w:left="851" w:hanging="425"/>
        <w:jc w:val="both"/>
        <w:rPr>
          <w:rFonts w:ascii="Arial" w:hAnsi="Arial" w:cs="Arial"/>
        </w:rPr>
      </w:pPr>
      <w:r>
        <w:rPr>
          <w:rFonts w:ascii="Arial" w:hAnsi="Arial" w:cs="Arial"/>
        </w:rPr>
        <w:t>ocenę narażenia konsumenta oraz działania w ramach systemu wczesnego ostrzegania o niebezpiecznej żywności i paszach – RASFF lub inne działania – w przypadku stwierdzenia przekroczeń wartości NDP.</w:t>
      </w:r>
    </w:p>
    <w:p w14:paraId="5E1D9AC1" w14:textId="3F6E9025" w:rsidR="00961A8F" w:rsidRPr="00961A8F" w:rsidRDefault="00923F0D" w:rsidP="00961A8F">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 xml:space="preserve">W </w:t>
      </w:r>
      <w:r w:rsidR="00961A8F" w:rsidRPr="00961A8F">
        <w:rPr>
          <w:rFonts w:ascii="Arial" w:hAnsi="Arial" w:cs="Arial"/>
        </w:rPr>
        <w:t>realizacji kontroli pozostałości pestycydów w żywności bierze udział 16 wojewódzkich stacji sanitarno-epidemiologicznych. W przypadku stwierdzenia niezgodności z wartością najwyższego dopuszczalnego poziomu pozostałości pestycydów w żywności pochodzącej z obrotu eksperci Narodowego Instytutu Zdrowia Publicznego Państwowego Zakładu Higieny – Państwowego Instytutu Badawczego w Warszawie, na wniosek Głównego Inspektora Sanitarnego, dokonują oceny ryzyka dla konsumentów.</w:t>
      </w:r>
    </w:p>
    <w:p w14:paraId="5799631D" w14:textId="1BAD6EB8"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Próbki środków spożywczych do badań w kierunku pozostałości pestycydów pobierane są przez pracowników stacji sanitarno-epidemiologicznych szczebla powiatowego oraz tam, gdzie to właściwe – przez pracowników stacji granicznych, zgodnie z rozporządzeniem Ministra Zdrowia z dnia 17</w:t>
      </w:r>
      <w:r w:rsidR="00AE39E5">
        <w:rPr>
          <w:rFonts w:ascii="Arial" w:hAnsi="Arial" w:cs="Arial"/>
        </w:rPr>
        <w:t> </w:t>
      </w:r>
      <w:r w:rsidRPr="00961A8F">
        <w:rPr>
          <w:rFonts w:ascii="Arial" w:hAnsi="Arial" w:cs="Arial"/>
        </w:rPr>
        <w:t>października 2007 r. w sprawie pobierania próbek żywności w celu oznaczania poziomów pozostałości pestycydów (Dz. U. poz. 1502). Badania pozostałości pestycydów w żywności są prowadzone w</w:t>
      </w:r>
      <w:r w:rsidR="00AE39E5">
        <w:rPr>
          <w:rFonts w:ascii="Arial" w:hAnsi="Arial" w:cs="Arial"/>
        </w:rPr>
        <w:t> </w:t>
      </w:r>
      <w:r w:rsidRPr="00961A8F">
        <w:rPr>
          <w:rFonts w:ascii="Arial" w:hAnsi="Arial" w:cs="Arial"/>
        </w:rPr>
        <w:t>akredytowanych laboratoriach 6 wojewódzkich stacji sanitarno-epidemiologicznych: w</w:t>
      </w:r>
      <w:r w:rsidR="00AE39E5">
        <w:rPr>
          <w:rFonts w:ascii="Arial" w:hAnsi="Arial" w:cs="Arial"/>
        </w:rPr>
        <w:t> </w:t>
      </w:r>
      <w:r w:rsidRPr="00961A8F">
        <w:rPr>
          <w:rFonts w:ascii="Arial" w:hAnsi="Arial" w:cs="Arial"/>
        </w:rPr>
        <w:t>Warszawie, Bydgoszczy, Łodzi, Opolu, Rzeszowie i Wrocławiu. W 2023</w:t>
      </w:r>
      <w:r w:rsidR="008F2A84">
        <w:rPr>
          <w:rFonts w:ascii="Arial" w:hAnsi="Arial" w:cs="Arial"/>
        </w:rPr>
        <w:t xml:space="preserve"> </w:t>
      </w:r>
      <w:r w:rsidRPr="00961A8F">
        <w:rPr>
          <w:rFonts w:ascii="Arial" w:hAnsi="Arial" w:cs="Arial"/>
        </w:rPr>
        <w:t>r. badania dodatkowo były wykonywane również w Instytucie Ogrodnictwa – PIB</w:t>
      </w:r>
      <w:r w:rsidR="009112AC">
        <w:rPr>
          <w:rFonts w:ascii="Arial" w:hAnsi="Arial" w:cs="Arial"/>
        </w:rPr>
        <w:t>.</w:t>
      </w:r>
      <w:r w:rsidRPr="00961A8F">
        <w:rPr>
          <w:rFonts w:ascii="Arial" w:hAnsi="Arial" w:cs="Arial"/>
        </w:rPr>
        <w:t xml:space="preserve"> </w:t>
      </w:r>
    </w:p>
    <w:p w14:paraId="64066E9C" w14:textId="79EA7EEB"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 xml:space="preserve">Badania w kierunku pozostałości pestycydów prowadzone są w ramach monitoringu i urzędowej kontroli żywności. Próbki pobierane są głównie z miejsc obrotu żywnością, ale także na etapie produkcji </w:t>
      </w:r>
      <w:r w:rsidRPr="00961A8F">
        <w:rPr>
          <w:rFonts w:ascii="Arial" w:hAnsi="Arial" w:cs="Arial"/>
        </w:rPr>
        <w:lastRenderedPageBreak/>
        <w:t>pierwotnej. Należy podkreślić, że Państwowa Inspekcja Sanitarna sprawuje również nadzór nad importem produktów pochodzenia roślinnego w ww. zakresie.</w:t>
      </w:r>
    </w:p>
    <w:p w14:paraId="65CE3CF2" w14:textId="4561F265"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Spośród wszystkich przebadanych próbek najliczniejszą grupę co roku stanowią owoce i warzywa (ok. 70%). Ponadto, do badań pobierane są próbki zbóż i produktów zbożowych (m.in. mąka, kasze), żywności przetworzonej (np. oliwa z oliwek, sok jabłkowy), żywności przeznaczonej dla niemowląt i</w:t>
      </w:r>
      <w:r w:rsidR="00AE39E5">
        <w:rPr>
          <w:rFonts w:ascii="Arial" w:hAnsi="Arial" w:cs="Arial"/>
        </w:rPr>
        <w:t> </w:t>
      </w:r>
      <w:r w:rsidRPr="00961A8F">
        <w:rPr>
          <w:rFonts w:ascii="Arial" w:hAnsi="Arial" w:cs="Arial"/>
        </w:rPr>
        <w:t>małych dzieci, a także produktów pochodzenia zwierzęcego (m.in. miodu, jaj kurzych i mleka) znajdujących się na rynku.</w:t>
      </w:r>
    </w:p>
    <w:p w14:paraId="34050DCB" w14:textId="2633C73A"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W 2023 r. zbadano ogółem 6</w:t>
      </w:r>
      <w:r w:rsidR="008F2A84">
        <w:rPr>
          <w:rFonts w:ascii="Arial" w:hAnsi="Arial" w:cs="Arial"/>
        </w:rPr>
        <w:t> </w:t>
      </w:r>
      <w:r w:rsidRPr="00961A8F">
        <w:rPr>
          <w:rFonts w:ascii="Arial" w:hAnsi="Arial" w:cs="Arial"/>
        </w:rPr>
        <w:t>055 próbek żywności pod kątem pozostałości pestycydów, w tym 3</w:t>
      </w:r>
      <w:r w:rsidR="00AE39E5">
        <w:rPr>
          <w:rFonts w:ascii="Arial" w:hAnsi="Arial" w:cs="Arial"/>
        </w:rPr>
        <w:t> </w:t>
      </w:r>
      <w:r w:rsidRPr="00961A8F">
        <w:rPr>
          <w:rFonts w:ascii="Arial" w:hAnsi="Arial" w:cs="Arial"/>
        </w:rPr>
        <w:t>043 próbek produktów pochodzenia krajowego, 849 próbki produktów pochodzących z krajów UE (innych niż Polska) oraz 2</w:t>
      </w:r>
      <w:r w:rsidR="009F36AB">
        <w:rPr>
          <w:rFonts w:ascii="Arial" w:hAnsi="Arial" w:cs="Arial"/>
        </w:rPr>
        <w:t> </w:t>
      </w:r>
      <w:r w:rsidRPr="00961A8F">
        <w:rPr>
          <w:rFonts w:ascii="Arial" w:hAnsi="Arial" w:cs="Arial"/>
        </w:rPr>
        <w:t>149 próbek z krajów trzecich. W przypadku 14 próbek nie udało się ustalić kraju pochodzenia.</w:t>
      </w:r>
    </w:p>
    <w:p w14:paraId="40EF0494" w14:textId="64FDA090"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 xml:space="preserve">W laboratoriach urzędowej kontroli żywności Państwowej Inspekcji Sanitarnej w próbkach pochodzenia roślinnego badano ok. 339 substancji aktywnych, a zwierzęcego około 67 substancji aktywnych, ujętych w </w:t>
      </w:r>
      <w:r w:rsidR="006470B6">
        <w:rPr>
          <w:rFonts w:ascii="Arial" w:hAnsi="Arial" w:cs="Arial"/>
        </w:rPr>
        <w:t>r</w:t>
      </w:r>
      <w:r w:rsidRPr="00961A8F">
        <w:rPr>
          <w:rFonts w:ascii="Arial" w:hAnsi="Arial" w:cs="Arial"/>
        </w:rPr>
        <w:t>ozporządzeniu Wykonawczym Komisji (UE) 2022/741</w:t>
      </w:r>
      <w:r w:rsidR="0069351F">
        <w:rPr>
          <w:rFonts w:ascii="Arial" w:hAnsi="Arial" w:cs="Arial"/>
        </w:rPr>
        <w:t>, n</w:t>
      </w:r>
      <w:r w:rsidRPr="00961A8F">
        <w:rPr>
          <w:rFonts w:ascii="Arial" w:hAnsi="Arial" w:cs="Arial"/>
        </w:rPr>
        <w:t>atomiast próbki objęte monitoringiem europejskim były analizowane pod kątem blisko 500 związków.</w:t>
      </w:r>
    </w:p>
    <w:p w14:paraId="2C8F87D2" w14:textId="5FE76A9C"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W 2023</w:t>
      </w:r>
      <w:r w:rsidR="008F2A84">
        <w:rPr>
          <w:rFonts w:ascii="Arial" w:hAnsi="Arial" w:cs="Arial"/>
        </w:rPr>
        <w:t> </w:t>
      </w:r>
      <w:r w:rsidRPr="00961A8F">
        <w:rPr>
          <w:rFonts w:ascii="Arial" w:hAnsi="Arial" w:cs="Arial"/>
        </w:rPr>
        <w:t>r. przekroczenia najwyższych dopuszczalnych pozostałości środków ochrony roślin (po uwzględnieniu niepewności wyniku) stwierdzono w 80 próbkach produktów krajowych (2,6%). Przekroczenia te stwierdzono w następujących produktach: seler korzeń (linuron, chlorotalonil, chlorpiryfos, prosulfokarb, mandipropamid (wszelkie proporcje izomerów składowych)), brokuły (flonikamid (suma flonikamidu, TFNA, TFNG wyrażona jako flonikamid), TFNG, TFNA, pirymetanil, chlorpiryfos), kapusta pekińska (chlorpiryfos, kaptan (suma kaptanu i THPI, wyrażona jako kaptan), pirymetanil), rzodkiewka (chlorpiryfos, dimetoat, ometoat, tebukonazol), bób bez strąków (tiaklopryd, flonikamid (suma flonikamidu, TFNA, TFNG wyrażona jako flonikamid), fluazifop (wolny kwas), fluazifop-P (suma wszystkich izomerów składowych fluazifopu, jego estrów i koniugatów, wyrażona jako fluazifop)), ogórki (chlorfenapyr, chlorotalonil), nasiona słonecznika (chlormekwat (suma chlormekwatu i jego soli, wyrażona jako chlorek chlormekwatu)</w:t>
      </w:r>
      <w:r w:rsidR="00E625B0">
        <w:rPr>
          <w:rFonts w:ascii="Arial" w:hAnsi="Arial" w:cs="Arial"/>
        </w:rPr>
        <w:t>)</w:t>
      </w:r>
      <w:r w:rsidRPr="00961A8F">
        <w:rPr>
          <w:rFonts w:ascii="Arial" w:hAnsi="Arial" w:cs="Arial"/>
        </w:rPr>
        <w:t xml:space="preserve">, maliny (pentiopyrad, fluksapyroksad, cyflumetofen (suma izomerów)), pietruszka korzeń (linuron). </w:t>
      </w:r>
    </w:p>
    <w:p w14:paraId="195A45E7" w14:textId="77777777"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 xml:space="preserve">Jeżeli chodzi o produkty krajowe pochodzenia zwierzęcego stwierdzono przekroczenie tylko w 1 próbce miodu (acetamiprid). </w:t>
      </w:r>
    </w:p>
    <w:p w14:paraId="373874C1" w14:textId="77777777"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 xml:space="preserve">Produkty pochodzenia krajowego, w których w 2023 r. nie stwierdzono przekroczeń wartości dopuszczalnych dla pozostałości pestycydów, to m.in: bakłażany, borówka amerykańska, cebula, cukinia, cykoria endywia, czereśnie, groch świeży bez strąków, jabłka, kapusta głowiasta, morele, pieczarki, pory, rukola, sałata, winogrona stołowe, wiśnie, ziemniaki, ziarno gryki, ziarno prosa, ziarno jęczmienia, nasiona maku, siemię lniane, ziarno rzepaku, żywność dla niemowląt i małych dzieci. </w:t>
      </w:r>
    </w:p>
    <w:p w14:paraId="0BE3CEAF" w14:textId="77777777"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 xml:space="preserve">Przekroczeń nie stwierdzono także w produktach pochodzenia zwierzęcego: jaja kurze, mleko krowie, tłuszcz drobiowy, wątroba wołowa. </w:t>
      </w:r>
    </w:p>
    <w:p w14:paraId="3D7CB663" w14:textId="77777777"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 xml:space="preserve">W 2023 r. najwięcej przekroczeń wartości NDP stwierdzono w następujących kombinacjach produkt pochodzenia krajowego/pestycyd: brokuły/flonikamid/TFNG, bób bez strąków/tiaklopryd, brokuły/TFNA, </w:t>
      </w:r>
      <w:r w:rsidRPr="00961A8F">
        <w:rPr>
          <w:rFonts w:ascii="Arial" w:hAnsi="Arial" w:cs="Arial"/>
        </w:rPr>
        <w:lastRenderedPageBreak/>
        <w:t xml:space="preserve">rzodkiewka/chlorpiryfos, jarmuż/tebukonazol, seler korzeń/linuron, pietruszka korzeń/linuron, słonecznik nasiona/chlormekwat . </w:t>
      </w:r>
    </w:p>
    <w:p w14:paraId="3401638F" w14:textId="77777777" w:rsidR="00961A8F" w:rsidRPr="00961A8F" w:rsidRDefault="00961A8F" w:rsidP="00961A8F">
      <w:pPr>
        <w:pStyle w:val="NormalnyWeb"/>
        <w:tabs>
          <w:tab w:val="left" w:pos="284"/>
        </w:tabs>
        <w:spacing w:before="120" w:beforeAutospacing="0" w:after="120" w:afterAutospacing="0" w:line="360" w:lineRule="auto"/>
        <w:ind w:firstLine="284"/>
        <w:jc w:val="both"/>
        <w:rPr>
          <w:rFonts w:ascii="Arial" w:hAnsi="Arial" w:cs="Arial"/>
        </w:rPr>
      </w:pPr>
      <w:r w:rsidRPr="00961A8F">
        <w:rPr>
          <w:rFonts w:ascii="Arial" w:hAnsi="Arial" w:cs="Arial"/>
        </w:rPr>
        <w:t>W przypadkach przekroczeń wartości NDP dla produktów krajowych stwierdzonych przez organy Państwowej Inspekcji Sanitarnej wykonywano ocenę ryzyka lub korzystano z wyników poprzednich ocen, a przypadki, gdzie wynik oceny ryzyka wskazywał, że dany produkt może stwarzać zagrożenie dla zdrowia konsumenta - były rozpatrywane do zgłoszenia w ramach systemu RASFF. W pozostałych przypadkach, niestanowiących zagrożenia dla zdrowia konsumentów, podejmowano działania administracyjne przewidziane przepisami prawa, a tam, gdzie było to uzasadnione, informowano właściwe organy Państwowej Inspekcji Ochrony Roślin i Nasiennictwa.</w:t>
      </w:r>
    </w:p>
    <w:p w14:paraId="135356C4" w14:textId="77777777" w:rsidR="008B5F95" w:rsidRDefault="00923F0D">
      <w:pPr>
        <w:pStyle w:val="Nagwek3"/>
        <w:numPr>
          <w:ilvl w:val="0"/>
          <w:numId w:val="0"/>
        </w:numPr>
        <w:tabs>
          <w:tab w:val="left" w:pos="2410"/>
        </w:tabs>
        <w:spacing w:before="120" w:after="120" w:line="360" w:lineRule="auto"/>
        <w:ind w:left="709"/>
        <w:rPr>
          <w:i w:val="0"/>
          <w:sz w:val="20"/>
          <w:szCs w:val="20"/>
        </w:rPr>
      </w:pPr>
      <w:bookmarkStart w:id="79" w:name="_Toc341876088"/>
      <w:bookmarkStart w:id="80" w:name="_Toc193716419"/>
      <w:r w:rsidRPr="0060605A">
        <w:rPr>
          <w:i w:val="0"/>
          <w:sz w:val="20"/>
          <w:szCs w:val="20"/>
        </w:rPr>
        <w:t>Podzadanie 2. Kontrola pasz na obecność pozostałości środków ochrony roślin</w:t>
      </w:r>
      <w:bookmarkEnd w:id="79"/>
      <w:bookmarkEnd w:id="80"/>
      <w:r>
        <w:rPr>
          <w:i w:val="0"/>
          <w:sz w:val="20"/>
          <w:szCs w:val="20"/>
        </w:rPr>
        <w:t xml:space="preserve"> </w:t>
      </w:r>
    </w:p>
    <w:p w14:paraId="0E0DC8C5" w14:textId="497B0A9B" w:rsidR="004D556B" w:rsidRPr="004D556B" w:rsidRDefault="00923F0D" w:rsidP="004D556B">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Inspekcja Weterynaryjna w ramach realizacji Planu Urzędowej Kontroli Pasz prowadzi monitoring pasz w zakresie obecności pozostałości pestycydów chloroorganicznych i fosforoorganicznych. System nadzoru nad paszami, kompetencje i odpowiedzialność właściwych organów określa ustawa z dnia 22 lipca 2006 r. o paszach (Dz. U.</w:t>
      </w:r>
      <w:r w:rsidR="004D556B" w:rsidRPr="004D556B">
        <w:rPr>
          <w:rFonts w:ascii="Arial" w:hAnsi="Arial" w:cs="Arial"/>
        </w:rPr>
        <w:t xml:space="preserve"> z 2023 r. poz. 1149). Organem kontrolnym sprawującym nadzór nad całym sektorem</w:t>
      </w:r>
      <w:r w:rsidR="00BB5A4F">
        <w:rPr>
          <w:rFonts w:ascii="Arial" w:hAnsi="Arial" w:cs="Arial"/>
        </w:rPr>
        <w:t xml:space="preserve"> </w:t>
      </w:r>
      <w:r w:rsidR="004D556B" w:rsidRPr="004D556B">
        <w:rPr>
          <w:rFonts w:ascii="Arial" w:hAnsi="Arial" w:cs="Arial"/>
        </w:rPr>
        <w:t>paszowym jest powiatowy lekarz weterynarii, z wyłączeniem wytwarzania i obrotu paszami</w:t>
      </w:r>
      <w:r w:rsidR="00BB5A4F">
        <w:rPr>
          <w:rFonts w:ascii="Arial" w:hAnsi="Arial" w:cs="Arial"/>
        </w:rPr>
        <w:t xml:space="preserve"> </w:t>
      </w:r>
      <w:r w:rsidR="004D556B" w:rsidRPr="004D556B">
        <w:rPr>
          <w:rFonts w:ascii="Arial" w:hAnsi="Arial" w:cs="Arial"/>
        </w:rPr>
        <w:t>leczniczymi, gdzie nadzór sprawuje wojewódzki lekarz weterynarii. Próbki pobierane są</w:t>
      </w:r>
      <w:r w:rsidR="00BB5A4F">
        <w:rPr>
          <w:rFonts w:ascii="Arial" w:hAnsi="Arial" w:cs="Arial"/>
        </w:rPr>
        <w:t xml:space="preserve"> </w:t>
      </w:r>
      <w:r w:rsidR="004D556B" w:rsidRPr="004D556B">
        <w:rPr>
          <w:rFonts w:ascii="Arial" w:hAnsi="Arial" w:cs="Arial"/>
        </w:rPr>
        <w:t>przede wszystkim z materiałów paszowych pochodzenia roślinnego oraz mieszanek</w:t>
      </w:r>
      <w:r w:rsidR="00BB5A4F">
        <w:rPr>
          <w:rFonts w:ascii="Arial" w:hAnsi="Arial" w:cs="Arial"/>
        </w:rPr>
        <w:t xml:space="preserve"> </w:t>
      </w:r>
      <w:r w:rsidR="004D556B" w:rsidRPr="004D556B">
        <w:rPr>
          <w:rFonts w:ascii="Arial" w:hAnsi="Arial" w:cs="Arial"/>
        </w:rPr>
        <w:t>paszowych dla zwierząt.</w:t>
      </w:r>
    </w:p>
    <w:p w14:paraId="637D6976" w14:textId="1061FB06" w:rsidR="004D556B" w:rsidRPr="004D556B" w:rsidRDefault="004D556B" w:rsidP="004D556B">
      <w:pPr>
        <w:pStyle w:val="NormalnyWeb"/>
        <w:tabs>
          <w:tab w:val="left" w:pos="284"/>
        </w:tabs>
        <w:spacing w:before="120" w:beforeAutospacing="0" w:after="120" w:afterAutospacing="0" w:line="360" w:lineRule="auto"/>
        <w:ind w:firstLine="284"/>
        <w:jc w:val="both"/>
        <w:rPr>
          <w:rFonts w:ascii="Arial" w:hAnsi="Arial" w:cs="Arial"/>
        </w:rPr>
      </w:pPr>
      <w:r w:rsidRPr="004D556B">
        <w:rPr>
          <w:rFonts w:ascii="Arial" w:hAnsi="Arial" w:cs="Arial"/>
        </w:rPr>
        <w:t>W ramach kontroli urzędowych w 2023 r. przeprowadzono łącznie 927 analiz</w:t>
      </w:r>
      <w:r w:rsidR="009579FA">
        <w:rPr>
          <w:rFonts w:ascii="Arial" w:hAnsi="Arial" w:cs="Arial"/>
        </w:rPr>
        <w:t xml:space="preserve"> </w:t>
      </w:r>
      <w:r w:rsidRPr="004D556B">
        <w:rPr>
          <w:rFonts w:ascii="Arial" w:hAnsi="Arial" w:cs="Arial"/>
        </w:rPr>
        <w:t>laboratoryjnych. Dla mieszanek paszowych przeprowadzono 81 analiz laboratoryjnych (38</w:t>
      </w:r>
      <w:r w:rsidR="009579FA">
        <w:rPr>
          <w:rFonts w:ascii="Arial" w:hAnsi="Arial" w:cs="Arial"/>
        </w:rPr>
        <w:t xml:space="preserve"> </w:t>
      </w:r>
      <w:r w:rsidRPr="004D556B">
        <w:rPr>
          <w:rFonts w:ascii="Arial" w:hAnsi="Arial" w:cs="Arial"/>
        </w:rPr>
        <w:t>– pestycydy fosforoorganiczne, 38 – pestycydy chloroorganiczne, 5 – glifosat), natomiast</w:t>
      </w:r>
      <w:r w:rsidR="009579FA">
        <w:rPr>
          <w:rFonts w:ascii="Arial" w:hAnsi="Arial" w:cs="Arial"/>
        </w:rPr>
        <w:t xml:space="preserve"> </w:t>
      </w:r>
      <w:r w:rsidRPr="004D556B">
        <w:rPr>
          <w:rFonts w:ascii="Arial" w:hAnsi="Arial" w:cs="Arial"/>
        </w:rPr>
        <w:t>dla materiałów paszowych tych analiz przeprowadzono 846 (345 – pestycydy</w:t>
      </w:r>
      <w:r w:rsidR="009579FA">
        <w:rPr>
          <w:rFonts w:ascii="Arial" w:hAnsi="Arial" w:cs="Arial"/>
        </w:rPr>
        <w:t xml:space="preserve"> </w:t>
      </w:r>
      <w:r w:rsidRPr="004D556B">
        <w:rPr>
          <w:rFonts w:ascii="Arial" w:hAnsi="Arial" w:cs="Arial"/>
        </w:rPr>
        <w:t>fosforoorganiczne, 345 – pestycydy chloroorganiczne, 156 – glifosat).</w:t>
      </w:r>
    </w:p>
    <w:p w14:paraId="656701FD" w14:textId="6020A5D1" w:rsidR="004D556B" w:rsidRPr="004D556B" w:rsidRDefault="004D556B" w:rsidP="004D556B">
      <w:pPr>
        <w:pStyle w:val="NormalnyWeb"/>
        <w:tabs>
          <w:tab w:val="left" w:pos="284"/>
        </w:tabs>
        <w:spacing w:before="120" w:beforeAutospacing="0" w:after="120" w:afterAutospacing="0" w:line="360" w:lineRule="auto"/>
        <w:ind w:firstLine="284"/>
        <w:jc w:val="both"/>
        <w:rPr>
          <w:rFonts w:ascii="Arial" w:hAnsi="Arial" w:cs="Arial"/>
        </w:rPr>
      </w:pPr>
      <w:r w:rsidRPr="004D556B">
        <w:rPr>
          <w:rFonts w:ascii="Arial" w:hAnsi="Arial" w:cs="Arial"/>
        </w:rPr>
        <w:t>W 13 próbkach materiałów paszowych (głównie zboża, ich produktu i produkty</w:t>
      </w:r>
      <w:r w:rsidR="00102483">
        <w:rPr>
          <w:rFonts w:ascii="Arial" w:hAnsi="Arial" w:cs="Arial"/>
        </w:rPr>
        <w:t xml:space="preserve"> </w:t>
      </w:r>
      <w:r w:rsidRPr="004D556B">
        <w:rPr>
          <w:rFonts w:ascii="Arial" w:hAnsi="Arial" w:cs="Arial"/>
        </w:rPr>
        <w:t>uboczne oraz ziarna roślin oleistych, owoce roślin oleistych, ich produkty i produkty</w:t>
      </w:r>
      <w:r w:rsidR="00102483">
        <w:rPr>
          <w:rFonts w:ascii="Arial" w:hAnsi="Arial" w:cs="Arial"/>
        </w:rPr>
        <w:t xml:space="preserve"> </w:t>
      </w:r>
      <w:r w:rsidRPr="004D556B">
        <w:rPr>
          <w:rFonts w:ascii="Arial" w:hAnsi="Arial" w:cs="Arial"/>
        </w:rPr>
        <w:t>uboczne) stwierdzono przekroczenie maksymalnych dopuszczalnych poziomów</w:t>
      </w:r>
      <w:r w:rsidR="00102483">
        <w:rPr>
          <w:rFonts w:ascii="Arial" w:hAnsi="Arial" w:cs="Arial"/>
        </w:rPr>
        <w:t xml:space="preserve"> </w:t>
      </w:r>
      <w:r w:rsidRPr="004D556B">
        <w:rPr>
          <w:rFonts w:ascii="Arial" w:hAnsi="Arial" w:cs="Arial"/>
        </w:rPr>
        <w:t>pozostałości pestycydów, z czego w 8 przypadkach materiał badawczy pochodził z Ukrainy,</w:t>
      </w:r>
      <w:r w:rsidR="00102483">
        <w:rPr>
          <w:rFonts w:ascii="Arial" w:hAnsi="Arial" w:cs="Arial"/>
        </w:rPr>
        <w:t xml:space="preserve"> </w:t>
      </w:r>
      <w:r w:rsidRPr="004D556B">
        <w:rPr>
          <w:rFonts w:ascii="Arial" w:hAnsi="Arial" w:cs="Arial"/>
        </w:rPr>
        <w:t>w 1 przypadku z Brazylii, w pozostałych przypadkach z Polski.</w:t>
      </w:r>
    </w:p>
    <w:p w14:paraId="27CFC1A4" w14:textId="0347DE49" w:rsidR="004D556B" w:rsidRPr="004D556B" w:rsidRDefault="004D556B" w:rsidP="004D556B">
      <w:pPr>
        <w:pStyle w:val="NormalnyWeb"/>
        <w:tabs>
          <w:tab w:val="left" w:pos="284"/>
        </w:tabs>
        <w:spacing w:before="120" w:beforeAutospacing="0" w:after="120" w:afterAutospacing="0" w:line="360" w:lineRule="auto"/>
        <w:ind w:firstLine="284"/>
        <w:jc w:val="both"/>
        <w:rPr>
          <w:rFonts w:ascii="Arial" w:hAnsi="Arial" w:cs="Arial"/>
        </w:rPr>
      </w:pPr>
      <w:r w:rsidRPr="004D556B">
        <w:rPr>
          <w:rFonts w:ascii="Arial" w:hAnsi="Arial" w:cs="Arial"/>
        </w:rPr>
        <w:t>Każdorazowo po stwierdzeniu niezgodności w paszach powiatowi lekarze</w:t>
      </w:r>
      <w:r w:rsidR="00A0529C">
        <w:rPr>
          <w:rFonts w:ascii="Arial" w:hAnsi="Arial" w:cs="Arial"/>
        </w:rPr>
        <w:t xml:space="preserve"> </w:t>
      </w:r>
      <w:r w:rsidRPr="004D556B">
        <w:rPr>
          <w:rFonts w:ascii="Arial" w:hAnsi="Arial" w:cs="Arial"/>
        </w:rPr>
        <w:t>weterynarii przeprowadzali postępowanie wyjaśniające mające na celu ustalenie źródła</w:t>
      </w:r>
      <w:r w:rsidR="00A0529C">
        <w:rPr>
          <w:rFonts w:ascii="Arial" w:hAnsi="Arial" w:cs="Arial"/>
        </w:rPr>
        <w:t xml:space="preserve"> </w:t>
      </w:r>
      <w:r w:rsidRPr="004D556B">
        <w:rPr>
          <w:rFonts w:ascii="Arial" w:hAnsi="Arial" w:cs="Arial"/>
        </w:rPr>
        <w:t>niezgodności oraz drogi dystrybucji paszy i wycofanie z rynku pasz niespełniających</w:t>
      </w:r>
      <w:r w:rsidR="00A0529C">
        <w:rPr>
          <w:rFonts w:ascii="Arial" w:hAnsi="Arial" w:cs="Arial"/>
        </w:rPr>
        <w:t xml:space="preserve"> </w:t>
      </w:r>
      <w:r w:rsidRPr="004D556B">
        <w:rPr>
          <w:rFonts w:ascii="Arial" w:hAnsi="Arial" w:cs="Arial"/>
        </w:rPr>
        <w:t>przepisów prawa paszowego. W przypadku gospodarstw rolnych wydawano decyzję o</w:t>
      </w:r>
      <w:r w:rsidR="00A0529C">
        <w:rPr>
          <w:rFonts w:ascii="Arial" w:hAnsi="Arial" w:cs="Arial"/>
        </w:rPr>
        <w:t xml:space="preserve"> </w:t>
      </w:r>
      <w:r w:rsidRPr="004D556B">
        <w:rPr>
          <w:rFonts w:ascii="Arial" w:hAnsi="Arial" w:cs="Arial"/>
        </w:rPr>
        <w:t>zakazie stosowania w żywieniu zwierząt takiej paszy. Działania podejmowane przez</w:t>
      </w:r>
      <w:r w:rsidR="00DA3545">
        <w:rPr>
          <w:rFonts w:ascii="Arial" w:hAnsi="Arial" w:cs="Arial"/>
        </w:rPr>
        <w:t xml:space="preserve"> </w:t>
      </w:r>
      <w:r w:rsidRPr="004D556B">
        <w:rPr>
          <w:rFonts w:ascii="Arial" w:hAnsi="Arial" w:cs="Arial"/>
        </w:rPr>
        <w:t>powiatowych lekarzy weterynarii miały na celu zapewnienie bezpieczeństwa pasz</w:t>
      </w:r>
      <w:r w:rsidR="00DA3545">
        <w:rPr>
          <w:rFonts w:ascii="Arial" w:hAnsi="Arial" w:cs="Arial"/>
        </w:rPr>
        <w:t xml:space="preserve"> </w:t>
      </w:r>
      <w:r w:rsidRPr="004D556B">
        <w:rPr>
          <w:rFonts w:ascii="Arial" w:hAnsi="Arial" w:cs="Arial"/>
        </w:rPr>
        <w:t>przeznaczonych do żywienia zwierząt gospodarskich z i od których pozyskiwane były</w:t>
      </w:r>
      <w:r w:rsidR="00DA3545">
        <w:rPr>
          <w:rFonts w:ascii="Arial" w:hAnsi="Arial" w:cs="Arial"/>
        </w:rPr>
        <w:t xml:space="preserve"> </w:t>
      </w:r>
      <w:r w:rsidRPr="004D556B">
        <w:rPr>
          <w:rFonts w:ascii="Arial" w:hAnsi="Arial" w:cs="Arial"/>
        </w:rPr>
        <w:t>produkty pochodzenia zwierzęcego.</w:t>
      </w:r>
    </w:p>
    <w:p w14:paraId="63E83A45" w14:textId="5E0E1622" w:rsidR="004D556B" w:rsidRPr="004D556B" w:rsidRDefault="004D556B" w:rsidP="004D556B">
      <w:pPr>
        <w:pStyle w:val="NormalnyWeb"/>
        <w:tabs>
          <w:tab w:val="left" w:pos="284"/>
        </w:tabs>
        <w:spacing w:before="120" w:beforeAutospacing="0" w:after="120" w:afterAutospacing="0" w:line="360" w:lineRule="auto"/>
        <w:ind w:firstLine="284"/>
        <w:jc w:val="both"/>
        <w:rPr>
          <w:rFonts w:ascii="Arial" w:hAnsi="Arial" w:cs="Arial"/>
        </w:rPr>
      </w:pPr>
      <w:r w:rsidRPr="004D556B">
        <w:rPr>
          <w:rFonts w:ascii="Arial" w:hAnsi="Arial" w:cs="Arial"/>
        </w:rPr>
        <w:t>W ramach kontroli pasz niezawierających materiałów z tkanek zwierząt,</w:t>
      </w:r>
      <w:r w:rsidR="00DA3545">
        <w:rPr>
          <w:rFonts w:ascii="Arial" w:hAnsi="Arial" w:cs="Arial"/>
        </w:rPr>
        <w:t xml:space="preserve"> </w:t>
      </w:r>
      <w:r w:rsidRPr="004D556B">
        <w:rPr>
          <w:rFonts w:ascii="Arial" w:hAnsi="Arial" w:cs="Arial"/>
        </w:rPr>
        <w:t>realizowanych przez granicznych lekarzy weterynarii w 2023 r. przeprowadzono 19</w:t>
      </w:r>
      <w:r w:rsidR="00DA3545">
        <w:rPr>
          <w:rFonts w:ascii="Arial" w:hAnsi="Arial" w:cs="Arial"/>
        </w:rPr>
        <w:t> </w:t>
      </w:r>
      <w:r w:rsidRPr="004D556B">
        <w:rPr>
          <w:rFonts w:ascii="Arial" w:hAnsi="Arial" w:cs="Arial"/>
        </w:rPr>
        <w:t>638</w:t>
      </w:r>
      <w:r w:rsidR="00DA3545">
        <w:rPr>
          <w:rFonts w:ascii="Arial" w:hAnsi="Arial" w:cs="Arial"/>
        </w:rPr>
        <w:t xml:space="preserve"> </w:t>
      </w:r>
      <w:r w:rsidRPr="004D556B">
        <w:rPr>
          <w:rFonts w:ascii="Arial" w:hAnsi="Arial" w:cs="Arial"/>
        </w:rPr>
        <w:t>kontroli przesyłek pasz i materiałów paszowych pochodzenia roślinnego importowanych do</w:t>
      </w:r>
      <w:r w:rsidR="00DA3545">
        <w:rPr>
          <w:rFonts w:ascii="Arial" w:hAnsi="Arial" w:cs="Arial"/>
        </w:rPr>
        <w:t xml:space="preserve"> </w:t>
      </w:r>
      <w:r w:rsidRPr="004D556B">
        <w:rPr>
          <w:rFonts w:ascii="Arial" w:hAnsi="Arial" w:cs="Arial"/>
        </w:rPr>
        <w:t>Polski z krajów trzecich. W ramach tych kontroli pobrano do analizy 268 próbek, które</w:t>
      </w:r>
      <w:r w:rsidR="00DA3545">
        <w:rPr>
          <w:rFonts w:ascii="Arial" w:hAnsi="Arial" w:cs="Arial"/>
        </w:rPr>
        <w:t xml:space="preserve"> </w:t>
      </w:r>
      <w:r w:rsidRPr="004D556B">
        <w:rPr>
          <w:rFonts w:ascii="Arial" w:hAnsi="Arial" w:cs="Arial"/>
        </w:rPr>
        <w:t>zostały przebadane w kierunku na obecność pozostałości pestycydów. Były to między</w:t>
      </w:r>
      <w:r w:rsidR="00DA3545">
        <w:rPr>
          <w:rFonts w:ascii="Arial" w:hAnsi="Arial" w:cs="Arial"/>
        </w:rPr>
        <w:t xml:space="preserve"> </w:t>
      </w:r>
      <w:r w:rsidRPr="004D556B">
        <w:rPr>
          <w:rFonts w:ascii="Arial" w:hAnsi="Arial" w:cs="Arial"/>
        </w:rPr>
        <w:t>innymi próbki pobrane z:</w:t>
      </w:r>
    </w:p>
    <w:p w14:paraId="5F105B55" w14:textId="2FC10CB5" w:rsidR="004D556B" w:rsidRPr="004D556B" w:rsidRDefault="004D556B" w:rsidP="00E74A80">
      <w:pPr>
        <w:pStyle w:val="NormalnyWeb"/>
        <w:numPr>
          <w:ilvl w:val="0"/>
          <w:numId w:val="21"/>
        </w:numPr>
        <w:tabs>
          <w:tab w:val="left" w:pos="284"/>
        </w:tabs>
        <w:spacing w:before="120" w:beforeAutospacing="0" w:after="120" w:afterAutospacing="0" w:line="360" w:lineRule="auto"/>
        <w:jc w:val="both"/>
        <w:rPr>
          <w:rFonts w:ascii="Arial" w:hAnsi="Arial" w:cs="Arial"/>
        </w:rPr>
      </w:pPr>
      <w:r w:rsidRPr="004D556B">
        <w:rPr>
          <w:rFonts w:ascii="Arial" w:hAnsi="Arial" w:cs="Arial"/>
        </w:rPr>
        <w:lastRenderedPageBreak/>
        <w:t>podejrzenia - 4 próbki;</w:t>
      </w:r>
    </w:p>
    <w:p w14:paraId="118CA5CC" w14:textId="5D951657" w:rsidR="004D556B" w:rsidRPr="004D556B" w:rsidRDefault="004D556B" w:rsidP="00E74A80">
      <w:pPr>
        <w:pStyle w:val="NormalnyWeb"/>
        <w:numPr>
          <w:ilvl w:val="0"/>
          <w:numId w:val="21"/>
        </w:numPr>
        <w:tabs>
          <w:tab w:val="left" w:pos="284"/>
        </w:tabs>
        <w:spacing w:before="120" w:beforeAutospacing="0" w:after="120" w:afterAutospacing="0" w:line="360" w:lineRule="auto"/>
        <w:jc w:val="both"/>
        <w:rPr>
          <w:rFonts w:ascii="Arial" w:hAnsi="Arial" w:cs="Arial"/>
        </w:rPr>
      </w:pPr>
      <w:r w:rsidRPr="004D556B">
        <w:rPr>
          <w:rFonts w:ascii="Arial" w:hAnsi="Arial" w:cs="Arial"/>
        </w:rPr>
        <w:t>monitoringu wynikającego z Planu Urzędowej Kontroli Pasz - 53 próbki;</w:t>
      </w:r>
    </w:p>
    <w:p w14:paraId="5BC13563" w14:textId="4415BAF6" w:rsidR="004D556B" w:rsidRPr="004D556B" w:rsidRDefault="004D556B" w:rsidP="00E74A80">
      <w:pPr>
        <w:pStyle w:val="NormalnyWeb"/>
        <w:numPr>
          <w:ilvl w:val="0"/>
          <w:numId w:val="21"/>
        </w:numPr>
        <w:tabs>
          <w:tab w:val="left" w:pos="284"/>
        </w:tabs>
        <w:spacing w:before="120" w:beforeAutospacing="0" w:after="120" w:afterAutospacing="0" w:line="360" w:lineRule="auto"/>
        <w:jc w:val="both"/>
        <w:rPr>
          <w:rFonts w:ascii="Arial" w:hAnsi="Arial" w:cs="Arial"/>
        </w:rPr>
      </w:pPr>
      <w:r w:rsidRPr="004D556B">
        <w:rPr>
          <w:rFonts w:ascii="Arial" w:hAnsi="Arial" w:cs="Arial"/>
        </w:rPr>
        <w:t xml:space="preserve">monitoringu dodatkowego </w:t>
      </w:r>
      <w:bookmarkStart w:id="81" w:name="_Hlk193710121"/>
      <w:r w:rsidRPr="004D556B">
        <w:rPr>
          <w:rFonts w:ascii="Arial" w:hAnsi="Arial" w:cs="Arial"/>
        </w:rPr>
        <w:t xml:space="preserve">– </w:t>
      </w:r>
      <w:bookmarkEnd w:id="81"/>
      <w:r w:rsidRPr="004D556B">
        <w:rPr>
          <w:rFonts w:ascii="Arial" w:hAnsi="Arial" w:cs="Arial"/>
        </w:rPr>
        <w:t>211 próbek.</w:t>
      </w:r>
    </w:p>
    <w:p w14:paraId="27A46932" w14:textId="5C78AB03" w:rsidR="004D556B" w:rsidRDefault="004D556B" w:rsidP="004D556B">
      <w:pPr>
        <w:pStyle w:val="NormalnyWeb"/>
        <w:tabs>
          <w:tab w:val="left" w:pos="284"/>
        </w:tabs>
        <w:spacing w:before="120" w:beforeAutospacing="0" w:after="120" w:afterAutospacing="0" w:line="360" w:lineRule="auto"/>
        <w:ind w:firstLine="284"/>
        <w:jc w:val="both"/>
        <w:rPr>
          <w:rFonts w:ascii="Arial" w:hAnsi="Arial" w:cs="Arial"/>
        </w:rPr>
      </w:pPr>
      <w:r w:rsidRPr="004D556B">
        <w:rPr>
          <w:rFonts w:ascii="Arial" w:hAnsi="Arial" w:cs="Arial"/>
        </w:rPr>
        <w:t>W 5 próbkach materiałów paszowych (zboża i ich produkty) stwierdzono</w:t>
      </w:r>
      <w:r w:rsidR="00C52CB6">
        <w:rPr>
          <w:rFonts w:ascii="Arial" w:hAnsi="Arial" w:cs="Arial"/>
        </w:rPr>
        <w:t xml:space="preserve"> </w:t>
      </w:r>
      <w:r w:rsidRPr="004D556B">
        <w:rPr>
          <w:rFonts w:ascii="Arial" w:hAnsi="Arial" w:cs="Arial"/>
        </w:rPr>
        <w:t>przekroczenie maksymalnych dopuszczalnych poziomów pozostałości pestycydów</w:t>
      </w:r>
      <w:r w:rsidR="00C52CB6">
        <w:rPr>
          <w:rFonts w:ascii="Arial" w:hAnsi="Arial" w:cs="Arial"/>
        </w:rPr>
        <w:t xml:space="preserve"> </w:t>
      </w:r>
      <w:r w:rsidRPr="004D556B">
        <w:rPr>
          <w:rFonts w:ascii="Arial" w:hAnsi="Arial" w:cs="Arial"/>
        </w:rPr>
        <w:t>chloroorganicznych i</w:t>
      </w:r>
      <w:r w:rsidR="00C52CB6">
        <w:rPr>
          <w:rFonts w:ascii="Arial" w:hAnsi="Arial" w:cs="Arial"/>
        </w:rPr>
        <w:t> </w:t>
      </w:r>
      <w:r w:rsidRPr="004D556B">
        <w:rPr>
          <w:rFonts w:ascii="Arial" w:hAnsi="Arial" w:cs="Arial"/>
        </w:rPr>
        <w:t>fosforoorganicznych, pozostałe próbki były zgodne z wymaganiami.</w:t>
      </w:r>
    </w:p>
    <w:p w14:paraId="1904727A" w14:textId="77777777" w:rsidR="008B5F95" w:rsidRDefault="00923F0D">
      <w:pPr>
        <w:pStyle w:val="Nagwek3"/>
        <w:numPr>
          <w:ilvl w:val="0"/>
          <w:numId w:val="0"/>
        </w:numPr>
        <w:tabs>
          <w:tab w:val="left" w:pos="2410"/>
        </w:tabs>
        <w:spacing w:before="120" w:after="120" w:line="360" w:lineRule="auto"/>
        <w:ind w:left="709"/>
        <w:rPr>
          <w:i w:val="0"/>
          <w:sz w:val="20"/>
          <w:szCs w:val="20"/>
        </w:rPr>
      </w:pPr>
      <w:bookmarkStart w:id="82" w:name="_Toc341876089"/>
      <w:bookmarkStart w:id="83" w:name="_Toc301334610"/>
      <w:bookmarkStart w:id="84" w:name="_Toc300916221"/>
      <w:bookmarkStart w:id="85" w:name="_Toc193716420"/>
      <w:r w:rsidRPr="0060605A">
        <w:rPr>
          <w:i w:val="0"/>
          <w:sz w:val="20"/>
          <w:szCs w:val="20"/>
        </w:rPr>
        <w:t>Podzadanie 3. Kontrola żywności pochodzenia zwierzęcego na obecność pozostałości środków ochrony roślin</w:t>
      </w:r>
      <w:bookmarkEnd w:id="82"/>
      <w:bookmarkEnd w:id="83"/>
      <w:bookmarkEnd w:id="84"/>
      <w:bookmarkEnd w:id="85"/>
      <w:r>
        <w:rPr>
          <w:i w:val="0"/>
          <w:sz w:val="20"/>
          <w:szCs w:val="20"/>
        </w:rPr>
        <w:t xml:space="preserve"> </w:t>
      </w:r>
    </w:p>
    <w:p w14:paraId="1CBAA376" w14:textId="7606028A" w:rsidR="00CF39EA" w:rsidRPr="00CF39EA" w:rsidRDefault="00180DFD" w:rsidP="00CF39EA">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 xml:space="preserve">Zadanie z zakresu kontroli pozostałości środków </w:t>
      </w:r>
      <w:r w:rsidR="00CF39EA" w:rsidRPr="00CF39EA">
        <w:rPr>
          <w:rFonts w:ascii="Arial" w:hAnsi="Arial" w:cs="Arial"/>
        </w:rPr>
        <w:t>ochrony roślin w żywności</w:t>
      </w:r>
      <w:r w:rsidR="00A24559">
        <w:rPr>
          <w:rFonts w:ascii="Arial" w:hAnsi="Arial" w:cs="Arial"/>
        </w:rPr>
        <w:t xml:space="preserve"> </w:t>
      </w:r>
      <w:r w:rsidR="00CF39EA" w:rsidRPr="00CF39EA">
        <w:rPr>
          <w:rFonts w:ascii="Arial" w:hAnsi="Arial" w:cs="Arial"/>
        </w:rPr>
        <w:t>pochodzenia zwierzęcego, w tym pestycydów chloroorganicznych, pestycydów</w:t>
      </w:r>
      <w:r w:rsidR="00A24559">
        <w:rPr>
          <w:rFonts w:ascii="Arial" w:hAnsi="Arial" w:cs="Arial"/>
        </w:rPr>
        <w:t xml:space="preserve"> </w:t>
      </w:r>
      <w:r w:rsidR="00CF39EA" w:rsidRPr="00CF39EA">
        <w:rPr>
          <w:rFonts w:ascii="Arial" w:hAnsi="Arial" w:cs="Arial"/>
        </w:rPr>
        <w:t>fosforoorganicznych, pyretroidów, pestycydów metodą wielopozostałościową (grupa</w:t>
      </w:r>
      <w:r w:rsidR="00A24559">
        <w:rPr>
          <w:rFonts w:ascii="Arial" w:hAnsi="Arial" w:cs="Arial"/>
        </w:rPr>
        <w:t xml:space="preserve"> </w:t>
      </w:r>
      <w:r w:rsidR="00CF39EA" w:rsidRPr="00CF39EA">
        <w:rPr>
          <w:rFonts w:ascii="Arial" w:hAnsi="Arial" w:cs="Arial"/>
        </w:rPr>
        <w:t>związków - Pestycydy (Multi) oraz glifosatu i</w:t>
      </w:r>
      <w:r w:rsidR="00A24559">
        <w:rPr>
          <w:rFonts w:ascii="Arial" w:hAnsi="Arial" w:cs="Arial"/>
        </w:rPr>
        <w:t> </w:t>
      </w:r>
      <w:r w:rsidR="00CF39EA" w:rsidRPr="00CF39EA">
        <w:rPr>
          <w:rFonts w:ascii="Arial" w:hAnsi="Arial" w:cs="Arial"/>
        </w:rPr>
        <w:t>glufosynatu należy do kompetencji Inspekcji</w:t>
      </w:r>
      <w:r w:rsidR="00A24559">
        <w:rPr>
          <w:rFonts w:ascii="Arial" w:hAnsi="Arial" w:cs="Arial"/>
        </w:rPr>
        <w:t xml:space="preserve"> </w:t>
      </w:r>
      <w:r w:rsidR="00CF39EA" w:rsidRPr="00CF39EA">
        <w:rPr>
          <w:rFonts w:ascii="Arial" w:hAnsi="Arial" w:cs="Arial"/>
        </w:rPr>
        <w:t>Weterynaryjnej, natomiast w żywności pochodzenia zwierzęcego znajdującej się w handlu</w:t>
      </w:r>
      <w:r w:rsidR="00A24559">
        <w:rPr>
          <w:rFonts w:ascii="Arial" w:hAnsi="Arial" w:cs="Arial"/>
        </w:rPr>
        <w:t xml:space="preserve"> </w:t>
      </w:r>
      <w:r w:rsidR="00CF39EA" w:rsidRPr="00CF39EA">
        <w:rPr>
          <w:rFonts w:ascii="Arial" w:hAnsi="Arial" w:cs="Arial"/>
        </w:rPr>
        <w:t>detalicznym, z wyłączeniem rolniczego handlu detalicznego, należy do kompetencji</w:t>
      </w:r>
      <w:r w:rsidR="00911724">
        <w:rPr>
          <w:rFonts w:ascii="Arial" w:hAnsi="Arial" w:cs="Arial"/>
        </w:rPr>
        <w:t xml:space="preserve"> </w:t>
      </w:r>
      <w:r w:rsidR="00CF39EA" w:rsidRPr="00CF39EA">
        <w:rPr>
          <w:rFonts w:ascii="Arial" w:hAnsi="Arial" w:cs="Arial"/>
        </w:rPr>
        <w:t>Państwowej Inspekcji Sanitarnej. Badania kontrolne pestycydów w żywności prowadzone</w:t>
      </w:r>
      <w:r w:rsidR="00911724">
        <w:rPr>
          <w:rFonts w:ascii="Arial" w:hAnsi="Arial" w:cs="Arial"/>
        </w:rPr>
        <w:t xml:space="preserve"> </w:t>
      </w:r>
      <w:r w:rsidR="00CF39EA" w:rsidRPr="00CF39EA">
        <w:rPr>
          <w:rFonts w:ascii="Arial" w:hAnsi="Arial" w:cs="Arial"/>
        </w:rPr>
        <w:t>są zgodnie z wymaganiami obowiązującymi w międzynarodowym handlu żywnością, w</w:t>
      </w:r>
      <w:r w:rsidR="00BE5C6C">
        <w:rPr>
          <w:rFonts w:ascii="Arial" w:hAnsi="Arial" w:cs="Arial"/>
        </w:rPr>
        <w:t> </w:t>
      </w:r>
      <w:r w:rsidR="00CF39EA" w:rsidRPr="00CF39EA">
        <w:rPr>
          <w:rFonts w:ascii="Arial" w:hAnsi="Arial" w:cs="Arial"/>
        </w:rPr>
        <w:t>celu</w:t>
      </w:r>
      <w:r w:rsidR="00911724">
        <w:rPr>
          <w:rFonts w:ascii="Arial" w:hAnsi="Arial" w:cs="Arial"/>
        </w:rPr>
        <w:t xml:space="preserve"> </w:t>
      </w:r>
      <w:r w:rsidR="00CF39EA" w:rsidRPr="00CF39EA">
        <w:rPr>
          <w:rFonts w:ascii="Arial" w:hAnsi="Arial" w:cs="Arial"/>
        </w:rPr>
        <w:t>zapewnienia bezpieczeństwa i zdrowia konsumentów. W krajach członkowskich Unii</w:t>
      </w:r>
      <w:r w:rsidR="00BE5C6C">
        <w:rPr>
          <w:rFonts w:ascii="Arial" w:hAnsi="Arial" w:cs="Arial"/>
        </w:rPr>
        <w:t xml:space="preserve"> </w:t>
      </w:r>
      <w:r w:rsidR="00CF39EA" w:rsidRPr="00CF39EA">
        <w:rPr>
          <w:rFonts w:ascii="Arial" w:hAnsi="Arial" w:cs="Arial"/>
        </w:rPr>
        <w:t>Europejskiej (UE) obowiązują jednolite zasady organizowania i prowadzenia badań</w:t>
      </w:r>
      <w:r w:rsidR="00845F02">
        <w:rPr>
          <w:rFonts w:ascii="Arial" w:hAnsi="Arial" w:cs="Arial"/>
        </w:rPr>
        <w:t xml:space="preserve"> </w:t>
      </w:r>
      <w:r w:rsidR="00CF39EA" w:rsidRPr="00CF39EA">
        <w:rPr>
          <w:rFonts w:ascii="Arial" w:hAnsi="Arial" w:cs="Arial"/>
        </w:rPr>
        <w:t>kontrolnych pozostałości chemicznych w tkankach zwierząt i żywności pochodzenia</w:t>
      </w:r>
      <w:r w:rsidR="00845F02">
        <w:rPr>
          <w:rFonts w:ascii="Arial" w:hAnsi="Arial" w:cs="Arial"/>
        </w:rPr>
        <w:t xml:space="preserve"> </w:t>
      </w:r>
      <w:r w:rsidR="00CF39EA" w:rsidRPr="00CF39EA">
        <w:rPr>
          <w:rFonts w:ascii="Arial" w:hAnsi="Arial" w:cs="Arial"/>
        </w:rPr>
        <w:t>zwierzęcego opisane w</w:t>
      </w:r>
      <w:r w:rsidR="00845F02">
        <w:rPr>
          <w:rFonts w:ascii="Arial" w:hAnsi="Arial" w:cs="Arial"/>
        </w:rPr>
        <w:t> </w:t>
      </w:r>
      <w:r w:rsidR="00CF39EA" w:rsidRPr="00CF39EA">
        <w:rPr>
          <w:rFonts w:ascii="Arial" w:hAnsi="Arial" w:cs="Arial"/>
        </w:rPr>
        <w:t>rozporządzeniu Parlamentu Europejskiego i Rady (UE) 2017/625</w:t>
      </w:r>
      <w:r w:rsidR="00845F02">
        <w:rPr>
          <w:rFonts w:ascii="Arial" w:hAnsi="Arial" w:cs="Arial"/>
        </w:rPr>
        <w:t xml:space="preserve"> </w:t>
      </w:r>
      <w:r w:rsidR="00CF39EA" w:rsidRPr="00CF39EA">
        <w:rPr>
          <w:rFonts w:ascii="Arial" w:hAnsi="Arial" w:cs="Arial"/>
        </w:rPr>
        <w:t>oraz rozporządzenia wykonawczego Komisji (UE) 2021/1355 z dnia 12 sierpnia 2021 r.</w:t>
      </w:r>
      <w:r w:rsidR="00845F02">
        <w:rPr>
          <w:rFonts w:ascii="Arial" w:hAnsi="Arial" w:cs="Arial"/>
        </w:rPr>
        <w:t xml:space="preserve"> </w:t>
      </w:r>
    </w:p>
    <w:p w14:paraId="12B1EEBD" w14:textId="4EC031AA" w:rsidR="00CF39EA" w:rsidRPr="00CF39EA" w:rsidRDefault="00CF39EA" w:rsidP="00CF39EA">
      <w:pPr>
        <w:pStyle w:val="NormalnyWeb"/>
        <w:tabs>
          <w:tab w:val="left" w:pos="284"/>
        </w:tabs>
        <w:spacing w:before="120" w:beforeAutospacing="0" w:after="120" w:afterAutospacing="0" w:line="360" w:lineRule="auto"/>
        <w:ind w:firstLine="284"/>
        <w:jc w:val="both"/>
        <w:rPr>
          <w:rFonts w:ascii="Arial" w:hAnsi="Arial" w:cs="Arial"/>
        </w:rPr>
      </w:pPr>
      <w:r w:rsidRPr="00CF39EA">
        <w:rPr>
          <w:rFonts w:ascii="Arial" w:hAnsi="Arial" w:cs="Arial"/>
        </w:rPr>
        <w:t>Założenia programu badań pozostałości, jego plan, jak i wyniki tych badań, są</w:t>
      </w:r>
      <w:r w:rsidR="00902AF9">
        <w:rPr>
          <w:rFonts w:ascii="Arial" w:hAnsi="Arial" w:cs="Arial"/>
        </w:rPr>
        <w:t xml:space="preserve"> </w:t>
      </w:r>
      <w:r w:rsidRPr="00CF39EA">
        <w:rPr>
          <w:rFonts w:ascii="Arial" w:hAnsi="Arial" w:cs="Arial"/>
        </w:rPr>
        <w:t>opracowywane przez Państwowy Instytut Weterynaryjny – P</w:t>
      </w:r>
      <w:r w:rsidR="003D7B88">
        <w:rPr>
          <w:rFonts w:ascii="Arial" w:hAnsi="Arial" w:cs="Arial"/>
        </w:rPr>
        <w:t>IB</w:t>
      </w:r>
      <w:r w:rsidRPr="00CF39EA">
        <w:rPr>
          <w:rFonts w:ascii="Arial" w:hAnsi="Arial" w:cs="Arial"/>
        </w:rPr>
        <w:t>, zatwierdzane do realizacji przez Głównego Lekarza Weterynarii, a następnie</w:t>
      </w:r>
      <w:r w:rsidR="008C7F39">
        <w:rPr>
          <w:rFonts w:ascii="Arial" w:hAnsi="Arial" w:cs="Arial"/>
        </w:rPr>
        <w:t xml:space="preserve"> </w:t>
      </w:r>
      <w:r w:rsidRPr="00CF39EA">
        <w:rPr>
          <w:rFonts w:ascii="Arial" w:hAnsi="Arial" w:cs="Arial"/>
        </w:rPr>
        <w:t>przedkładane do KE do oceny. Zgodnie z</w:t>
      </w:r>
      <w:r w:rsidR="008C7F39">
        <w:rPr>
          <w:rFonts w:ascii="Arial" w:hAnsi="Arial" w:cs="Arial"/>
        </w:rPr>
        <w:t> </w:t>
      </w:r>
      <w:r w:rsidRPr="00CF39EA">
        <w:rPr>
          <w:rFonts w:ascii="Arial" w:hAnsi="Arial" w:cs="Arial"/>
        </w:rPr>
        <w:t>nowym prawodawstwem wprowadzono</w:t>
      </w:r>
      <w:r w:rsidR="00DC65DB">
        <w:rPr>
          <w:rFonts w:ascii="Arial" w:hAnsi="Arial" w:cs="Arial"/>
        </w:rPr>
        <w:t xml:space="preserve"> </w:t>
      </w:r>
      <w:r w:rsidRPr="00CF39EA">
        <w:rPr>
          <w:rFonts w:ascii="Arial" w:hAnsi="Arial" w:cs="Arial"/>
        </w:rPr>
        <w:t>następujące zmiany w realizacji krajowego planu kontroli pestycydów przez Inspekcję</w:t>
      </w:r>
      <w:r w:rsidR="00DC65DB">
        <w:rPr>
          <w:rFonts w:ascii="Arial" w:hAnsi="Arial" w:cs="Arial"/>
        </w:rPr>
        <w:t xml:space="preserve"> </w:t>
      </w:r>
      <w:r w:rsidRPr="00CF39EA">
        <w:rPr>
          <w:rFonts w:ascii="Arial" w:hAnsi="Arial" w:cs="Arial"/>
        </w:rPr>
        <w:t>Weterynaryjną w zakresie kontroli żywności pochodzenia zwierzęcego:</w:t>
      </w:r>
    </w:p>
    <w:p w14:paraId="1B359E47" w14:textId="5FF8592B" w:rsidR="00CF39EA" w:rsidRPr="000C21FB" w:rsidRDefault="00CF39EA" w:rsidP="00E74A80">
      <w:pPr>
        <w:pStyle w:val="NormalnyWeb"/>
        <w:numPr>
          <w:ilvl w:val="0"/>
          <w:numId w:val="22"/>
        </w:numPr>
        <w:tabs>
          <w:tab w:val="left" w:pos="284"/>
        </w:tabs>
        <w:spacing w:before="120" w:beforeAutospacing="0" w:after="120" w:afterAutospacing="0" w:line="360" w:lineRule="auto"/>
        <w:jc w:val="both"/>
        <w:rPr>
          <w:rFonts w:ascii="Arial" w:hAnsi="Arial" w:cs="Arial"/>
        </w:rPr>
      </w:pPr>
      <w:r w:rsidRPr="000C21FB">
        <w:rPr>
          <w:rFonts w:ascii="Arial" w:hAnsi="Arial" w:cs="Arial"/>
        </w:rPr>
        <w:t>dotychczasowe badania próbek mięśni (bydła, świń, kurcząt, indyków, gęsi i kaczek)</w:t>
      </w:r>
      <w:r w:rsidR="000C21FB" w:rsidRPr="000C21FB">
        <w:rPr>
          <w:rFonts w:ascii="Arial" w:hAnsi="Arial" w:cs="Arial"/>
        </w:rPr>
        <w:t xml:space="preserve"> </w:t>
      </w:r>
      <w:r w:rsidRPr="000C21FB">
        <w:rPr>
          <w:rFonts w:ascii="Arial" w:hAnsi="Arial" w:cs="Arial"/>
        </w:rPr>
        <w:t>realizowane oddzielnie w kierunku pyretroidów, karbaminianów i pestycydów</w:t>
      </w:r>
      <w:r w:rsidR="000C21FB" w:rsidRPr="000C21FB">
        <w:rPr>
          <w:rFonts w:ascii="Arial" w:hAnsi="Arial" w:cs="Arial"/>
        </w:rPr>
        <w:t xml:space="preserve"> </w:t>
      </w:r>
      <w:r w:rsidRPr="000C21FB">
        <w:rPr>
          <w:rFonts w:ascii="Arial" w:hAnsi="Arial" w:cs="Arial"/>
        </w:rPr>
        <w:t>fosforoorganicznych zastąpiono badaniem pestycydów metodą wielopozostałościową</w:t>
      </w:r>
      <w:r w:rsidR="000C21FB" w:rsidRPr="000C21FB">
        <w:rPr>
          <w:rFonts w:ascii="Arial" w:hAnsi="Arial" w:cs="Arial"/>
        </w:rPr>
        <w:t xml:space="preserve"> </w:t>
      </w:r>
      <w:r w:rsidRPr="000C21FB">
        <w:rPr>
          <w:rFonts w:ascii="Arial" w:hAnsi="Arial" w:cs="Arial"/>
        </w:rPr>
        <w:t>(grupa związków - Pestycydy (Multi) - mięśnie),</w:t>
      </w:r>
    </w:p>
    <w:p w14:paraId="47E8CC36" w14:textId="0DBA8133" w:rsidR="00CF39EA" w:rsidRPr="000C21FB" w:rsidRDefault="00CF39EA" w:rsidP="00E74A80">
      <w:pPr>
        <w:pStyle w:val="NormalnyWeb"/>
        <w:numPr>
          <w:ilvl w:val="0"/>
          <w:numId w:val="22"/>
        </w:numPr>
        <w:tabs>
          <w:tab w:val="left" w:pos="284"/>
        </w:tabs>
        <w:spacing w:before="120" w:beforeAutospacing="0" w:after="120" w:afterAutospacing="0" w:line="360" w:lineRule="auto"/>
        <w:jc w:val="both"/>
        <w:rPr>
          <w:rFonts w:ascii="Arial" w:hAnsi="Arial" w:cs="Arial"/>
        </w:rPr>
      </w:pPr>
      <w:r w:rsidRPr="000C21FB">
        <w:rPr>
          <w:rFonts w:ascii="Arial" w:hAnsi="Arial" w:cs="Arial"/>
        </w:rPr>
        <w:t>dotychczasowe badania próbek tłuszczu (bydło, świnie, kurczęta) w kierunku</w:t>
      </w:r>
      <w:r w:rsidR="000C21FB" w:rsidRPr="000C21FB">
        <w:rPr>
          <w:rFonts w:ascii="Arial" w:hAnsi="Arial" w:cs="Arial"/>
        </w:rPr>
        <w:t xml:space="preserve"> </w:t>
      </w:r>
      <w:r w:rsidRPr="000C21FB">
        <w:rPr>
          <w:rFonts w:ascii="Arial" w:hAnsi="Arial" w:cs="Arial"/>
        </w:rPr>
        <w:t>pozostałości pestycydów chloroorganicznych zastąpiono badaniem metodą</w:t>
      </w:r>
      <w:r w:rsidR="000C21FB" w:rsidRPr="000C21FB">
        <w:rPr>
          <w:rFonts w:ascii="Arial" w:hAnsi="Arial" w:cs="Arial"/>
        </w:rPr>
        <w:t xml:space="preserve"> </w:t>
      </w:r>
      <w:r w:rsidRPr="000C21FB">
        <w:rPr>
          <w:rFonts w:ascii="Arial" w:hAnsi="Arial" w:cs="Arial"/>
        </w:rPr>
        <w:t>wielopozostałościową (grupa związków - Pestycydy (Multi) - tłuszcz),</w:t>
      </w:r>
    </w:p>
    <w:p w14:paraId="6C7F2BC5" w14:textId="4B86D701" w:rsidR="00CF39EA" w:rsidRPr="00AA0459" w:rsidRDefault="00CF39EA" w:rsidP="00E74A80">
      <w:pPr>
        <w:pStyle w:val="NormalnyWeb"/>
        <w:numPr>
          <w:ilvl w:val="0"/>
          <w:numId w:val="22"/>
        </w:numPr>
        <w:tabs>
          <w:tab w:val="left" w:pos="284"/>
        </w:tabs>
        <w:spacing w:before="120" w:beforeAutospacing="0" w:after="120" w:afterAutospacing="0" w:line="360" w:lineRule="auto"/>
        <w:jc w:val="both"/>
        <w:rPr>
          <w:rFonts w:ascii="Arial" w:hAnsi="Arial" w:cs="Arial"/>
        </w:rPr>
      </w:pPr>
      <w:r w:rsidRPr="00AA0459">
        <w:rPr>
          <w:rFonts w:ascii="Arial" w:hAnsi="Arial" w:cs="Arial"/>
        </w:rPr>
        <w:t>badanie próbek mleka krowiego realizowane dotychczas oddzielnie w kierunku</w:t>
      </w:r>
      <w:r w:rsidR="00AA0459" w:rsidRPr="00AA0459">
        <w:rPr>
          <w:rFonts w:ascii="Arial" w:hAnsi="Arial" w:cs="Arial"/>
        </w:rPr>
        <w:t xml:space="preserve"> </w:t>
      </w:r>
      <w:r w:rsidRPr="00AA0459">
        <w:rPr>
          <w:rFonts w:ascii="Arial" w:hAnsi="Arial" w:cs="Arial"/>
        </w:rPr>
        <w:t>pyretroidów, pestycydów chloroorganicznych i pestycydów fosforoorganicznych</w:t>
      </w:r>
      <w:r w:rsidR="00AA0459" w:rsidRPr="00AA0459">
        <w:rPr>
          <w:rFonts w:ascii="Arial" w:hAnsi="Arial" w:cs="Arial"/>
        </w:rPr>
        <w:t xml:space="preserve"> </w:t>
      </w:r>
      <w:r w:rsidRPr="00AA0459">
        <w:rPr>
          <w:rFonts w:ascii="Arial" w:hAnsi="Arial" w:cs="Arial"/>
        </w:rPr>
        <w:t>zastąpiono badaniem pestycydów metodą wielopozostałościową (grupa związków -</w:t>
      </w:r>
      <w:r w:rsidR="00AA0459" w:rsidRPr="00AA0459">
        <w:rPr>
          <w:rFonts w:ascii="Arial" w:hAnsi="Arial" w:cs="Arial"/>
        </w:rPr>
        <w:t xml:space="preserve"> </w:t>
      </w:r>
      <w:r w:rsidRPr="00AA0459">
        <w:rPr>
          <w:rFonts w:ascii="Arial" w:hAnsi="Arial" w:cs="Arial"/>
        </w:rPr>
        <w:t>Pestycydy (Multi) - mleko),</w:t>
      </w:r>
    </w:p>
    <w:p w14:paraId="6C3841D5" w14:textId="3C017690" w:rsidR="00CF39EA" w:rsidRPr="00AA0459" w:rsidRDefault="00CF39EA" w:rsidP="00E74A80">
      <w:pPr>
        <w:pStyle w:val="NormalnyWeb"/>
        <w:numPr>
          <w:ilvl w:val="0"/>
          <w:numId w:val="22"/>
        </w:numPr>
        <w:tabs>
          <w:tab w:val="left" w:pos="284"/>
        </w:tabs>
        <w:spacing w:before="120" w:beforeAutospacing="0" w:after="120" w:afterAutospacing="0" w:line="360" w:lineRule="auto"/>
        <w:jc w:val="both"/>
        <w:rPr>
          <w:rFonts w:ascii="Arial" w:hAnsi="Arial" w:cs="Arial"/>
        </w:rPr>
      </w:pPr>
      <w:r w:rsidRPr="00AA0459">
        <w:rPr>
          <w:rFonts w:ascii="Arial" w:hAnsi="Arial" w:cs="Arial"/>
        </w:rPr>
        <w:t>wdrożono badanie próbek mięśni ryb z całego kraju metodą wielopozostałościową</w:t>
      </w:r>
      <w:r w:rsidR="00AA0459" w:rsidRPr="00AA0459">
        <w:rPr>
          <w:rFonts w:ascii="Arial" w:hAnsi="Arial" w:cs="Arial"/>
        </w:rPr>
        <w:t xml:space="preserve"> </w:t>
      </w:r>
      <w:r w:rsidRPr="00AA0459">
        <w:rPr>
          <w:rFonts w:ascii="Arial" w:hAnsi="Arial" w:cs="Arial"/>
        </w:rPr>
        <w:t>(grupa związków - Pestycydy (Multi) - mięśnie),</w:t>
      </w:r>
    </w:p>
    <w:p w14:paraId="220ECA04" w14:textId="66DE3005" w:rsidR="00CF39EA" w:rsidRPr="00AA0459" w:rsidRDefault="00CF39EA" w:rsidP="00E74A80">
      <w:pPr>
        <w:pStyle w:val="NormalnyWeb"/>
        <w:numPr>
          <w:ilvl w:val="0"/>
          <w:numId w:val="22"/>
        </w:numPr>
        <w:tabs>
          <w:tab w:val="left" w:pos="284"/>
        </w:tabs>
        <w:spacing w:before="120" w:beforeAutospacing="0" w:after="120" w:afterAutospacing="0" w:line="360" w:lineRule="auto"/>
        <w:jc w:val="both"/>
        <w:rPr>
          <w:rFonts w:ascii="Arial" w:hAnsi="Arial" w:cs="Arial"/>
        </w:rPr>
      </w:pPr>
      <w:r w:rsidRPr="00AA0459">
        <w:rPr>
          <w:rFonts w:ascii="Arial" w:hAnsi="Arial" w:cs="Arial"/>
        </w:rPr>
        <w:lastRenderedPageBreak/>
        <w:t>wdrożono badanie próbek jaj z całego kraju metodą wielopozostałościową (grupa</w:t>
      </w:r>
      <w:r w:rsidR="00AA0459" w:rsidRPr="00AA0459">
        <w:rPr>
          <w:rFonts w:ascii="Arial" w:hAnsi="Arial" w:cs="Arial"/>
        </w:rPr>
        <w:t xml:space="preserve"> </w:t>
      </w:r>
      <w:r w:rsidRPr="00AA0459">
        <w:rPr>
          <w:rFonts w:ascii="Arial" w:hAnsi="Arial" w:cs="Arial"/>
        </w:rPr>
        <w:t xml:space="preserve">związków - </w:t>
      </w:r>
      <w:r w:rsidR="00C527A3">
        <w:rPr>
          <w:rFonts w:ascii="Arial" w:hAnsi="Arial" w:cs="Arial"/>
        </w:rPr>
        <w:t>p</w:t>
      </w:r>
      <w:r w:rsidRPr="00AA0459">
        <w:rPr>
          <w:rFonts w:ascii="Arial" w:hAnsi="Arial" w:cs="Arial"/>
        </w:rPr>
        <w:t>estycydy (Multi) - jaja),</w:t>
      </w:r>
    </w:p>
    <w:p w14:paraId="4ADA264A" w14:textId="4D693B8B" w:rsidR="00CF39EA" w:rsidRPr="00B42D5A" w:rsidRDefault="00CF39EA" w:rsidP="00E74A80">
      <w:pPr>
        <w:pStyle w:val="NormalnyWeb"/>
        <w:numPr>
          <w:ilvl w:val="0"/>
          <w:numId w:val="22"/>
        </w:numPr>
        <w:tabs>
          <w:tab w:val="left" w:pos="284"/>
        </w:tabs>
        <w:spacing w:before="120" w:beforeAutospacing="0" w:after="120" w:afterAutospacing="0" w:line="360" w:lineRule="auto"/>
        <w:jc w:val="both"/>
        <w:rPr>
          <w:rFonts w:ascii="Arial" w:hAnsi="Arial" w:cs="Arial"/>
        </w:rPr>
      </w:pPr>
      <w:r w:rsidRPr="00B42D5A">
        <w:rPr>
          <w:rFonts w:ascii="Arial" w:hAnsi="Arial" w:cs="Arial"/>
        </w:rPr>
        <w:t>wdrożono badanie próbek miodu z całego kraju w kierunku pozostałości glifosatu,</w:t>
      </w:r>
      <w:r w:rsidR="00B42D5A" w:rsidRPr="00B42D5A">
        <w:rPr>
          <w:rFonts w:ascii="Arial" w:hAnsi="Arial" w:cs="Arial"/>
        </w:rPr>
        <w:t xml:space="preserve"> </w:t>
      </w:r>
      <w:r w:rsidRPr="00B42D5A">
        <w:rPr>
          <w:rFonts w:ascii="Arial" w:hAnsi="Arial" w:cs="Arial"/>
        </w:rPr>
        <w:t>AMPA i</w:t>
      </w:r>
      <w:r w:rsidR="00C527A3">
        <w:rPr>
          <w:rFonts w:ascii="Arial" w:hAnsi="Arial" w:cs="Arial"/>
        </w:rPr>
        <w:t> </w:t>
      </w:r>
      <w:r w:rsidRPr="00B42D5A">
        <w:rPr>
          <w:rFonts w:ascii="Arial" w:hAnsi="Arial" w:cs="Arial"/>
        </w:rPr>
        <w:t>glufosynatu,</w:t>
      </w:r>
    </w:p>
    <w:p w14:paraId="311ACAFD" w14:textId="7F9039AE" w:rsidR="00CF39EA" w:rsidRPr="00540C65" w:rsidRDefault="00CF39EA" w:rsidP="00E74A80">
      <w:pPr>
        <w:pStyle w:val="NormalnyWeb"/>
        <w:numPr>
          <w:ilvl w:val="0"/>
          <w:numId w:val="22"/>
        </w:numPr>
        <w:tabs>
          <w:tab w:val="left" w:pos="284"/>
        </w:tabs>
        <w:spacing w:before="120" w:beforeAutospacing="0" w:after="120" w:afterAutospacing="0" w:line="360" w:lineRule="auto"/>
        <w:jc w:val="both"/>
        <w:rPr>
          <w:rFonts w:ascii="Arial" w:hAnsi="Arial" w:cs="Arial"/>
        </w:rPr>
      </w:pPr>
      <w:r w:rsidRPr="00540C65">
        <w:rPr>
          <w:rFonts w:ascii="Arial" w:hAnsi="Arial" w:cs="Arial"/>
        </w:rPr>
        <w:t>badania próbek mleka krowiego w kierunku pyretroidów z całego kraju zastąpiono</w:t>
      </w:r>
      <w:r w:rsidR="00540C65" w:rsidRPr="00540C65">
        <w:rPr>
          <w:rFonts w:ascii="Arial" w:hAnsi="Arial" w:cs="Arial"/>
        </w:rPr>
        <w:t xml:space="preserve"> </w:t>
      </w:r>
      <w:r w:rsidRPr="00540C65">
        <w:rPr>
          <w:rFonts w:ascii="Arial" w:hAnsi="Arial" w:cs="Arial"/>
        </w:rPr>
        <w:t>badaniem grupy Pestycydy (Multi),</w:t>
      </w:r>
    </w:p>
    <w:p w14:paraId="1BD2D02F" w14:textId="5BB8ED76" w:rsidR="00CF39EA" w:rsidRDefault="00CF39EA" w:rsidP="00E74A80">
      <w:pPr>
        <w:pStyle w:val="NormalnyWeb"/>
        <w:numPr>
          <w:ilvl w:val="0"/>
          <w:numId w:val="22"/>
        </w:numPr>
        <w:tabs>
          <w:tab w:val="left" w:pos="284"/>
        </w:tabs>
        <w:spacing w:before="120" w:beforeAutospacing="0" w:after="120" w:afterAutospacing="0" w:line="360" w:lineRule="auto"/>
        <w:jc w:val="both"/>
        <w:rPr>
          <w:rFonts w:ascii="Arial" w:hAnsi="Arial" w:cs="Arial"/>
        </w:rPr>
      </w:pPr>
      <w:r w:rsidRPr="00540C65">
        <w:rPr>
          <w:rFonts w:ascii="Arial" w:hAnsi="Arial" w:cs="Arial"/>
        </w:rPr>
        <w:t>zrezygnowano z badania próbek mięśni w kierunku karbaminianów z całego kraju –</w:t>
      </w:r>
      <w:r w:rsidR="00540C65" w:rsidRPr="00540C65">
        <w:rPr>
          <w:rFonts w:ascii="Arial" w:hAnsi="Arial" w:cs="Arial"/>
        </w:rPr>
        <w:t xml:space="preserve"> </w:t>
      </w:r>
      <w:r w:rsidRPr="00540C65">
        <w:rPr>
          <w:rFonts w:ascii="Arial" w:hAnsi="Arial" w:cs="Arial"/>
        </w:rPr>
        <w:t>pestycydy te monitorowane są w ramach badań grupy związków Pestycydy (Multi) w</w:t>
      </w:r>
      <w:r w:rsidR="007438A7">
        <w:rPr>
          <w:rFonts w:ascii="Arial" w:hAnsi="Arial" w:cs="Arial"/>
        </w:rPr>
        <w:t> </w:t>
      </w:r>
      <w:r w:rsidRPr="00540C65">
        <w:rPr>
          <w:rFonts w:ascii="Arial" w:hAnsi="Arial" w:cs="Arial"/>
        </w:rPr>
        <w:t>mięśniach.</w:t>
      </w:r>
    </w:p>
    <w:p w14:paraId="5505509C" w14:textId="07A41D1E" w:rsidR="00EA72D7" w:rsidRPr="00EA72D7" w:rsidRDefault="00EA72D7" w:rsidP="00EA72D7">
      <w:pPr>
        <w:pStyle w:val="NormalnyWeb"/>
        <w:tabs>
          <w:tab w:val="left" w:pos="284"/>
        </w:tabs>
        <w:spacing w:before="120" w:beforeAutospacing="0" w:after="120" w:afterAutospacing="0" w:line="360" w:lineRule="auto"/>
        <w:ind w:firstLine="284"/>
        <w:jc w:val="both"/>
        <w:rPr>
          <w:rFonts w:ascii="Arial" w:hAnsi="Arial" w:cs="Arial"/>
        </w:rPr>
      </w:pPr>
      <w:r w:rsidRPr="00EA72D7">
        <w:rPr>
          <w:rFonts w:ascii="Arial" w:hAnsi="Arial" w:cs="Arial"/>
        </w:rPr>
        <w:t>W ramach krajowego planu kontroli pozostałości pestycydów w żywności pochodzenia zwierzęcego w 2023 roku przebadano 1</w:t>
      </w:r>
      <w:r>
        <w:rPr>
          <w:rFonts w:ascii="Arial" w:hAnsi="Arial" w:cs="Arial"/>
        </w:rPr>
        <w:t> </w:t>
      </w:r>
      <w:r w:rsidRPr="00EA72D7">
        <w:rPr>
          <w:rFonts w:ascii="Arial" w:hAnsi="Arial" w:cs="Arial"/>
        </w:rPr>
        <w:t>493 próbek, w tym 1</w:t>
      </w:r>
      <w:r>
        <w:rPr>
          <w:rFonts w:ascii="Arial" w:hAnsi="Arial" w:cs="Arial"/>
        </w:rPr>
        <w:t> </w:t>
      </w:r>
      <w:r w:rsidRPr="00EA72D7">
        <w:rPr>
          <w:rFonts w:ascii="Arial" w:hAnsi="Arial" w:cs="Arial"/>
        </w:rPr>
        <w:t>490 próbek ukierunkowanych oraz 3 próbki podejrzane.</w:t>
      </w:r>
    </w:p>
    <w:p w14:paraId="47F25873" w14:textId="77777777" w:rsidR="00EA72D7" w:rsidRPr="00EA72D7" w:rsidRDefault="00EA72D7" w:rsidP="00EA72D7">
      <w:pPr>
        <w:pStyle w:val="NormalnyWeb"/>
        <w:tabs>
          <w:tab w:val="left" w:pos="284"/>
        </w:tabs>
        <w:spacing w:before="120" w:beforeAutospacing="0" w:after="120" w:afterAutospacing="0" w:line="360" w:lineRule="auto"/>
        <w:ind w:firstLine="284"/>
        <w:jc w:val="both"/>
        <w:rPr>
          <w:rFonts w:ascii="Arial" w:hAnsi="Arial" w:cs="Arial"/>
        </w:rPr>
      </w:pPr>
      <w:r w:rsidRPr="00EA72D7">
        <w:rPr>
          <w:rFonts w:ascii="Arial" w:hAnsi="Arial" w:cs="Arial"/>
        </w:rPr>
        <w:t>Zakres prowadzonych badań obejmował oznaczanie insektycydów, fungicydów i herbicydów w tym głównie pyretroidów (bifentryna, cyflutryna, cyhalotryna, cypermetryna, deltametryna, fenwalerat, permetryna), karbaminianów (indoksakarb, karbaryl, propoksur), pestycydów chloroorganicznych (DDT i metabolity, α-HCH, β-HCH, γ-HCH, HCB, aldryna, dieldryna, endryna, chlordan, endosulfan, heptachlor) oraz pestycydów fosforoorganicznych (chlorfenwinfos, chloropiryfos, chloropiryfos metylowy, diazynon, fention, fenitrotion, malation, paration, paration metylowy, pirymifos metylowy).</w:t>
      </w:r>
    </w:p>
    <w:p w14:paraId="3737FD35" w14:textId="6460AB2D" w:rsidR="00EA72D7" w:rsidRPr="00EA72D7" w:rsidRDefault="00EA72D7" w:rsidP="00EA72D7">
      <w:pPr>
        <w:pStyle w:val="NormalnyWeb"/>
        <w:tabs>
          <w:tab w:val="left" w:pos="284"/>
        </w:tabs>
        <w:spacing w:before="120" w:beforeAutospacing="0" w:after="120" w:afterAutospacing="0" w:line="360" w:lineRule="auto"/>
        <w:ind w:firstLine="284"/>
        <w:jc w:val="both"/>
        <w:rPr>
          <w:rFonts w:ascii="Arial" w:hAnsi="Arial" w:cs="Arial"/>
        </w:rPr>
      </w:pPr>
      <w:r w:rsidRPr="00EA72D7">
        <w:rPr>
          <w:rFonts w:ascii="Arial" w:hAnsi="Arial" w:cs="Arial"/>
        </w:rPr>
        <w:t>W 2023 r</w:t>
      </w:r>
      <w:r>
        <w:rPr>
          <w:rFonts w:ascii="Arial" w:hAnsi="Arial" w:cs="Arial"/>
        </w:rPr>
        <w:t>.</w:t>
      </w:r>
      <w:r w:rsidRPr="00EA72D7">
        <w:rPr>
          <w:rFonts w:ascii="Arial" w:hAnsi="Arial" w:cs="Arial"/>
        </w:rPr>
        <w:t>, w ramach krajowego planu kontroli po analizie 1</w:t>
      </w:r>
      <w:r w:rsidR="00B55682">
        <w:rPr>
          <w:rFonts w:ascii="Arial" w:hAnsi="Arial" w:cs="Arial"/>
        </w:rPr>
        <w:t> </w:t>
      </w:r>
      <w:r w:rsidRPr="00EA72D7">
        <w:rPr>
          <w:rFonts w:ascii="Arial" w:hAnsi="Arial" w:cs="Arial"/>
        </w:rPr>
        <w:t>493 próbek, nie stwierdzono wyników niezgodnych.</w:t>
      </w:r>
    </w:p>
    <w:p w14:paraId="79F9B464" w14:textId="2B9979B0" w:rsidR="00EA72D7" w:rsidRPr="00EA72D7" w:rsidRDefault="00EA72D7" w:rsidP="00EA72D7">
      <w:pPr>
        <w:pStyle w:val="NormalnyWeb"/>
        <w:tabs>
          <w:tab w:val="left" w:pos="284"/>
        </w:tabs>
        <w:spacing w:before="120" w:beforeAutospacing="0" w:after="120" w:afterAutospacing="0" w:line="360" w:lineRule="auto"/>
        <w:ind w:firstLine="284"/>
        <w:jc w:val="both"/>
        <w:rPr>
          <w:rFonts w:ascii="Arial" w:hAnsi="Arial" w:cs="Arial"/>
        </w:rPr>
      </w:pPr>
      <w:r>
        <w:rPr>
          <w:rFonts w:ascii="Arial" w:hAnsi="Arial" w:cs="Arial"/>
        </w:rPr>
        <w:t>D</w:t>
      </w:r>
      <w:r w:rsidRPr="00EA72D7">
        <w:rPr>
          <w:rFonts w:ascii="Arial" w:hAnsi="Arial" w:cs="Arial"/>
        </w:rPr>
        <w:t xml:space="preserve">o badań pobrano </w:t>
      </w:r>
      <w:r>
        <w:rPr>
          <w:rFonts w:ascii="Arial" w:hAnsi="Arial" w:cs="Arial"/>
        </w:rPr>
        <w:t>o</w:t>
      </w:r>
      <w:r w:rsidRPr="00EA72D7">
        <w:rPr>
          <w:rFonts w:ascii="Arial" w:hAnsi="Arial" w:cs="Arial"/>
        </w:rPr>
        <w:t xml:space="preserve">d bydła 155 próbek, od świń </w:t>
      </w:r>
      <w:r w:rsidRPr="004D556B">
        <w:rPr>
          <w:rFonts w:ascii="Arial" w:hAnsi="Arial" w:cs="Arial"/>
        </w:rPr>
        <w:t xml:space="preserve">– </w:t>
      </w:r>
      <w:r w:rsidRPr="00EA72D7">
        <w:rPr>
          <w:rFonts w:ascii="Arial" w:hAnsi="Arial" w:cs="Arial"/>
        </w:rPr>
        <w:t>396 próbek</w:t>
      </w:r>
      <w:r>
        <w:rPr>
          <w:rFonts w:ascii="Arial" w:hAnsi="Arial" w:cs="Arial"/>
        </w:rPr>
        <w:t>,</w:t>
      </w:r>
      <w:r w:rsidRPr="00EA72D7">
        <w:rPr>
          <w:rFonts w:ascii="Arial" w:hAnsi="Arial" w:cs="Arial"/>
        </w:rPr>
        <w:t xml:space="preserve"> od drobiu (kurczęta, indyki, kaczki i</w:t>
      </w:r>
      <w:r w:rsidR="00B55682">
        <w:rPr>
          <w:rFonts w:ascii="Arial" w:hAnsi="Arial" w:cs="Arial"/>
        </w:rPr>
        <w:t> </w:t>
      </w:r>
      <w:r w:rsidRPr="00EA72D7">
        <w:rPr>
          <w:rFonts w:ascii="Arial" w:hAnsi="Arial" w:cs="Arial"/>
        </w:rPr>
        <w:t>gęsi) – 685 próbek</w:t>
      </w:r>
      <w:r>
        <w:rPr>
          <w:rFonts w:ascii="Arial" w:hAnsi="Arial" w:cs="Arial"/>
        </w:rPr>
        <w:t>, o</w:t>
      </w:r>
      <w:r w:rsidRPr="00EA72D7">
        <w:rPr>
          <w:rFonts w:ascii="Arial" w:hAnsi="Arial" w:cs="Arial"/>
        </w:rPr>
        <w:t xml:space="preserve">d koni </w:t>
      </w:r>
      <w:r w:rsidRPr="004D556B">
        <w:rPr>
          <w:rFonts w:ascii="Arial" w:hAnsi="Arial" w:cs="Arial"/>
        </w:rPr>
        <w:t xml:space="preserve">– </w:t>
      </w:r>
      <w:r w:rsidRPr="00EA72D7">
        <w:rPr>
          <w:rFonts w:ascii="Arial" w:hAnsi="Arial" w:cs="Arial"/>
        </w:rPr>
        <w:t>23 próbki</w:t>
      </w:r>
      <w:r>
        <w:rPr>
          <w:rFonts w:ascii="Arial" w:hAnsi="Arial" w:cs="Arial"/>
        </w:rPr>
        <w:t>, o</w:t>
      </w:r>
      <w:r w:rsidRPr="00EA72D7">
        <w:rPr>
          <w:rFonts w:ascii="Arial" w:hAnsi="Arial" w:cs="Arial"/>
        </w:rPr>
        <w:t xml:space="preserve">d owiec </w:t>
      </w:r>
      <w:r w:rsidRPr="004D556B">
        <w:rPr>
          <w:rFonts w:ascii="Arial" w:hAnsi="Arial" w:cs="Arial"/>
        </w:rPr>
        <w:t xml:space="preserve">– </w:t>
      </w:r>
      <w:r w:rsidRPr="00EA72D7">
        <w:rPr>
          <w:rFonts w:ascii="Arial" w:hAnsi="Arial" w:cs="Arial"/>
        </w:rPr>
        <w:t>12 próbek</w:t>
      </w:r>
      <w:r>
        <w:rPr>
          <w:rFonts w:ascii="Arial" w:hAnsi="Arial" w:cs="Arial"/>
        </w:rPr>
        <w:t>, o</w:t>
      </w:r>
      <w:r w:rsidRPr="00EA72D7">
        <w:rPr>
          <w:rFonts w:ascii="Arial" w:hAnsi="Arial" w:cs="Arial"/>
        </w:rPr>
        <w:t xml:space="preserve">d królików </w:t>
      </w:r>
      <w:r w:rsidRPr="004D556B">
        <w:rPr>
          <w:rFonts w:ascii="Arial" w:hAnsi="Arial" w:cs="Arial"/>
        </w:rPr>
        <w:t xml:space="preserve">– </w:t>
      </w:r>
      <w:r w:rsidRPr="00EA72D7">
        <w:rPr>
          <w:rFonts w:ascii="Arial" w:hAnsi="Arial" w:cs="Arial"/>
        </w:rPr>
        <w:t>29 próbek</w:t>
      </w:r>
      <w:r w:rsidR="00B55682">
        <w:rPr>
          <w:rFonts w:ascii="Arial" w:hAnsi="Arial" w:cs="Arial"/>
        </w:rPr>
        <w:t>, o</w:t>
      </w:r>
      <w:r w:rsidR="00B55682" w:rsidRPr="00EA72D7">
        <w:rPr>
          <w:rFonts w:ascii="Arial" w:hAnsi="Arial" w:cs="Arial"/>
        </w:rPr>
        <w:t xml:space="preserve">d ryb hodowlanych </w:t>
      </w:r>
      <w:r w:rsidR="00B55682" w:rsidRPr="004D556B">
        <w:rPr>
          <w:rFonts w:ascii="Arial" w:hAnsi="Arial" w:cs="Arial"/>
        </w:rPr>
        <w:t xml:space="preserve">– </w:t>
      </w:r>
      <w:r w:rsidR="00B55682" w:rsidRPr="00EA72D7">
        <w:rPr>
          <w:rFonts w:ascii="Arial" w:hAnsi="Arial" w:cs="Arial"/>
        </w:rPr>
        <w:t>11 próbek</w:t>
      </w:r>
      <w:r>
        <w:rPr>
          <w:rFonts w:ascii="Arial" w:hAnsi="Arial" w:cs="Arial"/>
        </w:rPr>
        <w:t xml:space="preserve">. </w:t>
      </w:r>
      <w:r w:rsidRPr="00EA72D7">
        <w:rPr>
          <w:rFonts w:ascii="Arial" w:hAnsi="Arial" w:cs="Arial"/>
        </w:rPr>
        <w:t xml:space="preserve">Wśród 98 badanych próbek mleka krowiego, jak również 24 badanych próbek jaj kurzych oraz 36 próbek miodu </w:t>
      </w:r>
      <w:r w:rsidR="00B55682">
        <w:rPr>
          <w:rFonts w:ascii="Arial" w:hAnsi="Arial" w:cs="Arial"/>
        </w:rPr>
        <w:t xml:space="preserve">i </w:t>
      </w:r>
      <w:r w:rsidRPr="00EA72D7">
        <w:rPr>
          <w:rFonts w:ascii="Arial" w:hAnsi="Arial" w:cs="Arial"/>
        </w:rPr>
        <w:t xml:space="preserve">21 próbek od zwierząt dzikich fermowych </w:t>
      </w:r>
      <w:r w:rsidR="00B55682">
        <w:rPr>
          <w:rFonts w:ascii="Arial" w:hAnsi="Arial" w:cs="Arial"/>
        </w:rPr>
        <w:t xml:space="preserve">również </w:t>
      </w:r>
      <w:r w:rsidRPr="00EA72D7">
        <w:rPr>
          <w:rFonts w:ascii="Arial" w:hAnsi="Arial" w:cs="Arial"/>
        </w:rPr>
        <w:t>nie stwierdzono próbek niezgodnych (0,0%).</w:t>
      </w:r>
      <w:r w:rsidR="00B55682" w:rsidRPr="00B55682">
        <w:rPr>
          <w:rFonts w:ascii="Arial" w:hAnsi="Arial" w:cs="Arial"/>
        </w:rPr>
        <w:t xml:space="preserve"> </w:t>
      </w:r>
    </w:p>
    <w:p w14:paraId="127633E2" w14:textId="7B8A4DDF" w:rsidR="00EA72D7" w:rsidRPr="00540C65" w:rsidRDefault="00EA72D7" w:rsidP="00EA72D7">
      <w:pPr>
        <w:pStyle w:val="NormalnyWeb"/>
        <w:tabs>
          <w:tab w:val="left" w:pos="284"/>
        </w:tabs>
        <w:spacing w:before="120" w:beforeAutospacing="0" w:after="120" w:afterAutospacing="0" w:line="360" w:lineRule="auto"/>
        <w:ind w:firstLine="284"/>
        <w:jc w:val="both"/>
        <w:rPr>
          <w:rFonts w:ascii="Arial" w:hAnsi="Arial" w:cs="Arial"/>
        </w:rPr>
      </w:pPr>
      <w:r w:rsidRPr="00EA72D7">
        <w:rPr>
          <w:rFonts w:ascii="Arial" w:hAnsi="Arial" w:cs="Arial"/>
        </w:rPr>
        <w:t>W ramach planu kontroli pestycydów pobrano również 3 próbki podejrzane w kierunku pestycydów chloroorganicznych. Wyniki analiz nie wykazały wyników niezgodnych (0,0%).”</w:t>
      </w:r>
    </w:p>
    <w:p w14:paraId="0AB4C502" w14:textId="77777777" w:rsidR="008B5F95" w:rsidRDefault="00923F0D">
      <w:pPr>
        <w:pStyle w:val="Nagwek2"/>
        <w:jc w:val="both"/>
        <w:rPr>
          <w:i w:val="0"/>
          <w:sz w:val="20"/>
          <w:szCs w:val="20"/>
        </w:rPr>
      </w:pPr>
      <w:bookmarkStart w:id="86" w:name="_Toc341876114"/>
      <w:bookmarkStart w:id="87" w:name="_Toc193716421"/>
      <w:r>
        <w:rPr>
          <w:i w:val="0"/>
          <w:sz w:val="20"/>
          <w:szCs w:val="20"/>
        </w:rPr>
        <w:t>Zadanie 3. Opracowanie wskaźników oraz analiza ryzyka związanego ze stosowaniem środków ochrony roślin</w:t>
      </w:r>
      <w:bookmarkEnd w:id="86"/>
      <w:bookmarkEnd w:id="87"/>
    </w:p>
    <w:p w14:paraId="53F68CB5" w14:textId="153FB593"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 podstawie danych uzyskanych w trakcie działań kontrolnych, badań statystycznych dotyczących obrotu środkami ochrony roślin i stosowania środków ochrony roślin oraz systemów monitorowania zjawisk związanych ze środkami ochrony roślin, w ramach </w:t>
      </w:r>
      <w:r w:rsidR="000F2380">
        <w:rPr>
          <w:rFonts w:ascii="Arial" w:hAnsi="Arial" w:cs="Arial"/>
        </w:rPr>
        <w:t>dotacji celowej</w:t>
      </w:r>
      <w:r w:rsidR="00C80ED5">
        <w:rPr>
          <w:rFonts w:ascii="Arial" w:hAnsi="Arial" w:cs="Arial"/>
        </w:rPr>
        <w:t xml:space="preserve"> </w:t>
      </w:r>
      <w:r>
        <w:rPr>
          <w:rFonts w:ascii="Arial" w:hAnsi="Arial" w:cs="Arial"/>
        </w:rPr>
        <w:t>realizowane</w:t>
      </w:r>
      <w:r w:rsidR="00C80ED5">
        <w:rPr>
          <w:rFonts w:ascii="Arial" w:hAnsi="Arial" w:cs="Arial"/>
        </w:rPr>
        <w:t>j</w:t>
      </w:r>
      <w:r>
        <w:rPr>
          <w:rFonts w:ascii="Arial" w:hAnsi="Arial" w:cs="Arial"/>
        </w:rPr>
        <w:t xml:space="preserve"> przez </w:t>
      </w:r>
      <w:r w:rsidR="004F0CD4">
        <w:rPr>
          <w:rFonts w:ascii="Arial" w:hAnsi="Arial" w:cs="Arial"/>
        </w:rPr>
        <w:t>IOR</w:t>
      </w:r>
      <w:r w:rsidR="008B135F">
        <w:rPr>
          <w:rFonts w:ascii="Arial" w:hAnsi="Arial" w:cs="Arial"/>
        </w:rPr>
        <w:t xml:space="preserve"> </w:t>
      </w:r>
      <w:r w:rsidR="004850AE">
        <w:rPr>
          <w:rFonts w:ascii="Arial" w:hAnsi="Arial" w:cs="Arial"/>
        </w:rPr>
        <w:t>–</w:t>
      </w:r>
      <w:r w:rsidR="008B135F">
        <w:rPr>
          <w:rFonts w:ascii="Arial" w:hAnsi="Arial" w:cs="Arial"/>
        </w:rPr>
        <w:t xml:space="preserve"> </w:t>
      </w:r>
      <w:r w:rsidR="004850AE">
        <w:rPr>
          <w:rFonts w:ascii="Arial" w:hAnsi="Arial" w:cs="Arial"/>
        </w:rPr>
        <w:t>PIB</w:t>
      </w:r>
      <w:r>
        <w:rPr>
          <w:rFonts w:ascii="Arial" w:hAnsi="Arial" w:cs="Arial"/>
        </w:rPr>
        <w:t>, doskonalone</w:t>
      </w:r>
      <w:r w:rsidR="00793C74">
        <w:rPr>
          <w:rFonts w:ascii="Arial" w:hAnsi="Arial" w:cs="Arial"/>
        </w:rPr>
        <w:t xml:space="preserve"> są</w:t>
      </w:r>
      <w:r>
        <w:rPr>
          <w:rFonts w:ascii="Arial" w:hAnsi="Arial" w:cs="Arial"/>
        </w:rPr>
        <w:t xml:space="preserve"> krajowe wskaźniki ryzyka związanego ze stosowaniem środków ochrony roślin, a</w:t>
      </w:r>
      <w:r w:rsidR="000326FF">
        <w:rPr>
          <w:rFonts w:ascii="Arial" w:hAnsi="Arial" w:cs="Arial"/>
        </w:rPr>
        <w:t> </w:t>
      </w:r>
      <w:r>
        <w:rPr>
          <w:rFonts w:ascii="Arial" w:hAnsi="Arial" w:cs="Arial"/>
        </w:rPr>
        <w:t xml:space="preserve">także wykonywane </w:t>
      </w:r>
      <w:r w:rsidR="006169E1">
        <w:rPr>
          <w:rFonts w:ascii="Arial" w:hAnsi="Arial" w:cs="Arial"/>
        </w:rPr>
        <w:t xml:space="preserve">są </w:t>
      </w:r>
      <w:r>
        <w:rPr>
          <w:rFonts w:ascii="Arial" w:hAnsi="Arial" w:cs="Arial"/>
        </w:rPr>
        <w:t xml:space="preserve">stosowne obliczenia wartości tych wskaźników. Wskaźniki w kolejnych latach pozwolą na analizę zagrożeń związanych ze stosowaniem środków ochrony roślin, stanowiąc podstawę do zarządzania ryzykiem i kształtowania polityki w odniesieniu do środków ochrony roślin. </w:t>
      </w:r>
    </w:p>
    <w:p w14:paraId="7FB01FA7" w14:textId="5F6F2307" w:rsidR="00CB30BC" w:rsidRDefault="00CB30BC">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oparciu o wskaźniki krajowe i unijne, a także inne dane pozyskane w ramach realizacji krajowego </w:t>
      </w:r>
      <w:r>
        <w:rPr>
          <w:rFonts w:ascii="Arial" w:hAnsi="Arial" w:cs="Arial"/>
        </w:rPr>
        <w:lastRenderedPageBreak/>
        <w:t xml:space="preserve">planu działania, co roku na podstawie trendów przeprowadzana </w:t>
      </w:r>
      <w:r w:rsidR="00F200A3">
        <w:rPr>
          <w:rFonts w:ascii="Arial" w:hAnsi="Arial" w:cs="Arial"/>
        </w:rPr>
        <w:t>jest</w:t>
      </w:r>
      <w:r>
        <w:rPr>
          <w:rFonts w:ascii="Arial" w:hAnsi="Arial" w:cs="Arial"/>
        </w:rPr>
        <w:t xml:space="preserve"> analiza ryzyka, wraz z</w:t>
      </w:r>
      <w:r w:rsidR="007B7A83">
        <w:rPr>
          <w:rFonts w:ascii="Arial" w:hAnsi="Arial" w:cs="Arial"/>
        </w:rPr>
        <w:t xml:space="preserve"> </w:t>
      </w:r>
      <w:r>
        <w:rPr>
          <w:rFonts w:ascii="Arial" w:hAnsi="Arial" w:cs="Arial"/>
        </w:rPr>
        <w:t xml:space="preserve">wnioskami na kolejne lata. </w:t>
      </w:r>
    </w:p>
    <w:p w14:paraId="2F3206B7" w14:textId="63E577B0" w:rsidR="005868D4" w:rsidRPr="00925BCD" w:rsidRDefault="005868D4" w:rsidP="005868D4">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W ramach programu wieloletniego realizowanego przez Instytut Ochrony Roślin</w:t>
      </w:r>
      <w:r w:rsidR="008B135F">
        <w:rPr>
          <w:rFonts w:ascii="Arial" w:hAnsi="Arial" w:cs="Arial"/>
        </w:rPr>
        <w:t xml:space="preserve"> </w:t>
      </w:r>
      <w:r w:rsidRPr="00925BCD">
        <w:rPr>
          <w:rFonts w:ascii="Arial" w:hAnsi="Arial" w:cs="Arial"/>
        </w:rPr>
        <w:t>–</w:t>
      </w:r>
      <w:r w:rsidR="008B135F">
        <w:rPr>
          <w:rFonts w:ascii="Arial" w:hAnsi="Arial" w:cs="Arial"/>
        </w:rPr>
        <w:t xml:space="preserve"> </w:t>
      </w:r>
      <w:r w:rsidRPr="00925BCD">
        <w:rPr>
          <w:rFonts w:ascii="Arial" w:hAnsi="Arial" w:cs="Arial"/>
        </w:rPr>
        <w:t>PIB pn. „Ochrona roślin uprawnych z uwzględnieniem bezpieczeństwa żywności oraz ograniczenia strat w plonach i zagrożeń dla zdrowia ludzi, zwierząt domowych i środowiska”, w 2018 r. została doprecyzowana postać zestawu krajowych wskaźników ryzyka związanego ze stosowaniem środków ochrony roślin. Aktualny zestaw wskaźników obejmuje:</w:t>
      </w:r>
    </w:p>
    <w:p w14:paraId="2D386962" w14:textId="77777777" w:rsidR="005868D4" w:rsidRPr="00925BCD" w:rsidRDefault="005868D4" w:rsidP="00E74A80">
      <w:pPr>
        <w:pStyle w:val="Standard"/>
        <w:numPr>
          <w:ilvl w:val="0"/>
          <w:numId w:val="33"/>
        </w:numPr>
        <w:spacing w:after="0"/>
        <w:ind w:left="567" w:hanging="567"/>
        <w:jc w:val="both"/>
        <w:rPr>
          <w:rFonts w:ascii="Arial" w:hAnsi="Arial" w:cs="Arial"/>
          <w:sz w:val="20"/>
          <w:szCs w:val="20"/>
        </w:rPr>
      </w:pPr>
      <w:r w:rsidRPr="00925BCD">
        <w:rPr>
          <w:rFonts w:ascii="Arial" w:hAnsi="Arial" w:cs="Arial"/>
          <w:sz w:val="20"/>
          <w:szCs w:val="20"/>
        </w:rPr>
        <w:t xml:space="preserve">Wskaźnik pozostałości pestycydowych w płodach rolnych przeznaczonych do spożycia </w:t>
      </w:r>
      <w:r w:rsidRPr="00925BCD">
        <w:rPr>
          <w:rFonts w:ascii="Arial" w:hAnsi="Arial" w:cs="Arial"/>
          <w:sz w:val="20"/>
          <w:szCs w:val="20"/>
        </w:rPr>
        <w:br/>
        <w:t>i przetwórstwa (W</w:t>
      </w:r>
      <w:r w:rsidRPr="00925BCD">
        <w:rPr>
          <w:rFonts w:ascii="Arial" w:hAnsi="Arial" w:cs="Arial"/>
          <w:sz w:val="20"/>
          <w:szCs w:val="20"/>
          <w:vertAlign w:val="subscript"/>
        </w:rPr>
        <w:t>Poz.</w:t>
      </w:r>
      <w:r w:rsidRPr="00925BCD">
        <w:rPr>
          <w:rFonts w:ascii="Arial" w:hAnsi="Arial" w:cs="Arial"/>
          <w:sz w:val="20"/>
          <w:szCs w:val="20"/>
        </w:rPr>
        <w:t>);</w:t>
      </w:r>
    </w:p>
    <w:p w14:paraId="682F9257" w14:textId="77777777" w:rsidR="005868D4" w:rsidRPr="00925BCD" w:rsidRDefault="005868D4" w:rsidP="00E74A80">
      <w:pPr>
        <w:pStyle w:val="Standard"/>
        <w:numPr>
          <w:ilvl w:val="0"/>
          <w:numId w:val="33"/>
        </w:numPr>
        <w:spacing w:after="0"/>
        <w:ind w:left="567" w:hanging="567"/>
        <w:jc w:val="both"/>
        <w:rPr>
          <w:rFonts w:ascii="Arial" w:hAnsi="Arial" w:cs="Arial"/>
          <w:sz w:val="20"/>
          <w:szCs w:val="20"/>
        </w:rPr>
      </w:pPr>
      <w:r w:rsidRPr="00925BCD">
        <w:rPr>
          <w:rFonts w:ascii="Arial" w:hAnsi="Arial" w:cs="Arial"/>
          <w:sz w:val="20"/>
          <w:szCs w:val="20"/>
        </w:rPr>
        <w:t>Wskaźniki nieprawidłowości towarzyszących stosowaniu środków ochrony roślin:</w:t>
      </w:r>
    </w:p>
    <w:p w14:paraId="040E0739" w14:textId="77777777" w:rsidR="005868D4" w:rsidRPr="00925BCD" w:rsidRDefault="005868D4" w:rsidP="005868D4">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wykryć przekroczeń NDP w kontroli pozostałości ś.o.r. (W</w:t>
      </w:r>
      <w:r w:rsidRPr="00925BCD">
        <w:rPr>
          <w:rFonts w:ascii="Arial" w:hAnsi="Arial" w:cs="Arial"/>
          <w:sz w:val="20"/>
          <w:szCs w:val="20"/>
          <w:vertAlign w:val="subscript"/>
        </w:rPr>
        <w:t>S.NDP</w:t>
      </w:r>
      <w:r w:rsidRPr="00925BCD">
        <w:rPr>
          <w:rFonts w:ascii="Arial" w:hAnsi="Arial" w:cs="Arial"/>
          <w:sz w:val="20"/>
          <w:szCs w:val="20"/>
        </w:rPr>
        <w:t>),</w:t>
      </w:r>
    </w:p>
    <w:p w14:paraId="2937D399" w14:textId="77777777" w:rsidR="005868D4" w:rsidRPr="00925BCD" w:rsidRDefault="005868D4" w:rsidP="005868D4">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wykryć substancji niedopuszczonych do stosowania w kontroli pozostałości ś.o.r. (W</w:t>
      </w:r>
      <w:r w:rsidRPr="00925BCD">
        <w:rPr>
          <w:rFonts w:ascii="Arial" w:hAnsi="Arial" w:cs="Arial"/>
          <w:sz w:val="20"/>
          <w:szCs w:val="20"/>
          <w:vertAlign w:val="subscript"/>
        </w:rPr>
        <w:t>S.Niedop.</w:t>
      </w:r>
      <w:r w:rsidRPr="00925BCD">
        <w:rPr>
          <w:rFonts w:ascii="Arial" w:hAnsi="Arial" w:cs="Arial"/>
          <w:sz w:val="20"/>
          <w:szCs w:val="20"/>
        </w:rPr>
        <w:t>),</w:t>
      </w:r>
    </w:p>
    <w:p w14:paraId="5DBD6FC5" w14:textId="77777777" w:rsidR="005868D4" w:rsidRPr="00925BCD" w:rsidRDefault="005868D4" w:rsidP="005868D4">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wykryć nieprawidłowości w kontroli stosowania ś.o.r. (W</w:t>
      </w:r>
      <w:r w:rsidRPr="00925BCD">
        <w:rPr>
          <w:rFonts w:ascii="Arial" w:hAnsi="Arial" w:cs="Arial"/>
          <w:sz w:val="20"/>
          <w:szCs w:val="20"/>
          <w:vertAlign w:val="subscript"/>
        </w:rPr>
        <w:t>S.Kontrola</w:t>
      </w:r>
      <w:r w:rsidRPr="00925BCD">
        <w:rPr>
          <w:rFonts w:ascii="Arial" w:hAnsi="Arial" w:cs="Arial"/>
          <w:sz w:val="20"/>
          <w:szCs w:val="20"/>
        </w:rPr>
        <w:t>);</w:t>
      </w:r>
    </w:p>
    <w:p w14:paraId="4775B494" w14:textId="77777777" w:rsidR="005868D4" w:rsidRPr="00925BCD" w:rsidRDefault="005868D4" w:rsidP="00E74A80">
      <w:pPr>
        <w:pStyle w:val="Standard"/>
        <w:numPr>
          <w:ilvl w:val="0"/>
          <w:numId w:val="33"/>
        </w:numPr>
        <w:spacing w:after="0"/>
        <w:ind w:left="567" w:hanging="567"/>
        <w:jc w:val="both"/>
        <w:rPr>
          <w:rFonts w:ascii="Arial" w:hAnsi="Arial" w:cs="Arial"/>
          <w:sz w:val="20"/>
          <w:szCs w:val="20"/>
        </w:rPr>
      </w:pPr>
      <w:r w:rsidRPr="00925BCD">
        <w:rPr>
          <w:rFonts w:ascii="Arial" w:hAnsi="Arial" w:cs="Arial"/>
          <w:sz w:val="20"/>
          <w:szCs w:val="20"/>
        </w:rPr>
        <w:t>Wskaźnik obciążenia pestycydowego wód powierzchniowych (W</w:t>
      </w:r>
      <w:r w:rsidRPr="00925BCD">
        <w:rPr>
          <w:rFonts w:ascii="Arial" w:hAnsi="Arial" w:cs="Arial"/>
          <w:sz w:val="20"/>
          <w:szCs w:val="20"/>
          <w:vertAlign w:val="subscript"/>
        </w:rPr>
        <w:t>WP</w:t>
      </w:r>
      <w:r w:rsidRPr="00925BCD">
        <w:rPr>
          <w:rFonts w:ascii="Arial" w:hAnsi="Arial" w:cs="Arial"/>
          <w:sz w:val="20"/>
          <w:szCs w:val="20"/>
        </w:rPr>
        <w:t>);</w:t>
      </w:r>
    </w:p>
    <w:p w14:paraId="099D6DB5" w14:textId="77777777" w:rsidR="005868D4" w:rsidRPr="00925BCD" w:rsidRDefault="005868D4" w:rsidP="00E74A80">
      <w:pPr>
        <w:pStyle w:val="Standard"/>
        <w:numPr>
          <w:ilvl w:val="0"/>
          <w:numId w:val="33"/>
        </w:numPr>
        <w:spacing w:after="0"/>
        <w:ind w:left="567" w:hanging="567"/>
        <w:jc w:val="both"/>
        <w:rPr>
          <w:rFonts w:ascii="Arial" w:hAnsi="Arial" w:cs="Arial"/>
          <w:sz w:val="20"/>
          <w:szCs w:val="20"/>
        </w:rPr>
      </w:pPr>
      <w:r w:rsidRPr="00925BCD">
        <w:rPr>
          <w:rFonts w:ascii="Arial" w:hAnsi="Arial" w:cs="Arial"/>
          <w:sz w:val="20"/>
          <w:szCs w:val="20"/>
        </w:rPr>
        <w:t>Wskaźniki sprzedaży pod względem potencjalnych zagrożeń dla zdrowia i dla środowiska:</w:t>
      </w:r>
    </w:p>
    <w:p w14:paraId="7786675B" w14:textId="77777777" w:rsidR="005868D4" w:rsidRPr="00925BCD" w:rsidRDefault="005868D4" w:rsidP="005868D4">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Wskaźniki struktury sprzedaży (WSS</w:t>
      </w:r>
      <w:r w:rsidRPr="00925BCD">
        <w:rPr>
          <w:rFonts w:ascii="Arial" w:hAnsi="Arial" w:cs="Arial"/>
          <w:sz w:val="20"/>
          <w:szCs w:val="20"/>
          <w:vertAlign w:val="subscript"/>
        </w:rPr>
        <w:t>Zagr.Zdr.</w:t>
      </w:r>
      <w:r w:rsidRPr="00925BCD">
        <w:rPr>
          <w:rFonts w:ascii="Arial" w:hAnsi="Arial" w:cs="Arial"/>
          <w:sz w:val="20"/>
          <w:szCs w:val="20"/>
        </w:rPr>
        <w:t xml:space="preserve"> i WSS</w:t>
      </w:r>
      <w:r w:rsidRPr="00925BCD">
        <w:rPr>
          <w:rFonts w:ascii="Arial" w:hAnsi="Arial" w:cs="Arial"/>
          <w:sz w:val="20"/>
          <w:szCs w:val="20"/>
          <w:vertAlign w:val="subscript"/>
        </w:rPr>
        <w:t>Zagr.Środ.</w:t>
      </w:r>
      <w:r w:rsidRPr="00925BCD">
        <w:rPr>
          <w:rFonts w:ascii="Arial" w:hAnsi="Arial" w:cs="Arial"/>
          <w:sz w:val="20"/>
          <w:szCs w:val="20"/>
        </w:rPr>
        <w:t>),</w:t>
      </w:r>
    </w:p>
    <w:p w14:paraId="7A380D82" w14:textId="77777777" w:rsidR="005868D4" w:rsidRPr="00925BCD" w:rsidRDefault="005868D4" w:rsidP="005868D4">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Wskaźniki wielkości sprzedaży (WS</w:t>
      </w:r>
      <w:r w:rsidRPr="00925BCD">
        <w:rPr>
          <w:rFonts w:ascii="Arial" w:hAnsi="Arial" w:cs="Arial"/>
          <w:sz w:val="20"/>
          <w:szCs w:val="20"/>
          <w:vertAlign w:val="subscript"/>
        </w:rPr>
        <w:t>Zagr.Zdr.</w:t>
      </w:r>
      <w:r w:rsidRPr="00925BCD">
        <w:rPr>
          <w:rFonts w:ascii="Arial" w:hAnsi="Arial" w:cs="Arial"/>
          <w:sz w:val="20"/>
          <w:szCs w:val="20"/>
        </w:rPr>
        <w:t xml:space="preserve"> i WS</w:t>
      </w:r>
      <w:r w:rsidRPr="00925BCD">
        <w:rPr>
          <w:rFonts w:ascii="Arial" w:hAnsi="Arial" w:cs="Arial"/>
          <w:sz w:val="20"/>
          <w:szCs w:val="20"/>
          <w:vertAlign w:val="subscript"/>
        </w:rPr>
        <w:t>Zagr.Środ.</w:t>
      </w:r>
      <w:r w:rsidRPr="00925BCD">
        <w:rPr>
          <w:rFonts w:ascii="Arial" w:hAnsi="Arial" w:cs="Arial"/>
          <w:sz w:val="20"/>
          <w:szCs w:val="20"/>
        </w:rPr>
        <w:t>);</w:t>
      </w:r>
    </w:p>
    <w:p w14:paraId="536B3361" w14:textId="77777777" w:rsidR="005868D4" w:rsidRPr="00925BCD" w:rsidRDefault="005868D4" w:rsidP="00E74A80">
      <w:pPr>
        <w:pStyle w:val="Standard"/>
        <w:numPr>
          <w:ilvl w:val="0"/>
          <w:numId w:val="33"/>
        </w:numPr>
        <w:spacing w:after="0"/>
        <w:ind w:left="567" w:hanging="567"/>
        <w:jc w:val="both"/>
        <w:rPr>
          <w:rFonts w:ascii="Arial" w:hAnsi="Arial" w:cs="Arial"/>
          <w:sz w:val="20"/>
          <w:szCs w:val="20"/>
        </w:rPr>
      </w:pPr>
      <w:r w:rsidRPr="00925BCD">
        <w:rPr>
          <w:rFonts w:ascii="Arial" w:hAnsi="Arial" w:cs="Arial"/>
          <w:sz w:val="20"/>
          <w:szCs w:val="20"/>
        </w:rPr>
        <w:t>Wskaźniki sprzedaży substancji priorytetowych w dziedzinie polityki wodnej:</w:t>
      </w:r>
    </w:p>
    <w:p w14:paraId="529EF384" w14:textId="77777777" w:rsidR="005868D4" w:rsidRPr="00925BCD" w:rsidRDefault="005868D4" w:rsidP="005868D4">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wielkości sprzedaży (WS</w:t>
      </w:r>
      <w:r w:rsidRPr="00925BCD">
        <w:rPr>
          <w:rFonts w:ascii="Arial" w:hAnsi="Arial" w:cs="Arial"/>
          <w:sz w:val="20"/>
          <w:szCs w:val="20"/>
          <w:vertAlign w:val="subscript"/>
        </w:rPr>
        <w:t>PW</w:t>
      </w:r>
      <w:r w:rsidRPr="00925BCD">
        <w:rPr>
          <w:rFonts w:ascii="Arial" w:hAnsi="Arial" w:cs="Arial"/>
          <w:sz w:val="20"/>
          <w:szCs w:val="20"/>
        </w:rPr>
        <w:t>)</w:t>
      </w:r>
    </w:p>
    <w:p w14:paraId="36F102A5" w14:textId="77777777" w:rsidR="005868D4" w:rsidRPr="00925BCD" w:rsidRDefault="005868D4" w:rsidP="005868D4">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struktury sprzedaży (WSS</w:t>
      </w:r>
      <w:r w:rsidRPr="00925BCD">
        <w:rPr>
          <w:rFonts w:ascii="Arial" w:hAnsi="Arial" w:cs="Arial"/>
          <w:sz w:val="20"/>
          <w:szCs w:val="20"/>
          <w:vertAlign w:val="subscript"/>
        </w:rPr>
        <w:t>PW</w:t>
      </w:r>
      <w:r w:rsidRPr="00925BCD">
        <w:rPr>
          <w:rFonts w:ascii="Arial" w:hAnsi="Arial" w:cs="Arial"/>
          <w:sz w:val="20"/>
          <w:szCs w:val="20"/>
        </w:rPr>
        <w:t>);</w:t>
      </w:r>
    </w:p>
    <w:p w14:paraId="56FF38CD" w14:textId="77777777" w:rsidR="005868D4" w:rsidRPr="00925BCD" w:rsidRDefault="005868D4" w:rsidP="00E74A80">
      <w:pPr>
        <w:pStyle w:val="Standard"/>
        <w:numPr>
          <w:ilvl w:val="0"/>
          <w:numId w:val="33"/>
        </w:numPr>
        <w:spacing w:after="0"/>
        <w:ind w:left="567" w:hanging="567"/>
        <w:jc w:val="both"/>
        <w:rPr>
          <w:rFonts w:ascii="Arial" w:hAnsi="Arial" w:cs="Arial"/>
          <w:sz w:val="20"/>
          <w:szCs w:val="20"/>
        </w:rPr>
      </w:pPr>
      <w:r w:rsidRPr="00925BCD">
        <w:rPr>
          <w:rFonts w:ascii="Arial" w:hAnsi="Arial" w:cs="Arial"/>
          <w:sz w:val="20"/>
          <w:szCs w:val="20"/>
        </w:rPr>
        <w:t>Wskaźniki sprzedaży substancji czynnych wymagających programów monitorowania:</w:t>
      </w:r>
    </w:p>
    <w:p w14:paraId="1832E78B" w14:textId="77777777" w:rsidR="005868D4" w:rsidRPr="00925BCD" w:rsidRDefault="005868D4" w:rsidP="005868D4">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wielkości sprzedaży (WS</w:t>
      </w:r>
      <w:r w:rsidRPr="00925BCD">
        <w:rPr>
          <w:rFonts w:ascii="Arial" w:hAnsi="Arial" w:cs="Arial"/>
          <w:sz w:val="20"/>
          <w:szCs w:val="20"/>
          <w:vertAlign w:val="subscript"/>
        </w:rPr>
        <w:t>Monit.</w:t>
      </w:r>
      <w:r w:rsidRPr="00925BCD">
        <w:rPr>
          <w:rFonts w:ascii="Arial" w:hAnsi="Arial" w:cs="Arial"/>
          <w:sz w:val="20"/>
          <w:szCs w:val="20"/>
        </w:rPr>
        <w:t xml:space="preserve">), </w:t>
      </w:r>
    </w:p>
    <w:p w14:paraId="73E97584" w14:textId="77777777" w:rsidR="005868D4" w:rsidRPr="00925BCD" w:rsidRDefault="005868D4" w:rsidP="005868D4">
      <w:pPr>
        <w:pStyle w:val="Standard"/>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struktury sprzedaży (WSS</w:t>
      </w:r>
      <w:r w:rsidRPr="00925BCD">
        <w:rPr>
          <w:rFonts w:ascii="Arial" w:hAnsi="Arial" w:cs="Arial"/>
          <w:sz w:val="20"/>
          <w:szCs w:val="20"/>
          <w:vertAlign w:val="subscript"/>
        </w:rPr>
        <w:t>Monit.</w:t>
      </w:r>
      <w:r w:rsidRPr="00925BCD">
        <w:rPr>
          <w:rFonts w:ascii="Arial" w:hAnsi="Arial" w:cs="Arial"/>
          <w:sz w:val="20"/>
          <w:szCs w:val="20"/>
        </w:rPr>
        <w:t>)</w:t>
      </w:r>
    </w:p>
    <w:p w14:paraId="06A85237" w14:textId="0B40052F" w:rsidR="00AD3B21" w:rsidRDefault="005868D4" w:rsidP="005868D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przy czym wskaźnik W</w:t>
      </w:r>
      <w:r w:rsidRPr="00925BCD">
        <w:rPr>
          <w:rFonts w:ascii="Arial" w:hAnsi="Arial" w:cs="Arial"/>
          <w:vertAlign w:val="subscript"/>
        </w:rPr>
        <w:t>S.Kontrola</w:t>
      </w:r>
      <w:r w:rsidRPr="00925BCD">
        <w:rPr>
          <w:rFonts w:ascii="Arial" w:hAnsi="Arial" w:cs="Arial"/>
        </w:rPr>
        <w:t xml:space="preserve"> stanowi główny miernik służący do monitorowania stopnia realizacji celów KPD 20</w:t>
      </w:r>
      <w:r w:rsidR="003118C9">
        <w:rPr>
          <w:rFonts w:ascii="Arial" w:hAnsi="Arial" w:cs="Arial"/>
        </w:rPr>
        <w:t>23</w:t>
      </w:r>
      <w:r w:rsidRPr="00925BCD">
        <w:rPr>
          <w:rFonts w:ascii="Arial" w:hAnsi="Arial" w:cs="Arial"/>
        </w:rPr>
        <w:t>-202</w:t>
      </w:r>
      <w:r w:rsidR="003118C9">
        <w:rPr>
          <w:rFonts w:ascii="Arial" w:hAnsi="Arial" w:cs="Arial"/>
        </w:rPr>
        <w:t>7</w:t>
      </w:r>
      <w:r w:rsidRPr="00925BCD">
        <w:rPr>
          <w:rFonts w:ascii="Arial" w:hAnsi="Arial" w:cs="Arial"/>
        </w:rPr>
        <w:t>. Zgodnie z założeniami wartość tego wskaźnika w trakcie realizacji KPD nie powinna przekroczyć 1,5.</w:t>
      </w:r>
    </w:p>
    <w:p w14:paraId="06E0066D" w14:textId="77777777" w:rsidR="00426439" w:rsidRDefault="00B22490">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2023</w:t>
      </w:r>
      <w:r w:rsidR="006F3045">
        <w:rPr>
          <w:rFonts w:ascii="Arial" w:hAnsi="Arial" w:cs="Arial"/>
        </w:rPr>
        <w:t> </w:t>
      </w:r>
      <w:r>
        <w:rPr>
          <w:rFonts w:ascii="Arial" w:hAnsi="Arial" w:cs="Arial"/>
        </w:rPr>
        <w:t>r. p</w:t>
      </w:r>
      <w:r w:rsidRPr="00B22490">
        <w:rPr>
          <w:rFonts w:ascii="Arial" w:hAnsi="Arial" w:cs="Arial"/>
        </w:rPr>
        <w:t>rzeprowadzono obliczenia wszystkich wskaźników</w:t>
      </w:r>
      <w:r w:rsidR="00426439">
        <w:rPr>
          <w:rFonts w:ascii="Arial" w:hAnsi="Arial" w:cs="Arial"/>
        </w:rPr>
        <w:t>.</w:t>
      </w:r>
    </w:p>
    <w:p w14:paraId="0E1F0341" w14:textId="2069BB25" w:rsidR="00AB756E" w:rsidRDefault="00C527A3">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O</w:t>
      </w:r>
      <w:r w:rsidR="00B22490" w:rsidRPr="00B22490">
        <w:rPr>
          <w:rFonts w:ascii="Arial" w:hAnsi="Arial" w:cs="Arial"/>
        </w:rPr>
        <w:t xml:space="preserve">pracowano </w:t>
      </w:r>
      <w:r w:rsidR="00250CDE">
        <w:rPr>
          <w:rFonts w:ascii="Arial" w:hAnsi="Arial" w:cs="Arial"/>
        </w:rPr>
        <w:t xml:space="preserve">także </w:t>
      </w:r>
      <w:r w:rsidR="00B22490" w:rsidRPr="00B22490">
        <w:rPr>
          <w:rFonts w:ascii="Arial" w:hAnsi="Arial" w:cs="Arial"/>
        </w:rPr>
        <w:t>Kompleksową ocenę w zakresie krajowego bezpieczeństwa pestycydowego</w:t>
      </w:r>
      <w:r w:rsidR="00FE42BE">
        <w:rPr>
          <w:rFonts w:ascii="Arial" w:hAnsi="Arial" w:cs="Arial"/>
        </w:rPr>
        <w:t xml:space="preserve">, która stanowi </w:t>
      </w:r>
      <w:r w:rsidR="00AB756E">
        <w:rPr>
          <w:rFonts w:ascii="Arial" w:hAnsi="Arial" w:cs="Arial"/>
        </w:rPr>
        <w:t xml:space="preserve">załącznik </w:t>
      </w:r>
      <w:r w:rsidR="00B674F9">
        <w:rPr>
          <w:rFonts w:ascii="Arial" w:hAnsi="Arial" w:cs="Arial"/>
        </w:rPr>
        <w:t xml:space="preserve">nr 2 </w:t>
      </w:r>
      <w:r w:rsidR="00DA2CF0">
        <w:rPr>
          <w:rFonts w:ascii="Arial" w:hAnsi="Arial" w:cs="Arial"/>
        </w:rPr>
        <w:t>do sprawozdania</w:t>
      </w:r>
      <w:r w:rsidR="009240E5">
        <w:rPr>
          <w:rFonts w:ascii="Arial" w:hAnsi="Arial" w:cs="Arial"/>
        </w:rPr>
        <w:t>.</w:t>
      </w:r>
      <w:r w:rsidR="00B22490" w:rsidRPr="00B22490">
        <w:rPr>
          <w:rFonts w:ascii="Arial" w:hAnsi="Arial" w:cs="Arial"/>
        </w:rPr>
        <w:t xml:space="preserve"> </w:t>
      </w:r>
    </w:p>
    <w:p w14:paraId="3BB377D9" w14:textId="54D518A3" w:rsidR="00AD3B21" w:rsidRDefault="00B22490">
      <w:pPr>
        <w:pStyle w:val="NormalnyWeb"/>
        <w:tabs>
          <w:tab w:val="left" w:pos="284"/>
        </w:tabs>
        <w:spacing w:beforeAutospacing="0" w:after="120" w:afterAutospacing="0" w:line="360" w:lineRule="auto"/>
        <w:ind w:firstLine="284"/>
        <w:jc w:val="both"/>
        <w:rPr>
          <w:rFonts w:ascii="Arial" w:hAnsi="Arial" w:cs="Arial"/>
        </w:rPr>
      </w:pPr>
      <w:r w:rsidRPr="00B22490">
        <w:rPr>
          <w:rFonts w:ascii="Arial" w:hAnsi="Arial" w:cs="Arial"/>
        </w:rPr>
        <w:t>Uwzględniono również nowo powstały unijny zharmonizowany wskaźnik ryzyka związanego ze stosowaniem pestycydów HRI1, w kontekście opracowywanej obecnie przez Komisję Europejską strategii „Od pola do stołu”.</w:t>
      </w:r>
    </w:p>
    <w:p w14:paraId="6E5F561C" w14:textId="77777777" w:rsidR="008B5F95" w:rsidRDefault="00923F0D" w:rsidP="00285C32">
      <w:pPr>
        <w:pStyle w:val="Nagwek1"/>
        <w:numPr>
          <w:ilvl w:val="3"/>
          <w:numId w:val="2"/>
        </w:numPr>
        <w:tabs>
          <w:tab w:val="left" w:pos="2552"/>
        </w:tabs>
        <w:ind w:left="284" w:hanging="426"/>
        <w:jc w:val="both"/>
        <w:rPr>
          <w:i w:val="0"/>
          <w:sz w:val="22"/>
          <w:szCs w:val="22"/>
        </w:rPr>
      </w:pPr>
      <w:bookmarkStart w:id="88" w:name="_Toc341876079"/>
      <w:bookmarkStart w:id="89" w:name="_Toc301334597"/>
      <w:bookmarkStart w:id="90" w:name="_Toc300916208"/>
      <w:bookmarkStart w:id="91" w:name="_Toc193716422"/>
      <w:bookmarkEnd w:id="88"/>
      <w:bookmarkEnd w:id="89"/>
      <w:bookmarkEnd w:id="90"/>
      <w:r>
        <w:rPr>
          <w:i w:val="0"/>
          <w:sz w:val="22"/>
          <w:szCs w:val="22"/>
        </w:rPr>
        <w:t>Działanie 12. Utrzymanie efektywnego nadzoru nad obrotem i stosowaniem środków ochrony roślin</w:t>
      </w:r>
      <w:bookmarkEnd w:id="91"/>
      <w:r>
        <w:rPr>
          <w:i w:val="0"/>
          <w:sz w:val="22"/>
          <w:szCs w:val="22"/>
        </w:rPr>
        <w:t xml:space="preserve"> </w:t>
      </w:r>
    </w:p>
    <w:p w14:paraId="5A777312"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Ograniczaniu ryzyka pojawienia się nieprawidłowości związanych z prowadzeniem obrotu i konfekcjonowania oraz stosowaniem środków ochrony roślin służy nie tylko działalność polegająca na wyposażeniu użytkowników profesjonalnych tych środków w odpowiednią wiedzę i narzędzia </w:t>
      </w:r>
      <w:r>
        <w:rPr>
          <w:rFonts w:ascii="Arial" w:hAnsi="Arial" w:cs="Arial"/>
        </w:rPr>
        <w:lastRenderedPageBreak/>
        <w:t xml:space="preserve">pozwalające na ograniczenie stosowania tych środków do niezbędnego minimum. Konieczne w tym zakresie są także działania kontrolne służb państwowych, mające na celu eliminowanie stwierdzanych nieprawidłowości. Działania te, w celu zapewnienia odpowiedniej efektywności, bazują na analizie ryzyka pozwalającej na ukierunkowanie kontroli na obszary o największym prawdopodobieństwie występowania nieprawidłowości. </w:t>
      </w:r>
    </w:p>
    <w:p w14:paraId="33865FF8"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Zgodnie z przepisami ustawy z dnia 18 grudnia 2003 r. o ochronie roślin, nadzór nad obrotem i konfekcjonowaniem oraz stosowaniem środków ochrony roślin należy do obowiązków Państwowej Inspekcji Ochrony Roślin i Nasiennictwa. Eliminowanie przypadków naruszania norm prawnych w zakresie obrotu i konfekcjonowania środków ochrony roślin w zasadniczy sposób wpływa na ograniczenie ryzyka związanego z ich obrotem, a w dalszej kolejności z ich stosowaniem. </w:t>
      </w:r>
    </w:p>
    <w:p w14:paraId="451C6C2F"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Zakres ww. zadań realizowanych przez Państwową Inspekcję Ochrony Roślin i Nasiennictwa obejmuje:</w:t>
      </w:r>
    </w:p>
    <w:p w14:paraId="6E6F1EAA" w14:textId="77777777" w:rsidR="008B5F95" w:rsidRDefault="00923F0D" w:rsidP="00E74A80">
      <w:pPr>
        <w:pStyle w:val="napakapit"/>
        <w:numPr>
          <w:ilvl w:val="0"/>
          <w:numId w:val="4"/>
        </w:numPr>
        <w:ind w:left="851" w:hanging="425"/>
        <w:rPr>
          <w:rFonts w:cs="Arial"/>
        </w:rPr>
      </w:pPr>
      <w:r>
        <w:rPr>
          <w:rFonts w:cs="Arial"/>
        </w:rPr>
        <w:t>kontrolę obrotu środkami ochrony roślin (zapobieganie wprowadzaniu i eliminowanie z obrotu środków niedopuszczonych do obrotu lub podrobionych, stanowiących nieznane zagrożenie dla ludzi, zwierząt i środowiska);</w:t>
      </w:r>
    </w:p>
    <w:p w14:paraId="37F8468F" w14:textId="77777777" w:rsidR="008B5F95" w:rsidRDefault="00923F0D" w:rsidP="00E74A80">
      <w:pPr>
        <w:pStyle w:val="napakapit"/>
        <w:numPr>
          <w:ilvl w:val="0"/>
          <w:numId w:val="4"/>
        </w:numPr>
        <w:ind w:left="851" w:hanging="425"/>
        <w:rPr>
          <w:rFonts w:cs="Arial"/>
        </w:rPr>
      </w:pPr>
      <w:r>
        <w:rPr>
          <w:rFonts w:cs="Arial"/>
        </w:rPr>
        <w:t>badanie jakości środków ochrony roślin znajdujących się w obrocie;</w:t>
      </w:r>
    </w:p>
    <w:p w14:paraId="4AB7BDE1" w14:textId="77777777" w:rsidR="008B5F95" w:rsidRDefault="00923F0D" w:rsidP="00E74A80">
      <w:pPr>
        <w:pStyle w:val="napakapit"/>
        <w:numPr>
          <w:ilvl w:val="0"/>
          <w:numId w:val="4"/>
        </w:numPr>
        <w:ind w:left="851" w:hanging="425"/>
        <w:rPr>
          <w:rFonts w:cs="Arial"/>
        </w:rPr>
      </w:pPr>
      <w:r>
        <w:rPr>
          <w:rFonts w:cs="Arial"/>
        </w:rPr>
        <w:t>kontrolę stosowania środków ochrony roślin w gospodarstwach z produkcją roślinną, w miejscach zaprawiania materiału siewnego, wykonywania zabiegów metodą fumigacji, w magazynach płodów rolnych, w miejscach, gdzie stosowanie środków ochrony roślin może podlegać ograniczeniom lub być zabronione, a także w innych miejscach stosowania tych środków, w tym stosowania zasad integrowanej ochrony roślin;</w:t>
      </w:r>
    </w:p>
    <w:p w14:paraId="05FC4A17" w14:textId="77777777" w:rsidR="008B5F95" w:rsidRDefault="00923F0D" w:rsidP="00E74A80">
      <w:pPr>
        <w:pStyle w:val="napakapit"/>
        <w:numPr>
          <w:ilvl w:val="0"/>
          <w:numId w:val="4"/>
        </w:numPr>
        <w:ind w:left="851" w:hanging="425"/>
        <w:rPr>
          <w:rFonts w:cs="Arial"/>
        </w:rPr>
      </w:pPr>
      <w:r>
        <w:rPr>
          <w:rFonts w:cs="Arial"/>
        </w:rPr>
        <w:t>nadzór nad stosowaniem środków ochrony roślin sprzętem montowanym na statkach powietrznych;</w:t>
      </w:r>
    </w:p>
    <w:p w14:paraId="3AB316AB" w14:textId="77777777" w:rsidR="008B5F95" w:rsidRDefault="00923F0D" w:rsidP="00E74A80">
      <w:pPr>
        <w:pStyle w:val="napakapit"/>
        <w:numPr>
          <w:ilvl w:val="0"/>
          <w:numId w:val="4"/>
        </w:numPr>
        <w:ind w:left="851" w:hanging="425"/>
        <w:rPr>
          <w:rFonts w:cs="Arial"/>
        </w:rPr>
      </w:pPr>
      <w:r>
        <w:rPr>
          <w:rFonts w:cs="Arial"/>
        </w:rPr>
        <w:t>badanie pozostałości środków ochrony roślin w płodach rolnych w ramach kontroli prawidłowości stosowania środków ochrony roślin.</w:t>
      </w:r>
    </w:p>
    <w:p w14:paraId="03796E73" w14:textId="04C3515E"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ramach działania prowadz</w:t>
      </w:r>
      <w:r w:rsidR="00646E89">
        <w:rPr>
          <w:rFonts w:ascii="Arial" w:hAnsi="Arial" w:cs="Arial"/>
        </w:rPr>
        <w:t xml:space="preserve">ony </w:t>
      </w:r>
      <w:r w:rsidR="002D2B2E">
        <w:rPr>
          <w:rFonts w:ascii="Arial" w:hAnsi="Arial" w:cs="Arial"/>
        </w:rPr>
        <w:t>jest</w:t>
      </w:r>
      <w:r>
        <w:rPr>
          <w:rFonts w:ascii="Arial" w:hAnsi="Arial" w:cs="Arial"/>
        </w:rPr>
        <w:t xml:space="preserve"> nadz</w:t>
      </w:r>
      <w:r w:rsidR="002D2B2E">
        <w:rPr>
          <w:rFonts w:ascii="Arial" w:hAnsi="Arial" w:cs="Arial"/>
        </w:rPr>
        <w:t>ór</w:t>
      </w:r>
      <w:r>
        <w:rPr>
          <w:rFonts w:ascii="Arial" w:hAnsi="Arial" w:cs="Arial"/>
        </w:rPr>
        <w:t xml:space="preserve"> nad obrotem środkami ochrony roślin i stosowaniem środków ochrony roślin.</w:t>
      </w:r>
    </w:p>
    <w:p w14:paraId="64B87F0E" w14:textId="118335F3" w:rsidR="00021828" w:rsidRPr="00021828" w:rsidRDefault="00EE72BE" w:rsidP="00EE72BE">
      <w:pPr>
        <w:pStyle w:val="napakapit"/>
        <w:rPr>
          <w:rFonts w:cs="Arial"/>
        </w:rPr>
      </w:pPr>
      <w:r>
        <w:rPr>
          <w:rFonts w:cs="Arial"/>
        </w:rPr>
        <w:t xml:space="preserve">W 2023 r. </w:t>
      </w:r>
      <w:r w:rsidR="00021828" w:rsidRPr="00021828">
        <w:rPr>
          <w:rFonts w:cs="Arial"/>
        </w:rPr>
        <w:t xml:space="preserve">inspektorzy </w:t>
      </w:r>
      <w:r w:rsidR="003118C9">
        <w:rPr>
          <w:rFonts w:cs="Arial"/>
        </w:rPr>
        <w:t xml:space="preserve">Państwowej Inspekcji Ochrony Roślin i Nasiennictwa </w:t>
      </w:r>
      <w:r w:rsidR="00021828" w:rsidRPr="00021828">
        <w:rPr>
          <w:rFonts w:cs="Arial"/>
        </w:rPr>
        <w:t>prowadzili kontrole w</w:t>
      </w:r>
      <w:r w:rsidR="003118C9">
        <w:rPr>
          <w:rFonts w:cs="Arial"/>
        </w:rPr>
        <w:t> </w:t>
      </w:r>
      <w:r w:rsidR="00021828" w:rsidRPr="00021828">
        <w:rPr>
          <w:rFonts w:cs="Arial"/>
        </w:rPr>
        <w:t xml:space="preserve">punktach obrotu i konfekcjonowania środków ochrony roślin. Szczegółowe dane przedstawia tabela </w:t>
      </w:r>
      <w:r w:rsidR="0031701B">
        <w:rPr>
          <w:rFonts w:cs="Arial"/>
        </w:rPr>
        <w:t xml:space="preserve">13 </w:t>
      </w:r>
      <w:r w:rsidR="00021828" w:rsidRPr="00021828">
        <w:rPr>
          <w:rFonts w:cs="Arial"/>
        </w:rPr>
        <w:t xml:space="preserve">poniżej. </w:t>
      </w:r>
    </w:p>
    <w:tbl>
      <w:tblPr>
        <w:tblStyle w:val="Tabela-Siatka"/>
        <w:tblW w:w="9067" w:type="dxa"/>
        <w:tblLook w:val="04A0" w:firstRow="1" w:lastRow="0" w:firstColumn="1" w:lastColumn="0" w:noHBand="0" w:noVBand="1"/>
      </w:tblPr>
      <w:tblGrid>
        <w:gridCol w:w="2974"/>
        <w:gridCol w:w="1218"/>
        <w:gridCol w:w="1219"/>
        <w:gridCol w:w="1218"/>
        <w:gridCol w:w="1219"/>
        <w:gridCol w:w="1219"/>
      </w:tblGrid>
      <w:tr w:rsidR="003118C9" w:rsidRPr="00021828" w14:paraId="5874FFBB" w14:textId="7912EC2E" w:rsidTr="003118C9">
        <w:tc>
          <w:tcPr>
            <w:tcW w:w="2974" w:type="dxa"/>
          </w:tcPr>
          <w:p w14:paraId="14EF3699" w14:textId="77777777" w:rsidR="003118C9" w:rsidRPr="00021828" w:rsidRDefault="003118C9" w:rsidP="00021828">
            <w:pPr>
              <w:tabs>
                <w:tab w:val="left" w:pos="284"/>
              </w:tabs>
              <w:spacing w:after="120" w:line="360" w:lineRule="auto"/>
              <w:jc w:val="both"/>
              <w:rPr>
                <w:rFonts w:ascii="Arial" w:hAnsi="Arial" w:cs="Arial"/>
                <w:b/>
                <w:bCs/>
              </w:rPr>
            </w:pPr>
            <w:r w:rsidRPr="00021828">
              <w:rPr>
                <w:rFonts w:ascii="Arial" w:hAnsi="Arial" w:cs="Arial"/>
                <w:b/>
                <w:bCs/>
              </w:rPr>
              <w:t>Rok</w:t>
            </w:r>
          </w:p>
        </w:tc>
        <w:tc>
          <w:tcPr>
            <w:tcW w:w="1218" w:type="dxa"/>
            <w:vAlign w:val="center"/>
          </w:tcPr>
          <w:p w14:paraId="157C154A" w14:textId="77777777" w:rsidR="003118C9" w:rsidRPr="00070615" w:rsidRDefault="003118C9" w:rsidP="00021828">
            <w:pPr>
              <w:tabs>
                <w:tab w:val="left" w:pos="284"/>
              </w:tabs>
              <w:spacing w:after="120" w:line="360" w:lineRule="auto"/>
              <w:jc w:val="center"/>
              <w:rPr>
                <w:rFonts w:ascii="Arial" w:hAnsi="Arial" w:cs="Arial"/>
                <w:b/>
                <w:bCs/>
              </w:rPr>
            </w:pPr>
            <w:r w:rsidRPr="00070615">
              <w:rPr>
                <w:rFonts w:ascii="Arial" w:hAnsi="Arial" w:cs="Arial"/>
                <w:b/>
                <w:bCs/>
              </w:rPr>
              <w:t>2019</w:t>
            </w:r>
          </w:p>
        </w:tc>
        <w:tc>
          <w:tcPr>
            <w:tcW w:w="1219" w:type="dxa"/>
            <w:vAlign w:val="center"/>
          </w:tcPr>
          <w:p w14:paraId="544969A2" w14:textId="77777777" w:rsidR="003118C9" w:rsidRPr="00070615" w:rsidRDefault="003118C9" w:rsidP="00021828">
            <w:pPr>
              <w:tabs>
                <w:tab w:val="left" w:pos="284"/>
              </w:tabs>
              <w:spacing w:after="120" w:line="360" w:lineRule="auto"/>
              <w:jc w:val="center"/>
              <w:rPr>
                <w:rFonts w:ascii="Arial" w:hAnsi="Arial" w:cs="Arial"/>
                <w:b/>
                <w:bCs/>
              </w:rPr>
            </w:pPr>
            <w:r w:rsidRPr="00070615">
              <w:rPr>
                <w:rFonts w:ascii="Arial" w:hAnsi="Arial" w:cs="Arial"/>
                <w:b/>
                <w:bCs/>
              </w:rPr>
              <w:t>2020</w:t>
            </w:r>
          </w:p>
        </w:tc>
        <w:tc>
          <w:tcPr>
            <w:tcW w:w="1218" w:type="dxa"/>
            <w:vAlign w:val="center"/>
          </w:tcPr>
          <w:p w14:paraId="1F665D12" w14:textId="77777777" w:rsidR="003118C9" w:rsidRPr="00070615" w:rsidRDefault="003118C9" w:rsidP="00021828">
            <w:pPr>
              <w:tabs>
                <w:tab w:val="left" w:pos="284"/>
              </w:tabs>
              <w:spacing w:after="120" w:line="360" w:lineRule="auto"/>
              <w:jc w:val="center"/>
              <w:rPr>
                <w:rFonts w:ascii="Arial" w:hAnsi="Arial" w:cs="Arial"/>
                <w:b/>
                <w:bCs/>
              </w:rPr>
            </w:pPr>
            <w:r w:rsidRPr="00070615">
              <w:rPr>
                <w:rFonts w:ascii="Arial" w:hAnsi="Arial" w:cs="Arial"/>
                <w:b/>
                <w:bCs/>
              </w:rPr>
              <w:t>2021</w:t>
            </w:r>
          </w:p>
        </w:tc>
        <w:tc>
          <w:tcPr>
            <w:tcW w:w="1219" w:type="dxa"/>
            <w:vAlign w:val="center"/>
          </w:tcPr>
          <w:p w14:paraId="350D40A0" w14:textId="77777777" w:rsidR="003118C9" w:rsidRPr="00070615" w:rsidRDefault="003118C9" w:rsidP="00021828">
            <w:pPr>
              <w:tabs>
                <w:tab w:val="left" w:pos="284"/>
              </w:tabs>
              <w:spacing w:after="120" w:line="360" w:lineRule="auto"/>
              <w:jc w:val="center"/>
              <w:rPr>
                <w:rFonts w:ascii="Arial" w:hAnsi="Arial" w:cs="Arial"/>
                <w:b/>
                <w:bCs/>
              </w:rPr>
            </w:pPr>
            <w:r w:rsidRPr="00070615">
              <w:rPr>
                <w:rFonts w:ascii="Arial" w:hAnsi="Arial" w:cs="Arial"/>
                <w:b/>
                <w:bCs/>
              </w:rPr>
              <w:t>2022</w:t>
            </w:r>
          </w:p>
        </w:tc>
        <w:tc>
          <w:tcPr>
            <w:tcW w:w="1219" w:type="dxa"/>
          </w:tcPr>
          <w:p w14:paraId="65FB9227" w14:textId="672C9752" w:rsidR="003118C9" w:rsidRPr="00070615" w:rsidRDefault="003118C9" w:rsidP="00021828">
            <w:pPr>
              <w:tabs>
                <w:tab w:val="left" w:pos="284"/>
              </w:tabs>
              <w:spacing w:after="120" w:line="360" w:lineRule="auto"/>
              <w:jc w:val="center"/>
              <w:rPr>
                <w:rFonts w:ascii="Arial" w:hAnsi="Arial" w:cs="Arial"/>
                <w:b/>
                <w:bCs/>
              </w:rPr>
            </w:pPr>
            <w:r w:rsidRPr="00070615">
              <w:rPr>
                <w:rFonts w:ascii="Arial" w:hAnsi="Arial" w:cs="Arial"/>
                <w:b/>
                <w:bCs/>
              </w:rPr>
              <w:t>2023</w:t>
            </w:r>
          </w:p>
        </w:tc>
      </w:tr>
      <w:tr w:rsidR="003118C9" w:rsidRPr="00021828" w14:paraId="1CABA86F" w14:textId="557F4C28" w:rsidTr="003118C9">
        <w:tc>
          <w:tcPr>
            <w:tcW w:w="2974" w:type="dxa"/>
          </w:tcPr>
          <w:p w14:paraId="1B839F53" w14:textId="77777777" w:rsidR="003118C9" w:rsidRPr="00021828" w:rsidRDefault="003118C9" w:rsidP="00021828">
            <w:pPr>
              <w:tabs>
                <w:tab w:val="left" w:pos="284"/>
              </w:tabs>
              <w:spacing w:after="120" w:line="360" w:lineRule="auto"/>
              <w:jc w:val="both"/>
              <w:rPr>
                <w:rFonts w:ascii="Arial" w:hAnsi="Arial" w:cs="Arial"/>
              </w:rPr>
            </w:pPr>
            <w:r w:rsidRPr="00021828">
              <w:rPr>
                <w:rFonts w:ascii="Arial" w:hAnsi="Arial" w:cs="Arial"/>
              </w:rPr>
              <w:t>Liczba kontroli w punktach obrotu i konfekcjonowania</w:t>
            </w:r>
          </w:p>
        </w:tc>
        <w:tc>
          <w:tcPr>
            <w:tcW w:w="1218" w:type="dxa"/>
            <w:vAlign w:val="center"/>
          </w:tcPr>
          <w:p w14:paraId="162800AE" w14:textId="77777777" w:rsidR="003118C9" w:rsidRPr="00021828" w:rsidRDefault="003118C9" w:rsidP="00021828">
            <w:pPr>
              <w:tabs>
                <w:tab w:val="left" w:pos="284"/>
              </w:tabs>
              <w:spacing w:after="120" w:line="360" w:lineRule="auto"/>
              <w:jc w:val="center"/>
              <w:rPr>
                <w:rFonts w:ascii="Arial" w:hAnsi="Arial" w:cs="Arial"/>
              </w:rPr>
            </w:pPr>
            <w:r w:rsidRPr="00021828">
              <w:rPr>
                <w:rFonts w:ascii="Arial" w:hAnsi="Arial" w:cs="Arial"/>
              </w:rPr>
              <w:t>6 773</w:t>
            </w:r>
          </w:p>
        </w:tc>
        <w:tc>
          <w:tcPr>
            <w:tcW w:w="1219" w:type="dxa"/>
            <w:vAlign w:val="center"/>
          </w:tcPr>
          <w:p w14:paraId="17AED6B9" w14:textId="77777777" w:rsidR="003118C9" w:rsidRPr="00021828" w:rsidRDefault="003118C9" w:rsidP="00021828">
            <w:pPr>
              <w:tabs>
                <w:tab w:val="left" w:pos="284"/>
              </w:tabs>
              <w:spacing w:after="120" w:line="360" w:lineRule="auto"/>
              <w:jc w:val="center"/>
              <w:rPr>
                <w:rFonts w:ascii="Arial" w:hAnsi="Arial" w:cs="Arial"/>
              </w:rPr>
            </w:pPr>
            <w:r w:rsidRPr="00021828">
              <w:rPr>
                <w:rFonts w:ascii="Arial" w:hAnsi="Arial" w:cs="Arial"/>
              </w:rPr>
              <w:t>5 595</w:t>
            </w:r>
          </w:p>
        </w:tc>
        <w:tc>
          <w:tcPr>
            <w:tcW w:w="1218" w:type="dxa"/>
            <w:vAlign w:val="center"/>
          </w:tcPr>
          <w:p w14:paraId="297043EF" w14:textId="77777777" w:rsidR="003118C9" w:rsidRPr="00021828" w:rsidRDefault="003118C9" w:rsidP="00021828">
            <w:pPr>
              <w:tabs>
                <w:tab w:val="left" w:pos="284"/>
              </w:tabs>
              <w:spacing w:after="120" w:line="360" w:lineRule="auto"/>
              <w:jc w:val="center"/>
              <w:rPr>
                <w:rFonts w:ascii="Arial" w:hAnsi="Arial" w:cs="Arial"/>
              </w:rPr>
            </w:pPr>
            <w:r w:rsidRPr="00021828">
              <w:rPr>
                <w:rFonts w:ascii="Arial" w:hAnsi="Arial" w:cs="Arial"/>
              </w:rPr>
              <w:t>5 121</w:t>
            </w:r>
          </w:p>
        </w:tc>
        <w:tc>
          <w:tcPr>
            <w:tcW w:w="1219" w:type="dxa"/>
            <w:vAlign w:val="center"/>
          </w:tcPr>
          <w:p w14:paraId="52EB01AA" w14:textId="77777777" w:rsidR="003118C9" w:rsidRPr="00021828" w:rsidRDefault="003118C9" w:rsidP="00021828">
            <w:pPr>
              <w:tabs>
                <w:tab w:val="left" w:pos="284"/>
              </w:tabs>
              <w:spacing w:after="120" w:line="360" w:lineRule="auto"/>
              <w:jc w:val="center"/>
              <w:rPr>
                <w:rFonts w:ascii="Arial" w:hAnsi="Arial" w:cs="Arial"/>
              </w:rPr>
            </w:pPr>
            <w:r w:rsidRPr="00021828">
              <w:rPr>
                <w:rFonts w:ascii="Arial" w:hAnsi="Arial" w:cs="Arial"/>
              </w:rPr>
              <w:t>5 846</w:t>
            </w:r>
          </w:p>
        </w:tc>
        <w:tc>
          <w:tcPr>
            <w:tcW w:w="1219" w:type="dxa"/>
            <w:vAlign w:val="center"/>
          </w:tcPr>
          <w:p w14:paraId="0F997845" w14:textId="1FE5BDC9" w:rsidR="003118C9" w:rsidRPr="00070615" w:rsidRDefault="003118C9" w:rsidP="00AD3069">
            <w:pPr>
              <w:tabs>
                <w:tab w:val="left" w:pos="284"/>
              </w:tabs>
              <w:spacing w:after="120" w:line="360" w:lineRule="auto"/>
              <w:jc w:val="center"/>
              <w:rPr>
                <w:rFonts w:ascii="Arial" w:hAnsi="Arial" w:cs="Arial"/>
              </w:rPr>
            </w:pPr>
            <w:r w:rsidRPr="00070615">
              <w:rPr>
                <w:rFonts w:ascii="Arial" w:hAnsi="Arial" w:cs="Arial"/>
              </w:rPr>
              <w:t>4 334</w:t>
            </w:r>
          </w:p>
        </w:tc>
      </w:tr>
      <w:tr w:rsidR="003118C9" w:rsidRPr="00021828" w14:paraId="00947E47" w14:textId="10E40401" w:rsidTr="003118C9">
        <w:tc>
          <w:tcPr>
            <w:tcW w:w="2974" w:type="dxa"/>
          </w:tcPr>
          <w:p w14:paraId="00695D5B" w14:textId="77777777" w:rsidR="003118C9" w:rsidRPr="00021828" w:rsidRDefault="003118C9" w:rsidP="00021828">
            <w:pPr>
              <w:tabs>
                <w:tab w:val="left" w:pos="284"/>
              </w:tabs>
              <w:spacing w:after="120" w:line="360" w:lineRule="auto"/>
              <w:jc w:val="both"/>
              <w:rPr>
                <w:rFonts w:ascii="Arial" w:hAnsi="Arial" w:cs="Arial"/>
              </w:rPr>
            </w:pPr>
            <w:r w:rsidRPr="00021828">
              <w:rPr>
                <w:rFonts w:ascii="Arial" w:hAnsi="Arial" w:cs="Arial"/>
              </w:rPr>
              <w:t xml:space="preserve">          - w tym rekontroli</w:t>
            </w:r>
          </w:p>
        </w:tc>
        <w:tc>
          <w:tcPr>
            <w:tcW w:w="1218" w:type="dxa"/>
            <w:vAlign w:val="center"/>
          </w:tcPr>
          <w:p w14:paraId="5A1C107D" w14:textId="77777777" w:rsidR="003118C9" w:rsidRPr="00021828" w:rsidRDefault="003118C9" w:rsidP="00021828">
            <w:pPr>
              <w:tabs>
                <w:tab w:val="left" w:pos="284"/>
              </w:tabs>
              <w:spacing w:after="120" w:line="360" w:lineRule="auto"/>
              <w:jc w:val="center"/>
              <w:rPr>
                <w:rFonts w:ascii="Arial" w:hAnsi="Arial" w:cs="Arial"/>
              </w:rPr>
            </w:pPr>
            <w:r w:rsidRPr="00021828">
              <w:rPr>
                <w:rFonts w:ascii="Arial" w:hAnsi="Arial" w:cs="Arial"/>
              </w:rPr>
              <w:t>36</w:t>
            </w:r>
          </w:p>
        </w:tc>
        <w:tc>
          <w:tcPr>
            <w:tcW w:w="1219" w:type="dxa"/>
            <w:vAlign w:val="center"/>
          </w:tcPr>
          <w:p w14:paraId="01B165C7" w14:textId="77777777" w:rsidR="003118C9" w:rsidRPr="00021828" w:rsidRDefault="003118C9" w:rsidP="00021828">
            <w:pPr>
              <w:tabs>
                <w:tab w:val="left" w:pos="284"/>
              </w:tabs>
              <w:spacing w:after="120" w:line="360" w:lineRule="auto"/>
              <w:jc w:val="center"/>
              <w:rPr>
                <w:rFonts w:ascii="Arial" w:hAnsi="Arial" w:cs="Arial"/>
              </w:rPr>
            </w:pPr>
            <w:r w:rsidRPr="00021828">
              <w:rPr>
                <w:rFonts w:ascii="Arial" w:hAnsi="Arial" w:cs="Arial"/>
              </w:rPr>
              <w:t>35</w:t>
            </w:r>
          </w:p>
        </w:tc>
        <w:tc>
          <w:tcPr>
            <w:tcW w:w="1218" w:type="dxa"/>
            <w:vAlign w:val="center"/>
          </w:tcPr>
          <w:p w14:paraId="0D9A3905" w14:textId="77777777" w:rsidR="003118C9" w:rsidRPr="00021828" w:rsidRDefault="003118C9" w:rsidP="00021828">
            <w:pPr>
              <w:tabs>
                <w:tab w:val="left" w:pos="284"/>
              </w:tabs>
              <w:spacing w:after="120" w:line="360" w:lineRule="auto"/>
              <w:jc w:val="center"/>
              <w:rPr>
                <w:rFonts w:ascii="Arial" w:hAnsi="Arial" w:cs="Arial"/>
              </w:rPr>
            </w:pPr>
            <w:r w:rsidRPr="00021828">
              <w:rPr>
                <w:rFonts w:ascii="Arial" w:hAnsi="Arial" w:cs="Arial"/>
              </w:rPr>
              <w:t>14</w:t>
            </w:r>
          </w:p>
        </w:tc>
        <w:tc>
          <w:tcPr>
            <w:tcW w:w="1219" w:type="dxa"/>
            <w:vAlign w:val="center"/>
          </w:tcPr>
          <w:p w14:paraId="708A315C" w14:textId="77777777" w:rsidR="003118C9" w:rsidRPr="00021828" w:rsidRDefault="003118C9" w:rsidP="00021828">
            <w:pPr>
              <w:tabs>
                <w:tab w:val="left" w:pos="284"/>
              </w:tabs>
              <w:spacing w:after="120" w:line="360" w:lineRule="auto"/>
              <w:jc w:val="center"/>
              <w:rPr>
                <w:rFonts w:ascii="Arial" w:hAnsi="Arial" w:cs="Arial"/>
              </w:rPr>
            </w:pPr>
            <w:r w:rsidRPr="00021828">
              <w:rPr>
                <w:rFonts w:ascii="Arial" w:hAnsi="Arial" w:cs="Arial"/>
              </w:rPr>
              <w:t>14</w:t>
            </w:r>
          </w:p>
        </w:tc>
        <w:tc>
          <w:tcPr>
            <w:tcW w:w="1219" w:type="dxa"/>
            <w:vAlign w:val="center"/>
          </w:tcPr>
          <w:p w14:paraId="167A4872" w14:textId="21D1C15D" w:rsidR="003118C9" w:rsidRPr="00070615" w:rsidRDefault="003118C9" w:rsidP="00AD3069">
            <w:pPr>
              <w:tabs>
                <w:tab w:val="left" w:pos="284"/>
              </w:tabs>
              <w:spacing w:after="120" w:line="360" w:lineRule="auto"/>
              <w:jc w:val="center"/>
              <w:rPr>
                <w:rFonts w:ascii="Arial" w:hAnsi="Arial" w:cs="Arial"/>
              </w:rPr>
            </w:pPr>
            <w:r w:rsidRPr="00070615">
              <w:rPr>
                <w:rFonts w:ascii="Arial" w:hAnsi="Arial" w:cs="Arial"/>
              </w:rPr>
              <w:t>8</w:t>
            </w:r>
          </w:p>
        </w:tc>
      </w:tr>
    </w:tbl>
    <w:p w14:paraId="5BBD13FA" w14:textId="77777777" w:rsidR="00021828" w:rsidRPr="00021828" w:rsidRDefault="00021828" w:rsidP="00021828">
      <w:pPr>
        <w:tabs>
          <w:tab w:val="left" w:pos="284"/>
        </w:tabs>
        <w:spacing w:before="120" w:after="120" w:line="360" w:lineRule="auto"/>
        <w:ind w:firstLine="284"/>
        <w:jc w:val="both"/>
        <w:rPr>
          <w:rFonts w:ascii="Arial" w:hAnsi="Arial" w:cs="Arial"/>
        </w:rPr>
      </w:pPr>
      <w:r w:rsidRPr="00021828">
        <w:rPr>
          <w:rFonts w:ascii="Arial" w:hAnsi="Arial" w:cs="Arial"/>
        </w:rPr>
        <w:t xml:space="preserve">Kontrole przeprowadzane były zarówno w miejscach zaewidencjonowanych przez Inspekcję </w:t>
      </w:r>
      <w:r w:rsidRPr="00021828">
        <w:rPr>
          <w:rFonts w:ascii="Arial" w:hAnsi="Arial" w:cs="Arial"/>
        </w:rPr>
        <w:lastRenderedPageBreak/>
        <w:t>w rejestrach przedsiębiorców wykonujących działalność w zakresie konfekcjonowania lub obrotu środkami ochrony roślin, tj. w hurtowniach, punktach obrotu detalicznego, punktach konfekcjonowania środków ochrony roślin, a także miejscach produkcji środków ochrony roślin, u producentów środków ochrony roślin, jak również w innych miejscach, w których jest lub może być prowadzony obrót takimi środkami i zaprawionym materiałem siewnym (np. targowiska). Przeprowadzano także kontrole obrotu środkami ochrony roślin w grupach producenckich, u posiadaczy zezwoleń Ministra Rolnictwa i Rozwoju Wsi na wprowadzanie do obrotu środków ochrony roślin lub pozwoleń na handel równoległy tymi produktami, w miejscach składowania środków ochrony roślin, w firmach logistycznych, transportowych i u przewoźników środków ochrony roślin oraz na przejściach granicznych.</w:t>
      </w:r>
    </w:p>
    <w:p w14:paraId="7FB441C6" w14:textId="7EC4B73C"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 xml:space="preserve">Spośród przeprowadzanych kontroli stwierdzono nieprawidłowości. </w:t>
      </w:r>
      <w:r w:rsidR="003D7912" w:rsidRPr="003D7912">
        <w:rPr>
          <w:rFonts w:ascii="Arial" w:hAnsi="Arial" w:cs="Arial"/>
        </w:rPr>
        <w:t>Najczęściej stwierdzane dotyczyły braku posiadania szkolenia w zakresie doradztwa dotyczącego środków ochrony roślin, prowadzenia działalności w zakresie wprowadzania do obrotu środków ochrony roślin bez wpisu do rejestru, oraz wprowadzania do obrotu środków ochrony roślin po upływie terminu ważności.</w:t>
      </w:r>
      <w:r w:rsidRPr="00021828">
        <w:rPr>
          <w:rFonts w:ascii="Arial" w:hAnsi="Arial" w:cs="Arial"/>
        </w:rPr>
        <w:t xml:space="preserve"> </w:t>
      </w:r>
    </w:p>
    <w:p w14:paraId="414C3A12" w14:textId="77777777"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W związku ze stwierdzonymi nieprawidłowościami wydawano mandaty karne, decyzje o określeniu opłaty sankcyjnej, oraz decyzje o wycofaniu środków ochrony roślin z obrotu i wnioski do sądu.</w:t>
      </w:r>
    </w:p>
    <w:p w14:paraId="0F1BADC1" w14:textId="6B5EC4D4" w:rsidR="003118C9" w:rsidRPr="00021828" w:rsidRDefault="00021828" w:rsidP="00895FE0">
      <w:pPr>
        <w:tabs>
          <w:tab w:val="left" w:pos="284"/>
        </w:tabs>
        <w:spacing w:after="120" w:line="360" w:lineRule="auto"/>
        <w:ind w:firstLine="284"/>
        <w:jc w:val="both"/>
        <w:rPr>
          <w:rFonts w:ascii="Arial" w:hAnsi="Arial" w:cs="Arial"/>
        </w:rPr>
      </w:pPr>
      <w:r w:rsidRPr="00021828">
        <w:rPr>
          <w:rFonts w:ascii="Arial" w:hAnsi="Arial" w:cs="Arial"/>
        </w:rPr>
        <w:t xml:space="preserve">Szczegółowe dane przedstawia tabela </w:t>
      </w:r>
      <w:r w:rsidR="0031701B">
        <w:rPr>
          <w:rFonts w:ascii="Arial" w:hAnsi="Arial" w:cs="Arial"/>
        </w:rPr>
        <w:t xml:space="preserve">14 </w:t>
      </w:r>
      <w:r w:rsidRPr="00021828">
        <w:rPr>
          <w:rFonts w:ascii="Arial" w:hAnsi="Arial" w:cs="Arial"/>
        </w:rPr>
        <w:t>poniżej.</w:t>
      </w:r>
    </w:p>
    <w:tbl>
      <w:tblPr>
        <w:tblStyle w:val="Tabela-Siatka"/>
        <w:tblW w:w="0" w:type="auto"/>
        <w:tblLook w:val="04A0" w:firstRow="1" w:lastRow="0" w:firstColumn="1" w:lastColumn="0" w:noHBand="0" w:noVBand="1"/>
      </w:tblPr>
      <w:tblGrid>
        <w:gridCol w:w="1100"/>
        <w:gridCol w:w="1175"/>
        <w:gridCol w:w="1883"/>
        <w:gridCol w:w="1206"/>
        <w:gridCol w:w="1262"/>
        <w:gridCol w:w="1248"/>
        <w:gridCol w:w="1188"/>
      </w:tblGrid>
      <w:tr w:rsidR="00021828" w:rsidRPr="00021828" w14:paraId="74E67A50" w14:textId="77777777" w:rsidTr="00D4307B">
        <w:tc>
          <w:tcPr>
            <w:tcW w:w="1100" w:type="dxa"/>
            <w:vAlign w:val="center"/>
          </w:tcPr>
          <w:p w14:paraId="11D2AE4A"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Rok</w:t>
            </w:r>
          </w:p>
        </w:tc>
        <w:tc>
          <w:tcPr>
            <w:tcW w:w="1175" w:type="dxa"/>
            <w:vAlign w:val="center"/>
          </w:tcPr>
          <w:p w14:paraId="5A75144A"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Liczba kontroli ogółem</w:t>
            </w:r>
          </w:p>
        </w:tc>
        <w:tc>
          <w:tcPr>
            <w:tcW w:w="1883" w:type="dxa"/>
            <w:vAlign w:val="center"/>
          </w:tcPr>
          <w:p w14:paraId="589838B1"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Liczba kontroli, w toku których stwierdzono nieprawidłowości</w:t>
            </w:r>
          </w:p>
        </w:tc>
        <w:tc>
          <w:tcPr>
            <w:tcW w:w="1206" w:type="dxa"/>
            <w:vAlign w:val="center"/>
          </w:tcPr>
          <w:p w14:paraId="62C3C806"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Mandaty karne</w:t>
            </w:r>
          </w:p>
        </w:tc>
        <w:tc>
          <w:tcPr>
            <w:tcW w:w="1262" w:type="dxa"/>
            <w:vAlign w:val="center"/>
          </w:tcPr>
          <w:p w14:paraId="0BDD7356"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Decyzje o określeniu opłaty sankcyjnej</w:t>
            </w:r>
          </w:p>
        </w:tc>
        <w:tc>
          <w:tcPr>
            <w:tcW w:w="1248" w:type="dxa"/>
            <w:vAlign w:val="center"/>
          </w:tcPr>
          <w:p w14:paraId="499E65F6"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Decyzje o wycofaniu środków ochrony roślin</w:t>
            </w:r>
          </w:p>
        </w:tc>
        <w:tc>
          <w:tcPr>
            <w:tcW w:w="1188" w:type="dxa"/>
            <w:vAlign w:val="center"/>
          </w:tcPr>
          <w:p w14:paraId="5CBA5F4A"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Wnioski do sądu</w:t>
            </w:r>
          </w:p>
        </w:tc>
      </w:tr>
      <w:tr w:rsidR="00021828" w:rsidRPr="00021828" w14:paraId="5F92DA8F" w14:textId="77777777" w:rsidTr="00D4307B">
        <w:tc>
          <w:tcPr>
            <w:tcW w:w="1100" w:type="dxa"/>
          </w:tcPr>
          <w:p w14:paraId="75BB51B0"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2019</w:t>
            </w:r>
          </w:p>
        </w:tc>
        <w:tc>
          <w:tcPr>
            <w:tcW w:w="1175" w:type="dxa"/>
          </w:tcPr>
          <w:p w14:paraId="2E39C0DA"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6 773</w:t>
            </w:r>
          </w:p>
        </w:tc>
        <w:tc>
          <w:tcPr>
            <w:tcW w:w="1883" w:type="dxa"/>
          </w:tcPr>
          <w:p w14:paraId="78A84508"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653</w:t>
            </w:r>
          </w:p>
        </w:tc>
        <w:tc>
          <w:tcPr>
            <w:tcW w:w="1206" w:type="dxa"/>
          </w:tcPr>
          <w:p w14:paraId="6A6D3BF0"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243</w:t>
            </w:r>
          </w:p>
        </w:tc>
        <w:tc>
          <w:tcPr>
            <w:tcW w:w="1262" w:type="dxa"/>
          </w:tcPr>
          <w:p w14:paraId="7BA16616"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36</w:t>
            </w:r>
          </w:p>
        </w:tc>
        <w:tc>
          <w:tcPr>
            <w:tcW w:w="1248" w:type="dxa"/>
          </w:tcPr>
          <w:p w14:paraId="79D65C84"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58</w:t>
            </w:r>
          </w:p>
        </w:tc>
        <w:tc>
          <w:tcPr>
            <w:tcW w:w="1188" w:type="dxa"/>
          </w:tcPr>
          <w:p w14:paraId="2FA81DFA"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13</w:t>
            </w:r>
          </w:p>
        </w:tc>
      </w:tr>
      <w:tr w:rsidR="00021828" w:rsidRPr="00021828" w14:paraId="14B7B8F0" w14:textId="77777777" w:rsidTr="00D4307B">
        <w:tc>
          <w:tcPr>
            <w:tcW w:w="1100" w:type="dxa"/>
          </w:tcPr>
          <w:p w14:paraId="1FD77884"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2020</w:t>
            </w:r>
          </w:p>
        </w:tc>
        <w:tc>
          <w:tcPr>
            <w:tcW w:w="1175" w:type="dxa"/>
          </w:tcPr>
          <w:p w14:paraId="28372E41"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5 595</w:t>
            </w:r>
          </w:p>
        </w:tc>
        <w:tc>
          <w:tcPr>
            <w:tcW w:w="1883" w:type="dxa"/>
          </w:tcPr>
          <w:p w14:paraId="67F64655"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229</w:t>
            </w:r>
          </w:p>
        </w:tc>
        <w:tc>
          <w:tcPr>
            <w:tcW w:w="1206" w:type="dxa"/>
          </w:tcPr>
          <w:p w14:paraId="6DF51919"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123</w:t>
            </w:r>
          </w:p>
        </w:tc>
        <w:tc>
          <w:tcPr>
            <w:tcW w:w="1262" w:type="dxa"/>
          </w:tcPr>
          <w:p w14:paraId="6ED0B556"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28</w:t>
            </w:r>
          </w:p>
        </w:tc>
        <w:tc>
          <w:tcPr>
            <w:tcW w:w="1248" w:type="dxa"/>
          </w:tcPr>
          <w:p w14:paraId="57C99BC0"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34</w:t>
            </w:r>
          </w:p>
        </w:tc>
        <w:tc>
          <w:tcPr>
            <w:tcW w:w="1188" w:type="dxa"/>
          </w:tcPr>
          <w:p w14:paraId="6C690A29"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13</w:t>
            </w:r>
          </w:p>
        </w:tc>
      </w:tr>
      <w:tr w:rsidR="00021828" w:rsidRPr="00021828" w14:paraId="5DD6C534" w14:textId="77777777" w:rsidTr="00D4307B">
        <w:tc>
          <w:tcPr>
            <w:tcW w:w="1100" w:type="dxa"/>
          </w:tcPr>
          <w:p w14:paraId="673E9458"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2021</w:t>
            </w:r>
          </w:p>
        </w:tc>
        <w:tc>
          <w:tcPr>
            <w:tcW w:w="1175" w:type="dxa"/>
          </w:tcPr>
          <w:p w14:paraId="66CDE6E8"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5 121</w:t>
            </w:r>
          </w:p>
        </w:tc>
        <w:tc>
          <w:tcPr>
            <w:tcW w:w="1883" w:type="dxa"/>
          </w:tcPr>
          <w:p w14:paraId="0420448D"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325</w:t>
            </w:r>
          </w:p>
        </w:tc>
        <w:tc>
          <w:tcPr>
            <w:tcW w:w="1206" w:type="dxa"/>
          </w:tcPr>
          <w:p w14:paraId="64F288C5"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99</w:t>
            </w:r>
          </w:p>
        </w:tc>
        <w:tc>
          <w:tcPr>
            <w:tcW w:w="1262" w:type="dxa"/>
          </w:tcPr>
          <w:p w14:paraId="4775EC92"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26</w:t>
            </w:r>
          </w:p>
        </w:tc>
        <w:tc>
          <w:tcPr>
            <w:tcW w:w="1248" w:type="dxa"/>
          </w:tcPr>
          <w:p w14:paraId="12017250"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35</w:t>
            </w:r>
          </w:p>
        </w:tc>
        <w:tc>
          <w:tcPr>
            <w:tcW w:w="1188" w:type="dxa"/>
          </w:tcPr>
          <w:p w14:paraId="5C8B0F4C"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15</w:t>
            </w:r>
          </w:p>
        </w:tc>
      </w:tr>
      <w:tr w:rsidR="00021828" w:rsidRPr="00021828" w14:paraId="38706ABF" w14:textId="77777777" w:rsidTr="00D4307B">
        <w:tc>
          <w:tcPr>
            <w:tcW w:w="1100" w:type="dxa"/>
          </w:tcPr>
          <w:p w14:paraId="135839A1"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2022</w:t>
            </w:r>
          </w:p>
        </w:tc>
        <w:tc>
          <w:tcPr>
            <w:tcW w:w="1175" w:type="dxa"/>
          </w:tcPr>
          <w:p w14:paraId="3AA791E2"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5 846</w:t>
            </w:r>
          </w:p>
        </w:tc>
        <w:tc>
          <w:tcPr>
            <w:tcW w:w="1883" w:type="dxa"/>
          </w:tcPr>
          <w:p w14:paraId="49944E03"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245</w:t>
            </w:r>
          </w:p>
        </w:tc>
        <w:tc>
          <w:tcPr>
            <w:tcW w:w="1206" w:type="dxa"/>
          </w:tcPr>
          <w:p w14:paraId="5981AACC"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91</w:t>
            </w:r>
          </w:p>
        </w:tc>
        <w:tc>
          <w:tcPr>
            <w:tcW w:w="1262" w:type="dxa"/>
          </w:tcPr>
          <w:p w14:paraId="5E82288D"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50</w:t>
            </w:r>
          </w:p>
        </w:tc>
        <w:tc>
          <w:tcPr>
            <w:tcW w:w="1248" w:type="dxa"/>
          </w:tcPr>
          <w:p w14:paraId="425A9E43"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48</w:t>
            </w:r>
          </w:p>
        </w:tc>
        <w:tc>
          <w:tcPr>
            <w:tcW w:w="1188" w:type="dxa"/>
          </w:tcPr>
          <w:p w14:paraId="29763F8A"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54</w:t>
            </w:r>
          </w:p>
        </w:tc>
      </w:tr>
      <w:tr w:rsidR="00BB0A26" w:rsidRPr="00021828" w14:paraId="3F52E083" w14:textId="77777777" w:rsidTr="00D4307B">
        <w:tc>
          <w:tcPr>
            <w:tcW w:w="1100" w:type="dxa"/>
          </w:tcPr>
          <w:p w14:paraId="3FA51B39" w14:textId="56418F55" w:rsidR="00BB0A26" w:rsidRPr="00021828" w:rsidRDefault="00BB0A26" w:rsidP="00021828">
            <w:pPr>
              <w:tabs>
                <w:tab w:val="left" w:pos="284"/>
              </w:tabs>
              <w:spacing w:after="120" w:line="360" w:lineRule="auto"/>
              <w:jc w:val="center"/>
              <w:rPr>
                <w:rFonts w:ascii="Arial" w:hAnsi="Arial" w:cs="Arial"/>
              </w:rPr>
            </w:pPr>
            <w:r>
              <w:rPr>
                <w:rFonts w:ascii="Arial" w:hAnsi="Arial" w:cs="Arial"/>
              </w:rPr>
              <w:t>2023</w:t>
            </w:r>
          </w:p>
        </w:tc>
        <w:tc>
          <w:tcPr>
            <w:tcW w:w="1175" w:type="dxa"/>
          </w:tcPr>
          <w:p w14:paraId="3C123B0A" w14:textId="6EAAF8C8" w:rsidR="00BB0A26" w:rsidRPr="00021828" w:rsidRDefault="002933ED" w:rsidP="00021828">
            <w:pPr>
              <w:tabs>
                <w:tab w:val="left" w:pos="284"/>
              </w:tabs>
              <w:spacing w:after="120" w:line="360" w:lineRule="auto"/>
              <w:jc w:val="center"/>
              <w:rPr>
                <w:rFonts w:ascii="Arial" w:hAnsi="Arial" w:cs="Arial"/>
              </w:rPr>
            </w:pPr>
            <w:r w:rsidRPr="002933ED">
              <w:rPr>
                <w:rFonts w:ascii="Arial" w:hAnsi="Arial" w:cs="Arial"/>
              </w:rPr>
              <w:t>4 334</w:t>
            </w:r>
          </w:p>
        </w:tc>
        <w:tc>
          <w:tcPr>
            <w:tcW w:w="1883" w:type="dxa"/>
          </w:tcPr>
          <w:p w14:paraId="226FC69A" w14:textId="5E7A41C0" w:rsidR="00BB0A26" w:rsidRPr="00021828" w:rsidRDefault="002933ED" w:rsidP="00021828">
            <w:pPr>
              <w:tabs>
                <w:tab w:val="left" w:pos="284"/>
              </w:tabs>
              <w:spacing w:after="120" w:line="360" w:lineRule="auto"/>
              <w:jc w:val="center"/>
              <w:rPr>
                <w:rFonts w:ascii="Arial" w:hAnsi="Arial" w:cs="Arial"/>
              </w:rPr>
            </w:pPr>
            <w:r>
              <w:rPr>
                <w:rFonts w:ascii="Arial" w:hAnsi="Arial" w:cs="Arial"/>
              </w:rPr>
              <w:t>169</w:t>
            </w:r>
          </w:p>
        </w:tc>
        <w:tc>
          <w:tcPr>
            <w:tcW w:w="1206" w:type="dxa"/>
          </w:tcPr>
          <w:p w14:paraId="3522BEDD" w14:textId="4DCD40ED" w:rsidR="00BB0A26" w:rsidRPr="00021828" w:rsidRDefault="00680B73" w:rsidP="00021828">
            <w:pPr>
              <w:tabs>
                <w:tab w:val="left" w:pos="284"/>
              </w:tabs>
              <w:spacing w:after="120" w:line="360" w:lineRule="auto"/>
              <w:jc w:val="center"/>
              <w:rPr>
                <w:rFonts w:ascii="Arial" w:hAnsi="Arial" w:cs="Arial"/>
              </w:rPr>
            </w:pPr>
            <w:r>
              <w:rPr>
                <w:rFonts w:ascii="Arial" w:hAnsi="Arial" w:cs="Arial"/>
              </w:rPr>
              <w:t>123</w:t>
            </w:r>
          </w:p>
        </w:tc>
        <w:tc>
          <w:tcPr>
            <w:tcW w:w="1262" w:type="dxa"/>
          </w:tcPr>
          <w:p w14:paraId="1100F19D" w14:textId="564093F8" w:rsidR="00BB0A26" w:rsidRPr="00021828" w:rsidRDefault="00680B73" w:rsidP="00021828">
            <w:pPr>
              <w:tabs>
                <w:tab w:val="left" w:pos="284"/>
              </w:tabs>
              <w:spacing w:after="120" w:line="360" w:lineRule="auto"/>
              <w:jc w:val="center"/>
              <w:rPr>
                <w:rFonts w:ascii="Arial" w:hAnsi="Arial" w:cs="Arial"/>
              </w:rPr>
            </w:pPr>
            <w:r>
              <w:rPr>
                <w:rFonts w:ascii="Arial" w:hAnsi="Arial" w:cs="Arial"/>
              </w:rPr>
              <w:t>6</w:t>
            </w:r>
          </w:p>
        </w:tc>
        <w:tc>
          <w:tcPr>
            <w:tcW w:w="1248" w:type="dxa"/>
          </w:tcPr>
          <w:p w14:paraId="6C41D8E4" w14:textId="7EA5BADA" w:rsidR="00BB0A26" w:rsidRPr="00021828" w:rsidRDefault="00680B73" w:rsidP="00021828">
            <w:pPr>
              <w:tabs>
                <w:tab w:val="left" w:pos="284"/>
              </w:tabs>
              <w:spacing w:after="120" w:line="360" w:lineRule="auto"/>
              <w:jc w:val="center"/>
              <w:rPr>
                <w:rFonts w:ascii="Arial" w:hAnsi="Arial" w:cs="Arial"/>
              </w:rPr>
            </w:pPr>
            <w:r>
              <w:rPr>
                <w:rFonts w:ascii="Arial" w:hAnsi="Arial" w:cs="Arial"/>
              </w:rPr>
              <w:t>26</w:t>
            </w:r>
          </w:p>
        </w:tc>
        <w:tc>
          <w:tcPr>
            <w:tcW w:w="1188" w:type="dxa"/>
          </w:tcPr>
          <w:p w14:paraId="352AA042" w14:textId="79A58F40" w:rsidR="00BB0A26" w:rsidRPr="00021828" w:rsidRDefault="00233662" w:rsidP="00021828">
            <w:pPr>
              <w:tabs>
                <w:tab w:val="left" w:pos="284"/>
              </w:tabs>
              <w:spacing w:after="120" w:line="360" w:lineRule="auto"/>
              <w:jc w:val="center"/>
              <w:rPr>
                <w:rFonts w:ascii="Arial" w:hAnsi="Arial" w:cs="Arial"/>
              </w:rPr>
            </w:pPr>
            <w:r>
              <w:rPr>
                <w:rFonts w:ascii="Arial" w:hAnsi="Arial" w:cs="Arial"/>
              </w:rPr>
              <w:t>29</w:t>
            </w:r>
          </w:p>
        </w:tc>
      </w:tr>
    </w:tbl>
    <w:p w14:paraId="4BBC0484" w14:textId="77777777" w:rsidR="00021828" w:rsidRPr="00021828" w:rsidRDefault="00021828" w:rsidP="00021828">
      <w:pPr>
        <w:tabs>
          <w:tab w:val="left" w:pos="284"/>
        </w:tabs>
        <w:spacing w:after="120" w:line="360" w:lineRule="auto"/>
        <w:ind w:firstLine="284"/>
        <w:jc w:val="both"/>
        <w:rPr>
          <w:rFonts w:ascii="Arial" w:hAnsi="Arial" w:cs="Arial"/>
        </w:rPr>
      </w:pPr>
    </w:p>
    <w:p w14:paraId="070621B6" w14:textId="6EF6C687" w:rsidR="00021828" w:rsidRPr="00021828" w:rsidRDefault="00D23D07" w:rsidP="00021828">
      <w:pPr>
        <w:tabs>
          <w:tab w:val="left" w:pos="284"/>
        </w:tabs>
        <w:spacing w:after="120" w:line="360" w:lineRule="auto"/>
        <w:ind w:firstLine="284"/>
        <w:jc w:val="both"/>
        <w:rPr>
          <w:rFonts w:ascii="Arial" w:hAnsi="Arial" w:cs="Arial"/>
        </w:rPr>
      </w:pPr>
      <w:r>
        <w:rPr>
          <w:rFonts w:ascii="Arial" w:hAnsi="Arial" w:cs="Arial"/>
        </w:rPr>
        <w:t>K</w:t>
      </w:r>
      <w:r w:rsidR="00021828" w:rsidRPr="00021828">
        <w:rPr>
          <w:rFonts w:ascii="Arial" w:hAnsi="Arial" w:cs="Arial"/>
        </w:rPr>
        <w:t>ontrola składu i właściwości fizyko–chemicznych środków ochrony roślin prowadzona była przez Państwową Inspekcję Ochrony Roślin i Nasiennictwa w powiązaniu z</w:t>
      </w:r>
      <w:r>
        <w:rPr>
          <w:rFonts w:ascii="Arial" w:hAnsi="Arial" w:cs="Arial"/>
        </w:rPr>
        <w:t xml:space="preserve"> </w:t>
      </w:r>
      <w:r w:rsidR="00021828" w:rsidRPr="00021828">
        <w:rPr>
          <w:rFonts w:ascii="Arial" w:hAnsi="Arial" w:cs="Arial"/>
        </w:rPr>
        <w:t>realizowanymi przez Instytut Ochrony Roślin – PIB zadaniami w ramach dotacji celowej. Zgodnie z opracowanymi wytycznymi dla Państwowej Inspekcji Ochrony Roślin i Nasiennictwa kontrola w powyższym zakresie była ukierunkowana na prewencję, czyli skuteczne wykrywanie możliwie dużej liczby nieprawidłowości w</w:t>
      </w:r>
      <w:r w:rsidR="00BB2B4A">
        <w:rPr>
          <w:rFonts w:ascii="Arial" w:hAnsi="Arial" w:cs="Arial"/>
        </w:rPr>
        <w:t> </w:t>
      </w:r>
      <w:r w:rsidR="00021828" w:rsidRPr="00021828">
        <w:rPr>
          <w:rFonts w:ascii="Arial" w:hAnsi="Arial" w:cs="Arial"/>
        </w:rPr>
        <w:t>sprzedawanych środkach oraz na monitoring, mający na celu uzyskanie obrazu krajowej sytuacji w zakresie jakości środków ochrony roślin znajdujących się w obrocie. Po uwzględnieniu parametrów wykazujących największe korelacje z nieprawidłowościami, tj.:</w:t>
      </w:r>
    </w:p>
    <w:p w14:paraId="1147E9DC" w14:textId="77777777" w:rsidR="00021828" w:rsidRPr="00021828" w:rsidRDefault="00021828" w:rsidP="00E74A80">
      <w:pPr>
        <w:widowControl/>
        <w:numPr>
          <w:ilvl w:val="0"/>
          <w:numId w:val="34"/>
        </w:numPr>
        <w:tabs>
          <w:tab w:val="left" w:pos="720"/>
          <w:tab w:val="left" w:pos="900"/>
          <w:tab w:val="center" w:pos="4536"/>
          <w:tab w:val="right" w:pos="9072"/>
        </w:tabs>
        <w:spacing w:after="120" w:line="360" w:lineRule="auto"/>
        <w:jc w:val="both"/>
        <w:rPr>
          <w:rFonts w:ascii="Arial" w:eastAsiaTheme="minorHAnsi" w:hAnsi="Arial" w:cs="Arial"/>
          <w:lang w:eastAsia="en-US"/>
        </w:rPr>
      </w:pPr>
      <w:r w:rsidRPr="00021828">
        <w:rPr>
          <w:rFonts w:ascii="Arial" w:eastAsiaTheme="minorHAnsi" w:hAnsi="Arial" w:cs="Arial"/>
          <w:lang w:eastAsia="en-US"/>
        </w:rPr>
        <w:t>rodzaj zezwolenia na wprowadzenie środka ochrony roślin do obrotu,</w:t>
      </w:r>
    </w:p>
    <w:p w14:paraId="0EE34CE1" w14:textId="77777777" w:rsidR="00021828" w:rsidRPr="00021828" w:rsidRDefault="00021828" w:rsidP="00E74A80">
      <w:pPr>
        <w:widowControl/>
        <w:numPr>
          <w:ilvl w:val="0"/>
          <w:numId w:val="34"/>
        </w:numPr>
        <w:tabs>
          <w:tab w:val="left" w:pos="720"/>
          <w:tab w:val="left" w:pos="900"/>
          <w:tab w:val="center" w:pos="4536"/>
          <w:tab w:val="right" w:pos="9072"/>
        </w:tabs>
        <w:spacing w:after="120" w:line="360" w:lineRule="auto"/>
        <w:jc w:val="both"/>
        <w:rPr>
          <w:rFonts w:ascii="Arial" w:eastAsiaTheme="minorHAnsi" w:hAnsi="Arial" w:cs="Arial"/>
          <w:lang w:eastAsia="en-US"/>
        </w:rPr>
      </w:pPr>
      <w:r w:rsidRPr="00021828">
        <w:rPr>
          <w:rFonts w:ascii="Arial" w:eastAsiaTheme="minorHAnsi" w:hAnsi="Arial" w:cs="Arial"/>
          <w:lang w:eastAsia="en-US"/>
        </w:rPr>
        <w:lastRenderedPageBreak/>
        <w:t>przeznaczenie środka ochrony roślin (herbicyd, fungicyd, insektycyd, inne),</w:t>
      </w:r>
    </w:p>
    <w:p w14:paraId="410910CE" w14:textId="77777777" w:rsidR="00021828" w:rsidRPr="00021828" w:rsidRDefault="00021828" w:rsidP="00E74A80">
      <w:pPr>
        <w:widowControl/>
        <w:numPr>
          <w:ilvl w:val="0"/>
          <w:numId w:val="34"/>
        </w:numPr>
        <w:tabs>
          <w:tab w:val="left" w:pos="720"/>
          <w:tab w:val="left" w:pos="900"/>
          <w:tab w:val="center" w:pos="4536"/>
          <w:tab w:val="right" w:pos="9072"/>
        </w:tabs>
        <w:spacing w:after="120" w:line="360" w:lineRule="auto"/>
        <w:jc w:val="both"/>
        <w:rPr>
          <w:rFonts w:ascii="Arial" w:eastAsiaTheme="minorHAnsi" w:hAnsi="Arial" w:cs="Arial"/>
          <w:lang w:eastAsia="en-US"/>
        </w:rPr>
      </w:pPr>
      <w:r w:rsidRPr="00021828">
        <w:rPr>
          <w:rFonts w:ascii="Arial" w:eastAsiaTheme="minorHAnsi" w:hAnsi="Arial" w:cs="Arial"/>
          <w:lang w:eastAsia="en-US"/>
        </w:rPr>
        <w:t>formulacja środka</w:t>
      </w:r>
    </w:p>
    <w:p w14:paraId="13D68A1A" w14:textId="6D9AB136" w:rsidR="00021828" w:rsidRPr="00021828" w:rsidRDefault="00021828" w:rsidP="00021828">
      <w:pPr>
        <w:widowControl/>
        <w:tabs>
          <w:tab w:val="center" w:pos="4536"/>
          <w:tab w:val="right" w:pos="9072"/>
        </w:tabs>
        <w:spacing w:after="120" w:line="360" w:lineRule="auto"/>
        <w:jc w:val="both"/>
        <w:rPr>
          <w:rFonts w:ascii="Arial" w:eastAsiaTheme="minorHAnsi" w:hAnsi="Arial" w:cs="Arial"/>
          <w:lang w:eastAsia="en-US"/>
        </w:rPr>
      </w:pPr>
      <w:r w:rsidRPr="00021828">
        <w:rPr>
          <w:rFonts w:ascii="Arial" w:eastAsiaTheme="minorHAnsi" w:hAnsi="Arial" w:cs="Arial"/>
          <w:lang w:eastAsia="en-US"/>
        </w:rPr>
        <w:t>ustalono w 202</w:t>
      </w:r>
      <w:r w:rsidR="00D13444">
        <w:rPr>
          <w:rFonts w:ascii="Arial" w:eastAsiaTheme="minorHAnsi" w:hAnsi="Arial" w:cs="Arial"/>
          <w:lang w:eastAsia="en-US"/>
        </w:rPr>
        <w:t>3</w:t>
      </w:r>
      <w:r w:rsidRPr="00021828">
        <w:rPr>
          <w:rFonts w:ascii="Arial" w:eastAsiaTheme="minorHAnsi" w:hAnsi="Arial" w:cs="Arial"/>
          <w:lang w:eastAsia="en-US"/>
        </w:rPr>
        <w:t xml:space="preserve"> r. – 1</w:t>
      </w:r>
      <w:r w:rsidR="00DB5135">
        <w:rPr>
          <w:rFonts w:ascii="Arial" w:eastAsiaTheme="minorHAnsi" w:hAnsi="Arial" w:cs="Arial"/>
          <w:lang w:eastAsia="en-US"/>
        </w:rPr>
        <w:t>5</w:t>
      </w:r>
      <w:r w:rsidRPr="00021828">
        <w:rPr>
          <w:rFonts w:ascii="Arial" w:eastAsiaTheme="minorHAnsi" w:hAnsi="Arial" w:cs="Arial"/>
          <w:lang w:eastAsia="en-US"/>
        </w:rPr>
        <w:t xml:space="preserve"> charakterystycznych grup środków ochrony roślin, którym przypisano odpowiednią liczbę pobieranych próbek.</w:t>
      </w:r>
    </w:p>
    <w:p w14:paraId="287CC410" w14:textId="6CAE80B2"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 xml:space="preserve">Aplikacja wspierająca Państwową Inspekcję Ochrony Roślin i Nasiennictwa pn. e-kontrole, umożliwiła bezpośrednie przekazywanie danych o statusie pobranych prób i stopniu realizacji poboru w ustalonych grupach środków ochrony roślin. Próbki te, po uwzględnieniu liczby punktów sprzedaży, szacunkowego zużycia środków ochrony roślin oraz powierzchni upraw w poszczególnych województwach, przydzielono do pobrania wojewódzkim inspektoratom. Niezależnie od kontroli podstawowej pobierano także próbki do badań interwencyjnych. </w:t>
      </w:r>
      <w:r w:rsidRPr="00021828">
        <w:rPr>
          <w:rFonts w:ascii="Arial" w:hAnsi="Arial" w:cs="Arial"/>
          <w:bCs/>
        </w:rPr>
        <w:t>W</w:t>
      </w:r>
      <w:r w:rsidR="00402780">
        <w:rPr>
          <w:rFonts w:ascii="Arial" w:hAnsi="Arial" w:cs="Arial"/>
          <w:bCs/>
        </w:rPr>
        <w:t xml:space="preserve"> 2023 r.</w:t>
      </w:r>
      <w:r w:rsidRPr="00021828">
        <w:rPr>
          <w:rFonts w:ascii="Arial" w:hAnsi="Arial" w:cs="Arial"/>
          <w:b/>
        </w:rPr>
        <w:t xml:space="preserve"> </w:t>
      </w:r>
      <w:r w:rsidRPr="00021828">
        <w:rPr>
          <w:rFonts w:ascii="Arial" w:hAnsi="Arial" w:cs="Arial"/>
        </w:rPr>
        <w:t>pobierano i</w:t>
      </w:r>
      <w:r w:rsidR="003A41A0">
        <w:rPr>
          <w:rFonts w:ascii="Arial" w:hAnsi="Arial" w:cs="Arial"/>
        </w:rPr>
        <w:t xml:space="preserve"> </w:t>
      </w:r>
      <w:r w:rsidRPr="00021828">
        <w:rPr>
          <w:rFonts w:ascii="Arial" w:hAnsi="Arial" w:cs="Arial"/>
        </w:rPr>
        <w:t>dostarcz</w:t>
      </w:r>
      <w:r w:rsidR="003A41A0">
        <w:rPr>
          <w:rFonts w:ascii="Arial" w:hAnsi="Arial" w:cs="Arial"/>
        </w:rPr>
        <w:t>a</w:t>
      </w:r>
      <w:r w:rsidRPr="00021828">
        <w:rPr>
          <w:rFonts w:ascii="Arial" w:hAnsi="Arial" w:cs="Arial"/>
        </w:rPr>
        <w:t xml:space="preserve">no próbki kontrolne i interwencyjne. W trakcie badań analizowano podstawowe cechy jakościowe środków ochrony roślin, takie jak zawartość substancji aktywnych, właściwości fizyko-chemiczne oraz sprawdzano zgodność uzyskanych wyników oznaczeń z wymaganiami określonymi w procesie rejestracji. </w:t>
      </w:r>
    </w:p>
    <w:p w14:paraId="557A71A1" w14:textId="77777777"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Oprócz kontroli planowanej realizowano również kontrolę interwencyjną, w zakresie której do laboratorium dostarczane były środki ochrony roślin reklamowane ze względu na brak skuteczności bądź niewłaściwy efekt po zastosowaniu oraz środki w stosunku do których istniało podejrzenie co do nieoryginalności lub nielegalnego pochodzenia.</w:t>
      </w:r>
    </w:p>
    <w:p w14:paraId="556602D5" w14:textId="101788AA"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Wyniki badań przedstawia poniższa tabela</w:t>
      </w:r>
      <w:r w:rsidR="0031701B">
        <w:rPr>
          <w:rFonts w:ascii="Arial" w:hAnsi="Arial" w:cs="Arial"/>
        </w:rPr>
        <w:t xml:space="preserve"> 15</w:t>
      </w:r>
      <w:r w:rsidRPr="00021828">
        <w:rPr>
          <w:rFonts w:ascii="Arial" w:hAnsi="Arial" w:cs="Arial"/>
        </w:rPr>
        <w:t>.</w:t>
      </w:r>
    </w:p>
    <w:tbl>
      <w:tblPr>
        <w:tblStyle w:val="Tabela-Siatka"/>
        <w:tblW w:w="0" w:type="auto"/>
        <w:tblLook w:val="04A0" w:firstRow="1" w:lastRow="0" w:firstColumn="1" w:lastColumn="0" w:noHBand="0" w:noVBand="1"/>
      </w:tblPr>
      <w:tblGrid>
        <w:gridCol w:w="1358"/>
        <w:gridCol w:w="1481"/>
        <w:gridCol w:w="1784"/>
        <w:gridCol w:w="1421"/>
        <w:gridCol w:w="1468"/>
        <w:gridCol w:w="1550"/>
      </w:tblGrid>
      <w:tr w:rsidR="00021828" w:rsidRPr="00021828" w14:paraId="4E87D60D" w14:textId="77777777" w:rsidTr="003118C9">
        <w:tc>
          <w:tcPr>
            <w:tcW w:w="1358" w:type="dxa"/>
            <w:vMerge w:val="restart"/>
            <w:vAlign w:val="center"/>
          </w:tcPr>
          <w:p w14:paraId="45877AF2"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Rok</w:t>
            </w:r>
          </w:p>
        </w:tc>
        <w:tc>
          <w:tcPr>
            <w:tcW w:w="3265" w:type="dxa"/>
            <w:gridSpan w:val="2"/>
            <w:vAlign w:val="center"/>
          </w:tcPr>
          <w:p w14:paraId="79848062"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Liczba pobranych próbek</w:t>
            </w:r>
          </w:p>
        </w:tc>
        <w:tc>
          <w:tcPr>
            <w:tcW w:w="1421" w:type="dxa"/>
            <w:vMerge w:val="restart"/>
            <w:vAlign w:val="center"/>
          </w:tcPr>
          <w:p w14:paraId="6B3E3413"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Liczba oznaczeń</w:t>
            </w:r>
          </w:p>
        </w:tc>
        <w:tc>
          <w:tcPr>
            <w:tcW w:w="1468" w:type="dxa"/>
            <w:vAlign w:val="center"/>
          </w:tcPr>
          <w:p w14:paraId="4C609C23"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 xml:space="preserve">Kontrola podstawowa </w:t>
            </w:r>
          </w:p>
        </w:tc>
        <w:tc>
          <w:tcPr>
            <w:tcW w:w="1550" w:type="dxa"/>
            <w:vAlign w:val="center"/>
          </w:tcPr>
          <w:p w14:paraId="3152BF76"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 xml:space="preserve">Kontrola interwencyjna </w:t>
            </w:r>
          </w:p>
        </w:tc>
      </w:tr>
      <w:tr w:rsidR="00021828" w:rsidRPr="00021828" w14:paraId="0538304A" w14:textId="77777777" w:rsidTr="003118C9">
        <w:trPr>
          <w:trHeight w:val="372"/>
        </w:trPr>
        <w:tc>
          <w:tcPr>
            <w:tcW w:w="1358" w:type="dxa"/>
            <w:vMerge/>
            <w:vAlign w:val="center"/>
          </w:tcPr>
          <w:p w14:paraId="4C2B95CD" w14:textId="77777777" w:rsidR="00021828" w:rsidRPr="00021828" w:rsidRDefault="00021828" w:rsidP="00021828">
            <w:pPr>
              <w:tabs>
                <w:tab w:val="left" w:pos="284"/>
              </w:tabs>
              <w:spacing w:after="120" w:line="360" w:lineRule="auto"/>
              <w:jc w:val="center"/>
              <w:rPr>
                <w:rFonts w:ascii="Arial" w:hAnsi="Arial" w:cs="Arial"/>
                <w:b/>
                <w:bCs/>
              </w:rPr>
            </w:pPr>
          </w:p>
        </w:tc>
        <w:tc>
          <w:tcPr>
            <w:tcW w:w="1481" w:type="dxa"/>
            <w:vAlign w:val="center"/>
          </w:tcPr>
          <w:p w14:paraId="3F1EB496"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kontrolnych</w:t>
            </w:r>
          </w:p>
        </w:tc>
        <w:tc>
          <w:tcPr>
            <w:tcW w:w="1784" w:type="dxa"/>
            <w:vAlign w:val="center"/>
          </w:tcPr>
          <w:p w14:paraId="1802B38A"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interwencyjnych</w:t>
            </w:r>
          </w:p>
        </w:tc>
        <w:tc>
          <w:tcPr>
            <w:tcW w:w="1421" w:type="dxa"/>
            <w:vMerge/>
            <w:vAlign w:val="center"/>
          </w:tcPr>
          <w:p w14:paraId="3AAE6ED4" w14:textId="77777777" w:rsidR="00021828" w:rsidRPr="00021828" w:rsidRDefault="00021828" w:rsidP="00021828">
            <w:pPr>
              <w:tabs>
                <w:tab w:val="left" w:pos="284"/>
              </w:tabs>
              <w:spacing w:after="120" w:line="360" w:lineRule="auto"/>
              <w:jc w:val="center"/>
              <w:rPr>
                <w:rFonts w:ascii="Arial" w:hAnsi="Arial" w:cs="Arial"/>
                <w:b/>
                <w:bCs/>
              </w:rPr>
            </w:pPr>
          </w:p>
        </w:tc>
        <w:tc>
          <w:tcPr>
            <w:tcW w:w="3018" w:type="dxa"/>
            <w:gridSpan w:val="2"/>
            <w:vAlign w:val="center"/>
          </w:tcPr>
          <w:p w14:paraId="50DE8F9C"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 atesty negatywne</w:t>
            </w:r>
          </w:p>
        </w:tc>
      </w:tr>
      <w:tr w:rsidR="00021828" w:rsidRPr="00021828" w14:paraId="2115E431" w14:textId="77777777" w:rsidTr="003118C9">
        <w:tc>
          <w:tcPr>
            <w:tcW w:w="1358" w:type="dxa"/>
            <w:vAlign w:val="center"/>
          </w:tcPr>
          <w:p w14:paraId="51BE2254"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2019</w:t>
            </w:r>
          </w:p>
        </w:tc>
        <w:tc>
          <w:tcPr>
            <w:tcW w:w="1481" w:type="dxa"/>
            <w:vAlign w:val="center"/>
          </w:tcPr>
          <w:p w14:paraId="0637E33C"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243</w:t>
            </w:r>
          </w:p>
        </w:tc>
        <w:tc>
          <w:tcPr>
            <w:tcW w:w="1784" w:type="dxa"/>
            <w:vAlign w:val="center"/>
          </w:tcPr>
          <w:p w14:paraId="29152BCC"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68</w:t>
            </w:r>
          </w:p>
        </w:tc>
        <w:tc>
          <w:tcPr>
            <w:tcW w:w="1421" w:type="dxa"/>
            <w:vAlign w:val="center"/>
          </w:tcPr>
          <w:p w14:paraId="2C3DF106"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1455</w:t>
            </w:r>
          </w:p>
        </w:tc>
        <w:tc>
          <w:tcPr>
            <w:tcW w:w="1468" w:type="dxa"/>
            <w:vAlign w:val="center"/>
          </w:tcPr>
          <w:p w14:paraId="5F544AB2"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6</w:t>
            </w:r>
          </w:p>
        </w:tc>
        <w:tc>
          <w:tcPr>
            <w:tcW w:w="1550" w:type="dxa"/>
            <w:vAlign w:val="center"/>
          </w:tcPr>
          <w:p w14:paraId="3FC26E7F"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38</w:t>
            </w:r>
          </w:p>
        </w:tc>
      </w:tr>
      <w:tr w:rsidR="00021828" w:rsidRPr="00021828" w14:paraId="205C2562" w14:textId="77777777" w:rsidTr="003118C9">
        <w:trPr>
          <w:trHeight w:val="283"/>
        </w:trPr>
        <w:tc>
          <w:tcPr>
            <w:tcW w:w="1358" w:type="dxa"/>
            <w:vAlign w:val="center"/>
          </w:tcPr>
          <w:p w14:paraId="5FDFEE69"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2020</w:t>
            </w:r>
          </w:p>
        </w:tc>
        <w:tc>
          <w:tcPr>
            <w:tcW w:w="1481" w:type="dxa"/>
            <w:vAlign w:val="center"/>
          </w:tcPr>
          <w:p w14:paraId="2CCA1E58"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237</w:t>
            </w:r>
          </w:p>
        </w:tc>
        <w:tc>
          <w:tcPr>
            <w:tcW w:w="1784" w:type="dxa"/>
            <w:vAlign w:val="center"/>
          </w:tcPr>
          <w:p w14:paraId="60FAD488"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73</w:t>
            </w:r>
          </w:p>
        </w:tc>
        <w:tc>
          <w:tcPr>
            <w:tcW w:w="1421" w:type="dxa"/>
            <w:vAlign w:val="center"/>
          </w:tcPr>
          <w:p w14:paraId="11B858F3"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1766</w:t>
            </w:r>
          </w:p>
        </w:tc>
        <w:tc>
          <w:tcPr>
            <w:tcW w:w="1468" w:type="dxa"/>
            <w:vAlign w:val="center"/>
          </w:tcPr>
          <w:p w14:paraId="68391933"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w:t>
            </w:r>
          </w:p>
        </w:tc>
        <w:tc>
          <w:tcPr>
            <w:tcW w:w="1550" w:type="dxa"/>
            <w:vAlign w:val="center"/>
          </w:tcPr>
          <w:p w14:paraId="718898D5"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32</w:t>
            </w:r>
          </w:p>
        </w:tc>
      </w:tr>
      <w:tr w:rsidR="00021828" w:rsidRPr="00021828" w14:paraId="1E4495E5" w14:textId="77777777" w:rsidTr="003118C9">
        <w:trPr>
          <w:trHeight w:val="283"/>
        </w:trPr>
        <w:tc>
          <w:tcPr>
            <w:tcW w:w="1358" w:type="dxa"/>
            <w:vAlign w:val="center"/>
          </w:tcPr>
          <w:p w14:paraId="0A12D9C7"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2021</w:t>
            </w:r>
          </w:p>
        </w:tc>
        <w:tc>
          <w:tcPr>
            <w:tcW w:w="1481" w:type="dxa"/>
            <w:vAlign w:val="center"/>
          </w:tcPr>
          <w:p w14:paraId="10394B1D"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268</w:t>
            </w:r>
          </w:p>
        </w:tc>
        <w:tc>
          <w:tcPr>
            <w:tcW w:w="1784" w:type="dxa"/>
            <w:vAlign w:val="center"/>
          </w:tcPr>
          <w:p w14:paraId="01034446"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43</w:t>
            </w:r>
          </w:p>
        </w:tc>
        <w:tc>
          <w:tcPr>
            <w:tcW w:w="1421" w:type="dxa"/>
            <w:vAlign w:val="center"/>
          </w:tcPr>
          <w:p w14:paraId="755ECF66"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1651</w:t>
            </w:r>
          </w:p>
        </w:tc>
        <w:tc>
          <w:tcPr>
            <w:tcW w:w="1468" w:type="dxa"/>
            <w:vAlign w:val="center"/>
          </w:tcPr>
          <w:p w14:paraId="51476F12"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0</w:t>
            </w:r>
          </w:p>
        </w:tc>
        <w:tc>
          <w:tcPr>
            <w:tcW w:w="1550" w:type="dxa"/>
            <w:vAlign w:val="center"/>
          </w:tcPr>
          <w:p w14:paraId="3C7CE406"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25</w:t>
            </w:r>
          </w:p>
        </w:tc>
      </w:tr>
      <w:tr w:rsidR="00021828" w:rsidRPr="00021828" w14:paraId="2345BFE5" w14:textId="77777777" w:rsidTr="003118C9">
        <w:trPr>
          <w:trHeight w:val="283"/>
        </w:trPr>
        <w:tc>
          <w:tcPr>
            <w:tcW w:w="1358" w:type="dxa"/>
            <w:vAlign w:val="center"/>
          </w:tcPr>
          <w:p w14:paraId="48373241"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2022</w:t>
            </w:r>
          </w:p>
        </w:tc>
        <w:tc>
          <w:tcPr>
            <w:tcW w:w="1481" w:type="dxa"/>
            <w:vAlign w:val="center"/>
          </w:tcPr>
          <w:p w14:paraId="088FCD12"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246</w:t>
            </w:r>
          </w:p>
        </w:tc>
        <w:tc>
          <w:tcPr>
            <w:tcW w:w="1784" w:type="dxa"/>
            <w:vAlign w:val="center"/>
          </w:tcPr>
          <w:p w14:paraId="0FBADCC5"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73</w:t>
            </w:r>
          </w:p>
        </w:tc>
        <w:tc>
          <w:tcPr>
            <w:tcW w:w="1421" w:type="dxa"/>
            <w:vAlign w:val="center"/>
          </w:tcPr>
          <w:p w14:paraId="0EB43202"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1957</w:t>
            </w:r>
          </w:p>
        </w:tc>
        <w:tc>
          <w:tcPr>
            <w:tcW w:w="1468" w:type="dxa"/>
            <w:vAlign w:val="center"/>
          </w:tcPr>
          <w:p w14:paraId="31EF324C"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8</w:t>
            </w:r>
          </w:p>
        </w:tc>
        <w:tc>
          <w:tcPr>
            <w:tcW w:w="1550" w:type="dxa"/>
            <w:vAlign w:val="center"/>
          </w:tcPr>
          <w:p w14:paraId="40695098"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35</w:t>
            </w:r>
          </w:p>
        </w:tc>
      </w:tr>
      <w:tr w:rsidR="00F1774A" w:rsidRPr="00021828" w14:paraId="791CF4D3" w14:textId="77777777" w:rsidTr="003118C9">
        <w:trPr>
          <w:trHeight w:val="283"/>
        </w:trPr>
        <w:tc>
          <w:tcPr>
            <w:tcW w:w="1358" w:type="dxa"/>
            <w:vAlign w:val="center"/>
          </w:tcPr>
          <w:p w14:paraId="34564B3D" w14:textId="436F0209" w:rsidR="00F1774A" w:rsidRPr="00021828" w:rsidRDefault="00F1774A" w:rsidP="00021828">
            <w:pPr>
              <w:tabs>
                <w:tab w:val="left" w:pos="284"/>
              </w:tabs>
              <w:spacing w:after="120" w:line="360" w:lineRule="auto"/>
              <w:jc w:val="center"/>
              <w:rPr>
                <w:rFonts w:ascii="Arial" w:hAnsi="Arial" w:cs="Arial"/>
              </w:rPr>
            </w:pPr>
            <w:r>
              <w:rPr>
                <w:rFonts w:ascii="Arial" w:hAnsi="Arial" w:cs="Arial"/>
              </w:rPr>
              <w:t>2023</w:t>
            </w:r>
          </w:p>
        </w:tc>
        <w:tc>
          <w:tcPr>
            <w:tcW w:w="1481" w:type="dxa"/>
            <w:vAlign w:val="center"/>
          </w:tcPr>
          <w:p w14:paraId="6D9139DA" w14:textId="6E2A4955" w:rsidR="00F1774A" w:rsidRPr="00021828" w:rsidRDefault="00593C41" w:rsidP="00021828">
            <w:pPr>
              <w:tabs>
                <w:tab w:val="left" w:pos="284"/>
              </w:tabs>
              <w:spacing w:after="120" w:line="360" w:lineRule="auto"/>
              <w:jc w:val="center"/>
              <w:rPr>
                <w:rFonts w:ascii="Arial" w:hAnsi="Arial" w:cs="Arial"/>
              </w:rPr>
            </w:pPr>
            <w:r>
              <w:rPr>
                <w:rFonts w:ascii="Arial" w:hAnsi="Arial" w:cs="Arial"/>
              </w:rPr>
              <w:t>280</w:t>
            </w:r>
          </w:p>
        </w:tc>
        <w:tc>
          <w:tcPr>
            <w:tcW w:w="1784" w:type="dxa"/>
            <w:vAlign w:val="center"/>
          </w:tcPr>
          <w:p w14:paraId="7765401A" w14:textId="72849D7A" w:rsidR="00F1774A" w:rsidRPr="00021828" w:rsidRDefault="00593C41" w:rsidP="00021828">
            <w:pPr>
              <w:tabs>
                <w:tab w:val="left" w:pos="284"/>
              </w:tabs>
              <w:spacing w:after="120" w:line="360" w:lineRule="auto"/>
              <w:jc w:val="center"/>
              <w:rPr>
                <w:rFonts w:ascii="Arial" w:hAnsi="Arial" w:cs="Arial"/>
              </w:rPr>
            </w:pPr>
            <w:r>
              <w:rPr>
                <w:rFonts w:ascii="Arial" w:hAnsi="Arial" w:cs="Arial"/>
              </w:rPr>
              <w:t>30</w:t>
            </w:r>
          </w:p>
        </w:tc>
        <w:tc>
          <w:tcPr>
            <w:tcW w:w="1421" w:type="dxa"/>
            <w:vAlign w:val="center"/>
          </w:tcPr>
          <w:p w14:paraId="02591278" w14:textId="76BC649C" w:rsidR="00F1774A" w:rsidRPr="00021828" w:rsidRDefault="001B5B52" w:rsidP="00021828">
            <w:pPr>
              <w:tabs>
                <w:tab w:val="left" w:pos="284"/>
              </w:tabs>
              <w:spacing w:after="120" w:line="360" w:lineRule="auto"/>
              <w:jc w:val="center"/>
              <w:rPr>
                <w:rFonts w:ascii="Arial" w:hAnsi="Arial" w:cs="Arial"/>
              </w:rPr>
            </w:pPr>
            <w:r>
              <w:rPr>
                <w:rFonts w:ascii="Arial" w:hAnsi="Arial" w:cs="Arial"/>
              </w:rPr>
              <w:t>1 807</w:t>
            </w:r>
          </w:p>
        </w:tc>
        <w:tc>
          <w:tcPr>
            <w:tcW w:w="1468" w:type="dxa"/>
            <w:vAlign w:val="center"/>
          </w:tcPr>
          <w:p w14:paraId="2E264429" w14:textId="346CAB6F" w:rsidR="00F1774A" w:rsidRPr="00021828" w:rsidRDefault="001B5B52" w:rsidP="00021828">
            <w:pPr>
              <w:tabs>
                <w:tab w:val="left" w:pos="284"/>
              </w:tabs>
              <w:spacing w:after="120" w:line="360" w:lineRule="auto"/>
              <w:jc w:val="center"/>
              <w:rPr>
                <w:rFonts w:ascii="Arial" w:hAnsi="Arial" w:cs="Arial"/>
              </w:rPr>
            </w:pPr>
            <w:r>
              <w:rPr>
                <w:rFonts w:ascii="Arial" w:hAnsi="Arial" w:cs="Arial"/>
              </w:rPr>
              <w:t>5</w:t>
            </w:r>
          </w:p>
        </w:tc>
        <w:tc>
          <w:tcPr>
            <w:tcW w:w="1550" w:type="dxa"/>
            <w:vAlign w:val="center"/>
          </w:tcPr>
          <w:p w14:paraId="0D11A614" w14:textId="521C8B2C" w:rsidR="00F1774A" w:rsidRPr="00021828" w:rsidRDefault="001B5B52" w:rsidP="00021828">
            <w:pPr>
              <w:tabs>
                <w:tab w:val="left" w:pos="284"/>
              </w:tabs>
              <w:spacing w:after="120" w:line="360" w:lineRule="auto"/>
              <w:jc w:val="center"/>
              <w:rPr>
                <w:rFonts w:ascii="Arial" w:hAnsi="Arial" w:cs="Arial"/>
              </w:rPr>
            </w:pPr>
            <w:r>
              <w:rPr>
                <w:rFonts w:ascii="Arial" w:hAnsi="Arial" w:cs="Arial"/>
              </w:rPr>
              <w:t>29</w:t>
            </w:r>
          </w:p>
        </w:tc>
      </w:tr>
    </w:tbl>
    <w:p w14:paraId="45DF8484" w14:textId="77777777" w:rsidR="00021828" w:rsidRDefault="00021828" w:rsidP="00021828">
      <w:pPr>
        <w:tabs>
          <w:tab w:val="left" w:pos="284"/>
        </w:tabs>
        <w:spacing w:before="120" w:after="120" w:line="360" w:lineRule="auto"/>
        <w:ind w:firstLine="284"/>
        <w:jc w:val="both"/>
        <w:rPr>
          <w:rFonts w:ascii="Arial" w:hAnsi="Arial" w:cs="Arial"/>
        </w:rPr>
      </w:pPr>
      <w:r w:rsidRPr="00021828">
        <w:rPr>
          <w:rFonts w:ascii="Arial" w:hAnsi="Arial" w:cs="Arial"/>
        </w:rPr>
        <w:t xml:space="preserve">Współpraca Instytutu Ochrony Roślin – PIB Oddział Sośnicowice oraz Państwowej Inspekcji Ochrony Roślin i Nasiennictwa pozwoliła na opracowanie sposobu postępowania mającego na celu weryfikację obligatoryjnej identyczności środków z handlu równoległego w stosunku do środka referencyjnego, wykrywania fałszerstw oraz zmian recepturowych środków ochrony roślin. O skuteczności wypracowanego podejścia świadczy fakt, że fałszerstwa, brak identyczności i zmiany w recepturze środka stanowiły podstawową przyczynę do wydania atestów negatywnych zarówno w kontroli podstawowej jak i interwencyjnej. </w:t>
      </w:r>
    </w:p>
    <w:p w14:paraId="1D59E632" w14:textId="77777777" w:rsidR="00895FE0" w:rsidRPr="00021828" w:rsidRDefault="00895FE0" w:rsidP="00021828">
      <w:pPr>
        <w:tabs>
          <w:tab w:val="left" w:pos="284"/>
        </w:tabs>
        <w:spacing w:before="120" w:after="120" w:line="360" w:lineRule="auto"/>
        <w:ind w:firstLine="284"/>
        <w:jc w:val="both"/>
        <w:rPr>
          <w:rFonts w:ascii="Arial" w:hAnsi="Arial" w:cs="Arial"/>
        </w:rPr>
      </w:pPr>
    </w:p>
    <w:p w14:paraId="2AEB8B01" w14:textId="3C673062" w:rsidR="00021828" w:rsidRPr="00021828" w:rsidRDefault="00021828" w:rsidP="00021828">
      <w:pPr>
        <w:tabs>
          <w:tab w:val="left" w:pos="284"/>
        </w:tabs>
        <w:spacing w:after="120" w:line="360" w:lineRule="auto"/>
        <w:ind w:firstLine="284"/>
        <w:jc w:val="both"/>
        <w:rPr>
          <w:rFonts w:ascii="Arial" w:hAnsi="Arial" w:cs="Arial"/>
          <w:b/>
          <w:bCs/>
        </w:rPr>
      </w:pPr>
      <w:r w:rsidRPr="00021828">
        <w:rPr>
          <w:rFonts w:ascii="Arial" w:hAnsi="Arial" w:cs="Arial"/>
        </w:rPr>
        <w:lastRenderedPageBreak/>
        <w:t xml:space="preserve">Inspekcja przeprowadzała także kontrole stosowania środków ochrony roślin w miejscach produkcji rolnej, leśnej, miejscach fumigacji i zaprawiania materiału siewnego oraz terenach kolejowych, zieleni miejskiej, u użytkowników profesjonalnych świadczących usługi w zakresie wykonywania zabiegów z zastosowaniem środków ochrony roślin, w miejscach w których stosowanie środków ochrony roślin jest ograniczone (wyszczególnione w art. 36 ustawy o środkach np.: na terenach placów zabaw, żłobków, przedszkoli, szkół podstawowych, szpitali, itp.) oraz innych, gdzie mogły być stosowane środki ochrony roślin. W ramach nadzoru nad prawidłowością stosowania środków ochrony roślin </w:t>
      </w:r>
      <w:r w:rsidRPr="00021828">
        <w:rPr>
          <w:rFonts w:ascii="Arial" w:hAnsi="Arial" w:cs="Arial"/>
          <w:b/>
        </w:rPr>
        <w:t>w 20</w:t>
      </w:r>
      <w:r w:rsidR="0030209B">
        <w:rPr>
          <w:rFonts w:ascii="Arial" w:hAnsi="Arial" w:cs="Arial"/>
          <w:b/>
        </w:rPr>
        <w:t>23</w:t>
      </w:r>
      <w:r w:rsidRPr="00021828">
        <w:rPr>
          <w:rFonts w:ascii="Arial" w:hAnsi="Arial" w:cs="Arial"/>
          <w:b/>
        </w:rPr>
        <w:t> r.</w:t>
      </w:r>
      <w:r w:rsidRPr="00021828">
        <w:rPr>
          <w:rFonts w:ascii="Arial" w:hAnsi="Arial" w:cs="Arial"/>
        </w:rPr>
        <w:t xml:space="preserve"> inspektorzy Państwowej Inspekcji Ochrony Roślin i Nasiennictwa przeprowadzili </w:t>
      </w:r>
      <w:r w:rsidRPr="00021828">
        <w:rPr>
          <w:rFonts w:ascii="Arial" w:hAnsi="Arial" w:cs="Arial"/>
          <w:b/>
        </w:rPr>
        <w:t>2</w:t>
      </w:r>
      <w:r w:rsidR="00A31F48">
        <w:rPr>
          <w:rFonts w:ascii="Arial" w:hAnsi="Arial" w:cs="Arial"/>
          <w:b/>
        </w:rPr>
        <w:t>1</w:t>
      </w:r>
      <w:r w:rsidRPr="00021828">
        <w:rPr>
          <w:rFonts w:ascii="Arial" w:hAnsi="Arial" w:cs="Arial"/>
          <w:b/>
        </w:rPr>
        <w:t> </w:t>
      </w:r>
      <w:r w:rsidR="00A31F48">
        <w:rPr>
          <w:rFonts w:ascii="Arial" w:hAnsi="Arial" w:cs="Arial"/>
          <w:b/>
        </w:rPr>
        <w:t>051</w:t>
      </w:r>
      <w:r w:rsidRPr="00021828">
        <w:rPr>
          <w:rFonts w:ascii="Arial" w:hAnsi="Arial" w:cs="Arial"/>
          <w:b/>
        </w:rPr>
        <w:t xml:space="preserve"> kontroli</w:t>
      </w:r>
      <w:r w:rsidR="00A31F48">
        <w:rPr>
          <w:rFonts w:ascii="Arial" w:hAnsi="Arial" w:cs="Arial"/>
          <w:b/>
        </w:rPr>
        <w:t>.</w:t>
      </w:r>
    </w:p>
    <w:p w14:paraId="2940710B" w14:textId="446B1F98"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Przedmiotem kontroli było sprawdzenie wykonania, przez stosujących środki ochrony roślin, obowiązków wynikających z ustawy o środkach ochrony roślin oraz rozporządzenia Parlamentu Europejskiego i Rady nr 1107/2009. Sprawdzano w szczególności ukończenie szkolenia uprawniającego do stosowania środków ochrony roślin potwierdzonego aktualnym zaświadczeniem lub innych uprawnień w tym zakresie, poprawność prowadzenia dokumentacji wykonywanych zabiegów, sprawność techniczną sprzętu przeznaczonego do wykonywania zabiegów i posiadanie dokumentów potwierdzających tę sprawność oraz wykonywanie zabiegów ochrony roślin zgodnie z zaleceniami zawartymi w etykiecie środka. W wyniku przeprowadzonych kontroli stwierdzano nieprawidłowości, wystawiano mandaty karne oraz składano wnioski do sądu.</w:t>
      </w:r>
    </w:p>
    <w:p w14:paraId="283D7802" w14:textId="37B8D2A2" w:rsidR="00021828" w:rsidRPr="00021828" w:rsidRDefault="00D864C4" w:rsidP="00021828">
      <w:pPr>
        <w:tabs>
          <w:tab w:val="left" w:pos="284"/>
        </w:tabs>
        <w:spacing w:after="120" w:line="360" w:lineRule="auto"/>
        <w:ind w:firstLine="284"/>
        <w:jc w:val="both"/>
        <w:rPr>
          <w:rFonts w:ascii="Arial" w:hAnsi="Arial" w:cs="Arial"/>
        </w:rPr>
      </w:pPr>
      <w:r w:rsidRPr="00D864C4">
        <w:rPr>
          <w:rFonts w:ascii="Arial" w:hAnsi="Arial" w:cs="Arial"/>
        </w:rPr>
        <w:t>Nieprawidłowości dotyczyły przede wszystkim: użycia środka ochrony roślin niezgodnie z zakresem stosowania określonym w etykiecie środka, braku lub niepoprawnego prowadzenia dokumentacji zabiegów wykonywanych przy użyciu środków ochrony roślin, naruszenia warunków bezpiecznego ich stosowania, użycie środka niedopuszczonego do obrotu, braku kwalifikacji do stosowania środków ochrony roślin.</w:t>
      </w:r>
    </w:p>
    <w:p w14:paraId="5931A35E" w14:textId="50C77C05"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 xml:space="preserve">Szczegółowe dane przedstawia tabela </w:t>
      </w:r>
      <w:r w:rsidR="00C0656A">
        <w:rPr>
          <w:rFonts w:ascii="Arial" w:hAnsi="Arial" w:cs="Arial"/>
        </w:rPr>
        <w:t xml:space="preserve">16 </w:t>
      </w:r>
      <w:r w:rsidRPr="00021828">
        <w:rPr>
          <w:rFonts w:ascii="Arial" w:hAnsi="Arial" w:cs="Arial"/>
        </w:rPr>
        <w:t xml:space="preserve">poniżej. </w:t>
      </w:r>
    </w:p>
    <w:tbl>
      <w:tblPr>
        <w:tblStyle w:val="Tabela-Siatka"/>
        <w:tblW w:w="0" w:type="auto"/>
        <w:tblLook w:val="04A0" w:firstRow="1" w:lastRow="0" w:firstColumn="1" w:lastColumn="0" w:noHBand="0" w:noVBand="1"/>
      </w:tblPr>
      <w:tblGrid>
        <w:gridCol w:w="1789"/>
        <w:gridCol w:w="1795"/>
        <w:gridCol w:w="1883"/>
        <w:gridCol w:w="1798"/>
        <w:gridCol w:w="1797"/>
      </w:tblGrid>
      <w:tr w:rsidR="00021828" w:rsidRPr="00021828" w14:paraId="536CFC56" w14:textId="77777777" w:rsidTr="003118C9">
        <w:tc>
          <w:tcPr>
            <w:tcW w:w="1789" w:type="dxa"/>
            <w:vAlign w:val="center"/>
          </w:tcPr>
          <w:p w14:paraId="6055214B"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Rok</w:t>
            </w:r>
          </w:p>
        </w:tc>
        <w:tc>
          <w:tcPr>
            <w:tcW w:w="1795" w:type="dxa"/>
            <w:vAlign w:val="center"/>
          </w:tcPr>
          <w:p w14:paraId="3CEB1369"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Liczba kontroli</w:t>
            </w:r>
          </w:p>
        </w:tc>
        <w:tc>
          <w:tcPr>
            <w:tcW w:w="1883" w:type="dxa"/>
            <w:vAlign w:val="center"/>
          </w:tcPr>
          <w:p w14:paraId="215482D5"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Liczba nieprawidłowości</w:t>
            </w:r>
          </w:p>
        </w:tc>
        <w:tc>
          <w:tcPr>
            <w:tcW w:w="1798" w:type="dxa"/>
            <w:vAlign w:val="center"/>
          </w:tcPr>
          <w:p w14:paraId="422BD722"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Mandaty</w:t>
            </w:r>
          </w:p>
        </w:tc>
        <w:tc>
          <w:tcPr>
            <w:tcW w:w="1797" w:type="dxa"/>
            <w:vAlign w:val="center"/>
          </w:tcPr>
          <w:p w14:paraId="26E8FE35" w14:textId="77777777" w:rsidR="00021828" w:rsidRPr="00021828" w:rsidRDefault="00021828" w:rsidP="00021828">
            <w:pPr>
              <w:tabs>
                <w:tab w:val="left" w:pos="284"/>
              </w:tabs>
              <w:spacing w:after="120" w:line="360" w:lineRule="auto"/>
              <w:jc w:val="center"/>
              <w:rPr>
                <w:rFonts w:ascii="Arial" w:hAnsi="Arial" w:cs="Arial"/>
                <w:b/>
                <w:bCs/>
              </w:rPr>
            </w:pPr>
            <w:r w:rsidRPr="00021828">
              <w:rPr>
                <w:rFonts w:ascii="Arial" w:hAnsi="Arial" w:cs="Arial"/>
                <w:b/>
                <w:bCs/>
              </w:rPr>
              <w:t>Wnioski do sądu</w:t>
            </w:r>
          </w:p>
        </w:tc>
      </w:tr>
      <w:tr w:rsidR="00021828" w:rsidRPr="00021828" w14:paraId="1A0B013E" w14:textId="77777777" w:rsidTr="003118C9">
        <w:tc>
          <w:tcPr>
            <w:tcW w:w="1789" w:type="dxa"/>
            <w:vAlign w:val="center"/>
          </w:tcPr>
          <w:p w14:paraId="0632E0AE"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2019</w:t>
            </w:r>
          </w:p>
        </w:tc>
        <w:tc>
          <w:tcPr>
            <w:tcW w:w="1795" w:type="dxa"/>
            <w:vAlign w:val="center"/>
          </w:tcPr>
          <w:p w14:paraId="68E21E84"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23 296</w:t>
            </w:r>
          </w:p>
        </w:tc>
        <w:tc>
          <w:tcPr>
            <w:tcW w:w="1883" w:type="dxa"/>
            <w:vAlign w:val="center"/>
          </w:tcPr>
          <w:p w14:paraId="45B9ADB5"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2 108</w:t>
            </w:r>
          </w:p>
        </w:tc>
        <w:tc>
          <w:tcPr>
            <w:tcW w:w="1798" w:type="dxa"/>
            <w:vAlign w:val="center"/>
          </w:tcPr>
          <w:p w14:paraId="7F49C6FA"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1 687</w:t>
            </w:r>
          </w:p>
        </w:tc>
        <w:tc>
          <w:tcPr>
            <w:tcW w:w="1797" w:type="dxa"/>
            <w:vAlign w:val="center"/>
          </w:tcPr>
          <w:p w14:paraId="4C6356F0"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6</w:t>
            </w:r>
          </w:p>
        </w:tc>
      </w:tr>
      <w:tr w:rsidR="00021828" w:rsidRPr="00021828" w14:paraId="1ED61383" w14:textId="77777777" w:rsidTr="003118C9">
        <w:tc>
          <w:tcPr>
            <w:tcW w:w="1789" w:type="dxa"/>
            <w:vAlign w:val="center"/>
          </w:tcPr>
          <w:p w14:paraId="333B6903"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2020</w:t>
            </w:r>
          </w:p>
        </w:tc>
        <w:tc>
          <w:tcPr>
            <w:tcW w:w="1795" w:type="dxa"/>
            <w:vAlign w:val="center"/>
          </w:tcPr>
          <w:p w14:paraId="0938687E"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18 109</w:t>
            </w:r>
          </w:p>
        </w:tc>
        <w:tc>
          <w:tcPr>
            <w:tcW w:w="1883" w:type="dxa"/>
            <w:vAlign w:val="center"/>
          </w:tcPr>
          <w:p w14:paraId="540D596D"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1 412</w:t>
            </w:r>
          </w:p>
        </w:tc>
        <w:tc>
          <w:tcPr>
            <w:tcW w:w="1798" w:type="dxa"/>
            <w:vAlign w:val="center"/>
          </w:tcPr>
          <w:p w14:paraId="1F2C9885"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1 092</w:t>
            </w:r>
          </w:p>
        </w:tc>
        <w:tc>
          <w:tcPr>
            <w:tcW w:w="1797" w:type="dxa"/>
            <w:vAlign w:val="center"/>
          </w:tcPr>
          <w:p w14:paraId="0CE3EBB4"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11</w:t>
            </w:r>
          </w:p>
        </w:tc>
      </w:tr>
      <w:tr w:rsidR="00021828" w:rsidRPr="00021828" w14:paraId="34F920AE" w14:textId="77777777" w:rsidTr="003118C9">
        <w:tc>
          <w:tcPr>
            <w:tcW w:w="1789" w:type="dxa"/>
            <w:vAlign w:val="center"/>
          </w:tcPr>
          <w:p w14:paraId="15B74822"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2021</w:t>
            </w:r>
          </w:p>
        </w:tc>
        <w:tc>
          <w:tcPr>
            <w:tcW w:w="1795" w:type="dxa"/>
            <w:vAlign w:val="center"/>
          </w:tcPr>
          <w:p w14:paraId="3356F507"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21 132</w:t>
            </w:r>
          </w:p>
        </w:tc>
        <w:tc>
          <w:tcPr>
            <w:tcW w:w="1883" w:type="dxa"/>
            <w:vAlign w:val="center"/>
          </w:tcPr>
          <w:p w14:paraId="2A02DB9F"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1 559</w:t>
            </w:r>
          </w:p>
        </w:tc>
        <w:tc>
          <w:tcPr>
            <w:tcW w:w="1798" w:type="dxa"/>
            <w:vAlign w:val="center"/>
          </w:tcPr>
          <w:p w14:paraId="4AB02094"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1 050</w:t>
            </w:r>
          </w:p>
        </w:tc>
        <w:tc>
          <w:tcPr>
            <w:tcW w:w="1797" w:type="dxa"/>
            <w:vAlign w:val="center"/>
          </w:tcPr>
          <w:p w14:paraId="61DEA1FC"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10</w:t>
            </w:r>
          </w:p>
        </w:tc>
      </w:tr>
      <w:tr w:rsidR="00021828" w:rsidRPr="00021828" w14:paraId="39D7F8C2" w14:textId="77777777" w:rsidTr="003118C9">
        <w:tc>
          <w:tcPr>
            <w:tcW w:w="1789" w:type="dxa"/>
            <w:vAlign w:val="center"/>
          </w:tcPr>
          <w:p w14:paraId="54678EC6"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2022</w:t>
            </w:r>
          </w:p>
        </w:tc>
        <w:tc>
          <w:tcPr>
            <w:tcW w:w="1795" w:type="dxa"/>
            <w:vAlign w:val="center"/>
          </w:tcPr>
          <w:p w14:paraId="23DD1A6C"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21 346</w:t>
            </w:r>
          </w:p>
        </w:tc>
        <w:tc>
          <w:tcPr>
            <w:tcW w:w="1883" w:type="dxa"/>
            <w:vAlign w:val="center"/>
          </w:tcPr>
          <w:p w14:paraId="744B6890"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1 316</w:t>
            </w:r>
          </w:p>
        </w:tc>
        <w:tc>
          <w:tcPr>
            <w:tcW w:w="1798" w:type="dxa"/>
            <w:vAlign w:val="center"/>
          </w:tcPr>
          <w:p w14:paraId="0BF75985"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1 003</w:t>
            </w:r>
          </w:p>
        </w:tc>
        <w:tc>
          <w:tcPr>
            <w:tcW w:w="1797" w:type="dxa"/>
            <w:vAlign w:val="center"/>
          </w:tcPr>
          <w:p w14:paraId="2B320AE0" w14:textId="77777777" w:rsidR="00021828" w:rsidRPr="00021828" w:rsidRDefault="00021828" w:rsidP="00021828">
            <w:pPr>
              <w:tabs>
                <w:tab w:val="left" w:pos="284"/>
              </w:tabs>
              <w:spacing w:after="120" w:line="360" w:lineRule="auto"/>
              <w:jc w:val="center"/>
              <w:rPr>
                <w:rFonts w:ascii="Arial" w:hAnsi="Arial" w:cs="Arial"/>
              </w:rPr>
            </w:pPr>
            <w:r w:rsidRPr="00021828">
              <w:rPr>
                <w:rFonts w:ascii="Arial" w:hAnsi="Arial" w:cs="Arial"/>
              </w:rPr>
              <w:t>17</w:t>
            </w:r>
          </w:p>
        </w:tc>
      </w:tr>
      <w:tr w:rsidR="00E00151" w:rsidRPr="00021828" w14:paraId="4C5DA06A" w14:textId="77777777" w:rsidTr="003118C9">
        <w:tc>
          <w:tcPr>
            <w:tcW w:w="1789" w:type="dxa"/>
            <w:vAlign w:val="center"/>
          </w:tcPr>
          <w:p w14:paraId="4CF3D577" w14:textId="52696BB5" w:rsidR="00E00151" w:rsidRPr="00021828" w:rsidRDefault="00E00151" w:rsidP="00021828">
            <w:pPr>
              <w:tabs>
                <w:tab w:val="left" w:pos="284"/>
              </w:tabs>
              <w:spacing w:after="120" w:line="360" w:lineRule="auto"/>
              <w:jc w:val="center"/>
              <w:rPr>
                <w:rFonts w:ascii="Arial" w:hAnsi="Arial" w:cs="Arial"/>
              </w:rPr>
            </w:pPr>
            <w:r>
              <w:rPr>
                <w:rFonts w:ascii="Arial" w:hAnsi="Arial" w:cs="Arial"/>
              </w:rPr>
              <w:t>2023</w:t>
            </w:r>
          </w:p>
        </w:tc>
        <w:tc>
          <w:tcPr>
            <w:tcW w:w="1795" w:type="dxa"/>
            <w:vAlign w:val="center"/>
          </w:tcPr>
          <w:p w14:paraId="41512739" w14:textId="373AA895" w:rsidR="00E00151" w:rsidRPr="00021828" w:rsidRDefault="00E65117" w:rsidP="00021828">
            <w:pPr>
              <w:tabs>
                <w:tab w:val="left" w:pos="284"/>
              </w:tabs>
              <w:spacing w:after="120" w:line="360" w:lineRule="auto"/>
              <w:jc w:val="center"/>
              <w:rPr>
                <w:rFonts w:ascii="Arial" w:hAnsi="Arial" w:cs="Arial"/>
              </w:rPr>
            </w:pPr>
            <w:r w:rsidRPr="00E65117">
              <w:rPr>
                <w:rFonts w:ascii="Arial" w:hAnsi="Arial" w:cs="Arial"/>
              </w:rPr>
              <w:t>21 051</w:t>
            </w:r>
          </w:p>
        </w:tc>
        <w:tc>
          <w:tcPr>
            <w:tcW w:w="1883" w:type="dxa"/>
            <w:vAlign w:val="center"/>
          </w:tcPr>
          <w:p w14:paraId="615A8C3F" w14:textId="34C4F2F5" w:rsidR="00E00151" w:rsidRPr="00021828" w:rsidRDefault="00DF2EA0" w:rsidP="00021828">
            <w:pPr>
              <w:tabs>
                <w:tab w:val="left" w:pos="284"/>
              </w:tabs>
              <w:spacing w:after="120" w:line="360" w:lineRule="auto"/>
              <w:jc w:val="center"/>
              <w:rPr>
                <w:rFonts w:ascii="Arial" w:hAnsi="Arial" w:cs="Arial"/>
              </w:rPr>
            </w:pPr>
            <w:r>
              <w:rPr>
                <w:rFonts w:ascii="Arial" w:hAnsi="Arial" w:cs="Arial"/>
              </w:rPr>
              <w:t>1 297</w:t>
            </w:r>
          </w:p>
        </w:tc>
        <w:tc>
          <w:tcPr>
            <w:tcW w:w="1798" w:type="dxa"/>
            <w:vAlign w:val="center"/>
          </w:tcPr>
          <w:p w14:paraId="69C34538" w14:textId="44A54232" w:rsidR="00E00151" w:rsidRPr="00021828" w:rsidRDefault="00D572CA" w:rsidP="00021828">
            <w:pPr>
              <w:tabs>
                <w:tab w:val="left" w:pos="284"/>
              </w:tabs>
              <w:spacing w:after="120" w:line="360" w:lineRule="auto"/>
              <w:jc w:val="center"/>
              <w:rPr>
                <w:rFonts w:ascii="Arial" w:hAnsi="Arial" w:cs="Arial"/>
              </w:rPr>
            </w:pPr>
            <w:r>
              <w:rPr>
                <w:rFonts w:ascii="Arial" w:hAnsi="Arial" w:cs="Arial"/>
              </w:rPr>
              <w:t>1 026</w:t>
            </w:r>
          </w:p>
        </w:tc>
        <w:tc>
          <w:tcPr>
            <w:tcW w:w="1797" w:type="dxa"/>
            <w:vAlign w:val="center"/>
          </w:tcPr>
          <w:p w14:paraId="03436A9C" w14:textId="19F65951" w:rsidR="00E00151" w:rsidRPr="00021828" w:rsidRDefault="00D572CA" w:rsidP="00021828">
            <w:pPr>
              <w:tabs>
                <w:tab w:val="left" w:pos="284"/>
              </w:tabs>
              <w:spacing w:after="120" w:line="360" w:lineRule="auto"/>
              <w:jc w:val="center"/>
              <w:rPr>
                <w:rFonts w:ascii="Arial" w:hAnsi="Arial" w:cs="Arial"/>
              </w:rPr>
            </w:pPr>
            <w:r>
              <w:rPr>
                <w:rFonts w:ascii="Arial" w:hAnsi="Arial" w:cs="Arial"/>
              </w:rPr>
              <w:t>17</w:t>
            </w:r>
          </w:p>
        </w:tc>
      </w:tr>
    </w:tbl>
    <w:p w14:paraId="29E39ABD" w14:textId="79C23318" w:rsidR="003118C9" w:rsidRPr="00021828" w:rsidRDefault="00021828" w:rsidP="003118C9">
      <w:pPr>
        <w:tabs>
          <w:tab w:val="left" w:pos="284"/>
        </w:tabs>
        <w:spacing w:before="120" w:after="120" w:line="360" w:lineRule="auto"/>
        <w:ind w:firstLine="284"/>
        <w:jc w:val="both"/>
        <w:rPr>
          <w:rFonts w:ascii="Arial" w:hAnsi="Arial" w:cs="Arial"/>
        </w:rPr>
      </w:pPr>
      <w:r w:rsidRPr="00021828">
        <w:rPr>
          <w:rFonts w:ascii="Arial" w:hAnsi="Arial" w:cs="Arial"/>
        </w:rPr>
        <w:t xml:space="preserve">Kontrolą objęto </w:t>
      </w:r>
      <w:r w:rsidR="001A7B83">
        <w:rPr>
          <w:rFonts w:ascii="Arial" w:hAnsi="Arial" w:cs="Arial"/>
        </w:rPr>
        <w:t xml:space="preserve">także </w:t>
      </w:r>
      <w:r w:rsidRPr="00021828">
        <w:rPr>
          <w:rFonts w:ascii="Arial" w:hAnsi="Arial" w:cs="Arial"/>
        </w:rPr>
        <w:t xml:space="preserve">wykonywanie zabiegów z zastosowaniem statków powietrznych. W </w:t>
      </w:r>
      <w:r w:rsidR="00A27BD6">
        <w:rPr>
          <w:rFonts w:ascii="Arial" w:hAnsi="Arial" w:cs="Arial"/>
        </w:rPr>
        <w:t>2023</w:t>
      </w:r>
      <w:r w:rsidR="00895FE0">
        <w:rPr>
          <w:rFonts w:ascii="Arial" w:hAnsi="Arial" w:cs="Arial"/>
        </w:rPr>
        <w:t> </w:t>
      </w:r>
      <w:r w:rsidR="00A27BD6">
        <w:rPr>
          <w:rFonts w:ascii="Arial" w:hAnsi="Arial" w:cs="Arial"/>
        </w:rPr>
        <w:t xml:space="preserve">r. </w:t>
      </w:r>
      <w:r w:rsidRPr="00021828">
        <w:rPr>
          <w:rFonts w:ascii="Arial" w:hAnsi="Arial" w:cs="Arial"/>
        </w:rPr>
        <w:t>zabiegi agrolotnicze zostały wykonane na powierzchni</w:t>
      </w:r>
      <w:r w:rsidR="00B53449">
        <w:rPr>
          <w:rFonts w:ascii="Arial" w:hAnsi="Arial" w:cs="Arial"/>
        </w:rPr>
        <w:t xml:space="preserve"> </w:t>
      </w:r>
      <w:r w:rsidR="00B53449" w:rsidRPr="00B53449">
        <w:rPr>
          <w:rFonts w:ascii="Arial" w:hAnsi="Arial" w:cs="Arial"/>
        </w:rPr>
        <w:t>147</w:t>
      </w:r>
      <w:r w:rsidR="00561339">
        <w:rPr>
          <w:rFonts w:ascii="Arial" w:hAnsi="Arial" w:cs="Arial"/>
        </w:rPr>
        <w:t> </w:t>
      </w:r>
      <w:r w:rsidR="00B53449" w:rsidRPr="00B53449">
        <w:rPr>
          <w:rFonts w:ascii="Arial" w:hAnsi="Arial" w:cs="Arial"/>
        </w:rPr>
        <w:t>157</w:t>
      </w:r>
      <w:r w:rsidR="00B53449">
        <w:rPr>
          <w:rFonts w:ascii="Arial" w:hAnsi="Arial" w:cs="Arial"/>
        </w:rPr>
        <w:t xml:space="preserve"> </w:t>
      </w:r>
      <w:r w:rsidRPr="00021828">
        <w:rPr>
          <w:rFonts w:ascii="Arial" w:hAnsi="Arial" w:cs="Arial"/>
        </w:rPr>
        <w:t>ha</w:t>
      </w:r>
      <w:r w:rsidR="00561339">
        <w:rPr>
          <w:rFonts w:ascii="Arial" w:hAnsi="Arial" w:cs="Arial"/>
        </w:rPr>
        <w:t>, a do</w:t>
      </w:r>
      <w:r w:rsidRPr="00021828">
        <w:rPr>
          <w:rFonts w:ascii="Arial" w:hAnsi="Arial" w:cs="Arial"/>
        </w:rPr>
        <w:t xml:space="preserve"> zwalczania organizmów szkodliwych w drzewostanach iglastych i liściastych zastosowano środki ochrony roślin Mospilan 20 SP</w:t>
      </w:r>
      <w:r w:rsidR="00654E1C">
        <w:rPr>
          <w:rFonts w:ascii="Arial" w:hAnsi="Arial" w:cs="Arial"/>
        </w:rPr>
        <w:t xml:space="preserve"> i </w:t>
      </w:r>
      <w:r w:rsidRPr="00021828">
        <w:rPr>
          <w:rFonts w:ascii="Arial" w:hAnsi="Arial" w:cs="Arial"/>
        </w:rPr>
        <w:t>Foray 76 B.</w:t>
      </w:r>
      <w:r w:rsidR="00654E1C">
        <w:rPr>
          <w:rFonts w:ascii="Arial" w:hAnsi="Arial" w:cs="Arial"/>
        </w:rPr>
        <w:t xml:space="preserve"> </w:t>
      </w:r>
      <w:r w:rsidR="00FC6E68">
        <w:rPr>
          <w:rFonts w:ascii="Arial" w:hAnsi="Arial" w:cs="Arial"/>
        </w:rPr>
        <w:t xml:space="preserve">Inspektorzy </w:t>
      </w:r>
      <w:r w:rsidR="00654E1C" w:rsidRPr="00654E1C">
        <w:rPr>
          <w:rFonts w:ascii="Arial" w:hAnsi="Arial" w:cs="Arial"/>
        </w:rPr>
        <w:t>przeprowadz</w:t>
      </w:r>
      <w:r w:rsidR="00FC6E68">
        <w:rPr>
          <w:rFonts w:ascii="Arial" w:hAnsi="Arial" w:cs="Arial"/>
        </w:rPr>
        <w:t>ili</w:t>
      </w:r>
      <w:r w:rsidR="00654E1C" w:rsidRPr="00654E1C">
        <w:rPr>
          <w:rFonts w:ascii="Arial" w:hAnsi="Arial" w:cs="Arial"/>
        </w:rPr>
        <w:t xml:space="preserve"> 47 kontroli produkcji leśnej objętej zabiegami agrolotniczymi</w:t>
      </w:r>
      <w:r w:rsidR="00FC6E68">
        <w:rPr>
          <w:rFonts w:ascii="Arial" w:hAnsi="Arial" w:cs="Arial"/>
        </w:rPr>
        <w:t>.</w:t>
      </w:r>
      <w:r w:rsidR="003118C9">
        <w:rPr>
          <w:rFonts w:ascii="Arial" w:hAnsi="Arial" w:cs="Arial"/>
        </w:rPr>
        <w:t xml:space="preserve"> Szczegółowe informacje zawarte są w opisie działania 5.KPD.</w:t>
      </w:r>
    </w:p>
    <w:p w14:paraId="35ABEE52" w14:textId="4CE226E1"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 xml:space="preserve">W ramach urzędowej kontroli </w:t>
      </w:r>
      <w:r w:rsidR="000A54E6" w:rsidRPr="00021828">
        <w:rPr>
          <w:rFonts w:ascii="Arial" w:hAnsi="Arial" w:cs="Arial"/>
        </w:rPr>
        <w:t xml:space="preserve">prawidłowości stosowania środków ochrony roślin </w:t>
      </w:r>
      <w:r w:rsidRPr="00021828">
        <w:rPr>
          <w:rFonts w:ascii="Arial" w:hAnsi="Arial" w:cs="Arial"/>
        </w:rPr>
        <w:t xml:space="preserve">próbki płodów </w:t>
      </w:r>
      <w:r w:rsidRPr="00021828">
        <w:rPr>
          <w:rFonts w:ascii="Arial" w:hAnsi="Arial" w:cs="Arial"/>
        </w:rPr>
        <w:lastRenderedPageBreak/>
        <w:t>rolnych badano pod kątem obecności pozostałości środków ochrony roślin.</w:t>
      </w:r>
    </w:p>
    <w:p w14:paraId="182DAF7A" w14:textId="17FB0C82"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b/>
          <w:bCs/>
        </w:rPr>
        <w:t>W 202</w:t>
      </w:r>
      <w:r w:rsidR="001C7BFD">
        <w:rPr>
          <w:rFonts w:ascii="Arial" w:hAnsi="Arial" w:cs="Arial"/>
          <w:b/>
          <w:bCs/>
        </w:rPr>
        <w:t>3</w:t>
      </w:r>
      <w:r w:rsidRPr="00021828">
        <w:rPr>
          <w:rFonts w:ascii="Arial" w:hAnsi="Arial" w:cs="Arial"/>
          <w:b/>
          <w:bCs/>
        </w:rPr>
        <w:t xml:space="preserve"> r.</w:t>
      </w:r>
      <w:r w:rsidRPr="00021828">
        <w:rPr>
          <w:rFonts w:ascii="Arial" w:hAnsi="Arial" w:cs="Arial"/>
        </w:rPr>
        <w:t xml:space="preserve"> pobrano </w:t>
      </w:r>
      <w:r w:rsidR="00544AF1">
        <w:rPr>
          <w:rFonts w:ascii="Arial" w:hAnsi="Arial" w:cs="Arial"/>
        </w:rPr>
        <w:t xml:space="preserve">do badań </w:t>
      </w:r>
      <w:r w:rsidRPr="00021828">
        <w:rPr>
          <w:rFonts w:ascii="Arial" w:hAnsi="Arial" w:cs="Arial"/>
        </w:rPr>
        <w:t>3 7</w:t>
      </w:r>
      <w:r w:rsidR="00BE4333">
        <w:rPr>
          <w:rFonts w:ascii="Arial" w:hAnsi="Arial" w:cs="Arial"/>
        </w:rPr>
        <w:t>19</w:t>
      </w:r>
      <w:r w:rsidRPr="00021828">
        <w:rPr>
          <w:rFonts w:ascii="Arial" w:hAnsi="Arial" w:cs="Arial"/>
        </w:rPr>
        <w:t xml:space="preserve"> próbek płodów rolnych, w tym 9</w:t>
      </w:r>
      <w:r w:rsidR="002054C5">
        <w:rPr>
          <w:rFonts w:ascii="Arial" w:hAnsi="Arial" w:cs="Arial"/>
        </w:rPr>
        <w:t>89</w:t>
      </w:r>
      <w:r w:rsidRPr="00021828">
        <w:rPr>
          <w:rFonts w:ascii="Arial" w:hAnsi="Arial" w:cs="Arial"/>
        </w:rPr>
        <w:t xml:space="preserve"> próbek owoców i 1 </w:t>
      </w:r>
      <w:r w:rsidR="002054C5">
        <w:rPr>
          <w:rFonts w:ascii="Arial" w:hAnsi="Arial" w:cs="Arial"/>
        </w:rPr>
        <w:t>552</w:t>
      </w:r>
      <w:r w:rsidRPr="00021828">
        <w:rPr>
          <w:rFonts w:ascii="Arial" w:hAnsi="Arial" w:cs="Arial"/>
        </w:rPr>
        <w:t xml:space="preserve"> próbek warzyw</w:t>
      </w:r>
      <w:r w:rsidR="00544AF1">
        <w:rPr>
          <w:rFonts w:ascii="Arial" w:hAnsi="Arial" w:cs="Arial"/>
        </w:rPr>
        <w:t>.</w:t>
      </w:r>
    </w:p>
    <w:p w14:paraId="2BB1AB1F" w14:textId="062EE81B" w:rsidR="00021828" w:rsidRPr="008E21DD" w:rsidRDefault="00763E5F" w:rsidP="00021828">
      <w:pPr>
        <w:tabs>
          <w:tab w:val="left" w:pos="284"/>
        </w:tabs>
        <w:spacing w:after="120" w:line="360" w:lineRule="auto"/>
        <w:ind w:firstLine="284"/>
        <w:jc w:val="both"/>
        <w:rPr>
          <w:rFonts w:ascii="Arial" w:hAnsi="Arial" w:cs="Arial"/>
        </w:rPr>
      </w:pPr>
      <w:r>
        <w:rPr>
          <w:rFonts w:ascii="Arial" w:hAnsi="Arial" w:cs="Arial"/>
        </w:rPr>
        <w:t>2</w:t>
      </w:r>
      <w:r w:rsidR="00021828" w:rsidRPr="00021828">
        <w:rPr>
          <w:rFonts w:ascii="Arial" w:hAnsi="Arial" w:cs="Arial"/>
        </w:rPr>
        <w:t> </w:t>
      </w:r>
      <w:r>
        <w:rPr>
          <w:rFonts w:ascii="Arial" w:hAnsi="Arial" w:cs="Arial"/>
        </w:rPr>
        <w:t>014</w:t>
      </w:r>
      <w:r w:rsidR="00021828" w:rsidRPr="00021828">
        <w:rPr>
          <w:rFonts w:ascii="Arial" w:hAnsi="Arial" w:cs="Arial"/>
        </w:rPr>
        <w:t xml:space="preserve"> (5</w:t>
      </w:r>
      <w:r>
        <w:rPr>
          <w:rFonts w:ascii="Arial" w:hAnsi="Arial" w:cs="Arial"/>
        </w:rPr>
        <w:t>4</w:t>
      </w:r>
      <w:r w:rsidR="00021828" w:rsidRPr="00021828">
        <w:rPr>
          <w:rFonts w:ascii="Arial" w:hAnsi="Arial" w:cs="Arial"/>
        </w:rPr>
        <w:t>,1</w:t>
      </w:r>
      <w:r>
        <w:rPr>
          <w:rFonts w:ascii="Arial" w:hAnsi="Arial" w:cs="Arial"/>
        </w:rPr>
        <w:t>6</w:t>
      </w:r>
      <w:r w:rsidR="00021828" w:rsidRPr="00021828">
        <w:rPr>
          <w:rFonts w:ascii="Arial" w:hAnsi="Arial" w:cs="Arial"/>
        </w:rPr>
        <w:t>%) nie zawierało pozostałości środków ochrony roślin, w 1 </w:t>
      </w:r>
      <w:r w:rsidR="00C63B5C">
        <w:rPr>
          <w:rFonts w:ascii="Arial" w:hAnsi="Arial" w:cs="Arial"/>
        </w:rPr>
        <w:t>629</w:t>
      </w:r>
      <w:r w:rsidR="00021828" w:rsidRPr="00021828">
        <w:rPr>
          <w:rFonts w:ascii="Arial" w:hAnsi="Arial" w:cs="Arial"/>
        </w:rPr>
        <w:t xml:space="preserve"> próbkach (4</w:t>
      </w:r>
      <w:r w:rsidR="00C63B5C">
        <w:rPr>
          <w:rFonts w:ascii="Arial" w:hAnsi="Arial" w:cs="Arial"/>
        </w:rPr>
        <w:t>3,8</w:t>
      </w:r>
      <w:r w:rsidR="00021828" w:rsidRPr="00021828">
        <w:rPr>
          <w:rFonts w:ascii="Arial" w:hAnsi="Arial" w:cs="Arial"/>
        </w:rPr>
        <w:t xml:space="preserve">%) wykryto pozostałości pozostające poniżej najwyższych dopuszczalnych poziomów pozostałości środków ochrony roślin. </w:t>
      </w:r>
      <w:r w:rsidR="00021828" w:rsidRPr="008E21DD">
        <w:rPr>
          <w:rFonts w:ascii="Arial" w:hAnsi="Arial" w:cs="Arial"/>
        </w:rPr>
        <w:t xml:space="preserve">W </w:t>
      </w:r>
      <w:r w:rsidR="008E21DD" w:rsidRPr="008E21DD">
        <w:rPr>
          <w:rFonts w:ascii="Arial" w:hAnsi="Arial" w:cs="Arial"/>
        </w:rPr>
        <w:t>450</w:t>
      </w:r>
      <w:r w:rsidR="00021828" w:rsidRPr="008E21DD">
        <w:rPr>
          <w:rFonts w:ascii="Arial" w:hAnsi="Arial" w:cs="Arial"/>
        </w:rPr>
        <w:t xml:space="preserve"> próbkach (1</w:t>
      </w:r>
      <w:r w:rsidR="008E21DD" w:rsidRPr="008E21DD">
        <w:rPr>
          <w:rFonts w:ascii="Arial" w:hAnsi="Arial" w:cs="Arial"/>
        </w:rPr>
        <w:t>2,1</w:t>
      </w:r>
      <w:r w:rsidR="00021828" w:rsidRPr="008E21DD">
        <w:rPr>
          <w:rFonts w:ascii="Arial" w:hAnsi="Arial" w:cs="Arial"/>
        </w:rPr>
        <w:t>%) stwierdzono obecność substancji czynnych niedozwolonych do stosowania w danej uprawie.</w:t>
      </w:r>
    </w:p>
    <w:p w14:paraId="59FE88E5" w14:textId="02D11698" w:rsidR="00021828" w:rsidRPr="00021828" w:rsidRDefault="00021828" w:rsidP="00021828">
      <w:pPr>
        <w:tabs>
          <w:tab w:val="left" w:pos="284"/>
        </w:tabs>
        <w:spacing w:after="120" w:line="360" w:lineRule="auto"/>
        <w:ind w:firstLine="284"/>
        <w:jc w:val="both"/>
        <w:rPr>
          <w:rFonts w:ascii="Arial" w:hAnsi="Arial" w:cs="Arial"/>
        </w:rPr>
      </w:pPr>
      <w:r w:rsidRPr="00021828">
        <w:rPr>
          <w:rFonts w:ascii="Arial" w:hAnsi="Arial" w:cs="Arial"/>
        </w:rPr>
        <w:t>Łącznie na 3 7</w:t>
      </w:r>
      <w:r w:rsidR="00390960">
        <w:rPr>
          <w:rFonts w:ascii="Arial" w:hAnsi="Arial" w:cs="Arial"/>
        </w:rPr>
        <w:t>19</w:t>
      </w:r>
      <w:r w:rsidRPr="00021828">
        <w:rPr>
          <w:rFonts w:ascii="Arial" w:hAnsi="Arial" w:cs="Arial"/>
        </w:rPr>
        <w:t xml:space="preserve"> przebadane próbki, </w:t>
      </w:r>
      <w:r w:rsidRPr="00021828">
        <w:rPr>
          <w:rFonts w:ascii="Arial" w:hAnsi="Arial" w:cs="Arial"/>
          <w:b/>
          <w:bCs/>
        </w:rPr>
        <w:t xml:space="preserve">przekroczenia najwyższych dopuszczalnych poziomów NDP zastosowanych środków ochrony roślin stwierdzono w </w:t>
      </w:r>
      <w:r w:rsidR="001D31E3">
        <w:rPr>
          <w:rFonts w:ascii="Arial" w:hAnsi="Arial" w:cs="Arial"/>
          <w:b/>
          <w:bCs/>
        </w:rPr>
        <w:t>76</w:t>
      </w:r>
      <w:r w:rsidRPr="00021828">
        <w:rPr>
          <w:rFonts w:ascii="Arial" w:hAnsi="Arial" w:cs="Arial"/>
          <w:b/>
          <w:bCs/>
        </w:rPr>
        <w:t xml:space="preserve"> próbkach (2,</w:t>
      </w:r>
      <w:r w:rsidR="001D31E3">
        <w:rPr>
          <w:rFonts w:ascii="Arial" w:hAnsi="Arial" w:cs="Arial"/>
          <w:b/>
          <w:bCs/>
        </w:rPr>
        <w:t>05</w:t>
      </w:r>
      <w:r w:rsidRPr="00021828">
        <w:rPr>
          <w:rFonts w:ascii="Arial" w:hAnsi="Arial" w:cs="Arial"/>
          <w:b/>
          <w:bCs/>
        </w:rPr>
        <w:t>%).</w:t>
      </w:r>
    </w:p>
    <w:p w14:paraId="4440EF87" w14:textId="4C61B566" w:rsidR="002B529A" w:rsidRPr="002B529A" w:rsidRDefault="00021828" w:rsidP="002B529A">
      <w:pPr>
        <w:tabs>
          <w:tab w:val="left" w:pos="284"/>
        </w:tabs>
        <w:spacing w:after="120" w:line="360" w:lineRule="auto"/>
        <w:ind w:firstLine="284"/>
        <w:jc w:val="both"/>
        <w:rPr>
          <w:rFonts w:ascii="Arial" w:hAnsi="Arial" w:cs="Arial"/>
        </w:rPr>
      </w:pPr>
      <w:r w:rsidRPr="00021828">
        <w:rPr>
          <w:rFonts w:ascii="Arial" w:hAnsi="Arial" w:cs="Arial"/>
        </w:rPr>
        <w:t>Przekroczenia NDP stwierdzono w</w:t>
      </w:r>
      <w:r w:rsidR="002B529A" w:rsidRPr="002B529A">
        <w:rPr>
          <w:rFonts w:ascii="Arial" w:hAnsi="Arial" w:cs="Arial"/>
        </w:rPr>
        <w:t>: agreście, buraku ćwikłowym, fasoli szparagowej, gruszce, gryce, kapuście brukselce, kapuście pekińskiej, koprze, malinie, pietruszce naciowej, pietruszce korzeniowej, pomidorze, porze, porzeczce czarnej, porzeczce czerwonej, rzepaku, siemieniu lnianym, selerze, szczypiorku, śliwce, jarmużu, jęczmieniu ozimym.</w:t>
      </w:r>
    </w:p>
    <w:p w14:paraId="0A31D527" w14:textId="77777777" w:rsidR="002B529A" w:rsidRPr="002B529A" w:rsidRDefault="002B529A" w:rsidP="002B529A">
      <w:pPr>
        <w:tabs>
          <w:tab w:val="left" w:pos="284"/>
        </w:tabs>
        <w:spacing w:after="120" w:line="360" w:lineRule="auto"/>
        <w:ind w:firstLine="284"/>
        <w:jc w:val="both"/>
        <w:rPr>
          <w:rFonts w:ascii="Arial" w:hAnsi="Arial" w:cs="Arial"/>
        </w:rPr>
      </w:pPr>
      <w:r w:rsidRPr="002B529A">
        <w:rPr>
          <w:rFonts w:ascii="Arial" w:hAnsi="Arial" w:cs="Arial"/>
        </w:rPr>
        <w:t>Substancje czynne, które wykrywano w ww. uprawach z przekroczeniami NDP, to m.in.: acetamipryd, bifentryna, chloropiryfos, chlorotalonil, chlorotoluron, cypermetryna, heksytiazoks, linuron, fenpropidyna, flonikamid, fluazynam, kaptan, karbendazym, metalaksyl, metoksyfenozyd, propikonazol, tetrakonazol, tebukonazol.</w:t>
      </w:r>
    </w:p>
    <w:p w14:paraId="14D6A1B8" w14:textId="2720588D" w:rsidR="00DD2BA5" w:rsidRDefault="002B529A" w:rsidP="002B529A">
      <w:pPr>
        <w:tabs>
          <w:tab w:val="left" w:pos="284"/>
        </w:tabs>
        <w:spacing w:after="120" w:line="360" w:lineRule="auto"/>
        <w:ind w:firstLine="284"/>
        <w:jc w:val="both"/>
        <w:rPr>
          <w:rFonts w:ascii="Arial" w:hAnsi="Arial" w:cs="Arial"/>
        </w:rPr>
      </w:pPr>
      <w:r w:rsidRPr="002B529A">
        <w:rPr>
          <w:rFonts w:ascii="Arial" w:hAnsi="Arial" w:cs="Arial"/>
        </w:rPr>
        <w:t>Przypadki przekroczeń najwyższych dopuszczalnych poziomów pozostałości w próbkach spełniających kryteria żywności objęte były procedurą powiadamiania zgodnie z Systemem Wczesnego Ostrzegania o Niebezpiecznej Żywności i Paszach – RASFF. W 2023 r. Główny Inspektorat Ochrony Roślin i Nasiennictwa przekazał 9 powiadomień informacyjnych w systemie RASFF, które dotyczyły: jęczmienia ozimego (1), pomidorów spod osłon (1), porzeczki (1), selera korzeniowego (2), lnu (1), rzepaku (2), pietruszki korzeniowej (1).</w:t>
      </w:r>
    </w:p>
    <w:tbl>
      <w:tblPr>
        <w:tblStyle w:val="Tabela-Siatka"/>
        <w:tblW w:w="9067" w:type="dxa"/>
        <w:tblLook w:val="04A0" w:firstRow="1" w:lastRow="0" w:firstColumn="1" w:lastColumn="0" w:noHBand="0" w:noVBand="1"/>
      </w:tblPr>
      <w:tblGrid>
        <w:gridCol w:w="3627"/>
        <w:gridCol w:w="1088"/>
        <w:gridCol w:w="1088"/>
        <w:gridCol w:w="1088"/>
        <w:gridCol w:w="1088"/>
        <w:gridCol w:w="1088"/>
      </w:tblGrid>
      <w:tr w:rsidR="003118C9" w:rsidRPr="00021828" w14:paraId="1C724422" w14:textId="03096558" w:rsidTr="003118C9">
        <w:tc>
          <w:tcPr>
            <w:tcW w:w="3627" w:type="dxa"/>
          </w:tcPr>
          <w:p w14:paraId="7741C27F" w14:textId="77777777" w:rsidR="003118C9" w:rsidRPr="00021828" w:rsidRDefault="003118C9" w:rsidP="00021828">
            <w:pPr>
              <w:widowControl/>
              <w:spacing w:after="200" w:line="276" w:lineRule="auto"/>
              <w:jc w:val="both"/>
              <w:rPr>
                <w:rFonts w:ascii="Arial" w:eastAsiaTheme="minorHAnsi" w:hAnsi="Arial" w:cs="Arial"/>
                <w:sz w:val="22"/>
                <w:szCs w:val="22"/>
                <w:lang w:eastAsia="en-US"/>
              </w:rPr>
            </w:pPr>
            <w:r w:rsidRPr="00021828">
              <w:rPr>
                <w:rFonts w:ascii="Arial" w:eastAsiaTheme="minorHAnsi" w:hAnsi="Arial" w:cs="Arial"/>
                <w:color w:val="000000"/>
                <w:lang w:eastAsia="en-US"/>
              </w:rPr>
              <w:t>Rok</w:t>
            </w:r>
          </w:p>
        </w:tc>
        <w:tc>
          <w:tcPr>
            <w:tcW w:w="1088" w:type="dxa"/>
            <w:vAlign w:val="center"/>
          </w:tcPr>
          <w:p w14:paraId="21B72D26" w14:textId="77777777" w:rsidR="003118C9" w:rsidRPr="00021828" w:rsidRDefault="003118C9" w:rsidP="00021828">
            <w:pPr>
              <w:tabs>
                <w:tab w:val="left" w:pos="284"/>
              </w:tabs>
              <w:spacing w:after="120" w:line="360" w:lineRule="auto"/>
              <w:jc w:val="center"/>
              <w:rPr>
                <w:rFonts w:ascii="Arial" w:hAnsi="Arial" w:cs="Arial"/>
                <w:b/>
                <w:bCs/>
              </w:rPr>
            </w:pPr>
            <w:r w:rsidRPr="00021828">
              <w:rPr>
                <w:rFonts w:ascii="Arial" w:hAnsi="Arial" w:cs="Arial"/>
                <w:b/>
                <w:bCs/>
              </w:rPr>
              <w:t>2019</w:t>
            </w:r>
          </w:p>
        </w:tc>
        <w:tc>
          <w:tcPr>
            <w:tcW w:w="1088" w:type="dxa"/>
            <w:vAlign w:val="center"/>
          </w:tcPr>
          <w:p w14:paraId="0B4BE22D" w14:textId="77777777" w:rsidR="003118C9" w:rsidRPr="00021828" w:rsidRDefault="003118C9" w:rsidP="00021828">
            <w:pPr>
              <w:tabs>
                <w:tab w:val="left" w:pos="284"/>
              </w:tabs>
              <w:spacing w:after="120" w:line="360" w:lineRule="auto"/>
              <w:jc w:val="center"/>
              <w:rPr>
                <w:rFonts w:ascii="Arial" w:hAnsi="Arial" w:cs="Arial"/>
                <w:b/>
                <w:bCs/>
              </w:rPr>
            </w:pPr>
            <w:r w:rsidRPr="00021828">
              <w:rPr>
                <w:rFonts w:ascii="Arial" w:hAnsi="Arial" w:cs="Arial"/>
                <w:b/>
                <w:bCs/>
              </w:rPr>
              <w:t>2020</w:t>
            </w:r>
          </w:p>
        </w:tc>
        <w:tc>
          <w:tcPr>
            <w:tcW w:w="1088" w:type="dxa"/>
            <w:vAlign w:val="center"/>
          </w:tcPr>
          <w:p w14:paraId="793083E1" w14:textId="77777777" w:rsidR="003118C9" w:rsidRPr="00021828" w:rsidRDefault="003118C9" w:rsidP="00021828">
            <w:pPr>
              <w:tabs>
                <w:tab w:val="left" w:pos="284"/>
              </w:tabs>
              <w:spacing w:after="120" w:line="360" w:lineRule="auto"/>
              <w:jc w:val="center"/>
              <w:rPr>
                <w:rFonts w:ascii="Arial" w:hAnsi="Arial" w:cs="Arial"/>
                <w:b/>
                <w:bCs/>
              </w:rPr>
            </w:pPr>
            <w:r w:rsidRPr="00021828">
              <w:rPr>
                <w:rFonts w:ascii="Arial" w:hAnsi="Arial" w:cs="Arial"/>
                <w:b/>
                <w:bCs/>
              </w:rPr>
              <w:t>2021</w:t>
            </w:r>
          </w:p>
        </w:tc>
        <w:tc>
          <w:tcPr>
            <w:tcW w:w="1088" w:type="dxa"/>
            <w:vAlign w:val="center"/>
          </w:tcPr>
          <w:p w14:paraId="55403D08" w14:textId="77777777" w:rsidR="003118C9" w:rsidRPr="00021828" w:rsidRDefault="003118C9" w:rsidP="00021828">
            <w:pPr>
              <w:tabs>
                <w:tab w:val="left" w:pos="284"/>
              </w:tabs>
              <w:spacing w:after="120" w:line="360" w:lineRule="auto"/>
              <w:jc w:val="center"/>
              <w:rPr>
                <w:rFonts w:ascii="Arial" w:hAnsi="Arial" w:cs="Arial"/>
                <w:b/>
                <w:bCs/>
              </w:rPr>
            </w:pPr>
            <w:r w:rsidRPr="00021828">
              <w:rPr>
                <w:rFonts w:ascii="Arial" w:hAnsi="Arial" w:cs="Arial"/>
                <w:b/>
                <w:bCs/>
              </w:rPr>
              <w:t>2022</w:t>
            </w:r>
          </w:p>
        </w:tc>
        <w:tc>
          <w:tcPr>
            <w:tcW w:w="1088" w:type="dxa"/>
          </w:tcPr>
          <w:p w14:paraId="1A81A4C8" w14:textId="0C0BBD97" w:rsidR="003118C9" w:rsidRPr="00021828" w:rsidRDefault="003118C9" w:rsidP="00021828">
            <w:pPr>
              <w:tabs>
                <w:tab w:val="left" w:pos="284"/>
              </w:tabs>
              <w:spacing w:after="120" w:line="360" w:lineRule="auto"/>
              <w:jc w:val="center"/>
              <w:rPr>
                <w:rFonts w:ascii="Arial" w:hAnsi="Arial" w:cs="Arial"/>
                <w:b/>
                <w:bCs/>
              </w:rPr>
            </w:pPr>
            <w:r>
              <w:rPr>
                <w:rFonts w:ascii="Arial" w:hAnsi="Arial" w:cs="Arial"/>
                <w:b/>
                <w:bCs/>
              </w:rPr>
              <w:t>2023</w:t>
            </w:r>
          </w:p>
        </w:tc>
      </w:tr>
      <w:tr w:rsidR="003118C9" w:rsidRPr="00021828" w14:paraId="30263850" w14:textId="1B12F67B" w:rsidTr="003118C9">
        <w:trPr>
          <w:trHeight w:val="651"/>
        </w:trPr>
        <w:tc>
          <w:tcPr>
            <w:tcW w:w="3627" w:type="dxa"/>
          </w:tcPr>
          <w:p w14:paraId="66AC993A" w14:textId="77777777" w:rsidR="003118C9" w:rsidRPr="00021828" w:rsidRDefault="003118C9" w:rsidP="00021828">
            <w:pPr>
              <w:widowControl/>
              <w:spacing w:after="200" w:line="276" w:lineRule="auto"/>
              <w:jc w:val="both"/>
              <w:rPr>
                <w:rFonts w:ascii="Arial" w:eastAsiaTheme="minorHAnsi" w:hAnsi="Arial" w:cs="Arial"/>
                <w:sz w:val="18"/>
                <w:szCs w:val="18"/>
                <w:lang w:eastAsia="en-US"/>
              </w:rPr>
            </w:pPr>
            <w:r w:rsidRPr="00021828">
              <w:rPr>
                <w:rFonts w:ascii="Arial" w:eastAsiaTheme="minorHAnsi" w:hAnsi="Arial" w:cs="Arial"/>
                <w:color w:val="000000"/>
                <w:lang w:eastAsia="en-US"/>
              </w:rPr>
              <w:t>Liczba pobranych próbek płodów rolnych, w tym:</w:t>
            </w:r>
          </w:p>
        </w:tc>
        <w:tc>
          <w:tcPr>
            <w:tcW w:w="1088" w:type="dxa"/>
          </w:tcPr>
          <w:p w14:paraId="580EA743"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3 228</w:t>
            </w:r>
          </w:p>
        </w:tc>
        <w:tc>
          <w:tcPr>
            <w:tcW w:w="1088" w:type="dxa"/>
          </w:tcPr>
          <w:p w14:paraId="45338F7B"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3 103</w:t>
            </w:r>
          </w:p>
        </w:tc>
        <w:tc>
          <w:tcPr>
            <w:tcW w:w="1088" w:type="dxa"/>
          </w:tcPr>
          <w:p w14:paraId="661428DD"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3 844</w:t>
            </w:r>
          </w:p>
        </w:tc>
        <w:tc>
          <w:tcPr>
            <w:tcW w:w="1088" w:type="dxa"/>
          </w:tcPr>
          <w:p w14:paraId="2E70958E"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3 786</w:t>
            </w:r>
          </w:p>
        </w:tc>
        <w:tc>
          <w:tcPr>
            <w:tcW w:w="1088" w:type="dxa"/>
          </w:tcPr>
          <w:p w14:paraId="41868062" w14:textId="561EBB6B" w:rsidR="003118C9" w:rsidRPr="00021828" w:rsidRDefault="003118C9" w:rsidP="00021828">
            <w:pPr>
              <w:tabs>
                <w:tab w:val="left" w:pos="284"/>
              </w:tabs>
              <w:spacing w:after="120" w:line="360" w:lineRule="auto"/>
              <w:jc w:val="right"/>
              <w:rPr>
                <w:rFonts w:ascii="Arial" w:hAnsi="Arial" w:cs="Arial"/>
              </w:rPr>
            </w:pPr>
            <w:r w:rsidRPr="00F9295F">
              <w:rPr>
                <w:rFonts w:ascii="Arial" w:hAnsi="Arial" w:cs="Arial"/>
              </w:rPr>
              <w:t>3 719</w:t>
            </w:r>
          </w:p>
        </w:tc>
      </w:tr>
      <w:tr w:rsidR="003118C9" w:rsidRPr="00021828" w14:paraId="542C13A3" w14:textId="499DB502" w:rsidTr="003118C9">
        <w:tc>
          <w:tcPr>
            <w:tcW w:w="3627" w:type="dxa"/>
          </w:tcPr>
          <w:p w14:paraId="454B12BA" w14:textId="77777777" w:rsidR="003118C9" w:rsidRPr="00021828" w:rsidRDefault="003118C9" w:rsidP="00E74A80">
            <w:pPr>
              <w:widowControl/>
              <w:numPr>
                <w:ilvl w:val="0"/>
                <w:numId w:val="35"/>
              </w:numPr>
              <w:tabs>
                <w:tab w:val="left" w:pos="284"/>
              </w:tabs>
              <w:spacing w:after="120" w:line="360" w:lineRule="auto"/>
              <w:ind w:left="1728"/>
              <w:jc w:val="both"/>
              <w:rPr>
                <w:rFonts w:ascii="Arial" w:hAnsi="Arial" w:cs="Arial"/>
              </w:rPr>
            </w:pPr>
            <w:r w:rsidRPr="00021828">
              <w:rPr>
                <w:rFonts w:ascii="Arial" w:hAnsi="Arial" w:cs="Arial"/>
              </w:rPr>
              <w:t>owoców</w:t>
            </w:r>
          </w:p>
          <w:p w14:paraId="6C1A5637" w14:textId="77777777" w:rsidR="003118C9" w:rsidRPr="00021828" w:rsidRDefault="003118C9" w:rsidP="00E74A80">
            <w:pPr>
              <w:widowControl/>
              <w:numPr>
                <w:ilvl w:val="0"/>
                <w:numId w:val="35"/>
              </w:numPr>
              <w:tabs>
                <w:tab w:val="left" w:pos="284"/>
              </w:tabs>
              <w:spacing w:after="120" w:line="360" w:lineRule="auto"/>
              <w:ind w:left="1728"/>
              <w:jc w:val="both"/>
              <w:rPr>
                <w:rFonts w:ascii="Arial" w:hAnsi="Arial" w:cs="Arial"/>
                <w:sz w:val="18"/>
                <w:szCs w:val="18"/>
              </w:rPr>
            </w:pPr>
            <w:r w:rsidRPr="00021828">
              <w:rPr>
                <w:rFonts w:ascii="Arial" w:hAnsi="Arial" w:cs="Arial"/>
              </w:rPr>
              <w:t>warzyw</w:t>
            </w:r>
          </w:p>
        </w:tc>
        <w:tc>
          <w:tcPr>
            <w:tcW w:w="1088" w:type="dxa"/>
          </w:tcPr>
          <w:p w14:paraId="2EBB176B"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1 074</w:t>
            </w:r>
          </w:p>
          <w:p w14:paraId="5A7E29EE"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1 204</w:t>
            </w:r>
          </w:p>
        </w:tc>
        <w:tc>
          <w:tcPr>
            <w:tcW w:w="1088" w:type="dxa"/>
          </w:tcPr>
          <w:p w14:paraId="351B62EF"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949</w:t>
            </w:r>
          </w:p>
          <w:p w14:paraId="76AF2BA2"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1 189</w:t>
            </w:r>
          </w:p>
        </w:tc>
        <w:tc>
          <w:tcPr>
            <w:tcW w:w="1088" w:type="dxa"/>
          </w:tcPr>
          <w:p w14:paraId="3929EAA0"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954</w:t>
            </w:r>
          </w:p>
          <w:p w14:paraId="181AD0DF"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1 771</w:t>
            </w:r>
          </w:p>
        </w:tc>
        <w:tc>
          <w:tcPr>
            <w:tcW w:w="1088" w:type="dxa"/>
          </w:tcPr>
          <w:p w14:paraId="57CBBF32"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957</w:t>
            </w:r>
          </w:p>
          <w:p w14:paraId="3E72C63E"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1 731</w:t>
            </w:r>
          </w:p>
        </w:tc>
        <w:tc>
          <w:tcPr>
            <w:tcW w:w="1088" w:type="dxa"/>
          </w:tcPr>
          <w:p w14:paraId="5B365445" w14:textId="77777777" w:rsidR="003118C9" w:rsidRDefault="003118C9" w:rsidP="00021828">
            <w:pPr>
              <w:tabs>
                <w:tab w:val="left" w:pos="284"/>
              </w:tabs>
              <w:spacing w:after="120" w:line="360" w:lineRule="auto"/>
              <w:jc w:val="right"/>
              <w:rPr>
                <w:rFonts w:ascii="Arial" w:hAnsi="Arial" w:cs="Arial"/>
              </w:rPr>
            </w:pPr>
            <w:r w:rsidRPr="00F9295F">
              <w:rPr>
                <w:rFonts w:ascii="Arial" w:hAnsi="Arial" w:cs="Arial"/>
              </w:rPr>
              <w:t>989</w:t>
            </w:r>
          </w:p>
          <w:p w14:paraId="4235F547" w14:textId="0AFD19AB" w:rsidR="003118C9" w:rsidRPr="00021828" w:rsidRDefault="003118C9" w:rsidP="00021828">
            <w:pPr>
              <w:tabs>
                <w:tab w:val="left" w:pos="284"/>
              </w:tabs>
              <w:spacing w:after="120" w:line="360" w:lineRule="auto"/>
              <w:jc w:val="right"/>
              <w:rPr>
                <w:rFonts w:ascii="Arial" w:hAnsi="Arial" w:cs="Arial"/>
              </w:rPr>
            </w:pPr>
            <w:r w:rsidRPr="00307DD8">
              <w:rPr>
                <w:rFonts w:ascii="Arial" w:hAnsi="Arial" w:cs="Arial"/>
              </w:rPr>
              <w:t>1 552</w:t>
            </w:r>
          </w:p>
        </w:tc>
      </w:tr>
      <w:tr w:rsidR="003118C9" w:rsidRPr="00021828" w14:paraId="6AC2DDBA" w14:textId="42345E8A" w:rsidTr="003118C9">
        <w:tc>
          <w:tcPr>
            <w:tcW w:w="3627" w:type="dxa"/>
          </w:tcPr>
          <w:p w14:paraId="39FA2942" w14:textId="77777777" w:rsidR="003118C9" w:rsidRPr="00021828" w:rsidRDefault="003118C9" w:rsidP="00021828">
            <w:pPr>
              <w:widowControl/>
              <w:spacing w:after="200" w:line="276" w:lineRule="auto"/>
              <w:jc w:val="both"/>
              <w:rPr>
                <w:rFonts w:ascii="Arial" w:eastAsiaTheme="minorHAnsi" w:hAnsi="Arial" w:cs="Arial"/>
                <w:sz w:val="18"/>
                <w:szCs w:val="18"/>
                <w:lang w:eastAsia="en-US"/>
              </w:rPr>
            </w:pPr>
            <w:r w:rsidRPr="00021828">
              <w:rPr>
                <w:rFonts w:ascii="Arial" w:eastAsiaTheme="minorHAnsi" w:hAnsi="Arial" w:cs="Arial"/>
                <w:color w:val="000000"/>
                <w:lang w:eastAsia="en-US"/>
              </w:rPr>
              <w:t>Liczba próbek niezawierających pozostałości środków ochrony roślin</w:t>
            </w:r>
          </w:p>
        </w:tc>
        <w:tc>
          <w:tcPr>
            <w:tcW w:w="1088" w:type="dxa"/>
          </w:tcPr>
          <w:p w14:paraId="201A92DE"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1 480</w:t>
            </w:r>
          </w:p>
        </w:tc>
        <w:tc>
          <w:tcPr>
            <w:tcW w:w="1088" w:type="dxa"/>
          </w:tcPr>
          <w:p w14:paraId="368104E6"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1 516</w:t>
            </w:r>
          </w:p>
        </w:tc>
        <w:tc>
          <w:tcPr>
            <w:tcW w:w="1088" w:type="dxa"/>
          </w:tcPr>
          <w:p w14:paraId="0EA5B284"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2 059</w:t>
            </w:r>
          </w:p>
        </w:tc>
        <w:tc>
          <w:tcPr>
            <w:tcW w:w="1088" w:type="dxa"/>
          </w:tcPr>
          <w:p w14:paraId="05BE25F5"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1 976</w:t>
            </w:r>
          </w:p>
        </w:tc>
        <w:tc>
          <w:tcPr>
            <w:tcW w:w="1088" w:type="dxa"/>
          </w:tcPr>
          <w:p w14:paraId="6E1BA79A" w14:textId="4C8D28E9" w:rsidR="003118C9" w:rsidRPr="00021828" w:rsidRDefault="003118C9" w:rsidP="00021828">
            <w:pPr>
              <w:tabs>
                <w:tab w:val="left" w:pos="284"/>
              </w:tabs>
              <w:spacing w:after="120" w:line="360" w:lineRule="auto"/>
              <w:jc w:val="right"/>
              <w:rPr>
                <w:rFonts w:ascii="Arial" w:hAnsi="Arial" w:cs="Arial"/>
              </w:rPr>
            </w:pPr>
            <w:r>
              <w:rPr>
                <w:rFonts w:ascii="Arial" w:hAnsi="Arial" w:cs="Arial"/>
              </w:rPr>
              <w:t>2 014</w:t>
            </w:r>
          </w:p>
        </w:tc>
      </w:tr>
      <w:tr w:rsidR="003118C9" w:rsidRPr="00021828" w14:paraId="79FD6730" w14:textId="1489681A" w:rsidTr="003118C9">
        <w:tc>
          <w:tcPr>
            <w:tcW w:w="3627" w:type="dxa"/>
          </w:tcPr>
          <w:p w14:paraId="50C10B7A" w14:textId="77777777" w:rsidR="003118C9" w:rsidRPr="00021828" w:rsidRDefault="003118C9" w:rsidP="00021828">
            <w:pPr>
              <w:widowControl/>
              <w:spacing w:after="200" w:line="276" w:lineRule="auto"/>
              <w:jc w:val="both"/>
              <w:rPr>
                <w:rFonts w:ascii="Arial" w:eastAsiaTheme="minorHAnsi" w:hAnsi="Arial" w:cs="Arial"/>
                <w:sz w:val="18"/>
                <w:szCs w:val="18"/>
                <w:lang w:eastAsia="en-US"/>
              </w:rPr>
            </w:pPr>
            <w:r w:rsidRPr="00021828">
              <w:rPr>
                <w:rFonts w:ascii="Arial" w:eastAsiaTheme="minorHAnsi" w:hAnsi="Arial" w:cs="Arial"/>
                <w:color w:val="000000"/>
                <w:lang w:eastAsia="en-US"/>
              </w:rPr>
              <w:t>Liczba próbek, w których wykryto pozostałości pozostające poniżej najwyższych dopuszczalnych poziomów pozostałości środków ochrony roślin</w:t>
            </w:r>
          </w:p>
        </w:tc>
        <w:tc>
          <w:tcPr>
            <w:tcW w:w="1088" w:type="dxa"/>
          </w:tcPr>
          <w:p w14:paraId="34C60316"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1 221</w:t>
            </w:r>
          </w:p>
        </w:tc>
        <w:tc>
          <w:tcPr>
            <w:tcW w:w="1088" w:type="dxa"/>
          </w:tcPr>
          <w:p w14:paraId="2B713830"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1 520</w:t>
            </w:r>
          </w:p>
        </w:tc>
        <w:tc>
          <w:tcPr>
            <w:tcW w:w="1088" w:type="dxa"/>
          </w:tcPr>
          <w:p w14:paraId="31855112"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1 705</w:t>
            </w:r>
          </w:p>
        </w:tc>
        <w:tc>
          <w:tcPr>
            <w:tcW w:w="1088" w:type="dxa"/>
          </w:tcPr>
          <w:p w14:paraId="6283EBE4"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1 712</w:t>
            </w:r>
          </w:p>
        </w:tc>
        <w:tc>
          <w:tcPr>
            <w:tcW w:w="1088" w:type="dxa"/>
          </w:tcPr>
          <w:p w14:paraId="766B6D82" w14:textId="09D77079" w:rsidR="003118C9" w:rsidRPr="00021828" w:rsidRDefault="003118C9" w:rsidP="00021828">
            <w:pPr>
              <w:tabs>
                <w:tab w:val="left" w:pos="284"/>
              </w:tabs>
              <w:spacing w:after="120" w:line="360" w:lineRule="auto"/>
              <w:jc w:val="right"/>
              <w:rPr>
                <w:rFonts w:ascii="Arial" w:hAnsi="Arial" w:cs="Arial"/>
              </w:rPr>
            </w:pPr>
            <w:r>
              <w:rPr>
                <w:rFonts w:ascii="Arial" w:hAnsi="Arial" w:cs="Arial"/>
              </w:rPr>
              <w:t>1 629</w:t>
            </w:r>
          </w:p>
        </w:tc>
      </w:tr>
      <w:tr w:rsidR="003118C9" w:rsidRPr="00021828" w14:paraId="44888B9E" w14:textId="269CE204" w:rsidTr="003118C9">
        <w:tc>
          <w:tcPr>
            <w:tcW w:w="3627" w:type="dxa"/>
          </w:tcPr>
          <w:p w14:paraId="6E222453" w14:textId="77777777" w:rsidR="003118C9" w:rsidRDefault="003118C9" w:rsidP="00021828">
            <w:pPr>
              <w:widowControl/>
              <w:spacing w:after="200" w:line="276" w:lineRule="auto"/>
              <w:jc w:val="both"/>
              <w:rPr>
                <w:rFonts w:ascii="Arial" w:eastAsiaTheme="minorHAnsi" w:hAnsi="Arial" w:cs="Arial"/>
                <w:color w:val="000000"/>
                <w:lang w:eastAsia="en-US"/>
              </w:rPr>
            </w:pPr>
            <w:r w:rsidRPr="00021828">
              <w:rPr>
                <w:rFonts w:ascii="Arial" w:eastAsiaTheme="minorHAnsi" w:hAnsi="Arial" w:cs="Arial"/>
                <w:color w:val="000000"/>
                <w:lang w:eastAsia="en-US"/>
              </w:rPr>
              <w:t xml:space="preserve">Liczba próbek mających przekroczenia najwyższych dopuszczalnych </w:t>
            </w:r>
            <w:r w:rsidRPr="00021828">
              <w:rPr>
                <w:rFonts w:ascii="Arial" w:eastAsiaTheme="minorHAnsi" w:hAnsi="Arial" w:cs="Arial"/>
                <w:color w:val="000000"/>
                <w:lang w:eastAsia="en-US"/>
              </w:rPr>
              <w:lastRenderedPageBreak/>
              <w:t>poziomów zastosowanych środków ochrony roślin stwierdzono</w:t>
            </w:r>
          </w:p>
          <w:p w14:paraId="096C82B8" w14:textId="64F6E25B" w:rsidR="00B16314" w:rsidRPr="00021828" w:rsidRDefault="00B16314" w:rsidP="00B16314">
            <w:pPr>
              <w:widowControl/>
              <w:spacing w:after="200" w:line="276" w:lineRule="auto"/>
              <w:jc w:val="both"/>
              <w:rPr>
                <w:rFonts w:ascii="Arial" w:eastAsiaTheme="minorHAnsi" w:hAnsi="Arial" w:cs="Arial"/>
                <w:sz w:val="18"/>
                <w:szCs w:val="18"/>
                <w:lang w:eastAsia="en-US"/>
              </w:rPr>
            </w:pPr>
            <w:r>
              <w:rPr>
                <w:rFonts w:ascii="Arial" w:eastAsiaTheme="minorHAnsi" w:hAnsi="Arial" w:cs="Arial"/>
                <w:color w:val="000000"/>
                <w:lang w:eastAsia="en-US"/>
              </w:rPr>
              <w:t>%</w:t>
            </w:r>
            <w:r w:rsidRPr="00021828">
              <w:rPr>
                <w:rFonts w:ascii="Arial" w:eastAsiaTheme="minorHAnsi" w:hAnsi="Arial" w:cs="Arial"/>
                <w:color w:val="000000"/>
                <w:lang w:eastAsia="en-US"/>
              </w:rPr>
              <w:t xml:space="preserve"> próbek mających przekroczenia</w:t>
            </w:r>
          </w:p>
        </w:tc>
        <w:tc>
          <w:tcPr>
            <w:tcW w:w="1088" w:type="dxa"/>
          </w:tcPr>
          <w:p w14:paraId="18B14D55" w14:textId="77777777" w:rsidR="003118C9" w:rsidRDefault="003118C9" w:rsidP="00021828">
            <w:pPr>
              <w:tabs>
                <w:tab w:val="left" w:pos="284"/>
              </w:tabs>
              <w:spacing w:after="120" w:line="360" w:lineRule="auto"/>
              <w:jc w:val="right"/>
              <w:rPr>
                <w:rFonts w:ascii="Arial" w:hAnsi="Arial" w:cs="Arial"/>
              </w:rPr>
            </w:pPr>
            <w:r w:rsidRPr="00021828">
              <w:rPr>
                <w:rFonts w:ascii="Arial" w:hAnsi="Arial" w:cs="Arial"/>
              </w:rPr>
              <w:lastRenderedPageBreak/>
              <w:t>117</w:t>
            </w:r>
          </w:p>
          <w:p w14:paraId="7962130F" w14:textId="77777777" w:rsidR="00B16314" w:rsidRDefault="00B16314" w:rsidP="00B16314">
            <w:pPr>
              <w:tabs>
                <w:tab w:val="left" w:pos="284"/>
              </w:tabs>
              <w:spacing w:after="360" w:line="360" w:lineRule="auto"/>
              <w:jc w:val="right"/>
              <w:rPr>
                <w:rFonts w:ascii="Arial" w:hAnsi="Arial" w:cs="Arial"/>
              </w:rPr>
            </w:pPr>
          </w:p>
          <w:p w14:paraId="72F45F57" w14:textId="7C202577" w:rsidR="00B16314" w:rsidRPr="00021828" w:rsidRDefault="00B16314" w:rsidP="00B16314">
            <w:pPr>
              <w:tabs>
                <w:tab w:val="left" w:pos="284"/>
              </w:tabs>
              <w:spacing w:after="120" w:line="360" w:lineRule="auto"/>
              <w:jc w:val="right"/>
              <w:rPr>
                <w:rFonts w:ascii="Arial" w:hAnsi="Arial" w:cs="Arial"/>
              </w:rPr>
            </w:pPr>
            <w:r>
              <w:rPr>
                <w:rFonts w:ascii="Arial" w:hAnsi="Arial" w:cs="Arial"/>
              </w:rPr>
              <w:t>3,6</w:t>
            </w:r>
            <w:r w:rsidR="00C92649">
              <w:rPr>
                <w:rFonts w:ascii="Arial" w:hAnsi="Arial" w:cs="Arial"/>
              </w:rPr>
              <w:t>2</w:t>
            </w:r>
          </w:p>
        </w:tc>
        <w:tc>
          <w:tcPr>
            <w:tcW w:w="1088" w:type="dxa"/>
          </w:tcPr>
          <w:p w14:paraId="0D716A01" w14:textId="77777777" w:rsidR="003118C9" w:rsidRDefault="003118C9" w:rsidP="00021828">
            <w:pPr>
              <w:tabs>
                <w:tab w:val="left" w:pos="284"/>
              </w:tabs>
              <w:spacing w:after="120" w:line="360" w:lineRule="auto"/>
              <w:jc w:val="right"/>
              <w:rPr>
                <w:rFonts w:ascii="Arial" w:hAnsi="Arial" w:cs="Arial"/>
              </w:rPr>
            </w:pPr>
            <w:r w:rsidRPr="00021828">
              <w:rPr>
                <w:rFonts w:ascii="Arial" w:hAnsi="Arial" w:cs="Arial"/>
              </w:rPr>
              <w:lastRenderedPageBreak/>
              <w:t>67</w:t>
            </w:r>
          </w:p>
          <w:p w14:paraId="34B2ABEB" w14:textId="77777777" w:rsidR="00B16314" w:rsidRDefault="00B16314" w:rsidP="00B16314">
            <w:pPr>
              <w:tabs>
                <w:tab w:val="left" w:pos="284"/>
              </w:tabs>
              <w:spacing w:after="360" w:line="360" w:lineRule="auto"/>
              <w:jc w:val="right"/>
              <w:rPr>
                <w:rFonts w:ascii="Arial" w:hAnsi="Arial" w:cs="Arial"/>
              </w:rPr>
            </w:pPr>
          </w:p>
          <w:p w14:paraId="23FA6E8A" w14:textId="3ECC84C1" w:rsidR="00B16314" w:rsidRPr="00021828" w:rsidRDefault="00B16314" w:rsidP="00B16314">
            <w:pPr>
              <w:tabs>
                <w:tab w:val="left" w:pos="284"/>
              </w:tabs>
              <w:spacing w:after="120" w:line="360" w:lineRule="auto"/>
              <w:jc w:val="right"/>
              <w:rPr>
                <w:rFonts w:ascii="Arial" w:hAnsi="Arial" w:cs="Arial"/>
              </w:rPr>
            </w:pPr>
            <w:r>
              <w:rPr>
                <w:rFonts w:ascii="Arial" w:hAnsi="Arial" w:cs="Arial"/>
              </w:rPr>
              <w:t>2,</w:t>
            </w:r>
            <w:r w:rsidR="00C92649">
              <w:rPr>
                <w:rFonts w:ascii="Arial" w:hAnsi="Arial" w:cs="Arial"/>
              </w:rPr>
              <w:t>15</w:t>
            </w:r>
          </w:p>
        </w:tc>
        <w:tc>
          <w:tcPr>
            <w:tcW w:w="1088" w:type="dxa"/>
          </w:tcPr>
          <w:p w14:paraId="098B0B1B" w14:textId="77777777" w:rsidR="003118C9" w:rsidRDefault="003118C9" w:rsidP="00021828">
            <w:pPr>
              <w:tabs>
                <w:tab w:val="left" w:pos="284"/>
              </w:tabs>
              <w:spacing w:after="120" w:line="360" w:lineRule="auto"/>
              <w:jc w:val="right"/>
              <w:rPr>
                <w:rFonts w:ascii="Arial" w:hAnsi="Arial" w:cs="Arial"/>
              </w:rPr>
            </w:pPr>
            <w:r w:rsidRPr="00021828">
              <w:rPr>
                <w:rFonts w:ascii="Arial" w:hAnsi="Arial" w:cs="Arial"/>
              </w:rPr>
              <w:lastRenderedPageBreak/>
              <w:t>80</w:t>
            </w:r>
          </w:p>
          <w:p w14:paraId="498F28A3" w14:textId="77777777" w:rsidR="00B16314" w:rsidRDefault="00B16314" w:rsidP="00021828">
            <w:pPr>
              <w:tabs>
                <w:tab w:val="left" w:pos="284"/>
              </w:tabs>
              <w:spacing w:after="120" w:line="360" w:lineRule="auto"/>
              <w:jc w:val="right"/>
              <w:rPr>
                <w:rFonts w:ascii="Arial" w:hAnsi="Arial" w:cs="Arial"/>
              </w:rPr>
            </w:pPr>
          </w:p>
          <w:p w14:paraId="596F6731" w14:textId="5E2CBBE1" w:rsidR="00B16314" w:rsidRPr="00021828" w:rsidRDefault="00B16314" w:rsidP="00C92649">
            <w:pPr>
              <w:tabs>
                <w:tab w:val="left" w:pos="284"/>
              </w:tabs>
              <w:spacing w:before="360" w:line="360" w:lineRule="auto"/>
              <w:jc w:val="right"/>
              <w:rPr>
                <w:rFonts w:ascii="Arial" w:hAnsi="Arial" w:cs="Arial"/>
              </w:rPr>
            </w:pPr>
            <w:r>
              <w:rPr>
                <w:rFonts w:ascii="Arial" w:hAnsi="Arial" w:cs="Arial"/>
              </w:rPr>
              <w:t>2</w:t>
            </w:r>
            <w:r w:rsidR="00C92649">
              <w:rPr>
                <w:rFonts w:ascii="Arial" w:hAnsi="Arial" w:cs="Arial"/>
              </w:rPr>
              <w:t>,08</w:t>
            </w:r>
          </w:p>
        </w:tc>
        <w:tc>
          <w:tcPr>
            <w:tcW w:w="1088" w:type="dxa"/>
          </w:tcPr>
          <w:p w14:paraId="65F0A041" w14:textId="77777777" w:rsidR="003118C9" w:rsidRDefault="003118C9" w:rsidP="00021828">
            <w:pPr>
              <w:tabs>
                <w:tab w:val="left" w:pos="284"/>
              </w:tabs>
              <w:spacing w:after="120" w:line="360" w:lineRule="auto"/>
              <w:jc w:val="right"/>
              <w:rPr>
                <w:rFonts w:ascii="Arial" w:hAnsi="Arial" w:cs="Arial"/>
              </w:rPr>
            </w:pPr>
            <w:r w:rsidRPr="00021828">
              <w:rPr>
                <w:rFonts w:ascii="Arial" w:hAnsi="Arial" w:cs="Arial"/>
              </w:rPr>
              <w:lastRenderedPageBreak/>
              <w:t>98</w:t>
            </w:r>
          </w:p>
          <w:p w14:paraId="6184D85D" w14:textId="77777777" w:rsidR="00B16314" w:rsidRDefault="00B16314" w:rsidP="00021828">
            <w:pPr>
              <w:tabs>
                <w:tab w:val="left" w:pos="284"/>
              </w:tabs>
              <w:spacing w:after="120" w:line="360" w:lineRule="auto"/>
              <w:jc w:val="right"/>
              <w:rPr>
                <w:rFonts w:ascii="Arial" w:hAnsi="Arial" w:cs="Arial"/>
              </w:rPr>
            </w:pPr>
          </w:p>
          <w:p w14:paraId="21D6B272" w14:textId="14030303" w:rsidR="00B16314" w:rsidRPr="00021828" w:rsidRDefault="00B16314" w:rsidP="00C92649">
            <w:pPr>
              <w:tabs>
                <w:tab w:val="left" w:pos="284"/>
              </w:tabs>
              <w:spacing w:before="360" w:line="360" w:lineRule="auto"/>
              <w:jc w:val="right"/>
              <w:rPr>
                <w:rFonts w:ascii="Arial" w:hAnsi="Arial" w:cs="Arial"/>
              </w:rPr>
            </w:pPr>
            <w:r>
              <w:rPr>
                <w:rFonts w:ascii="Arial" w:hAnsi="Arial" w:cs="Arial"/>
              </w:rPr>
              <w:t>2,58</w:t>
            </w:r>
          </w:p>
        </w:tc>
        <w:tc>
          <w:tcPr>
            <w:tcW w:w="1088" w:type="dxa"/>
          </w:tcPr>
          <w:p w14:paraId="502E4560" w14:textId="77777777" w:rsidR="003118C9" w:rsidRDefault="003118C9" w:rsidP="00021828">
            <w:pPr>
              <w:tabs>
                <w:tab w:val="left" w:pos="284"/>
              </w:tabs>
              <w:spacing w:after="120" w:line="360" w:lineRule="auto"/>
              <w:jc w:val="right"/>
              <w:rPr>
                <w:rFonts w:ascii="Arial" w:hAnsi="Arial" w:cs="Arial"/>
              </w:rPr>
            </w:pPr>
            <w:r>
              <w:rPr>
                <w:rFonts w:ascii="Arial" w:hAnsi="Arial" w:cs="Arial"/>
              </w:rPr>
              <w:lastRenderedPageBreak/>
              <w:t>76</w:t>
            </w:r>
          </w:p>
          <w:p w14:paraId="18E3A404" w14:textId="77777777" w:rsidR="00B16314" w:rsidRDefault="00B16314" w:rsidP="00021828">
            <w:pPr>
              <w:tabs>
                <w:tab w:val="left" w:pos="284"/>
              </w:tabs>
              <w:spacing w:after="120" w:line="360" w:lineRule="auto"/>
              <w:jc w:val="right"/>
              <w:rPr>
                <w:rFonts w:ascii="Arial" w:hAnsi="Arial" w:cs="Arial"/>
              </w:rPr>
            </w:pPr>
          </w:p>
          <w:p w14:paraId="6B978D24" w14:textId="7E6E60A5" w:rsidR="00B16314" w:rsidRPr="00021828" w:rsidRDefault="00C92649" w:rsidP="00C92649">
            <w:pPr>
              <w:tabs>
                <w:tab w:val="left" w:pos="284"/>
              </w:tabs>
              <w:spacing w:before="360" w:line="360" w:lineRule="auto"/>
              <w:jc w:val="right"/>
              <w:rPr>
                <w:rFonts w:ascii="Arial" w:hAnsi="Arial" w:cs="Arial"/>
              </w:rPr>
            </w:pPr>
            <w:r>
              <w:rPr>
                <w:rFonts w:ascii="Arial" w:hAnsi="Arial" w:cs="Arial"/>
              </w:rPr>
              <w:t>2,04</w:t>
            </w:r>
          </w:p>
        </w:tc>
      </w:tr>
      <w:tr w:rsidR="003118C9" w:rsidRPr="00021828" w14:paraId="4CCADEBC" w14:textId="48BDF5A9" w:rsidTr="003118C9">
        <w:tc>
          <w:tcPr>
            <w:tcW w:w="3627" w:type="dxa"/>
          </w:tcPr>
          <w:p w14:paraId="4560FBD3" w14:textId="77777777" w:rsidR="003118C9" w:rsidRPr="00021828" w:rsidRDefault="003118C9" w:rsidP="00021828">
            <w:pPr>
              <w:widowControl/>
              <w:spacing w:after="200" w:line="276" w:lineRule="auto"/>
              <w:jc w:val="both"/>
              <w:rPr>
                <w:rFonts w:ascii="Arial" w:eastAsiaTheme="minorHAnsi" w:hAnsi="Arial" w:cs="Arial"/>
                <w:sz w:val="18"/>
                <w:szCs w:val="18"/>
                <w:lang w:eastAsia="en-US"/>
              </w:rPr>
            </w:pPr>
            <w:r w:rsidRPr="00021828">
              <w:rPr>
                <w:rFonts w:ascii="Arial" w:eastAsiaTheme="minorHAnsi" w:hAnsi="Arial" w:cs="Arial"/>
                <w:color w:val="000000"/>
                <w:lang w:eastAsia="en-US"/>
              </w:rPr>
              <w:lastRenderedPageBreak/>
              <w:t>Liczba próbek, w których twierdzono obecność substancji czynnych niedozwolonych do stosowania w danej uprawie</w:t>
            </w:r>
          </w:p>
        </w:tc>
        <w:tc>
          <w:tcPr>
            <w:tcW w:w="1088" w:type="dxa"/>
          </w:tcPr>
          <w:p w14:paraId="68E4FCF7"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410</w:t>
            </w:r>
          </w:p>
        </w:tc>
        <w:tc>
          <w:tcPr>
            <w:tcW w:w="1088" w:type="dxa"/>
          </w:tcPr>
          <w:p w14:paraId="33C9769C"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397</w:t>
            </w:r>
          </w:p>
        </w:tc>
        <w:tc>
          <w:tcPr>
            <w:tcW w:w="1088" w:type="dxa"/>
          </w:tcPr>
          <w:p w14:paraId="52D80135"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419</w:t>
            </w:r>
          </w:p>
        </w:tc>
        <w:tc>
          <w:tcPr>
            <w:tcW w:w="1088" w:type="dxa"/>
          </w:tcPr>
          <w:p w14:paraId="43B3337B" w14:textId="77777777" w:rsidR="003118C9" w:rsidRPr="00021828" w:rsidRDefault="003118C9" w:rsidP="00021828">
            <w:pPr>
              <w:tabs>
                <w:tab w:val="left" w:pos="284"/>
              </w:tabs>
              <w:spacing w:after="120" w:line="360" w:lineRule="auto"/>
              <w:jc w:val="right"/>
              <w:rPr>
                <w:rFonts w:ascii="Arial" w:hAnsi="Arial" w:cs="Arial"/>
              </w:rPr>
            </w:pPr>
            <w:r w:rsidRPr="00021828">
              <w:rPr>
                <w:rFonts w:ascii="Arial" w:hAnsi="Arial" w:cs="Arial"/>
              </w:rPr>
              <w:t>610</w:t>
            </w:r>
          </w:p>
        </w:tc>
        <w:tc>
          <w:tcPr>
            <w:tcW w:w="1088" w:type="dxa"/>
          </w:tcPr>
          <w:p w14:paraId="3A862731" w14:textId="70B3B8D1" w:rsidR="003118C9" w:rsidRPr="00021828" w:rsidRDefault="003118C9" w:rsidP="00021828">
            <w:pPr>
              <w:tabs>
                <w:tab w:val="left" w:pos="284"/>
              </w:tabs>
              <w:spacing w:after="120" w:line="360" w:lineRule="auto"/>
              <w:jc w:val="right"/>
              <w:rPr>
                <w:rFonts w:ascii="Arial" w:hAnsi="Arial" w:cs="Arial"/>
              </w:rPr>
            </w:pPr>
            <w:r>
              <w:rPr>
                <w:rFonts w:ascii="Arial" w:hAnsi="Arial" w:cs="Arial"/>
              </w:rPr>
              <w:t>450</w:t>
            </w:r>
          </w:p>
        </w:tc>
      </w:tr>
    </w:tbl>
    <w:p w14:paraId="1DCF9F1A" w14:textId="77777777" w:rsidR="00021828" w:rsidRPr="00021828" w:rsidRDefault="00021828" w:rsidP="00021828">
      <w:pPr>
        <w:tabs>
          <w:tab w:val="left" w:pos="284"/>
        </w:tabs>
        <w:spacing w:after="120" w:line="360" w:lineRule="auto"/>
        <w:ind w:firstLine="284"/>
        <w:jc w:val="both"/>
        <w:rPr>
          <w:rFonts w:ascii="Arial" w:hAnsi="Arial" w:cs="Arial"/>
        </w:rPr>
      </w:pPr>
    </w:p>
    <w:p w14:paraId="4801564F" w14:textId="77777777" w:rsidR="008B5F95" w:rsidRDefault="00923F0D" w:rsidP="0000510B">
      <w:pPr>
        <w:pStyle w:val="Nagwek1"/>
        <w:numPr>
          <w:ilvl w:val="3"/>
          <w:numId w:val="2"/>
        </w:numPr>
        <w:tabs>
          <w:tab w:val="left" w:pos="2552"/>
        </w:tabs>
        <w:ind w:left="284" w:hanging="426"/>
        <w:jc w:val="both"/>
        <w:rPr>
          <w:i w:val="0"/>
          <w:sz w:val="22"/>
          <w:szCs w:val="22"/>
        </w:rPr>
      </w:pPr>
      <w:bookmarkStart w:id="92" w:name="_Toc193716423"/>
      <w:bookmarkStart w:id="93" w:name="_Toc341876082"/>
      <w:r>
        <w:rPr>
          <w:i w:val="0"/>
          <w:sz w:val="22"/>
          <w:szCs w:val="22"/>
        </w:rPr>
        <w:t>Działanie 13. Optymalizacja ochrony upraw małoobszarowych i ekologicznych</w:t>
      </w:r>
      <w:bookmarkEnd w:id="92"/>
      <w:r>
        <w:rPr>
          <w:i w:val="0"/>
          <w:sz w:val="22"/>
          <w:szCs w:val="22"/>
        </w:rPr>
        <w:t xml:space="preserve"> </w:t>
      </w:r>
      <w:bookmarkEnd w:id="93"/>
    </w:p>
    <w:p w14:paraId="7658F787"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Ochrona roślin o niskim zużyciu preparatów chemicznych obejmuje integrowaną ochronę roślin oraz rolnictwo ekologiczne.</w:t>
      </w:r>
    </w:p>
    <w:p w14:paraId="4E1CE649"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Wdrożenie zasad integrowanej ochrony roślin wymaga zapewnienia producentom rolnym, odpowiednich narzędzi, w tym także środków zawierających substancje czynne zakwalifikowane do grupy niskiego ryzyka, a także substancje dopuszczone do stosowania w uprawach ekologicznych, które minimalizują ryzyko negatywnego wpływu na środowisko.</w:t>
      </w:r>
    </w:p>
    <w:p w14:paraId="45BB5C41"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Dobór środków ochrony roślin powinien nie tylko zapewniać możliwość ochrony poszczególnych upraw, ale także przemienne stosowanie środków ochrony roślin zawierających różne substancje czynne. Obok chemicznych środków ochrony roślin producenci rolni powinni mieć możliwość sięgnięcia po preparaty biologiczne zawierające mikroorganizmy lub makroorganizmy lub substancje podstawowe. </w:t>
      </w:r>
    </w:p>
    <w:p w14:paraId="3FCF0C5E" w14:textId="6CDF3DE4" w:rsidR="008B5F95" w:rsidRPr="00721EAF"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Brak optymalnej dostępności środków ochrony roślin jest szczególnie widoczny w przypadku rolnictwa ekologicznego, gdzie </w:t>
      </w:r>
      <w:r w:rsidRPr="00721EAF">
        <w:rPr>
          <w:rFonts w:ascii="Arial" w:hAnsi="Arial" w:cs="Arial"/>
        </w:rPr>
        <w:t>stosowane mogą być wyłącznie preparaty zawierające określone substancje czynne, a także upraw małoobszarowych.</w:t>
      </w:r>
    </w:p>
    <w:p w14:paraId="051A5B6D"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sidRPr="00721EAF">
        <w:rPr>
          <w:rFonts w:ascii="Arial" w:hAnsi="Arial" w:cs="Arial"/>
        </w:rPr>
        <w:t>Brak środków ochrony roślin dopuszczonych do stosowania w uprawach małoobszarowych jest przy tym jednym z czynników zwiększających ryzyko naruszeń przepisów dotyczących stosowania tych środków, w tym ich stosowania niezgodnie</w:t>
      </w:r>
      <w:r>
        <w:rPr>
          <w:rFonts w:ascii="Arial" w:hAnsi="Arial" w:cs="Arial"/>
        </w:rPr>
        <w:t xml:space="preserve"> z etykietą. </w:t>
      </w:r>
    </w:p>
    <w:p w14:paraId="5F321FF0" w14:textId="77777777" w:rsidR="008B5F95" w:rsidRDefault="00923F0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Przepisy rozporządzenia Parlamentu Europejskiego i Rady (WE) nr 1107/2009 z dnia 21 października 2009 r. dotyczącego wprowadzania do obrotu środków ochrony roślin i uchylającego dyrektywy Rady 79/117/EWG i 91/414/EWG (Dz. Urz. UE L 309 z 24.11.2009, str. 1, z późn. zm.), przewidują w procedurach dopuszczania środków ochrony roślin do obrotu możliwość wykorzystania takich mechanizmów jak rejestracja strefowa, wzajemne uznawanie zezwoleń (w tym także na zastosowania małoobszarowe), czy też rozszerzenie zakresu zezwoleń na zastosowania małoobszarowe.</w:t>
      </w:r>
    </w:p>
    <w:p w14:paraId="267A98C5" w14:textId="7DC8C300" w:rsidR="00BB02DB" w:rsidRPr="003E3F4F" w:rsidRDefault="00155667" w:rsidP="003E3F4F">
      <w:pPr>
        <w:pStyle w:val="NormalnyWeb"/>
        <w:tabs>
          <w:tab w:val="left" w:pos="284"/>
        </w:tabs>
        <w:spacing w:beforeAutospacing="0" w:after="120" w:afterAutospacing="0" w:line="360" w:lineRule="auto"/>
        <w:ind w:firstLine="284"/>
        <w:jc w:val="both"/>
        <w:rPr>
          <w:rFonts w:ascii="Arial" w:hAnsi="Arial" w:cs="Arial"/>
        </w:rPr>
      </w:pPr>
      <w:r w:rsidRPr="003E3F4F">
        <w:rPr>
          <w:rFonts w:ascii="Arial" w:hAnsi="Arial" w:cs="Arial"/>
        </w:rPr>
        <w:t xml:space="preserve">W </w:t>
      </w:r>
      <w:r w:rsidR="003637D6" w:rsidRPr="003E3F4F">
        <w:rPr>
          <w:rFonts w:ascii="Arial" w:hAnsi="Arial" w:cs="Arial"/>
        </w:rPr>
        <w:t>2023</w:t>
      </w:r>
      <w:r w:rsidRPr="003E3F4F">
        <w:rPr>
          <w:rFonts w:ascii="Arial" w:hAnsi="Arial" w:cs="Arial"/>
        </w:rPr>
        <w:t xml:space="preserve"> r. rozszerzenia małoobszarowe zostały uwzględnione</w:t>
      </w:r>
      <w:r w:rsidR="00BB02DB" w:rsidRPr="003E3F4F">
        <w:rPr>
          <w:rFonts w:ascii="Arial" w:hAnsi="Arial" w:cs="Arial"/>
        </w:rPr>
        <w:t xml:space="preserve"> w 75 zezwoleniach (w 25 nowych i</w:t>
      </w:r>
      <w:r w:rsidR="003E3F4F">
        <w:rPr>
          <w:rFonts w:ascii="Arial" w:hAnsi="Arial" w:cs="Arial"/>
        </w:rPr>
        <w:t> </w:t>
      </w:r>
      <w:r w:rsidR="00BB02DB" w:rsidRPr="003E3F4F">
        <w:rPr>
          <w:rFonts w:ascii="Arial" w:hAnsi="Arial" w:cs="Arial"/>
        </w:rPr>
        <w:t>w</w:t>
      </w:r>
      <w:r w:rsidR="003E3F4F">
        <w:rPr>
          <w:rFonts w:ascii="Arial" w:hAnsi="Arial" w:cs="Arial"/>
        </w:rPr>
        <w:t> </w:t>
      </w:r>
      <w:r w:rsidR="00BB02DB" w:rsidRPr="003E3F4F">
        <w:rPr>
          <w:rFonts w:ascii="Arial" w:hAnsi="Arial" w:cs="Arial"/>
        </w:rPr>
        <w:t>50 istniejących).</w:t>
      </w:r>
    </w:p>
    <w:p w14:paraId="02322575" w14:textId="193FC780" w:rsidR="00155667" w:rsidRDefault="00155667" w:rsidP="00155667">
      <w:pPr>
        <w:pStyle w:val="NormalnyWeb"/>
        <w:tabs>
          <w:tab w:val="left" w:pos="284"/>
        </w:tabs>
        <w:spacing w:beforeAutospacing="0" w:after="120" w:afterAutospacing="0" w:line="360" w:lineRule="auto"/>
        <w:ind w:firstLine="284"/>
        <w:jc w:val="both"/>
        <w:rPr>
          <w:rFonts w:ascii="Arial" w:hAnsi="Arial" w:cs="Arial"/>
        </w:rPr>
      </w:pPr>
      <w:r w:rsidRPr="0096537E">
        <w:rPr>
          <w:rFonts w:ascii="Arial" w:hAnsi="Arial" w:cs="Arial"/>
        </w:rPr>
        <w:t>Rolnictwo ekologiczne, podobnie jak pozostałe systemy produkcji rolniczej wymaga prowadzenia wieloletnich badań naukowych, które wspiera</w:t>
      </w:r>
      <w:r w:rsidR="009B1F7A">
        <w:rPr>
          <w:rFonts w:ascii="Arial" w:hAnsi="Arial" w:cs="Arial"/>
        </w:rPr>
        <w:t>ją</w:t>
      </w:r>
      <w:r w:rsidRPr="0096537E">
        <w:rPr>
          <w:rFonts w:ascii="Arial" w:hAnsi="Arial" w:cs="Arial"/>
        </w:rPr>
        <w:t xml:space="preserve"> jego rozwój. Ukształtowana w Polsce grupa instytutów naukowych i ośrodków akademickich, prowadząca badania dotyczące rolnictwa ekologicznego, sprzyja </w:t>
      </w:r>
      <w:r w:rsidRPr="0096537E">
        <w:rPr>
          <w:rFonts w:ascii="Arial" w:hAnsi="Arial" w:cs="Arial"/>
        </w:rPr>
        <w:lastRenderedPageBreak/>
        <w:t>wypracowaniu innowacyjnych rozwiązań pojawiających się lub istniejących problemów, zarówno w</w:t>
      </w:r>
      <w:r w:rsidR="00C90FD7">
        <w:rPr>
          <w:rFonts w:ascii="Arial" w:hAnsi="Arial" w:cs="Arial"/>
        </w:rPr>
        <w:t> </w:t>
      </w:r>
      <w:r w:rsidRPr="0096537E">
        <w:rPr>
          <w:rFonts w:ascii="Arial" w:hAnsi="Arial" w:cs="Arial"/>
        </w:rPr>
        <w:t>ekologicznej produkcji rolniczej, jak i też w przetwórstwie ekologicznym.</w:t>
      </w:r>
    </w:p>
    <w:p w14:paraId="7DCD6AF7" w14:textId="5E485D38" w:rsidR="00155667" w:rsidRPr="00155667" w:rsidRDefault="00155667" w:rsidP="00155667">
      <w:pPr>
        <w:pStyle w:val="NormalnyWeb"/>
        <w:tabs>
          <w:tab w:val="left" w:pos="284"/>
        </w:tabs>
        <w:spacing w:beforeAutospacing="0" w:after="120" w:afterAutospacing="0" w:line="360" w:lineRule="auto"/>
        <w:ind w:firstLine="284"/>
        <w:jc w:val="both"/>
        <w:rPr>
          <w:rFonts w:ascii="Arial" w:hAnsi="Arial" w:cs="Arial"/>
        </w:rPr>
      </w:pPr>
      <w:r w:rsidRPr="00155667">
        <w:rPr>
          <w:rFonts w:ascii="Arial" w:hAnsi="Arial" w:cs="Arial"/>
        </w:rPr>
        <w:t xml:space="preserve">Podstawowa wiedza przekazywana przez doradców, jak również w ramach stowarzyszeń rolników ekologicznych, na obecnym etapie rozwoju rolnictwa ekologicznego może być niewystarczająca. Większa czasochłonność i mniejsza wydajność produkcji w gospodarstwie ekologicznym nie zachęca do przechodzenia na ten sposób produkcji, mimo wzrastającego popytu na rynku żywności ekologicznej. Producent ekologiczny mając do dyspozycji dużo mniejszą gamę środków produkcji narażony jest na większe ryzyko przy wytwarzaniu żywności ekologicznej, które może być zminimalizowane poprzez wprowadzanie nowych, popartych badaniami ekologicznych technologii. Dlatego rola naukowców ciągle wzrasta, a prowadzone przez nich badania naukowe realizowane na rzecz rolnictwa ekologicznego stanowią istotne wsparcie dla tego sektora produkcji. Pozwalają bowiem na opracowywanie nowych technologii produkcji ekologicznej, przez co staje się ona prostsza i obarczona mniejszym ryzykiem. </w:t>
      </w:r>
    </w:p>
    <w:p w14:paraId="72B77D26" w14:textId="54F0CB4F" w:rsidR="00A87A9A" w:rsidRPr="00A87A9A" w:rsidRDefault="00A87A9A" w:rsidP="00A87A9A">
      <w:pPr>
        <w:pStyle w:val="NormalnyWeb"/>
        <w:tabs>
          <w:tab w:val="left" w:pos="284"/>
        </w:tabs>
        <w:spacing w:beforeAutospacing="0" w:after="120" w:afterAutospacing="0" w:line="360" w:lineRule="auto"/>
        <w:ind w:firstLine="284"/>
        <w:jc w:val="both"/>
        <w:rPr>
          <w:rFonts w:ascii="Arial" w:hAnsi="Arial" w:cs="Arial"/>
        </w:rPr>
      </w:pPr>
      <w:r w:rsidRPr="00A87A9A">
        <w:rPr>
          <w:rFonts w:ascii="Arial" w:hAnsi="Arial" w:cs="Arial"/>
        </w:rPr>
        <w:t>Na podstawie przepisów rozporządzenia Ministra Rolnictwa i Rozwoju Wsi z dnia 29 lipca 2015 r. w</w:t>
      </w:r>
      <w:r w:rsidR="00105317">
        <w:rPr>
          <w:rFonts w:ascii="Arial" w:hAnsi="Arial" w:cs="Arial"/>
        </w:rPr>
        <w:t> </w:t>
      </w:r>
      <w:r w:rsidRPr="00A87A9A">
        <w:rPr>
          <w:rFonts w:ascii="Arial" w:hAnsi="Arial" w:cs="Arial"/>
        </w:rPr>
        <w:t xml:space="preserve">sprawie stawek dotacji przedmiotowych dla różnych podmiotów wykonujących zadania na rzecz rolnictwa (Dz. U. poz. 1170, z późn. zm.) jednostki naukowo-badawcze mogą uzyskać częściowe lub całkowite dofinasowanie kosztów prowadzenia badań w obszarze rolnictw ekologicznego, w tym także w zakresie szeroko rozumianej ochrony roślin. </w:t>
      </w:r>
    </w:p>
    <w:p w14:paraId="04491DC9" w14:textId="1FDD3015" w:rsidR="00A87A9A" w:rsidRPr="00A87A9A" w:rsidRDefault="00A87A9A" w:rsidP="00A87A9A">
      <w:pPr>
        <w:pStyle w:val="NormalnyWeb"/>
        <w:tabs>
          <w:tab w:val="left" w:pos="284"/>
        </w:tabs>
        <w:spacing w:beforeAutospacing="0" w:after="120" w:afterAutospacing="0" w:line="360" w:lineRule="auto"/>
        <w:ind w:firstLine="284"/>
        <w:jc w:val="both"/>
        <w:rPr>
          <w:rFonts w:ascii="Arial" w:hAnsi="Arial" w:cs="Arial"/>
        </w:rPr>
      </w:pPr>
      <w:r w:rsidRPr="00A87A9A">
        <w:rPr>
          <w:rFonts w:ascii="Arial" w:hAnsi="Arial" w:cs="Arial"/>
        </w:rPr>
        <w:t>W 2023 r</w:t>
      </w:r>
      <w:r w:rsidR="00F83182">
        <w:rPr>
          <w:rFonts w:ascii="Arial" w:hAnsi="Arial" w:cs="Arial"/>
        </w:rPr>
        <w:t>.</w:t>
      </w:r>
      <w:r w:rsidRPr="00A87A9A">
        <w:rPr>
          <w:rFonts w:ascii="Arial" w:hAnsi="Arial" w:cs="Arial"/>
        </w:rPr>
        <w:t xml:space="preserve"> w ramach realizacji badań z zakresu rolnictwa ekologicznego, w szczególności obejmujących zagadnienia dotyczące ochrony roślin, instytutom i jednostkom naukowym przyznano dotacje na kwotę ponad 500 000 zł. W ramach tych badań opracowywano m.in. efektywną, alternatywną do chemicznej metody ochrony sadzeniaków i roślin ziemniaka przed agrofagami o dużym znaczeniu gospodarczym oraz oceniono możliwości wykorzystania grzybów owadobójczych oraz produktów pochodzenia naturalnego do ograniczenia liczebności owadów szkodliwych w ochronie rzepaku. </w:t>
      </w:r>
    </w:p>
    <w:p w14:paraId="0408489E" w14:textId="2E70A38E" w:rsidR="00A87A9A" w:rsidRPr="00A87A9A" w:rsidRDefault="00A87A9A" w:rsidP="00A87A9A">
      <w:pPr>
        <w:pStyle w:val="NormalnyWeb"/>
        <w:tabs>
          <w:tab w:val="left" w:pos="284"/>
        </w:tabs>
        <w:spacing w:beforeAutospacing="0" w:after="120" w:afterAutospacing="0" w:line="360" w:lineRule="auto"/>
        <w:ind w:firstLine="284"/>
        <w:jc w:val="both"/>
        <w:rPr>
          <w:rFonts w:ascii="Arial" w:hAnsi="Arial" w:cs="Arial"/>
        </w:rPr>
      </w:pPr>
      <w:r w:rsidRPr="00A87A9A">
        <w:rPr>
          <w:rFonts w:ascii="Arial" w:hAnsi="Arial" w:cs="Arial"/>
        </w:rPr>
        <w:t xml:space="preserve">Wszystkie tematy badawcze objęte dotacjami </w:t>
      </w:r>
      <w:r w:rsidR="00442E0A">
        <w:rPr>
          <w:rFonts w:ascii="Arial" w:hAnsi="Arial" w:cs="Arial"/>
        </w:rPr>
        <w:t>były</w:t>
      </w:r>
      <w:r w:rsidRPr="00A87A9A">
        <w:rPr>
          <w:rFonts w:ascii="Arial" w:hAnsi="Arial" w:cs="Arial"/>
        </w:rPr>
        <w:t xml:space="preserve"> nakierowane na rozwiązywanie bieżących problemów, specyficznych dla produkcji ekologicznej. </w:t>
      </w:r>
    </w:p>
    <w:p w14:paraId="4CD68966" w14:textId="08EAC94B" w:rsidR="00A87A9A" w:rsidRPr="00A87A9A" w:rsidRDefault="00A87A9A" w:rsidP="00A87A9A">
      <w:pPr>
        <w:pStyle w:val="NormalnyWeb"/>
        <w:tabs>
          <w:tab w:val="left" w:pos="284"/>
        </w:tabs>
        <w:spacing w:beforeAutospacing="0" w:after="120" w:afterAutospacing="0" w:line="360" w:lineRule="auto"/>
        <w:ind w:firstLine="284"/>
        <w:jc w:val="both"/>
        <w:rPr>
          <w:rFonts w:ascii="Arial" w:hAnsi="Arial" w:cs="Arial"/>
        </w:rPr>
      </w:pPr>
      <w:r w:rsidRPr="00A87A9A">
        <w:rPr>
          <w:rFonts w:ascii="Arial" w:hAnsi="Arial" w:cs="Arial"/>
        </w:rPr>
        <w:t xml:space="preserve">Priorytetowo </w:t>
      </w:r>
      <w:r w:rsidR="00442E0A">
        <w:rPr>
          <w:rFonts w:ascii="Arial" w:hAnsi="Arial" w:cs="Arial"/>
        </w:rPr>
        <w:t>były</w:t>
      </w:r>
      <w:r w:rsidRPr="00A87A9A">
        <w:rPr>
          <w:rFonts w:ascii="Arial" w:hAnsi="Arial" w:cs="Arial"/>
        </w:rPr>
        <w:t xml:space="preserve"> realizowane </w:t>
      </w:r>
      <w:r w:rsidR="006528B4">
        <w:rPr>
          <w:rFonts w:ascii="Arial" w:hAnsi="Arial" w:cs="Arial"/>
        </w:rPr>
        <w:t xml:space="preserve">także </w:t>
      </w:r>
      <w:r w:rsidRPr="00A87A9A">
        <w:rPr>
          <w:rFonts w:ascii="Arial" w:hAnsi="Arial" w:cs="Arial"/>
        </w:rPr>
        <w:t>prace na rzecz zapewnienia odpowiedniego asortymentu i</w:t>
      </w:r>
      <w:r w:rsidR="00155667">
        <w:rPr>
          <w:rFonts w:ascii="Arial" w:hAnsi="Arial" w:cs="Arial"/>
        </w:rPr>
        <w:t> </w:t>
      </w:r>
      <w:r w:rsidRPr="00A87A9A">
        <w:rPr>
          <w:rFonts w:ascii="Arial" w:hAnsi="Arial" w:cs="Arial"/>
        </w:rPr>
        <w:t xml:space="preserve">wyboru środków ochrony roślin dopuszczonych do stosowania w rolnictwie ekologicznym oraz substancji podstawowych, co w ogromnej mierze przyczynia się do ułatwienia gospodarowania metodami ekologicznymi. </w:t>
      </w:r>
    </w:p>
    <w:p w14:paraId="5D61EA24" w14:textId="2DD49260" w:rsidR="00A87A9A" w:rsidRPr="00A87A9A" w:rsidRDefault="00A87A9A" w:rsidP="00A87A9A">
      <w:pPr>
        <w:pStyle w:val="NormalnyWeb"/>
        <w:tabs>
          <w:tab w:val="left" w:pos="284"/>
        </w:tabs>
        <w:spacing w:beforeAutospacing="0" w:after="120" w:afterAutospacing="0" w:line="360" w:lineRule="auto"/>
        <w:ind w:firstLine="284"/>
        <w:jc w:val="both"/>
        <w:rPr>
          <w:rFonts w:ascii="Arial" w:hAnsi="Arial" w:cs="Arial"/>
        </w:rPr>
      </w:pPr>
      <w:r w:rsidRPr="00A87A9A">
        <w:rPr>
          <w:rFonts w:ascii="Arial" w:hAnsi="Arial" w:cs="Arial"/>
        </w:rPr>
        <w:t>Począwszy od 1 stycznia 2022 r. obowiązuje</w:t>
      </w:r>
      <w:r w:rsidR="00014098">
        <w:rPr>
          <w:rFonts w:ascii="Arial" w:hAnsi="Arial" w:cs="Arial"/>
        </w:rPr>
        <w:t xml:space="preserve"> r</w:t>
      </w:r>
      <w:r w:rsidRPr="00A87A9A">
        <w:rPr>
          <w:rFonts w:ascii="Arial" w:hAnsi="Arial" w:cs="Arial"/>
        </w:rPr>
        <w:t>ozporządzenie Parlamentu Europejskiego i Rady (UE) 2018/848 z dnia 30 maja 2018 r. w sprawie produkcji ekologicznej i znakowania produktów ekologicznych i uchylające rozporządzenie Rady (WE) nr 834/2007 (Dz. U. L 150 z 14.06.2018 r.), które określa zakres i wymagania metod i środków</w:t>
      </w:r>
      <w:r w:rsidR="00014098">
        <w:rPr>
          <w:rFonts w:ascii="Arial" w:hAnsi="Arial" w:cs="Arial"/>
        </w:rPr>
        <w:t xml:space="preserve"> </w:t>
      </w:r>
      <w:r w:rsidRPr="00A87A9A">
        <w:rPr>
          <w:rFonts w:ascii="Arial" w:hAnsi="Arial" w:cs="Arial"/>
        </w:rPr>
        <w:t>produkcji stosowanych do produkcji ekologicznej.</w:t>
      </w:r>
      <w:r w:rsidR="00014098">
        <w:rPr>
          <w:rFonts w:ascii="Arial" w:hAnsi="Arial" w:cs="Arial"/>
        </w:rPr>
        <w:t xml:space="preserve"> </w:t>
      </w:r>
      <w:r w:rsidRPr="00A87A9A">
        <w:rPr>
          <w:rFonts w:ascii="Arial" w:hAnsi="Arial" w:cs="Arial"/>
        </w:rPr>
        <w:t xml:space="preserve">Zgodnie z art. 9 ust. 3 rozporządzenia w produkcji ekologicznej można stosować wyłącznie produkty i substancje dopuszczone na podstawie zawartego w nim art. 24, pod warunkiem, że ich stosowanie (….) zostało dopuszczone zgodnie z odpowiednimi przepisami prawa Unii. </w:t>
      </w:r>
    </w:p>
    <w:p w14:paraId="0B685E64" w14:textId="4CF396A3" w:rsidR="00105317" w:rsidRDefault="00A87A9A" w:rsidP="00A87A9A">
      <w:pPr>
        <w:pStyle w:val="NormalnyWeb"/>
        <w:tabs>
          <w:tab w:val="left" w:pos="284"/>
        </w:tabs>
        <w:spacing w:beforeAutospacing="0" w:after="120" w:afterAutospacing="0" w:line="360" w:lineRule="auto"/>
        <w:ind w:firstLine="284"/>
        <w:jc w:val="both"/>
        <w:rPr>
          <w:rFonts w:ascii="Arial" w:hAnsi="Arial" w:cs="Arial"/>
        </w:rPr>
      </w:pPr>
      <w:r w:rsidRPr="00A87A9A">
        <w:rPr>
          <w:rFonts w:ascii="Arial" w:hAnsi="Arial" w:cs="Arial"/>
        </w:rPr>
        <w:t>Wykorzystując środki w ramach dotacji celowych, została przygotowana Wyszukiwarka środków ochrony roślin i substancji podstawowych</w:t>
      </w:r>
      <w:r w:rsidR="00CE570D">
        <w:rPr>
          <w:rFonts w:ascii="Arial" w:hAnsi="Arial" w:cs="Arial"/>
        </w:rPr>
        <w:t xml:space="preserve">  </w:t>
      </w:r>
      <w:hyperlink r:id="rId35" w:history="1">
        <w:r w:rsidR="00105317" w:rsidRPr="00B667A2">
          <w:rPr>
            <w:rStyle w:val="Hipercze"/>
            <w:rFonts w:ascii="Arial" w:hAnsi="Arial" w:cs="Arial"/>
          </w:rPr>
          <w:t>https://rolnictwo-ekologiczne.ior.poznan.pl</w:t>
        </w:r>
      </w:hyperlink>
    </w:p>
    <w:p w14:paraId="106049FD" w14:textId="4F9E8ED8" w:rsidR="00A87A9A" w:rsidRPr="00A87A9A" w:rsidRDefault="00A87A9A" w:rsidP="00A87A9A">
      <w:pPr>
        <w:pStyle w:val="NormalnyWeb"/>
        <w:tabs>
          <w:tab w:val="left" w:pos="284"/>
        </w:tabs>
        <w:spacing w:beforeAutospacing="0" w:after="120" w:afterAutospacing="0" w:line="360" w:lineRule="auto"/>
        <w:ind w:firstLine="284"/>
        <w:jc w:val="both"/>
        <w:rPr>
          <w:rFonts w:ascii="Arial" w:hAnsi="Arial" w:cs="Arial"/>
        </w:rPr>
      </w:pPr>
      <w:r w:rsidRPr="00A87A9A">
        <w:rPr>
          <w:rFonts w:ascii="Arial" w:hAnsi="Arial" w:cs="Arial"/>
        </w:rPr>
        <w:lastRenderedPageBreak/>
        <w:t>Narzędzie to, w prosty sposób pomaga znaleźć, zarówno środek ochrony roślin, jak</w:t>
      </w:r>
      <w:r w:rsidR="00105317">
        <w:rPr>
          <w:rFonts w:ascii="Arial" w:hAnsi="Arial" w:cs="Arial"/>
        </w:rPr>
        <w:t xml:space="preserve"> </w:t>
      </w:r>
      <w:r w:rsidRPr="00A87A9A">
        <w:rPr>
          <w:rFonts w:ascii="Arial" w:hAnsi="Arial" w:cs="Arial"/>
        </w:rPr>
        <w:t xml:space="preserve">i substancję podstawową, pożądane w ekologicznej produkcji roślin. </w:t>
      </w:r>
    </w:p>
    <w:p w14:paraId="46F561D1" w14:textId="63BBD6DA" w:rsidR="00D746F6" w:rsidRPr="00C90FD7" w:rsidRDefault="00D746F6" w:rsidP="00105317">
      <w:pPr>
        <w:pStyle w:val="NormalnyWeb"/>
        <w:tabs>
          <w:tab w:val="left" w:pos="284"/>
        </w:tabs>
        <w:spacing w:beforeAutospacing="0" w:after="120" w:afterAutospacing="0" w:line="360" w:lineRule="auto"/>
        <w:ind w:firstLine="284"/>
        <w:jc w:val="both"/>
        <w:rPr>
          <w:rFonts w:ascii="Arial" w:hAnsi="Arial" w:cs="Arial"/>
        </w:rPr>
      </w:pPr>
      <w:r w:rsidRPr="00C90FD7">
        <w:rPr>
          <w:rFonts w:ascii="Arial" w:hAnsi="Arial" w:cs="Arial"/>
        </w:rPr>
        <w:t>W 2023 r. więcej niż w 2022 r. – bo 170 środków ochrony roślin</w:t>
      </w:r>
      <w:r w:rsidR="00045D85" w:rsidRPr="00C90FD7">
        <w:rPr>
          <w:rFonts w:ascii="Arial" w:hAnsi="Arial" w:cs="Arial"/>
        </w:rPr>
        <w:t>,</w:t>
      </w:r>
      <w:r w:rsidRPr="00C90FD7">
        <w:rPr>
          <w:rFonts w:ascii="Arial" w:hAnsi="Arial" w:cs="Arial"/>
        </w:rPr>
        <w:t xml:space="preserve"> zawierających substancje czynne zakwalifikowanych do stosowania w rolnictwie ekologicznym</w:t>
      </w:r>
      <w:r w:rsidR="00045D85" w:rsidRPr="00C90FD7">
        <w:rPr>
          <w:rFonts w:ascii="Arial" w:hAnsi="Arial" w:cs="Arial"/>
        </w:rPr>
        <w:t>,</w:t>
      </w:r>
      <w:r w:rsidRPr="00C90FD7">
        <w:rPr>
          <w:rFonts w:ascii="Arial" w:hAnsi="Arial" w:cs="Arial"/>
        </w:rPr>
        <w:t xml:space="preserve"> było dopuszczonych do obrotu. Zarejestrowanych zostało 18 nowych preparatów (6 insektycydów, 8 fungicydów, 1 środek wykazujący zarówno właściwości insektycydu, jak i akarycyd; 2 środki wykazujące zarówno właściwości insektycydu, fungicydu jak i akarycydu; 1 regulator wzrostu).</w:t>
      </w:r>
    </w:p>
    <w:p w14:paraId="4D01C297" w14:textId="7CCDCB70" w:rsidR="00105317" w:rsidRDefault="00105317" w:rsidP="00105317">
      <w:pPr>
        <w:pStyle w:val="NormalnyWeb"/>
        <w:tabs>
          <w:tab w:val="left" w:pos="284"/>
        </w:tabs>
        <w:spacing w:beforeAutospacing="0" w:after="120" w:afterAutospacing="0" w:line="360" w:lineRule="auto"/>
        <w:ind w:firstLine="284"/>
        <w:jc w:val="both"/>
        <w:rPr>
          <w:rFonts w:ascii="Arial" w:hAnsi="Arial" w:cs="Arial"/>
        </w:rPr>
      </w:pPr>
      <w:r w:rsidRPr="00C90FD7">
        <w:rPr>
          <w:rFonts w:ascii="Arial" w:hAnsi="Arial" w:cs="Arial"/>
        </w:rPr>
        <w:t>Liczba środków ochrony roślin dopuszczonych do stosowania w rolnictwie ekologicznym zatem sukcesywnie wzrasta, co obrazuje poniższy wykres</w:t>
      </w:r>
      <w:r w:rsidR="00062D73">
        <w:rPr>
          <w:rFonts w:ascii="Arial" w:hAnsi="Arial" w:cs="Arial"/>
        </w:rPr>
        <w:t xml:space="preserve"> 4</w:t>
      </w:r>
      <w:r w:rsidRPr="00C90FD7">
        <w:rPr>
          <w:rFonts w:ascii="Arial" w:hAnsi="Arial" w:cs="Arial"/>
        </w:rPr>
        <w:t xml:space="preserve">. </w:t>
      </w:r>
    </w:p>
    <w:p w14:paraId="7E028A0F" w14:textId="051F4EC6" w:rsidR="007F365C" w:rsidRPr="00C90FD7" w:rsidRDefault="007F365C" w:rsidP="00105317">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Wykres 4. Liczba środków ochrony roślin dopuszczonych do stosowania w rolnictwie ekologicznym.</w:t>
      </w:r>
    </w:p>
    <w:p w14:paraId="579308ED" w14:textId="77777777" w:rsidR="00105317" w:rsidRDefault="00105317" w:rsidP="00105317">
      <w:pPr>
        <w:pStyle w:val="NormalnyWeb"/>
        <w:tabs>
          <w:tab w:val="left" w:pos="284"/>
        </w:tabs>
        <w:spacing w:beforeAutospacing="0" w:after="120" w:afterAutospacing="0" w:line="360" w:lineRule="auto"/>
        <w:ind w:firstLine="284"/>
        <w:jc w:val="both"/>
        <w:rPr>
          <w:rFonts w:ascii="Arial" w:hAnsi="Arial" w:cs="Arial"/>
        </w:rPr>
      </w:pPr>
      <w:r w:rsidRPr="000A50AF">
        <w:rPr>
          <w:rFonts w:ascii="Arial" w:hAnsi="Arial" w:cs="Arial"/>
          <w:noProof/>
          <w:color w:val="9BBB59" w:themeColor="accent3"/>
        </w:rPr>
        <w:drawing>
          <wp:inline distT="0" distB="0" distL="0" distR="0" wp14:anchorId="5C69A9D2" wp14:editId="2F0A1795">
            <wp:extent cx="5126355" cy="2933480"/>
            <wp:effectExtent l="0" t="0" r="17145" b="63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6D70197" w14:textId="36114C7D" w:rsidR="00916CA6" w:rsidRDefault="00916CA6" w:rsidP="00105317">
      <w:pPr>
        <w:pStyle w:val="NormalnyWeb"/>
        <w:tabs>
          <w:tab w:val="left" w:pos="284"/>
        </w:tabs>
        <w:spacing w:beforeAutospacing="0" w:after="120" w:afterAutospacing="0" w:line="360" w:lineRule="auto"/>
        <w:ind w:firstLine="284"/>
        <w:jc w:val="both"/>
        <w:rPr>
          <w:rFonts w:ascii="Arial" w:hAnsi="Arial" w:cs="Arial"/>
        </w:rPr>
      </w:pPr>
    </w:p>
    <w:p w14:paraId="6960B546" w14:textId="77777777" w:rsidR="008B5F95" w:rsidRDefault="00923F0D">
      <w:pPr>
        <w:widowControl/>
      </w:pPr>
      <w:r>
        <w:br w:type="page"/>
      </w:r>
    </w:p>
    <w:p w14:paraId="292D0FCB" w14:textId="2F2BC523" w:rsidR="00377DA8" w:rsidRDefault="00377DA8" w:rsidP="003070D6">
      <w:pPr>
        <w:pStyle w:val="Nagwek1"/>
        <w:numPr>
          <w:ilvl w:val="3"/>
          <w:numId w:val="2"/>
        </w:numPr>
        <w:tabs>
          <w:tab w:val="clear" w:pos="2868"/>
          <w:tab w:val="num" w:pos="851"/>
          <w:tab w:val="left" w:pos="2552"/>
        </w:tabs>
        <w:ind w:hanging="2584"/>
        <w:jc w:val="both"/>
        <w:rPr>
          <w:i w:val="0"/>
          <w:sz w:val="22"/>
          <w:szCs w:val="22"/>
        </w:rPr>
      </w:pPr>
      <w:bookmarkStart w:id="94" w:name="_Toc193716424"/>
      <w:r>
        <w:rPr>
          <w:i w:val="0"/>
          <w:sz w:val="22"/>
          <w:szCs w:val="22"/>
        </w:rPr>
        <w:lastRenderedPageBreak/>
        <w:t>P</w:t>
      </w:r>
      <w:r w:rsidR="003070D6">
        <w:rPr>
          <w:i w:val="0"/>
          <w:sz w:val="22"/>
          <w:szCs w:val="22"/>
        </w:rPr>
        <w:t>odsumowanie</w:t>
      </w:r>
      <w:bookmarkEnd w:id="94"/>
      <w:r>
        <w:rPr>
          <w:i w:val="0"/>
          <w:sz w:val="22"/>
          <w:szCs w:val="22"/>
        </w:rPr>
        <w:t xml:space="preserve"> </w:t>
      </w:r>
    </w:p>
    <w:p w14:paraId="216A1902" w14:textId="1CEC80F7" w:rsidR="000E7061" w:rsidRPr="000E7061" w:rsidRDefault="000E7061" w:rsidP="000E7061">
      <w:pPr>
        <w:pStyle w:val="NormalnyWeb"/>
        <w:tabs>
          <w:tab w:val="left" w:pos="284"/>
        </w:tabs>
        <w:spacing w:beforeAutospacing="0" w:after="120" w:afterAutospacing="0" w:line="360" w:lineRule="auto"/>
        <w:ind w:firstLine="284"/>
        <w:jc w:val="both"/>
        <w:rPr>
          <w:rFonts w:ascii="Arial" w:hAnsi="Arial" w:cs="Arial"/>
        </w:rPr>
      </w:pPr>
      <w:r w:rsidRPr="000E7061">
        <w:rPr>
          <w:rFonts w:ascii="Arial" w:hAnsi="Arial" w:cs="Arial"/>
        </w:rPr>
        <w:t xml:space="preserve">Zakończony został </w:t>
      </w:r>
      <w:r w:rsidR="003070D6">
        <w:rPr>
          <w:rFonts w:ascii="Arial" w:hAnsi="Arial" w:cs="Arial"/>
        </w:rPr>
        <w:t>pierwszy</w:t>
      </w:r>
      <w:r w:rsidRPr="000E7061">
        <w:rPr>
          <w:rFonts w:ascii="Arial" w:hAnsi="Arial" w:cs="Arial"/>
        </w:rPr>
        <w:t xml:space="preserve"> rok realizacji </w:t>
      </w:r>
      <w:r w:rsidR="003A6A9F">
        <w:rPr>
          <w:rFonts w:ascii="Arial" w:hAnsi="Arial" w:cs="Arial"/>
        </w:rPr>
        <w:t>trzeciego</w:t>
      </w:r>
      <w:r w:rsidRPr="000E7061">
        <w:rPr>
          <w:rFonts w:ascii="Arial" w:hAnsi="Arial" w:cs="Arial"/>
        </w:rPr>
        <w:t xml:space="preserve"> przyjętego w Polsce krajowego planu działania na rzecz ograniczenia ryzyka związanego ze stosowaniem środków ochrony roślin, zaplanowanego na lata 20</w:t>
      </w:r>
      <w:r w:rsidR="003A6A9F">
        <w:rPr>
          <w:rFonts w:ascii="Arial" w:hAnsi="Arial" w:cs="Arial"/>
        </w:rPr>
        <w:t>23</w:t>
      </w:r>
      <w:r w:rsidRPr="000E7061">
        <w:rPr>
          <w:rFonts w:ascii="Arial" w:hAnsi="Arial" w:cs="Arial"/>
        </w:rPr>
        <w:t>-202</w:t>
      </w:r>
      <w:r w:rsidR="003A6A9F">
        <w:rPr>
          <w:rFonts w:ascii="Arial" w:hAnsi="Arial" w:cs="Arial"/>
        </w:rPr>
        <w:t>7</w:t>
      </w:r>
      <w:r w:rsidRPr="000E7061">
        <w:rPr>
          <w:rFonts w:ascii="Arial" w:hAnsi="Arial" w:cs="Arial"/>
        </w:rPr>
        <w:t xml:space="preserve">. Podobnie jak w latach poprzednich kluczowym celem dla Polski w związku z realizacją krajowego planu działania było upowszechnianie ogólnych zasad integrowanej ochrony roślin oraz zapobieganie zagrożeniom związanym ze stosowaniem środków ochrony roślin. </w:t>
      </w:r>
    </w:p>
    <w:p w14:paraId="2C545BEA" w14:textId="452973AD" w:rsidR="000E7061" w:rsidRPr="00CF52D9" w:rsidRDefault="000E7061" w:rsidP="000E7061">
      <w:pPr>
        <w:pStyle w:val="NormalnyWeb"/>
        <w:tabs>
          <w:tab w:val="left" w:pos="284"/>
        </w:tabs>
        <w:spacing w:beforeAutospacing="0" w:after="120" w:afterAutospacing="0" w:line="360" w:lineRule="auto"/>
        <w:ind w:firstLine="284"/>
        <w:jc w:val="both"/>
        <w:rPr>
          <w:rFonts w:ascii="Arial" w:hAnsi="Arial" w:cs="Arial"/>
        </w:rPr>
      </w:pPr>
      <w:r w:rsidRPr="00CF52D9">
        <w:rPr>
          <w:rFonts w:ascii="Arial" w:hAnsi="Arial" w:cs="Arial"/>
        </w:rPr>
        <w:t xml:space="preserve">Według danych Państwowej Inspekcji Ochrony Roślin i Nasiennictwa </w:t>
      </w:r>
      <w:r w:rsidR="00C36A9E" w:rsidRPr="00CF52D9">
        <w:rPr>
          <w:rFonts w:ascii="Arial" w:hAnsi="Arial" w:cs="Arial"/>
        </w:rPr>
        <w:t xml:space="preserve">w 2023 r. </w:t>
      </w:r>
      <w:r w:rsidRPr="00CF52D9">
        <w:rPr>
          <w:rFonts w:ascii="Arial" w:hAnsi="Arial" w:cs="Arial"/>
        </w:rPr>
        <w:t xml:space="preserve">stosowane działania i metody integrowanej ochrony roślin </w:t>
      </w:r>
      <w:r w:rsidR="00C36A9E" w:rsidRPr="00CF52D9">
        <w:rPr>
          <w:rFonts w:ascii="Arial" w:hAnsi="Arial" w:cs="Arial"/>
        </w:rPr>
        <w:t>były</w:t>
      </w:r>
      <w:r w:rsidRPr="00CF52D9">
        <w:rPr>
          <w:rFonts w:ascii="Arial" w:hAnsi="Arial" w:cs="Arial"/>
        </w:rPr>
        <w:t xml:space="preserve"> efektywne w ocenie</w:t>
      </w:r>
      <w:r w:rsidR="00C36A9E" w:rsidRPr="00CF52D9">
        <w:rPr>
          <w:rFonts w:ascii="Arial" w:hAnsi="Arial" w:cs="Arial"/>
        </w:rPr>
        <w:t xml:space="preserve"> </w:t>
      </w:r>
      <w:r w:rsidR="002B1523" w:rsidRPr="00CF52D9">
        <w:rPr>
          <w:rFonts w:ascii="Arial" w:hAnsi="Arial" w:cs="Arial"/>
        </w:rPr>
        <w:t>93,9</w:t>
      </w:r>
      <w:r w:rsidRPr="00CF52D9">
        <w:rPr>
          <w:rFonts w:ascii="Arial" w:hAnsi="Arial" w:cs="Arial"/>
        </w:rPr>
        <w:t>% skontrolowanych profesjonalnych użytkowników środków ochrony roślin</w:t>
      </w:r>
      <w:r w:rsidR="00CF52D9" w:rsidRPr="00CF52D9">
        <w:rPr>
          <w:rFonts w:ascii="Arial" w:hAnsi="Arial" w:cs="Arial"/>
        </w:rPr>
        <w:t>.</w:t>
      </w:r>
    </w:p>
    <w:p w14:paraId="3B56F6DA" w14:textId="69025571" w:rsidR="000E7061" w:rsidRPr="000E7061" w:rsidRDefault="00E05FC6" w:rsidP="000E7061">
      <w:pPr>
        <w:pStyle w:val="NormalnyWeb"/>
        <w:tabs>
          <w:tab w:val="left" w:pos="284"/>
        </w:tabs>
        <w:spacing w:beforeAutospacing="0" w:after="120" w:afterAutospacing="0" w:line="360" w:lineRule="auto"/>
        <w:ind w:firstLine="284"/>
        <w:jc w:val="both"/>
        <w:rPr>
          <w:rFonts w:ascii="Arial" w:hAnsi="Arial" w:cs="Arial"/>
        </w:rPr>
      </w:pPr>
      <w:r w:rsidRPr="00E05FC6">
        <w:rPr>
          <w:rFonts w:ascii="Arial" w:hAnsi="Arial" w:cs="Arial"/>
        </w:rPr>
        <w:t>Na podstawie przeprowadzonych kontroli stosowania środków ochrony roślin stwierdzono, że spośród dostępnych sposobów realizowania zasad integrowanej ochrony roślin najwięcej kontrolowanych profesjonalnych użytkowników środków zadeklarowało stosowanie agrotechnicznych metod uprawy, prowadzenie monitorowania organizmów szkodliwych, stosowanie płodozmianu i doboru właściwego terminu siewu lub sadzenia, ograniczanie liczby zabiegów, stosowanie środków higieny oraz stosowanie zrównoważonego nawożenia, nawadniania i wapnowania.</w:t>
      </w:r>
      <w:r w:rsidR="000E7061" w:rsidRPr="000E7061">
        <w:rPr>
          <w:rFonts w:ascii="Arial" w:hAnsi="Arial" w:cs="Arial"/>
        </w:rPr>
        <w:t xml:space="preserve"> </w:t>
      </w:r>
    </w:p>
    <w:p w14:paraId="45DB7C60" w14:textId="77777777" w:rsidR="00B81AD2" w:rsidRPr="003157BB" w:rsidRDefault="00B81AD2" w:rsidP="00B81AD2">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3157BB">
        <w:rPr>
          <w:rFonts w:ascii="Arial" w:hAnsi="Arial" w:cs="Arial"/>
        </w:rPr>
        <w:t>W</w:t>
      </w:r>
      <w:r w:rsidRPr="003157BB">
        <w:rPr>
          <w:rFonts w:ascii="Arial" w:eastAsia="Calibri" w:hAnsi="Arial" w:cs="Arial"/>
          <w:lang w:eastAsia="en-US"/>
        </w:rPr>
        <w:t xml:space="preserve"> 2023 </w:t>
      </w:r>
      <w:r>
        <w:rPr>
          <w:rFonts w:ascii="Arial" w:eastAsia="Calibri" w:hAnsi="Arial" w:cs="Arial"/>
          <w:lang w:eastAsia="en-US"/>
        </w:rPr>
        <w:t xml:space="preserve">r. </w:t>
      </w:r>
      <w:r w:rsidRPr="003157BB">
        <w:rPr>
          <w:rFonts w:ascii="Arial" w:eastAsia="Calibri" w:hAnsi="Arial" w:cs="Arial"/>
          <w:lang w:eastAsia="en-US"/>
        </w:rPr>
        <w:t>nastąpił spadek wartości wskaźnika W</w:t>
      </w:r>
      <w:r w:rsidRPr="003157BB">
        <w:rPr>
          <w:rFonts w:ascii="Arial" w:eastAsia="Calibri" w:hAnsi="Arial" w:cs="Arial"/>
          <w:vertAlign w:val="subscript"/>
          <w:lang w:eastAsia="en-US"/>
        </w:rPr>
        <w:t>S.Kontrola</w:t>
      </w:r>
      <w:r w:rsidRPr="003157BB">
        <w:rPr>
          <w:rFonts w:ascii="Arial" w:eastAsia="Calibri" w:hAnsi="Arial" w:cs="Arial"/>
          <w:lang w:eastAsia="en-US"/>
        </w:rPr>
        <w:t xml:space="preserve"> z 1,369% do 1,177%. W dalszym ciągu głównym obszarem kontroli mającym wpływ na wartość wskaźnika jest „użycie ś.o.r. niezgodnie z</w:t>
      </w:r>
      <w:r>
        <w:rPr>
          <w:rFonts w:ascii="Arial" w:eastAsia="Calibri" w:hAnsi="Arial" w:cs="Arial"/>
          <w:lang w:eastAsia="en-US"/>
        </w:rPr>
        <w:t> </w:t>
      </w:r>
      <w:r w:rsidRPr="003157BB">
        <w:rPr>
          <w:rFonts w:ascii="Arial" w:eastAsia="Calibri" w:hAnsi="Arial" w:cs="Arial"/>
          <w:lang w:eastAsia="en-US"/>
        </w:rPr>
        <w:t>zakresem stosowania” – 471 nieprawidłowości na 21</w:t>
      </w:r>
      <w:r>
        <w:rPr>
          <w:rFonts w:ascii="Arial" w:eastAsia="Calibri" w:hAnsi="Arial" w:cs="Arial"/>
          <w:lang w:eastAsia="en-US"/>
        </w:rPr>
        <w:t> </w:t>
      </w:r>
      <w:r w:rsidRPr="003157BB">
        <w:rPr>
          <w:rFonts w:ascii="Arial" w:eastAsia="Calibri" w:hAnsi="Arial" w:cs="Arial"/>
          <w:lang w:eastAsia="en-US"/>
        </w:rPr>
        <w:t>651 kontroli (2,18%), co przekłada się na około 37% wartości wskaźnika (0,435%). Analizując zestawieni</w:t>
      </w:r>
      <w:r>
        <w:rPr>
          <w:rFonts w:ascii="Arial" w:eastAsia="Calibri" w:hAnsi="Arial" w:cs="Arial"/>
          <w:lang w:eastAsia="en-US"/>
        </w:rPr>
        <w:t xml:space="preserve">e wyników kontroli stosowania z </w:t>
      </w:r>
      <w:r w:rsidRPr="003157BB">
        <w:rPr>
          <w:rFonts w:ascii="Arial" w:eastAsia="Calibri" w:hAnsi="Arial" w:cs="Arial"/>
          <w:lang w:eastAsia="en-US"/>
        </w:rPr>
        <w:t xml:space="preserve">2023 </w:t>
      </w:r>
      <w:r>
        <w:rPr>
          <w:rFonts w:ascii="Arial" w:eastAsia="Calibri" w:hAnsi="Arial" w:cs="Arial"/>
          <w:lang w:eastAsia="en-US"/>
        </w:rPr>
        <w:t xml:space="preserve">r. </w:t>
      </w:r>
      <w:r w:rsidRPr="003157BB">
        <w:rPr>
          <w:rFonts w:ascii="Arial" w:eastAsia="Calibri" w:hAnsi="Arial" w:cs="Arial"/>
          <w:lang w:eastAsia="en-US"/>
        </w:rPr>
        <w:t>można szacować sumaryczną liczbę nieprawidłowości (łącznie wszystkie obszary kontroli) na około 8</w:t>
      </w:r>
      <w:r>
        <w:rPr>
          <w:rFonts w:ascii="Arial" w:eastAsia="Calibri" w:hAnsi="Arial" w:cs="Arial"/>
          <w:lang w:eastAsia="en-US"/>
        </w:rPr>
        <w:t> </w:t>
      </w:r>
      <w:r w:rsidRPr="003157BB">
        <w:rPr>
          <w:rFonts w:ascii="Arial" w:eastAsia="Calibri" w:hAnsi="Arial" w:cs="Arial"/>
          <w:lang w:eastAsia="en-US"/>
        </w:rPr>
        <w:t>nieprawidłowości na 100 gospodarstw (8,135%). Jest to identyczny wynik jak w 2022</w:t>
      </w:r>
      <w:r>
        <w:rPr>
          <w:rFonts w:ascii="Arial" w:eastAsia="Calibri" w:hAnsi="Arial" w:cs="Arial"/>
          <w:lang w:eastAsia="en-US"/>
        </w:rPr>
        <w:t xml:space="preserve"> r.</w:t>
      </w:r>
    </w:p>
    <w:p w14:paraId="7D937AA8" w14:textId="77777777" w:rsidR="00B40D39" w:rsidRDefault="00B40D39" w:rsidP="00B40D39">
      <w:pPr>
        <w:pStyle w:val="NormalnyWeb"/>
        <w:tabs>
          <w:tab w:val="left" w:pos="284"/>
        </w:tabs>
        <w:spacing w:beforeAutospacing="0" w:after="120" w:afterAutospacing="0" w:line="360" w:lineRule="auto"/>
        <w:ind w:firstLine="284"/>
        <w:jc w:val="both"/>
        <w:rPr>
          <w:rFonts w:ascii="Arial" w:hAnsi="Arial" w:cs="Arial"/>
        </w:rPr>
      </w:pPr>
    </w:p>
    <w:p w14:paraId="5FCDCBAC" w14:textId="77777777" w:rsidR="003A39AD" w:rsidRPr="00B40D39" w:rsidRDefault="003A39AD" w:rsidP="00B40D39">
      <w:pPr>
        <w:pStyle w:val="NormalnyWeb"/>
        <w:tabs>
          <w:tab w:val="left" w:pos="284"/>
        </w:tabs>
        <w:spacing w:beforeAutospacing="0" w:after="120" w:afterAutospacing="0" w:line="360" w:lineRule="auto"/>
        <w:ind w:firstLine="284"/>
        <w:jc w:val="both"/>
        <w:rPr>
          <w:rFonts w:ascii="Arial" w:hAnsi="Arial" w:cs="Arial"/>
        </w:rPr>
      </w:pPr>
    </w:p>
    <w:p w14:paraId="157045B9" w14:textId="77777777" w:rsidR="00B40D39" w:rsidRPr="00B40D39" w:rsidRDefault="00B40D39" w:rsidP="00B40D39">
      <w:pPr>
        <w:pStyle w:val="NormalnyWeb"/>
        <w:tabs>
          <w:tab w:val="left" w:pos="284"/>
        </w:tabs>
        <w:spacing w:beforeAutospacing="0" w:after="120" w:afterAutospacing="0" w:line="360" w:lineRule="auto"/>
        <w:ind w:firstLine="284"/>
        <w:jc w:val="both"/>
        <w:rPr>
          <w:rFonts w:ascii="Arial" w:hAnsi="Arial" w:cs="Arial"/>
        </w:rPr>
      </w:pPr>
    </w:p>
    <w:p w14:paraId="2AD8E10D" w14:textId="082FC7B6" w:rsidR="00C02AB8" w:rsidRDefault="00C02AB8">
      <w:pPr>
        <w:widowControl/>
        <w:rPr>
          <w:rFonts w:ascii="Arial" w:hAnsi="Arial" w:cs="Arial"/>
        </w:rPr>
      </w:pPr>
      <w:r>
        <w:rPr>
          <w:rFonts w:ascii="Arial" w:hAnsi="Arial" w:cs="Arial"/>
        </w:rPr>
        <w:br w:type="page"/>
      </w:r>
    </w:p>
    <w:p w14:paraId="1AE73830" w14:textId="3813FB1B" w:rsidR="00896724" w:rsidRDefault="00896724" w:rsidP="007C6297">
      <w:pPr>
        <w:pStyle w:val="Nagwek1"/>
        <w:numPr>
          <w:ilvl w:val="3"/>
          <w:numId w:val="2"/>
        </w:numPr>
        <w:tabs>
          <w:tab w:val="clear" w:pos="2868"/>
          <w:tab w:val="num" w:pos="709"/>
          <w:tab w:val="left" w:pos="2552"/>
        </w:tabs>
        <w:ind w:left="567" w:hanging="567"/>
        <w:jc w:val="both"/>
        <w:rPr>
          <w:i w:val="0"/>
          <w:sz w:val="22"/>
          <w:szCs w:val="22"/>
        </w:rPr>
      </w:pPr>
      <w:bookmarkStart w:id="95" w:name="_Toc193716425"/>
      <w:r>
        <w:rPr>
          <w:i w:val="0"/>
          <w:sz w:val="22"/>
          <w:szCs w:val="22"/>
        </w:rPr>
        <w:lastRenderedPageBreak/>
        <w:t>Załącznik nr 1</w:t>
      </w:r>
      <w:bookmarkEnd w:id="95"/>
      <w:r>
        <w:rPr>
          <w:i w:val="0"/>
          <w:sz w:val="22"/>
          <w:szCs w:val="22"/>
        </w:rPr>
        <w:t xml:space="preserve"> </w:t>
      </w:r>
    </w:p>
    <w:p w14:paraId="614EDD33" w14:textId="77777777" w:rsidR="002761D9" w:rsidRDefault="002761D9">
      <w:pPr>
        <w:widowControl/>
        <w:rPr>
          <w:rFonts w:ascii="Arial" w:hAnsi="Arial" w:cs="Arial"/>
        </w:rPr>
      </w:pPr>
    </w:p>
    <w:p w14:paraId="3D0C2F47" w14:textId="45CEF235" w:rsidR="00365D25" w:rsidRPr="002B6E97" w:rsidRDefault="00365D25" w:rsidP="00365D25">
      <w:pPr>
        <w:jc w:val="both"/>
        <w:rPr>
          <w:rFonts w:ascii="Arial" w:hAnsi="Arial" w:cs="Arial"/>
          <w:b/>
          <w:bCs/>
        </w:rPr>
      </w:pPr>
      <w:r w:rsidRPr="002B6E97">
        <w:rPr>
          <w:rFonts w:ascii="Arial" w:hAnsi="Arial" w:cs="Arial"/>
          <w:b/>
          <w:bCs/>
        </w:rPr>
        <w:t>W Instytucie Ogrodnictwa w 2023 r.:</w:t>
      </w:r>
    </w:p>
    <w:p w14:paraId="177E8758" w14:textId="2F2EA403" w:rsidR="00365D25" w:rsidRPr="00365D25" w:rsidRDefault="00365D25" w:rsidP="00365D25">
      <w:pPr>
        <w:jc w:val="both"/>
        <w:rPr>
          <w:rFonts w:ascii="Arial" w:hAnsi="Arial" w:cs="Arial"/>
        </w:rPr>
      </w:pPr>
    </w:p>
    <w:p w14:paraId="6C1AF88F" w14:textId="77777777" w:rsidR="00365D25" w:rsidRPr="00365D25" w:rsidRDefault="00365D25" w:rsidP="00365D25">
      <w:pPr>
        <w:pStyle w:val="NormalnyWeb"/>
        <w:tabs>
          <w:tab w:val="left" w:pos="284"/>
        </w:tabs>
        <w:spacing w:beforeAutospacing="0" w:after="120" w:afterAutospacing="0" w:line="360" w:lineRule="auto"/>
        <w:ind w:firstLine="284"/>
        <w:jc w:val="both"/>
        <w:rPr>
          <w:rFonts w:ascii="Arial" w:hAnsi="Arial" w:cs="Arial"/>
        </w:rPr>
      </w:pPr>
      <w:r w:rsidRPr="00365D25">
        <w:rPr>
          <w:rFonts w:ascii="Arial" w:hAnsi="Arial" w:cs="Arial"/>
        </w:rPr>
        <w:t>11.1 Przeprowadzono szereg badań nad występowaniem w sadach jabłoniowych zjawiska odporności mszyc: mszycy jabłoniowej (Aphis (Aphis) pomi), mszycy jabłoniowo-babkowej (Dysaphis (Pomaphis) plantaginea) oraz bawełnicy korówki (Eriosoma lanigerum) na stosowane aficydy. Na podstawie lustracji 50 sadów jabłoniowych oraz wywiadów przeprowadzonych z producentami wytypowano 15 obiektów, z których pobierane były mszyce do testów odpornościowych. Właściciele tych sadów deklarowali problem z ograniczaniem populacji mszyc w latach poprzednich. Podczas przeprowadzonych testów szalkowych, w 24h po zastosowaniu aficydu (zawierającego w swoim składzie acetamipryd), śmiertelność u wszystkich populacji mszyc pobranych z wybranych sadów produkcyjnych była wysoka i wynosiła od 92,5 % do 100,0%. Na podstawie uzyskanych wyników doświadczeń biochemicznych nie stwierdzono istotnych różnic statystycznych w średnim poziomie aktywności wieloczynnościowych oksydaz u osobników mszycy jabłoniowej i jabłoniowo-babkowej pobranych z sadów produkcyjnych jak i lokalizacji kontrolnej.</w:t>
      </w:r>
    </w:p>
    <w:p w14:paraId="6133C5B2" w14:textId="52438D8E" w:rsidR="00365D25" w:rsidRPr="00365D25" w:rsidRDefault="00365D25" w:rsidP="00365D25">
      <w:pPr>
        <w:pStyle w:val="NormalnyWeb"/>
        <w:tabs>
          <w:tab w:val="left" w:pos="284"/>
        </w:tabs>
        <w:spacing w:beforeAutospacing="0" w:after="120" w:afterAutospacing="0" w:line="360" w:lineRule="auto"/>
        <w:ind w:firstLine="284"/>
        <w:jc w:val="both"/>
        <w:rPr>
          <w:rFonts w:ascii="Arial" w:hAnsi="Arial" w:cs="Arial"/>
        </w:rPr>
      </w:pPr>
      <w:r w:rsidRPr="00365D25">
        <w:rPr>
          <w:rFonts w:ascii="Arial" w:hAnsi="Arial" w:cs="Arial"/>
        </w:rPr>
        <w:t>11.2 Wykonano analizy mające na celu ocenę występowania odporności grzyba Venturia inaequalis sprawcy parcha jabłoni na fungicydy anilinopirymidynowe, dodynowe i strobilurynowe. Przebadano 7 prób pobranych z sadów z różnych lokalizacji. We wszystkich stwierdzono niski poziom odporności grzyba V. inaequalis na anilinopirymidyny. Odporność na dodynę kształtowała się na poziomie niskim w 3 analizowanych sadach, w 1 - poziom odporności był średni, w 1 – wysoki i w 2 sadach – bardzo wysoki. Odporność na strobiluryny na poziomie wysokim stwierdzono w 4 sadach, a w 3 sadach poziom odporności był bardzo wysoki. Przeprowadzone następnie badania molekularne pozwoliły stwierdzić, że poziom DNA niosącego mutację związaną z odpornością prób na strobiluryny był zróżnicowany; w</w:t>
      </w:r>
      <w:r w:rsidR="002761D9">
        <w:rPr>
          <w:rFonts w:ascii="Arial" w:hAnsi="Arial" w:cs="Arial"/>
        </w:rPr>
        <w:t> </w:t>
      </w:r>
      <w:r w:rsidRPr="00365D25">
        <w:rPr>
          <w:rFonts w:ascii="Arial" w:hAnsi="Arial" w:cs="Arial"/>
        </w:rPr>
        <w:t>dwóch próbach był niski (16 i 24 %), zaś w pozostałych pięciu – wysoki lub bardzo wysoki (78 – 99 %) i niski w 1 sadzie (23%). W przypadku prób, dla których w teście PCR stwierdzono niski poziom DNA niosącego mutację związaną z odpornością na strobiluryny i jednocześnie wysoką odp</w:t>
      </w:r>
      <w:r w:rsidR="007F365C">
        <w:rPr>
          <w:rFonts w:ascii="Arial" w:hAnsi="Arial" w:cs="Arial"/>
        </w:rPr>
        <w:t xml:space="preserve">orność fenotypową na te związki, </w:t>
      </w:r>
      <w:r w:rsidRPr="00365D25">
        <w:rPr>
          <w:rFonts w:ascii="Arial" w:hAnsi="Arial" w:cs="Arial"/>
        </w:rPr>
        <w:t xml:space="preserve">prawdopodobnie funkcjonuje inny mechanizm odporności.  </w:t>
      </w:r>
    </w:p>
    <w:p w14:paraId="5C98D479" w14:textId="1D3E254F" w:rsidR="00365D25" w:rsidRPr="00365D25" w:rsidRDefault="00365D25" w:rsidP="00365D25">
      <w:pPr>
        <w:pStyle w:val="NormalnyWeb"/>
        <w:tabs>
          <w:tab w:val="left" w:pos="284"/>
        </w:tabs>
        <w:spacing w:beforeAutospacing="0" w:after="120" w:afterAutospacing="0" w:line="360" w:lineRule="auto"/>
        <w:ind w:firstLine="284"/>
        <w:jc w:val="both"/>
        <w:rPr>
          <w:rFonts w:ascii="Arial" w:hAnsi="Arial" w:cs="Arial"/>
        </w:rPr>
      </w:pPr>
      <w:r w:rsidRPr="00365D25">
        <w:rPr>
          <w:rFonts w:ascii="Arial" w:hAnsi="Arial" w:cs="Arial"/>
        </w:rPr>
        <w:t>11.3 Przeprowadzono szereg badań nad oceną występowania odporności grzyba Botrytis cinerea sprawcy szarej pleśni na najczęściej stosowane w praktyce fungicydy. Spośród 10 izolatów pochodzących z odmiany ‘Twist’ w miejscowości Warka, w przeprowadzonych testach laboratoryjnych żaden nie wykazał całkowitej odporności na badane fungicydy. W trzech przypadkach zaobserwowano częściową odporność na preparaty zawierające piraklostrobinę i boskalid oraz w jednym przypadku na cyprodynil i fludioksonil. W przypadku  dalszego stosowania tych preparatów możliwe jest powstawanie ras odpornych grzyba. Spośród 10 izolatów B. cinerea pobranych z odmiany ‘Asia’ w miejscowości Wilcze Średnie, dwa wykazały częściową odporność na preparaty zawierające boskalid i</w:t>
      </w:r>
      <w:r w:rsidR="002761D9">
        <w:rPr>
          <w:rFonts w:ascii="Arial" w:hAnsi="Arial" w:cs="Arial"/>
        </w:rPr>
        <w:t> </w:t>
      </w:r>
      <w:r w:rsidRPr="00365D25">
        <w:rPr>
          <w:rFonts w:ascii="Arial" w:hAnsi="Arial" w:cs="Arial"/>
        </w:rPr>
        <w:t xml:space="preserve">piraklostrobinę, a jeden na cyprodynil i fludioksonil. W przypadku preparatów zawierających fluopyram i trifloksystrobinę nie stwierdzono odporności na substancje czynne. Dalsze stosowanie tych preparatów na plantacji spowoduje pogłębianie się problemu odporności B. cinerea na ww. substancje czynne. Spośród izolatów grzyba pobranych z odmiany ‘Florence’ w miejscowości Grzymkowice, jeden izolat </w:t>
      </w:r>
      <w:r w:rsidRPr="00365D25">
        <w:rPr>
          <w:rFonts w:ascii="Arial" w:hAnsi="Arial" w:cs="Arial"/>
        </w:rPr>
        <w:lastRenderedPageBreak/>
        <w:t>wykazał odporności na preparaty zawierające cyprodynil i fludioksonil oraz jeden na środki zawierające piraklostrobinę i boskalid. Dalsze stosowanie tych preparatów na plantacji spowoduje pogłębianie się problemu odporności B. cinerea na ww. substancje czynne. We wszystkich przypadkach pojawiania się ras odpornych grzyba na plantacjach należy unikać stosowania środków ochrony roślin zawierających substancje czynne, na które patogen się uodpornił. Takie preparaty w indywidualnych programach ochrony należy zastąpić innymi o odmiennym mechanizmie działania.</w:t>
      </w:r>
    </w:p>
    <w:p w14:paraId="43FD1D99" w14:textId="57CB075C" w:rsidR="00365D25" w:rsidRPr="00365D25" w:rsidRDefault="00365D25" w:rsidP="00365D25">
      <w:pPr>
        <w:pStyle w:val="NormalnyWeb"/>
        <w:tabs>
          <w:tab w:val="left" w:pos="284"/>
        </w:tabs>
        <w:spacing w:beforeAutospacing="0" w:after="120" w:afterAutospacing="0" w:line="360" w:lineRule="auto"/>
        <w:ind w:firstLine="284"/>
        <w:jc w:val="both"/>
        <w:rPr>
          <w:rFonts w:ascii="Arial" w:hAnsi="Arial" w:cs="Arial"/>
        </w:rPr>
      </w:pPr>
      <w:r w:rsidRPr="00365D25">
        <w:rPr>
          <w:rFonts w:ascii="Arial" w:hAnsi="Arial" w:cs="Arial"/>
        </w:rPr>
        <w:t>11.4 Przeprowadzono badania i obserwacje nad występowaniem zjawiska odporności wybranych gatunków chwastów w uprawach warzyw na substancje czynne z grupy C1 (wg. klasyfikacji HRAC), będące inhibitorami fotosyntezy</w:t>
      </w:r>
      <w:r w:rsidR="007F365C">
        <w:rPr>
          <w:rFonts w:ascii="Arial" w:hAnsi="Arial" w:cs="Arial"/>
        </w:rPr>
        <w:t xml:space="preserve"> na poziomie fotosystemu II. W 2</w:t>
      </w:r>
      <w:r w:rsidRPr="00365D25">
        <w:rPr>
          <w:rFonts w:ascii="Arial" w:hAnsi="Arial" w:cs="Arial"/>
        </w:rPr>
        <w:t>023</w:t>
      </w:r>
      <w:r w:rsidR="007F365C">
        <w:rPr>
          <w:rFonts w:ascii="Arial" w:hAnsi="Arial" w:cs="Arial"/>
        </w:rPr>
        <w:t> </w:t>
      </w:r>
      <w:r w:rsidRPr="00365D25">
        <w:rPr>
          <w:rFonts w:ascii="Arial" w:hAnsi="Arial" w:cs="Arial"/>
        </w:rPr>
        <w:t>r</w:t>
      </w:r>
      <w:r w:rsidR="007F365C">
        <w:rPr>
          <w:rFonts w:ascii="Arial" w:hAnsi="Arial" w:cs="Arial"/>
        </w:rPr>
        <w:t>.</w:t>
      </w:r>
      <w:r w:rsidRPr="00365D25">
        <w:rPr>
          <w:rFonts w:ascii="Arial" w:hAnsi="Arial" w:cs="Arial"/>
        </w:rPr>
        <w:t xml:space="preserve"> przeprowadzono testy biologiczne w warunkach szklarniowych, w których wysiewano nasiona komosy białej oraz tasznika pospolitego, zebrane w 2022 r. z plantacji, na których stwierdzono słabsze działanie herbicydów (okolice Wrocławia i Piły) oraz nasiona z roślin wrażliwych, zebrane w okolicy Skierniewic. Uzyskanie wyniki nie potwierdzają wystąpienia odporności komosy białej i tasznika pospolitego na substancje czynne herbicydów, stosowanych na plantacjach, na których w 2022 r</w:t>
      </w:r>
      <w:r w:rsidR="00995EFB">
        <w:rPr>
          <w:rFonts w:ascii="Arial" w:hAnsi="Arial" w:cs="Arial"/>
        </w:rPr>
        <w:t>.</w:t>
      </w:r>
      <w:r w:rsidRPr="00365D25">
        <w:rPr>
          <w:rFonts w:ascii="Arial" w:hAnsi="Arial" w:cs="Arial"/>
        </w:rPr>
        <w:t xml:space="preserve"> zanotowano obniżoną skuteczność działania na te środki. Obniżona skuteczność herbicydów w stosunku do tych gatunków mogła wynikać z innych przyczyn  (np. z niewłaściwego terminu zabiegu, nieodpowiedniej dawki herbicydu, zbyt zaawansowanych stadiów rozwojowych chwastów w czasie zabiegu, niekorzystnych warunków pogodowych, błędów w technice opryskiwania lub innych). Uzyskane wyniki badań zostały opublikowane w formie artykułów popularno-naukowych w prasie branżowej oraz były przedstawiane podczas spotkań z producentami, na konferencjach stacjonarnych i online. Producentom, u których stwierdzono problem ze zwalczaniem danego agrofaga, zostały przedstawione zalecenia mające na celu przeciwdziałanie powstawaniu odporności w kolejnych latach.</w:t>
      </w:r>
    </w:p>
    <w:p w14:paraId="1174BDF7" w14:textId="4DB38504" w:rsidR="00365D25" w:rsidRPr="009F31BE" w:rsidRDefault="009F31BE" w:rsidP="009F31BE">
      <w:pPr>
        <w:pStyle w:val="NormalnyWeb"/>
        <w:tabs>
          <w:tab w:val="left" w:pos="284"/>
        </w:tabs>
        <w:spacing w:beforeAutospacing="0" w:after="120" w:afterAutospacing="0" w:line="360" w:lineRule="auto"/>
        <w:ind w:firstLine="284"/>
        <w:jc w:val="both"/>
        <w:rPr>
          <w:rFonts w:ascii="Arial" w:hAnsi="Arial" w:cs="Arial"/>
        </w:rPr>
      </w:pPr>
      <w:r w:rsidRPr="009F31BE">
        <w:rPr>
          <w:rFonts w:ascii="Arial" w:hAnsi="Arial" w:cs="Arial"/>
        </w:rPr>
        <w:t>K</w:t>
      </w:r>
      <w:r w:rsidR="00365D25" w:rsidRPr="009F31BE">
        <w:rPr>
          <w:rFonts w:ascii="Arial" w:hAnsi="Arial" w:cs="Arial"/>
        </w:rPr>
        <w:t xml:space="preserve">ontynuowano badania nad oceną skuteczności działania, fitotoksycznością i wpływem na faunę pożyteczną wybranych preparatów w uprawach roślin: </w:t>
      </w:r>
    </w:p>
    <w:p w14:paraId="46AD49D6" w14:textId="77777777" w:rsidR="00365D25" w:rsidRPr="009F31BE" w:rsidRDefault="00365D25" w:rsidP="00365D25">
      <w:pPr>
        <w:jc w:val="both"/>
        <w:rPr>
          <w:rFonts w:ascii="Arial" w:hAnsi="Arial" w:cs="Arial"/>
          <w:u w:val="single"/>
        </w:rPr>
      </w:pPr>
      <w:r w:rsidRPr="009F31BE">
        <w:rPr>
          <w:rFonts w:ascii="Arial" w:hAnsi="Arial" w:cs="Arial"/>
          <w:b/>
          <w:bCs/>
          <w:u w:val="single"/>
        </w:rPr>
        <w:t>Jabłoń</w:t>
      </w:r>
      <w:r w:rsidRPr="009F31BE">
        <w:rPr>
          <w:rFonts w:ascii="Arial" w:hAnsi="Arial" w:cs="Arial"/>
          <w:u w:val="single"/>
        </w:rPr>
        <w:t xml:space="preserve"> - ocena skuteczności środków ochrony w zwalczaniu bawełnicy korówki (</w:t>
      </w:r>
      <w:r w:rsidRPr="009F31BE">
        <w:rPr>
          <w:rFonts w:ascii="Arial" w:hAnsi="Arial" w:cs="Arial"/>
          <w:i/>
          <w:u w:val="single"/>
        </w:rPr>
        <w:t>Eriosoma lanigerum</w:t>
      </w:r>
      <w:r w:rsidRPr="009F31BE">
        <w:rPr>
          <w:rFonts w:ascii="Arial" w:hAnsi="Arial" w:cs="Arial"/>
          <w:u w:val="single"/>
        </w:rPr>
        <w:t>) zastosowanych w programach</w:t>
      </w:r>
    </w:p>
    <w:p w14:paraId="00F67648" w14:textId="77777777" w:rsidR="00365D25" w:rsidRPr="009F31BE" w:rsidRDefault="00365D25" w:rsidP="00365D25">
      <w:pPr>
        <w:jc w:val="both"/>
        <w:rPr>
          <w:rFonts w:ascii="Arial" w:hAnsi="Arial" w:cs="Arial"/>
          <w:u w:val="single"/>
        </w:rPr>
      </w:pPr>
    </w:p>
    <w:p w14:paraId="0A244BFA" w14:textId="77777777" w:rsidR="00365D25" w:rsidRPr="009F31BE" w:rsidRDefault="00365D25" w:rsidP="00E74A80">
      <w:pPr>
        <w:pStyle w:val="Akapitzlist"/>
        <w:widowControl/>
        <w:numPr>
          <w:ilvl w:val="0"/>
          <w:numId w:val="30"/>
        </w:numPr>
        <w:spacing w:after="0" w:line="240" w:lineRule="auto"/>
        <w:ind w:left="714" w:hanging="357"/>
        <w:jc w:val="both"/>
        <w:rPr>
          <w:rFonts w:ascii="Arial" w:hAnsi="Arial" w:cs="Arial"/>
          <w:sz w:val="20"/>
          <w:szCs w:val="20"/>
        </w:rPr>
      </w:pPr>
      <w:r w:rsidRPr="009F31BE">
        <w:rPr>
          <w:rFonts w:ascii="Arial" w:hAnsi="Arial" w:cs="Arial"/>
          <w:b/>
          <w:bCs/>
          <w:sz w:val="20"/>
          <w:szCs w:val="20"/>
        </w:rPr>
        <w:t>I program</w:t>
      </w:r>
      <w:r w:rsidRPr="009F31BE">
        <w:rPr>
          <w:rFonts w:ascii="Arial" w:hAnsi="Arial" w:cs="Arial"/>
          <w:sz w:val="20"/>
          <w:szCs w:val="20"/>
        </w:rPr>
        <w:t>: przed kwitnieniem - mydło ogrodnicze, a po kilku godzinach – Mospilan 20 SP (0,1 kg/ha); po kwitnieniu - mydło ogrodnicze, a po kilku godzinach Movento 100 SC (1,125/ha);</w:t>
      </w:r>
    </w:p>
    <w:p w14:paraId="2D83628E" w14:textId="77777777" w:rsidR="00365D25" w:rsidRPr="009F31BE" w:rsidRDefault="00365D25" w:rsidP="00365D25">
      <w:pPr>
        <w:ind w:left="714" w:hanging="357"/>
        <w:jc w:val="both"/>
        <w:rPr>
          <w:rFonts w:ascii="Arial" w:hAnsi="Arial" w:cs="Arial"/>
        </w:rPr>
      </w:pPr>
      <w:r w:rsidRPr="009F31BE">
        <w:rPr>
          <w:rFonts w:ascii="Arial" w:hAnsi="Arial" w:cs="Arial"/>
        </w:rPr>
        <w:t>•</w:t>
      </w:r>
      <w:r w:rsidRPr="009F31BE">
        <w:rPr>
          <w:rFonts w:ascii="Arial" w:hAnsi="Arial" w:cs="Arial"/>
        </w:rPr>
        <w:tab/>
      </w:r>
      <w:r w:rsidRPr="009F31BE">
        <w:rPr>
          <w:rFonts w:ascii="Arial" w:hAnsi="Arial" w:cs="Arial"/>
          <w:b/>
          <w:bCs/>
        </w:rPr>
        <w:t>II program</w:t>
      </w:r>
      <w:r w:rsidRPr="009F31BE">
        <w:rPr>
          <w:rFonts w:ascii="Arial" w:hAnsi="Arial" w:cs="Arial"/>
        </w:rPr>
        <w:t>: przed kwitnieniem - Mospilan 20 SP (0,2kg/ha); po kwitnieniu - Movento 100 SC (2,25 l/ha);</w:t>
      </w:r>
    </w:p>
    <w:p w14:paraId="2468B16D" w14:textId="77777777" w:rsidR="00365D25" w:rsidRPr="009F31BE" w:rsidRDefault="00365D25" w:rsidP="00365D25">
      <w:pPr>
        <w:ind w:left="714" w:hanging="357"/>
        <w:jc w:val="both"/>
        <w:rPr>
          <w:rFonts w:ascii="Arial" w:hAnsi="Arial" w:cs="Arial"/>
        </w:rPr>
      </w:pPr>
      <w:r w:rsidRPr="009F31BE">
        <w:rPr>
          <w:rFonts w:ascii="Arial" w:hAnsi="Arial" w:cs="Arial"/>
        </w:rPr>
        <w:t>•</w:t>
      </w:r>
      <w:r w:rsidRPr="009F31BE">
        <w:rPr>
          <w:rFonts w:ascii="Arial" w:hAnsi="Arial" w:cs="Arial"/>
        </w:rPr>
        <w:tab/>
      </w:r>
      <w:r w:rsidRPr="009F31BE">
        <w:rPr>
          <w:rFonts w:ascii="Arial" w:hAnsi="Arial" w:cs="Arial"/>
          <w:b/>
          <w:bCs/>
        </w:rPr>
        <w:t>III program</w:t>
      </w:r>
      <w:r w:rsidRPr="009F31BE">
        <w:rPr>
          <w:rFonts w:ascii="Arial" w:hAnsi="Arial" w:cs="Arial"/>
        </w:rPr>
        <w:t>: przed kwitnieniem – mydło, a po kilku godzinach - Sivanto Prime (0,2 l/ha), po kwitnieniu - mydło, a po kilku godzinach Movento 100 SC (1,125/ha);,</w:t>
      </w:r>
    </w:p>
    <w:p w14:paraId="5F6B5788" w14:textId="77777777" w:rsidR="00365D25" w:rsidRPr="009F31BE" w:rsidRDefault="00365D25" w:rsidP="00365D25">
      <w:pPr>
        <w:ind w:left="714" w:hanging="357"/>
        <w:jc w:val="both"/>
        <w:rPr>
          <w:rFonts w:ascii="Arial" w:hAnsi="Arial" w:cs="Arial"/>
        </w:rPr>
      </w:pPr>
      <w:r w:rsidRPr="009F31BE">
        <w:rPr>
          <w:rFonts w:ascii="Arial" w:hAnsi="Arial" w:cs="Arial"/>
        </w:rPr>
        <w:t>•</w:t>
      </w:r>
      <w:r w:rsidRPr="009F31BE">
        <w:rPr>
          <w:rFonts w:ascii="Arial" w:hAnsi="Arial" w:cs="Arial"/>
        </w:rPr>
        <w:tab/>
      </w:r>
      <w:r w:rsidRPr="009F31BE">
        <w:rPr>
          <w:rFonts w:ascii="Arial" w:hAnsi="Arial" w:cs="Arial"/>
          <w:b/>
          <w:bCs/>
        </w:rPr>
        <w:t>IV program</w:t>
      </w:r>
      <w:r w:rsidRPr="009F31BE">
        <w:rPr>
          <w:rFonts w:ascii="Arial" w:hAnsi="Arial" w:cs="Arial"/>
        </w:rPr>
        <w:t>: przed kwitnieniem - Sivanto Prime (0,4l/ha) - po kwitnieniu – Movento 100 SC (2,25l/ha).</w:t>
      </w:r>
    </w:p>
    <w:p w14:paraId="3409F60E" w14:textId="77777777" w:rsidR="00365D25" w:rsidRPr="009F31BE" w:rsidRDefault="00365D25" w:rsidP="00365D25">
      <w:pPr>
        <w:jc w:val="both"/>
        <w:rPr>
          <w:rFonts w:ascii="Arial" w:hAnsi="Arial" w:cs="Arial"/>
        </w:rPr>
      </w:pPr>
    </w:p>
    <w:p w14:paraId="7D31399E" w14:textId="77777777"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Zastosowane środki w dawkach zmniejszonych o połowę przed kwitnieniem oraz po kwitnieniu poprzedzone zabiegiem z mydłem ogrodniczym, wykazały ograniczony bądź średni poziom zwalczania bawełnicy korówki zarówno na pniach jak i na pędach jabłoni odmiany ‘Spartan’. Środki w pełnych dawkach  zastosowane przed kwitnieniem oraz po kwitnieniu nie poprzedzone zabiegiem z mydłem ogrodniczym wykazały wysoki poziom zwalczania bawełnicy korówki zarówno na pniach jak i na pędach jabłoni odmiany ‘Spartan’.</w:t>
      </w:r>
    </w:p>
    <w:p w14:paraId="647C6DFD" w14:textId="77777777" w:rsidR="00365D25" w:rsidRPr="009F31BE" w:rsidRDefault="00365D25" w:rsidP="00365D25">
      <w:pPr>
        <w:jc w:val="both"/>
        <w:rPr>
          <w:rFonts w:ascii="Arial" w:hAnsi="Arial" w:cs="Arial"/>
          <w:u w:val="single"/>
        </w:rPr>
      </w:pPr>
    </w:p>
    <w:p w14:paraId="14946C0A" w14:textId="77777777" w:rsidR="00365D25" w:rsidRPr="007F365C" w:rsidRDefault="00365D25" w:rsidP="00365D25">
      <w:pPr>
        <w:jc w:val="both"/>
        <w:rPr>
          <w:rFonts w:ascii="Arial" w:hAnsi="Arial" w:cs="Arial"/>
          <w:u w:val="single"/>
        </w:rPr>
      </w:pPr>
      <w:r w:rsidRPr="009F31BE">
        <w:rPr>
          <w:rFonts w:ascii="Arial" w:hAnsi="Arial" w:cs="Arial"/>
          <w:b/>
          <w:bCs/>
          <w:u w:val="single"/>
        </w:rPr>
        <w:lastRenderedPageBreak/>
        <w:t>Jabłoń</w:t>
      </w:r>
      <w:r w:rsidRPr="009F31BE">
        <w:rPr>
          <w:rFonts w:ascii="Arial" w:hAnsi="Arial" w:cs="Arial"/>
          <w:u w:val="single"/>
        </w:rPr>
        <w:t xml:space="preserve"> - ocena skuteczności środków ochrony w zwalczaniu tarcznika </w:t>
      </w:r>
      <w:r w:rsidRPr="007F365C">
        <w:rPr>
          <w:rFonts w:ascii="Arial" w:hAnsi="Arial" w:cs="Arial"/>
          <w:u w:val="single"/>
        </w:rPr>
        <w:t>niszczyciela (</w:t>
      </w:r>
      <w:r w:rsidRPr="007F365C">
        <w:rPr>
          <w:rFonts w:ascii="Arial" w:hAnsi="Arial" w:cs="Arial"/>
          <w:i/>
          <w:u w:val="single"/>
        </w:rPr>
        <w:t>Diaspidiotus pernicosus</w:t>
      </w:r>
      <w:r w:rsidRPr="007F365C">
        <w:rPr>
          <w:rFonts w:ascii="Arial" w:hAnsi="Arial" w:cs="Arial"/>
          <w:u w:val="single"/>
        </w:rPr>
        <w:t>)</w:t>
      </w:r>
    </w:p>
    <w:p w14:paraId="1D01690B" w14:textId="77777777" w:rsidR="00365D25" w:rsidRPr="009F31BE" w:rsidRDefault="00365D25" w:rsidP="00365D25">
      <w:pPr>
        <w:jc w:val="both"/>
        <w:rPr>
          <w:rFonts w:ascii="Arial" w:hAnsi="Arial" w:cs="Arial"/>
        </w:rPr>
      </w:pPr>
    </w:p>
    <w:p w14:paraId="5A278151" w14:textId="77777777"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Badane preparaty: Sivanto Prime (0,45 l/ha) + Siltac EC (0,15%) ; Carnadine 200 SL (0,125 l/ha)+Slippa (200ml/ha); Teppeki 50 WG (0,125 kg/ha)+Siltac EC (0,15%); Pirimor 500 WG (0,4 l/ha) + Emulpar 940 EC (1,2%); środek referencyjny: Exirel 100 SE (0,6 l/ha). Spośród badanych mieszanin preparatów najwyższą skuteczność zwalczania larw szkodnika stwierdzono dla  mieszaniny produktów: Pirimor 500 WG (0,4 kg/ha) + Emulpar 940 EC (9 l/ha). Po zastosowaniu mieszanin środków: Pirimor 500 WG (0,4 kg/ha) + Emulpar 940 EC (1,2%) oraz Teppeki  50 WG (0,125 kg/ha) + Siltac EC (0,15% l/ha), na badanych owocach odmiany  ‘Ligol’ stwierdzono występowanie fitotoksyczności w postaci ordzawień.</w:t>
      </w:r>
    </w:p>
    <w:p w14:paraId="3898F4B7" w14:textId="77777777" w:rsidR="00365D25" w:rsidRPr="009F31BE" w:rsidRDefault="00365D25" w:rsidP="00365D25">
      <w:pPr>
        <w:jc w:val="both"/>
        <w:rPr>
          <w:rFonts w:ascii="Arial" w:hAnsi="Arial" w:cs="Arial"/>
          <w:u w:val="single"/>
        </w:rPr>
      </w:pPr>
    </w:p>
    <w:p w14:paraId="5EF0E6B9" w14:textId="77777777" w:rsidR="00365D25" w:rsidRPr="009F31BE" w:rsidRDefault="00365D25" w:rsidP="00365D25">
      <w:pPr>
        <w:jc w:val="both"/>
        <w:rPr>
          <w:rFonts w:ascii="Arial" w:hAnsi="Arial" w:cs="Arial"/>
        </w:rPr>
      </w:pPr>
      <w:r w:rsidRPr="009F31BE">
        <w:rPr>
          <w:rFonts w:ascii="Arial" w:hAnsi="Arial" w:cs="Arial"/>
          <w:b/>
          <w:bCs/>
          <w:u w:val="single"/>
        </w:rPr>
        <w:t>Czereśnia</w:t>
      </w:r>
      <w:r w:rsidRPr="009F31BE">
        <w:rPr>
          <w:rFonts w:ascii="Arial" w:hAnsi="Arial" w:cs="Arial"/>
          <w:u w:val="single"/>
        </w:rPr>
        <w:t xml:space="preserve"> - ocena przydatności metody ‘cold treatment’ do ograniczania larw nasionnicy trześniówki (</w:t>
      </w:r>
      <w:r w:rsidRPr="009F31BE">
        <w:rPr>
          <w:rFonts w:ascii="Arial" w:hAnsi="Arial" w:cs="Arial"/>
          <w:i/>
          <w:u w:val="single"/>
        </w:rPr>
        <w:t>Rhagoletis cerasi</w:t>
      </w:r>
      <w:r w:rsidRPr="009F31BE">
        <w:rPr>
          <w:rFonts w:ascii="Arial" w:hAnsi="Arial" w:cs="Arial"/>
          <w:u w:val="single"/>
        </w:rPr>
        <w:t>) w owocach czereśni</w:t>
      </w:r>
      <w:r w:rsidRPr="009F31BE">
        <w:rPr>
          <w:rFonts w:ascii="Arial" w:hAnsi="Arial" w:cs="Arial"/>
        </w:rPr>
        <w:t xml:space="preserve"> </w:t>
      </w:r>
    </w:p>
    <w:p w14:paraId="5AD023AB" w14:textId="77777777" w:rsidR="00365D25" w:rsidRPr="009F31BE" w:rsidRDefault="00365D25" w:rsidP="00365D25">
      <w:pPr>
        <w:jc w:val="both"/>
        <w:rPr>
          <w:rFonts w:ascii="Arial" w:hAnsi="Arial" w:cs="Arial"/>
        </w:rPr>
      </w:pPr>
    </w:p>
    <w:p w14:paraId="7DF53680" w14:textId="1B7E5C1A"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Stwierdzono, że najefektywniejszym terminem zastosowania metody ‘cold treatment’ w przypadku nasionnicy trześniówki byłby okres kiedy w owocach są jeszcze jaja, co zapobiegłoby wylęganiu się larw, które powodują uszkodzenia owoców. Jednak zbiór owoców w tak wczesnym terminie i dalsze ich przechowywanie do czasu dojrzałości handlowej nie są możliwe (owoce czereśni zbierane są tylko w</w:t>
      </w:r>
      <w:r w:rsidR="007F365C">
        <w:rPr>
          <w:rFonts w:ascii="Arial" w:hAnsi="Arial" w:cs="Arial"/>
        </w:rPr>
        <w:t> </w:t>
      </w:r>
      <w:r w:rsidRPr="009F31BE">
        <w:rPr>
          <w:rFonts w:ascii="Arial" w:hAnsi="Arial" w:cs="Arial"/>
        </w:rPr>
        <w:t>dojrzałości konsumpcyjnej). Z tych powodów wydaje się, że metoda ‘cold treatment’ nie będzie mogła być stosowana do ograniczania populacji nasionnicy trześniówki.</w:t>
      </w:r>
    </w:p>
    <w:p w14:paraId="4338D578" w14:textId="77777777" w:rsidR="00365D25" w:rsidRPr="009F31BE" w:rsidRDefault="00365D25" w:rsidP="00365D25">
      <w:pPr>
        <w:jc w:val="both"/>
        <w:rPr>
          <w:rFonts w:ascii="Arial" w:hAnsi="Arial" w:cs="Arial"/>
          <w:u w:val="single"/>
        </w:rPr>
      </w:pPr>
    </w:p>
    <w:p w14:paraId="766237EE" w14:textId="77777777" w:rsidR="00365D25" w:rsidRDefault="00365D25" w:rsidP="00365D25">
      <w:pPr>
        <w:jc w:val="both"/>
        <w:rPr>
          <w:rFonts w:ascii="Arial" w:hAnsi="Arial" w:cs="Arial"/>
        </w:rPr>
      </w:pPr>
      <w:r w:rsidRPr="009F31BE">
        <w:rPr>
          <w:rFonts w:ascii="Arial" w:hAnsi="Arial" w:cs="Arial"/>
          <w:b/>
          <w:bCs/>
          <w:u w:val="single"/>
        </w:rPr>
        <w:t>Borówka wysoka</w:t>
      </w:r>
      <w:r w:rsidRPr="009F31BE">
        <w:rPr>
          <w:rFonts w:ascii="Arial" w:hAnsi="Arial" w:cs="Arial"/>
          <w:u w:val="single"/>
        </w:rPr>
        <w:t xml:space="preserve"> – ocena skuteczności środków ochrony w zwalczaniu misecznika śliwowca</w:t>
      </w:r>
      <w:r w:rsidRPr="009F31BE">
        <w:rPr>
          <w:rFonts w:ascii="Arial" w:hAnsi="Arial" w:cs="Arial"/>
        </w:rPr>
        <w:t xml:space="preserve"> </w:t>
      </w:r>
    </w:p>
    <w:p w14:paraId="4EC3EB34" w14:textId="77777777" w:rsidR="002761D9" w:rsidRPr="009F31BE" w:rsidRDefault="002761D9" w:rsidP="00365D25">
      <w:pPr>
        <w:jc w:val="both"/>
        <w:rPr>
          <w:rFonts w:ascii="Arial" w:hAnsi="Arial" w:cs="Arial"/>
        </w:rPr>
      </w:pPr>
    </w:p>
    <w:p w14:paraId="31088F69" w14:textId="77777777"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 xml:space="preserve">Badane mieszaniny: Movento 100 SC (0,75 l/ha) + Siltac EC (0,15%); Movento 100 SC (0,75 l/ha) + Emulpar 940 EC (1,2%), środki referencyjne: Movento 100 SC (0,75 l/ha), Siltac EC (0,15%) i Emulpar 940 EC (1,2%).  Zastosowane mieszaniny Movento 100 SC + Siltac EC (85,3-98,2%) oraz Movento 100 SC + Emulpar 940 EC (70,6-97,3%), a także preparat Movento 100 SC (40,4-98,2%) są przydatne do zwalczania misecznika śliwowego na borówce wysokiej w okresie po zbiorze owoców. Produkty Siltac EC (60,7-80,1%) i Emulpar 940 EC (60,7-72,8%) są efektywne w zwalczaniu larw misecznika do 7 dni po zabiegu. Z uwagi na to, że nie posiadają one okresu karencji korzystniejsze będzie ich stosowanie na początku lipca, gdy larwy misecznika masowo wylęgają się z jaj. </w:t>
      </w:r>
    </w:p>
    <w:p w14:paraId="307282FE" w14:textId="77777777" w:rsidR="00365D25" w:rsidRPr="009F31BE" w:rsidRDefault="00365D25" w:rsidP="00365D25">
      <w:pPr>
        <w:jc w:val="both"/>
        <w:rPr>
          <w:rFonts w:ascii="Arial" w:hAnsi="Arial" w:cs="Arial"/>
        </w:rPr>
      </w:pPr>
    </w:p>
    <w:p w14:paraId="34180791" w14:textId="77777777" w:rsidR="00365D25" w:rsidRPr="009F31BE" w:rsidRDefault="00365D25" w:rsidP="00365D25">
      <w:pPr>
        <w:jc w:val="both"/>
        <w:rPr>
          <w:rFonts w:ascii="Arial" w:hAnsi="Arial" w:cs="Arial"/>
          <w:u w:val="single"/>
        </w:rPr>
      </w:pPr>
      <w:r w:rsidRPr="009F31BE">
        <w:rPr>
          <w:rFonts w:ascii="Arial" w:hAnsi="Arial" w:cs="Arial"/>
          <w:b/>
          <w:bCs/>
          <w:u w:val="single"/>
        </w:rPr>
        <w:t>Brzoskwinia</w:t>
      </w:r>
      <w:r w:rsidRPr="009F31BE">
        <w:rPr>
          <w:rFonts w:ascii="Arial" w:hAnsi="Arial" w:cs="Arial"/>
          <w:u w:val="single"/>
        </w:rPr>
        <w:t xml:space="preserve"> – ocena skuteczności różnych programów ochrony w zwalczaniu brunatnej zgnilizny drzew pestkowych na owocach brzoskwini.</w:t>
      </w:r>
    </w:p>
    <w:p w14:paraId="18E70F7C" w14:textId="77777777" w:rsidR="00365D25" w:rsidRPr="009F31BE" w:rsidRDefault="00365D25" w:rsidP="00365D25">
      <w:pPr>
        <w:jc w:val="both"/>
        <w:rPr>
          <w:rFonts w:ascii="Arial" w:hAnsi="Arial" w:cs="Arial"/>
        </w:rPr>
      </w:pPr>
    </w:p>
    <w:p w14:paraId="7349B84C" w14:textId="77777777" w:rsidR="00365D25" w:rsidRPr="009F31BE" w:rsidRDefault="00365D25" w:rsidP="00E74A80">
      <w:pPr>
        <w:pStyle w:val="Akapitzlist"/>
        <w:widowControl/>
        <w:numPr>
          <w:ilvl w:val="0"/>
          <w:numId w:val="31"/>
        </w:numPr>
        <w:spacing w:after="0" w:line="240" w:lineRule="auto"/>
        <w:jc w:val="both"/>
        <w:rPr>
          <w:rFonts w:ascii="Arial" w:hAnsi="Arial" w:cs="Arial"/>
          <w:sz w:val="20"/>
          <w:szCs w:val="20"/>
          <w:lang w:val="en-GB"/>
        </w:rPr>
      </w:pPr>
      <w:r w:rsidRPr="009F31BE">
        <w:rPr>
          <w:rFonts w:ascii="Arial" w:hAnsi="Arial" w:cs="Arial"/>
          <w:b/>
          <w:bCs/>
          <w:sz w:val="20"/>
          <w:szCs w:val="20"/>
          <w:lang w:val="en-GB"/>
        </w:rPr>
        <w:t>I program</w:t>
      </w:r>
      <w:r w:rsidRPr="009F31BE">
        <w:rPr>
          <w:rFonts w:ascii="Arial" w:hAnsi="Arial" w:cs="Arial"/>
          <w:sz w:val="20"/>
          <w:szCs w:val="20"/>
          <w:lang w:val="en-GB"/>
        </w:rPr>
        <w:t>: Switch 62,5 WG – Signum 33 WG – Switch 62,5 WG – Luna Experience 400 SC;</w:t>
      </w:r>
    </w:p>
    <w:p w14:paraId="6E303AE9" w14:textId="77777777" w:rsidR="00365D25" w:rsidRPr="009F31BE" w:rsidRDefault="00365D25" w:rsidP="00E74A80">
      <w:pPr>
        <w:pStyle w:val="Akapitzlist"/>
        <w:widowControl/>
        <w:numPr>
          <w:ilvl w:val="0"/>
          <w:numId w:val="31"/>
        </w:numPr>
        <w:spacing w:after="0" w:line="240" w:lineRule="auto"/>
        <w:jc w:val="both"/>
        <w:rPr>
          <w:rFonts w:ascii="Arial" w:hAnsi="Arial" w:cs="Arial"/>
          <w:sz w:val="20"/>
          <w:szCs w:val="20"/>
          <w:lang w:val="en-GB"/>
        </w:rPr>
      </w:pPr>
      <w:r w:rsidRPr="009F31BE">
        <w:rPr>
          <w:rFonts w:ascii="Arial" w:hAnsi="Arial" w:cs="Arial"/>
          <w:b/>
          <w:bCs/>
          <w:sz w:val="20"/>
          <w:szCs w:val="20"/>
          <w:lang w:val="en-GB"/>
        </w:rPr>
        <w:t>II program</w:t>
      </w:r>
      <w:r w:rsidRPr="009F31BE">
        <w:rPr>
          <w:rFonts w:ascii="Arial" w:hAnsi="Arial" w:cs="Arial"/>
          <w:sz w:val="20"/>
          <w:szCs w:val="20"/>
          <w:lang w:val="en-GB"/>
        </w:rPr>
        <w:t xml:space="preserve"> : Signum 33 WG – Revyona – Signum 33 WG – Prolectus 50 WG;</w:t>
      </w:r>
    </w:p>
    <w:p w14:paraId="4B50EDDC" w14:textId="77777777" w:rsidR="00365D25" w:rsidRPr="009F31BE" w:rsidRDefault="00365D25" w:rsidP="00E74A80">
      <w:pPr>
        <w:pStyle w:val="Akapitzlist"/>
        <w:widowControl/>
        <w:numPr>
          <w:ilvl w:val="0"/>
          <w:numId w:val="31"/>
        </w:numPr>
        <w:spacing w:after="0" w:line="240" w:lineRule="auto"/>
        <w:jc w:val="both"/>
        <w:rPr>
          <w:rFonts w:ascii="Arial" w:hAnsi="Arial" w:cs="Arial"/>
          <w:sz w:val="20"/>
          <w:szCs w:val="20"/>
          <w:lang w:val="en-GB"/>
        </w:rPr>
      </w:pPr>
      <w:r w:rsidRPr="009F31BE">
        <w:rPr>
          <w:rFonts w:ascii="Arial" w:hAnsi="Arial" w:cs="Arial"/>
          <w:b/>
          <w:bCs/>
          <w:sz w:val="20"/>
          <w:szCs w:val="20"/>
          <w:lang w:val="en-GB"/>
        </w:rPr>
        <w:t>III program</w:t>
      </w:r>
      <w:r w:rsidRPr="009F31BE">
        <w:rPr>
          <w:rFonts w:ascii="Arial" w:hAnsi="Arial" w:cs="Arial"/>
          <w:sz w:val="20"/>
          <w:szCs w:val="20"/>
          <w:lang w:val="en-GB"/>
        </w:rPr>
        <w:t>: Signum 33 WG – Prolectus 50 WG – Revyona – Prolectus 50 WG;</w:t>
      </w:r>
    </w:p>
    <w:p w14:paraId="7AC1FC71" w14:textId="77777777" w:rsidR="00365D25" w:rsidRPr="009F31BE" w:rsidRDefault="00365D25" w:rsidP="00E74A80">
      <w:pPr>
        <w:pStyle w:val="Akapitzlist"/>
        <w:widowControl/>
        <w:numPr>
          <w:ilvl w:val="0"/>
          <w:numId w:val="31"/>
        </w:numPr>
        <w:spacing w:after="0" w:line="240" w:lineRule="auto"/>
        <w:jc w:val="both"/>
        <w:rPr>
          <w:rFonts w:ascii="Arial" w:hAnsi="Arial" w:cs="Arial"/>
          <w:sz w:val="20"/>
          <w:szCs w:val="20"/>
          <w:lang w:val="en-GB"/>
        </w:rPr>
      </w:pPr>
      <w:r w:rsidRPr="009F31BE">
        <w:rPr>
          <w:rFonts w:ascii="Arial" w:hAnsi="Arial" w:cs="Arial"/>
          <w:b/>
          <w:bCs/>
          <w:sz w:val="20"/>
          <w:szCs w:val="20"/>
          <w:lang w:val="en-GB"/>
        </w:rPr>
        <w:t>IV program</w:t>
      </w:r>
      <w:r w:rsidRPr="009F31BE">
        <w:rPr>
          <w:rFonts w:ascii="Arial" w:hAnsi="Arial" w:cs="Arial"/>
          <w:sz w:val="20"/>
          <w:szCs w:val="20"/>
          <w:lang w:val="en-GB"/>
        </w:rPr>
        <w:t>: Revyona – Prolectus 50 WG – Signum 33 WG – Revyona.</w:t>
      </w:r>
    </w:p>
    <w:p w14:paraId="7EFE6DFD" w14:textId="77777777" w:rsidR="00365D25" w:rsidRPr="009F31BE" w:rsidRDefault="00365D25" w:rsidP="00365D25">
      <w:pPr>
        <w:ind w:firstLine="708"/>
        <w:jc w:val="both"/>
        <w:rPr>
          <w:rFonts w:ascii="Arial" w:hAnsi="Arial" w:cs="Arial"/>
          <w:lang w:val="en-GB"/>
        </w:rPr>
      </w:pPr>
    </w:p>
    <w:p w14:paraId="01CE7554" w14:textId="555FD52E"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 xml:space="preserve">W warunkach niskiego nasilenia brunatnej zgnilizny drzew pestkowych na brzoskwiniach w sadzie (średnio 3,75 porażonych owoców na 100 ocenianych) najwyższą skuteczność (86,7%) uzyskano stosując program IV. Programy I i III ograniczały nasilenie choroby w sadzie, a ich skuteczność wyniosła 60%. Najniższą skuteczność (20%) wykazano stosując program II. Podczas przechowywania owoców. Przy niskim nasileniu choroby podczas przechowywania owoców najwyższą skuteczność (90,6% ) wykazały programy I. i IV., natomiast  programy II i III  ograniczały chorobę, a ich skuteczność wynosiła </w:t>
      </w:r>
      <w:r w:rsidRPr="009F31BE">
        <w:rPr>
          <w:rFonts w:ascii="Arial" w:hAnsi="Arial" w:cs="Arial"/>
        </w:rPr>
        <w:lastRenderedPageBreak/>
        <w:t>odpowiednio 68,8 i 66,3%. W ochronie owoców brzoskwini przed brunatną zgnilizną drzew pestkowych najbardziej skuteczny okazał się program I z użyciem fungicydów: Switch 62,5 WG, Signum 33 WG i</w:t>
      </w:r>
      <w:r w:rsidR="007F365C">
        <w:rPr>
          <w:rFonts w:ascii="Arial" w:hAnsi="Arial" w:cs="Arial"/>
        </w:rPr>
        <w:t> </w:t>
      </w:r>
      <w:r w:rsidRPr="009F31BE">
        <w:rPr>
          <w:rFonts w:ascii="Arial" w:hAnsi="Arial" w:cs="Arial"/>
        </w:rPr>
        <w:t>Luna Experience 400 SC oraz program IV. oparty na fungicydach: Revyona, Prolectus 50 WG i Signum 33 WG.</w:t>
      </w:r>
    </w:p>
    <w:p w14:paraId="6877D913" w14:textId="77777777" w:rsidR="00365D25" w:rsidRPr="009F31BE" w:rsidRDefault="00365D25" w:rsidP="00365D25">
      <w:pPr>
        <w:jc w:val="both"/>
        <w:rPr>
          <w:rFonts w:ascii="Arial" w:hAnsi="Arial" w:cs="Arial"/>
        </w:rPr>
      </w:pPr>
    </w:p>
    <w:p w14:paraId="58CFABA2" w14:textId="729D8578" w:rsidR="00365D25" w:rsidRPr="009F31BE" w:rsidRDefault="00365D25" w:rsidP="00365D25">
      <w:pPr>
        <w:jc w:val="both"/>
        <w:rPr>
          <w:rFonts w:ascii="Arial" w:hAnsi="Arial" w:cs="Arial"/>
          <w:u w:val="single"/>
        </w:rPr>
      </w:pPr>
      <w:r w:rsidRPr="009F31BE">
        <w:rPr>
          <w:rFonts w:ascii="Arial" w:hAnsi="Arial" w:cs="Arial"/>
          <w:b/>
          <w:bCs/>
          <w:u w:val="single"/>
        </w:rPr>
        <w:t>Truskawka</w:t>
      </w:r>
      <w:r w:rsidRPr="009F31BE">
        <w:rPr>
          <w:rFonts w:ascii="Arial" w:hAnsi="Arial" w:cs="Arial"/>
          <w:u w:val="single"/>
        </w:rPr>
        <w:t xml:space="preserve"> – ocena skuteczności środków ochrony roślin – fungicydów w zwalczaniu antraknozy i</w:t>
      </w:r>
      <w:r w:rsidR="007F365C">
        <w:rPr>
          <w:rFonts w:ascii="Arial" w:hAnsi="Arial" w:cs="Arial"/>
          <w:u w:val="single"/>
        </w:rPr>
        <w:t> </w:t>
      </w:r>
      <w:r w:rsidRPr="009F31BE">
        <w:rPr>
          <w:rFonts w:ascii="Arial" w:hAnsi="Arial" w:cs="Arial"/>
          <w:u w:val="single"/>
        </w:rPr>
        <w:t>szarej pleśni na truskawce</w:t>
      </w:r>
    </w:p>
    <w:p w14:paraId="31F84EC1" w14:textId="77777777" w:rsidR="00365D25" w:rsidRPr="009F31BE" w:rsidRDefault="00365D25" w:rsidP="00365D25">
      <w:pPr>
        <w:jc w:val="both"/>
        <w:rPr>
          <w:rFonts w:ascii="Arial" w:hAnsi="Arial" w:cs="Arial"/>
        </w:rPr>
      </w:pPr>
    </w:p>
    <w:p w14:paraId="1DF200FB" w14:textId="77777777"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 xml:space="preserve">Badane mieszaniny: Signum 33 WG (1,8 kg/ha) + Romeo (0,75 kg /ha); Luna Sensation 500 SC` (0,8 l/ha + Romeo 0,75 kg/ha); Scala (2,0 l/ha) + Romeo (0,75 kg/ha); Signum 33 WG (1,8 kg/ha) + Julietta (2,5 kg/ha); Luna Sensation 500 SC (0,8 l/ha + Julietta (2,5 kg/ha); Scala (2,0 l/ha) + Julietta (2,5 kg/ha); środki referencyjne: Signum 33 WG (1,8 kg/ha), Luna Sensation 500 SC (0,8 l/ha), Scala (2,0 l/ha). Zastosowane programy wykazały niską lub średnią skuteczność w zwalczaniu szarej pleśni na truskawce  podczas wszystkich trzech zbiorów. Wyjątek stanowił program Signum 33 WG + Julietta, dla którego skuteczność w ograniczaniu szarej pleśni truskawki podczas pierwszego zbioru wyniosła 81,6%.  </w:t>
      </w:r>
    </w:p>
    <w:p w14:paraId="681C5FDE" w14:textId="77777777" w:rsidR="00365D25" w:rsidRPr="009F31BE" w:rsidRDefault="00365D25" w:rsidP="00365D25">
      <w:pPr>
        <w:jc w:val="both"/>
        <w:rPr>
          <w:rFonts w:ascii="Arial" w:hAnsi="Arial" w:cs="Arial"/>
        </w:rPr>
      </w:pPr>
    </w:p>
    <w:p w14:paraId="2396BAD1" w14:textId="77777777" w:rsidR="00365D25" w:rsidRPr="009F31BE" w:rsidRDefault="00365D25" w:rsidP="00365D25">
      <w:pPr>
        <w:jc w:val="both"/>
        <w:rPr>
          <w:rFonts w:ascii="Arial" w:hAnsi="Arial" w:cs="Arial"/>
          <w:u w:val="single"/>
        </w:rPr>
      </w:pPr>
      <w:r w:rsidRPr="009F31BE">
        <w:rPr>
          <w:rFonts w:ascii="Arial" w:hAnsi="Arial" w:cs="Arial"/>
          <w:b/>
          <w:bCs/>
          <w:u w:val="single"/>
        </w:rPr>
        <w:t>Cukinia</w:t>
      </w:r>
      <w:r w:rsidRPr="009F31BE">
        <w:rPr>
          <w:rFonts w:ascii="Arial" w:hAnsi="Arial" w:cs="Arial"/>
          <w:u w:val="single"/>
        </w:rPr>
        <w:t xml:space="preserve"> – ocena skuteczności wybranych środków w ochronie przed mączniakiem prawdziwym dyniowatych (</w:t>
      </w:r>
      <w:r w:rsidRPr="009F31BE">
        <w:rPr>
          <w:rFonts w:ascii="Arial" w:hAnsi="Arial" w:cs="Arial"/>
          <w:i/>
          <w:u w:val="single"/>
        </w:rPr>
        <w:t>Erysiphe polygoni</w:t>
      </w:r>
      <w:r w:rsidRPr="009F31BE">
        <w:rPr>
          <w:rFonts w:ascii="Arial" w:hAnsi="Arial" w:cs="Arial"/>
          <w:u w:val="single"/>
        </w:rPr>
        <w:t>)</w:t>
      </w:r>
    </w:p>
    <w:p w14:paraId="68899E5E" w14:textId="77777777" w:rsidR="00365D25" w:rsidRPr="009F31BE" w:rsidRDefault="00365D25" w:rsidP="00365D25">
      <w:pPr>
        <w:jc w:val="both"/>
        <w:rPr>
          <w:rFonts w:ascii="Arial" w:hAnsi="Arial" w:cs="Arial"/>
        </w:rPr>
      </w:pPr>
    </w:p>
    <w:p w14:paraId="028D7011" w14:textId="77777777"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Badane środki: Limocide (olejek pomarańczowy) i Dagonis testowano: samodzielnie jako środki referencyjne oraz w programie przemiennego stosowania: Limocide/Dagonis oraz Dagonis w obniżonej o połowę dawce. Najwyższą skutecznością ochrony odznaczały się: środek referencyjny Dagonis aplikowany w pełnej dawce odpowiednio: 100 i 96% efektywności oraz wariant przemiennego stosowania Limocide i Dagonis odpowiednio: 90,8 i 86,6% efektywności. Istotnie niższą skutecznością charakteryzował się Dagonis aplikowany w niższej o połowę dawce (60 i 52,5% skuteczności). Najniższą skuteczność (46,8 i 36,6%) w porównaniu do kombinacji kontrolnej oraz pozostałych badanych środków uzyskano w wyniku samodzielnego stosowania środka Limocide.</w:t>
      </w:r>
    </w:p>
    <w:p w14:paraId="0710EF95" w14:textId="77777777" w:rsidR="00365D25" w:rsidRPr="009F31BE" w:rsidRDefault="00365D25" w:rsidP="00365D25">
      <w:pPr>
        <w:jc w:val="both"/>
        <w:rPr>
          <w:rFonts w:ascii="Arial" w:hAnsi="Arial" w:cs="Arial"/>
        </w:rPr>
      </w:pPr>
    </w:p>
    <w:p w14:paraId="2FC3CB79" w14:textId="77777777" w:rsidR="00365D25" w:rsidRPr="009F31BE" w:rsidRDefault="00365D25" w:rsidP="00365D25">
      <w:pPr>
        <w:jc w:val="both"/>
        <w:rPr>
          <w:rFonts w:ascii="Arial" w:hAnsi="Arial" w:cs="Arial"/>
          <w:u w:val="single"/>
        </w:rPr>
      </w:pPr>
      <w:r w:rsidRPr="009F31BE">
        <w:rPr>
          <w:rFonts w:ascii="Arial" w:hAnsi="Arial" w:cs="Arial"/>
          <w:b/>
          <w:bCs/>
          <w:u w:val="single"/>
        </w:rPr>
        <w:t>Seler korzeniowy</w:t>
      </w:r>
      <w:r w:rsidRPr="009F31BE">
        <w:rPr>
          <w:rFonts w:ascii="Arial" w:hAnsi="Arial" w:cs="Arial"/>
          <w:u w:val="single"/>
        </w:rPr>
        <w:t xml:space="preserve"> – ocena skuteczności wybranych fungicydów w ochronie przed septoriozą (</w:t>
      </w:r>
      <w:r w:rsidRPr="009F31BE">
        <w:rPr>
          <w:rFonts w:ascii="Arial" w:hAnsi="Arial" w:cs="Arial"/>
          <w:i/>
          <w:u w:val="single"/>
        </w:rPr>
        <w:t>Septoria apiicola</w:t>
      </w:r>
      <w:r w:rsidRPr="009F31BE">
        <w:rPr>
          <w:rFonts w:ascii="Arial" w:hAnsi="Arial" w:cs="Arial"/>
          <w:u w:val="single"/>
        </w:rPr>
        <w:t>) i/lub chwościkiem selera (</w:t>
      </w:r>
      <w:r w:rsidRPr="009F31BE">
        <w:rPr>
          <w:rFonts w:ascii="Arial" w:hAnsi="Arial" w:cs="Arial"/>
          <w:i/>
          <w:u w:val="single"/>
        </w:rPr>
        <w:t>Cercospora apii</w:t>
      </w:r>
      <w:r w:rsidRPr="009F31BE">
        <w:rPr>
          <w:rFonts w:ascii="Arial" w:hAnsi="Arial" w:cs="Arial"/>
          <w:u w:val="single"/>
        </w:rPr>
        <w:t>) – w zależności, który patogen wystąpi naturalnie</w:t>
      </w:r>
    </w:p>
    <w:p w14:paraId="0561AF1A" w14:textId="77777777" w:rsidR="00365D25" w:rsidRPr="009F31BE" w:rsidRDefault="00365D25" w:rsidP="00365D25">
      <w:pPr>
        <w:jc w:val="both"/>
        <w:rPr>
          <w:rFonts w:ascii="Arial" w:hAnsi="Arial" w:cs="Arial"/>
          <w:u w:val="single"/>
        </w:rPr>
      </w:pPr>
    </w:p>
    <w:p w14:paraId="0F872DFC" w14:textId="77777777"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Badane środki: Scorpion 325 SC i Fundand 450 SC aplikowane były: w dopuszczonych do stosowania dawkach (środki referencyjne), w programie przemiennego stosowania: Scorpion 325 SC/Fundand 450 SC oraz w obniżonej o połowę dawce (Scorpion 325 SC). Badane produkty skutecznie ograniczały rozwój chwościkiem selera. W dniu ostatniej oceny najwyższą skuteczność uzyskano w wariantach, gdzie testowano samodzielnie oraz przemiennie środki Scorpion 325 SC i Fundand 450 SC (73,3; 75,2 i 85,6% skuteczności). Istotnie niższą efektywność ochrony uzyskano w kombinacji, w której Scorpion 325 SC aplikowano w obniżonej o połowę dawce (57,2% skuteczności).</w:t>
      </w:r>
    </w:p>
    <w:p w14:paraId="49B95834" w14:textId="13928E25" w:rsidR="007F365C" w:rsidRPr="009F31BE" w:rsidRDefault="007F365C" w:rsidP="00365D25">
      <w:pPr>
        <w:jc w:val="both"/>
        <w:rPr>
          <w:rFonts w:ascii="Arial" w:hAnsi="Arial" w:cs="Arial"/>
        </w:rPr>
      </w:pPr>
    </w:p>
    <w:p w14:paraId="0C07A52B" w14:textId="77777777" w:rsidR="00365D25" w:rsidRPr="009F31BE" w:rsidRDefault="00365D25" w:rsidP="00365D25">
      <w:pPr>
        <w:jc w:val="both"/>
        <w:rPr>
          <w:rFonts w:ascii="Arial" w:hAnsi="Arial" w:cs="Arial"/>
        </w:rPr>
      </w:pPr>
      <w:r w:rsidRPr="009F31BE">
        <w:rPr>
          <w:rFonts w:ascii="Arial" w:hAnsi="Arial" w:cs="Arial"/>
          <w:b/>
          <w:bCs/>
          <w:u w:val="single"/>
        </w:rPr>
        <w:t xml:space="preserve">Cebula </w:t>
      </w:r>
      <w:r w:rsidRPr="009F31BE">
        <w:rPr>
          <w:rFonts w:ascii="Arial" w:hAnsi="Arial" w:cs="Arial"/>
          <w:u w:val="single"/>
        </w:rPr>
        <w:t>- ocena skuteczności środków w zwalczaniu wciornastka tytoniowca</w:t>
      </w:r>
    </w:p>
    <w:p w14:paraId="1C5814D3" w14:textId="77777777" w:rsidR="00365D25" w:rsidRPr="009F31BE" w:rsidRDefault="00365D25" w:rsidP="00365D25">
      <w:pPr>
        <w:jc w:val="both"/>
        <w:rPr>
          <w:rFonts w:ascii="Arial" w:hAnsi="Arial" w:cs="Arial"/>
        </w:rPr>
      </w:pPr>
    </w:p>
    <w:p w14:paraId="7A23B0F3" w14:textId="600E24EA"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 xml:space="preserve">Badane mieszaniny: Benevia 100 OD (750 ml/ha) + Siltac (0,1%); Movento 100 SC (0,75l/ha)+Emulpar (0,1%); Naturalis (1,5l/ha); Siltac (0,15%), środki referencyjne: Benevia 100 OD (750 ml/ha); Movento </w:t>
      </w:r>
      <w:r w:rsidRPr="009F31BE">
        <w:rPr>
          <w:rFonts w:ascii="Arial" w:hAnsi="Arial" w:cs="Arial"/>
        </w:rPr>
        <w:lastRenderedPageBreak/>
        <w:t>100 SC (0,75l/ha); kontrola – rośliny nietraktowane. Wszystkie badane środki: Benevia 100 OD (750 ml/ha) + Siltac (0,1%); Movento 100 SC (0,75l/ha)+Emulpar (0,1%); Naturalis (1,5l/ha); Siltac (0,15%), zastosowane zarówno w połączeniu z preparatem Siltac EC, jak też solo, wykazały po 2 zabiegach wysoką skuteczność (od 94,5 do 97,3 % w zwalczaniu osobników dorosłych  wciornastka tytoniowca. Podobnie wysoką skuteczność tych środków, która wynosiła od 98,2 do 99,4% odnotowano w</w:t>
      </w:r>
      <w:r w:rsidR="00F0638A">
        <w:rPr>
          <w:rFonts w:ascii="Arial" w:hAnsi="Arial" w:cs="Arial"/>
        </w:rPr>
        <w:t> </w:t>
      </w:r>
      <w:r w:rsidRPr="009F31BE">
        <w:rPr>
          <w:rFonts w:ascii="Arial" w:hAnsi="Arial" w:cs="Arial"/>
        </w:rPr>
        <w:t>zwalczaniu larw tego szkodnika.</w:t>
      </w:r>
    </w:p>
    <w:p w14:paraId="4648535D" w14:textId="77777777" w:rsidR="00365D25" w:rsidRPr="009F31BE" w:rsidRDefault="00365D25" w:rsidP="00365D25">
      <w:pPr>
        <w:jc w:val="both"/>
        <w:rPr>
          <w:rFonts w:ascii="Arial" w:hAnsi="Arial" w:cs="Arial"/>
        </w:rPr>
      </w:pPr>
    </w:p>
    <w:p w14:paraId="5FB2DEA4" w14:textId="77777777" w:rsidR="00365D25" w:rsidRPr="009F31BE" w:rsidRDefault="00365D25" w:rsidP="00365D25">
      <w:pPr>
        <w:jc w:val="both"/>
        <w:rPr>
          <w:rFonts w:ascii="Arial" w:hAnsi="Arial" w:cs="Arial"/>
          <w:u w:val="single"/>
        </w:rPr>
      </w:pPr>
      <w:r w:rsidRPr="009F31BE">
        <w:rPr>
          <w:rFonts w:ascii="Arial" w:hAnsi="Arial" w:cs="Arial"/>
          <w:b/>
          <w:bCs/>
          <w:u w:val="single"/>
        </w:rPr>
        <w:t>Papryka</w:t>
      </w:r>
      <w:r w:rsidRPr="009F31BE">
        <w:rPr>
          <w:rFonts w:ascii="Arial" w:hAnsi="Arial" w:cs="Arial"/>
          <w:u w:val="single"/>
        </w:rPr>
        <w:t xml:space="preserve"> pod osłonami – ocena skuteczności środków w zwalczaniu mszyc</w:t>
      </w:r>
    </w:p>
    <w:p w14:paraId="6C141AD5" w14:textId="77777777" w:rsidR="00365D25" w:rsidRPr="009F31BE" w:rsidRDefault="00365D25" w:rsidP="00365D25">
      <w:pPr>
        <w:jc w:val="both"/>
        <w:rPr>
          <w:rFonts w:ascii="Arial" w:hAnsi="Arial" w:cs="Arial"/>
        </w:rPr>
      </w:pPr>
    </w:p>
    <w:p w14:paraId="5A5654BD" w14:textId="03790773"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Badane preparaty: Sivanto Prime (0,23 l/ha) + Emulpar 940 EC (1,2%); Los Ovados 200 SE (0,12 l/ha) + Emulpar 940 EC (1,2%); Los Ovados 200 SE (0,2 l/ha); Sivanto Prime 0,45l/ha; Emulpar 940 EC (1,2%); kontrola - rośliny nietraktowane. Badane mieszaniny preparatów Sivanto Prime i Los Owados 200 SE zastosowane jednokrotnie w połączeniu z preparatem olejowym Emulpar 940 EC, jak też samodzielnie w formie opryskiwania wykazały w zwalczaniu mszyc na papryce skuteczność na poziomie 100%. Skuteczność preparatu Emulpar 940 EC zastosowanego samodzielnie 2-krotnie w</w:t>
      </w:r>
      <w:r w:rsidR="00F0638A">
        <w:rPr>
          <w:rFonts w:ascii="Arial" w:hAnsi="Arial" w:cs="Arial"/>
        </w:rPr>
        <w:t> </w:t>
      </w:r>
      <w:r w:rsidRPr="009F31BE">
        <w:rPr>
          <w:rFonts w:ascii="Arial" w:hAnsi="Arial" w:cs="Arial"/>
        </w:rPr>
        <w:t>formie opryskiwania była słabsza niż pozostałych środków i po upływie tygodnia od I. zabiegu wynosiła 56,3%. Dopiero po II. zabiegu odnotowano wzrost skuteczności do 98,6%.</w:t>
      </w:r>
    </w:p>
    <w:p w14:paraId="3CFDBE23" w14:textId="77777777"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p>
    <w:p w14:paraId="6D7418A2" w14:textId="77777777" w:rsidR="00365D25" w:rsidRPr="009F31BE" w:rsidRDefault="00365D25" w:rsidP="00365D25">
      <w:pPr>
        <w:jc w:val="both"/>
        <w:rPr>
          <w:rFonts w:ascii="Arial" w:hAnsi="Arial" w:cs="Arial"/>
          <w:u w:val="single"/>
        </w:rPr>
      </w:pPr>
      <w:r w:rsidRPr="009F31BE">
        <w:rPr>
          <w:rFonts w:ascii="Arial" w:hAnsi="Arial" w:cs="Arial"/>
          <w:b/>
          <w:bCs/>
          <w:u w:val="single"/>
        </w:rPr>
        <w:t xml:space="preserve">Wierzba </w:t>
      </w:r>
      <w:r w:rsidRPr="009F31BE">
        <w:rPr>
          <w:rFonts w:ascii="Arial" w:hAnsi="Arial" w:cs="Arial"/>
          <w:u w:val="single"/>
        </w:rPr>
        <w:t>– ocena skuteczności środka Agro-Sorb Organic Folium w stężeniu 0,5%, 1% i 2% w ochronie wierzby przed mączniakiem prawdziwym (</w:t>
      </w:r>
      <w:r w:rsidRPr="009F31BE">
        <w:rPr>
          <w:rFonts w:ascii="Arial" w:hAnsi="Arial" w:cs="Arial"/>
          <w:i/>
          <w:u w:val="single"/>
        </w:rPr>
        <w:t>Erysiphe adunca</w:t>
      </w:r>
      <w:r w:rsidRPr="009F31BE">
        <w:rPr>
          <w:rFonts w:ascii="Arial" w:hAnsi="Arial" w:cs="Arial"/>
          <w:u w:val="single"/>
        </w:rPr>
        <w:t>)</w:t>
      </w:r>
    </w:p>
    <w:p w14:paraId="19E1E97A" w14:textId="77777777" w:rsidR="00365D25" w:rsidRPr="009F31BE" w:rsidRDefault="00365D25" w:rsidP="00365D25">
      <w:pPr>
        <w:jc w:val="both"/>
        <w:rPr>
          <w:rFonts w:ascii="Arial" w:hAnsi="Arial" w:cs="Arial"/>
        </w:rPr>
      </w:pPr>
    </w:p>
    <w:p w14:paraId="0AC6B315" w14:textId="74705DCD" w:rsidR="00365D25" w:rsidRPr="009F31BE"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Preparaty badane: Agro-Sorb Organic Folium (0,5%, 1% i 2%), preparat referencyjny Limocide zawierający olejek pomarańczowy. Preparat Agro-Sorb Organic Folium w stężeniu od 0,5 do 2%, zastosowany 2-krotnie w formie opryskiwania wierzby wykazywał skuteczność od 69,7% do 94,8% w</w:t>
      </w:r>
      <w:r w:rsidR="00C92649">
        <w:rPr>
          <w:rFonts w:ascii="Arial" w:hAnsi="Arial" w:cs="Arial"/>
        </w:rPr>
        <w:t> </w:t>
      </w:r>
      <w:r w:rsidRPr="009F31BE">
        <w:rPr>
          <w:rFonts w:ascii="Arial" w:hAnsi="Arial" w:cs="Arial"/>
        </w:rPr>
        <w:t>ograniczaniu rozwoju objawów mączniaka prawdziwego, a po 4-krotnym opryskiwaniu w stężeniu 0,5 i</w:t>
      </w:r>
      <w:r w:rsidR="007B389C">
        <w:rPr>
          <w:rFonts w:ascii="Arial" w:hAnsi="Arial" w:cs="Arial"/>
        </w:rPr>
        <w:t> </w:t>
      </w:r>
      <w:r w:rsidRPr="009F31BE">
        <w:rPr>
          <w:rFonts w:ascii="Arial" w:hAnsi="Arial" w:cs="Arial"/>
        </w:rPr>
        <w:t>1% wykazał skuteczność od 73,7% do 84,8%. Limocide w stężeniu 0,6%, pomimo wysokiej skuteczności w ograniczaniu objawów mączniaka prawdziwego wierzby już po 1-krotnym zastosowaniu do opryskiwania wykazał silną fitotoksyczność w stosunku do wierzby.</w:t>
      </w:r>
    </w:p>
    <w:p w14:paraId="03D0E43B" w14:textId="77777777" w:rsidR="00365D25" w:rsidRPr="009F31BE" w:rsidRDefault="00365D25" w:rsidP="00365D25">
      <w:pPr>
        <w:jc w:val="both"/>
        <w:rPr>
          <w:rFonts w:ascii="Arial" w:hAnsi="Arial" w:cs="Arial"/>
        </w:rPr>
      </w:pPr>
    </w:p>
    <w:p w14:paraId="7FD0565D" w14:textId="77777777" w:rsidR="00365D25" w:rsidRPr="009F31BE" w:rsidRDefault="00365D25" w:rsidP="00365D25">
      <w:pPr>
        <w:jc w:val="both"/>
        <w:rPr>
          <w:rFonts w:ascii="Arial" w:hAnsi="Arial" w:cs="Arial"/>
          <w:u w:val="single"/>
        </w:rPr>
      </w:pPr>
      <w:r w:rsidRPr="009F31BE">
        <w:rPr>
          <w:rFonts w:ascii="Arial" w:hAnsi="Arial" w:cs="Arial"/>
          <w:b/>
          <w:bCs/>
          <w:u w:val="single"/>
        </w:rPr>
        <w:t>Różanecznik</w:t>
      </w:r>
      <w:r w:rsidRPr="009F31BE">
        <w:rPr>
          <w:rFonts w:ascii="Arial" w:hAnsi="Arial" w:cs="Arial"/>
          <w:u w:val="single"/>
        </w:rPr>
        <w:t xml:space="preserve"> – ocena skuteczności środków w zwalczaniu opuchlaka truskawkowca (</w:t>
      </w:r>
      <w:r w:rsidRPr="009F31BE">
        <w:rPr>
          <w:rFonts w:ascii="Arial" w:hAnsi="Arial" w:cs="Arial"/>
          <w:i/>
          <w:u w:val="single"/>
        </w:rPr>
        <w:t>Otiorhynchus sulcatus</w:t>
      </w:r>
      <w:r w:rsidRPr="009F31BE">
        <w:rPr>
          <w:rFonts w:ascii="Arial" w:hAnsi="Arial" w:cs="Arial"/>
          <w:u w:val="single"/>
        </w:rPr>
        <w:t>)</w:t>
      </w:r>
    </w:p>
    <w:p w14:paraId="768E310E" w14:textId="77777777" w:rsidR="00365D25" w:rsidRPr="009F31BE" w:rsidRDefault="00365D25" w:rsidP="00365D25">
      <w:pPr>
        <w:jc w:val="both"/>
        <w:rPr>
          <w:rFonts w:ascii="Arial" w:hAnsi="Arial" w:cs="Arial"/>
          <w:u w:val="single"/>
        </w:rPr>
      </w:pPr>
    </w:p>
    <w:p w14:paraId="47FCEF48" w14:textId="4607F3AD" w:rsidR="00365D25" w:rsidRDefault="00365D25" w:rsidP="002761D9">
      <w:pPr>
        <w:pStyle w:val="NormalnyWeb"/>
        <w:tabs>
          <w:tab w:val="left" w:pos="284"/>
        </w:tabs>
        <w:spacing w:beforeAutospacing="0" w:after="120" w:afterAutospacing="0" w:line="360" w:lineRule="auto"/>
        <w:jc w:val="both"/>
        <w:rPr>
          <w:rFonts w:ascii="Arial" w:hAnsi="Arial" w:cs="Arial"/>
        </w:rPr>
      </w:pPr>
      <w:r w:rsidRPr="009F31BE">
        <w:rPr>
          <w:rFonts w:ascii="Arial" w:hAnsi="Arial" w:cs="Arial"/>
        </w:rPr>
        <w:t>Badane preparaty: Naturalis (2l/ha); Neemazal T/S (0,5%); nicienie entomopatogeniczne; Klozer (2l/ha); Metacide (10 kg/ha); Benevia (750 ml/ha); kontrola - rośliny nietraktowane. Efektywność zastosowanych preparatów była bardzo niska. Z badanych preparatów jedynie Metacide, Naturalis i Benevia osiągnęły skuteczność na poziomie ograniczonego zwalczania, która wynosiła odpowiednio 41,6, 42,8, 45,3%, natomiast skuteczność pozostałych preparatów była poniżej 40%. Po upływie 21 dni od zastosowania preparatów we wszystkich kombinacjach zaobserwowano nieznaczny wzrost stopnia uszkodzenia szyjki korzeniowej. Nie stwierdzono istotnych różnic pomiędzy kombinacjami w stopniu uszkodzenia roślin.</w:t>
      </w:r>
    </w:p>
    <w:p w14:paraId="3A1C20A5" w14:textId="77777777" w:rsidR="00F0638A" w:rsidRDefault="00F0638A" w:rsidP="002761D9">
      <w:pPr>
        <w:pStyle w:val="NormalnyWeb"/>
        <w:tabs>
          <w:tab w:val="left" w:pos="284"/>
        </w:tabs>
        <w:spacing w:beforeAutospacing="0" w:after="120" w:afterAutospacing="0" w:line="360" w:lineRule="auto"/>
        <w:jc w:val="both"/>
        <w:rPr>
          <w:rFonts w:ascii="Arial" w:hAnsi="Arial" w:cs="Arial"/>
        </w:rPr>
      </w:pPr>
    </w:p>
    <w:p w14:paraId="34CE742A" w14:textId="70C812F4" w:rsidR="00FE4804" w:rsidRPr="007D4111" w:rsidRDefault="007D4111" w:rsidP="007D4111">
      <w:pPr>
        <w:pStyle w:val="Nagwek1"/>
        <w:numPr>
          <w:ilvl w:val="3"/>
          <w:numId w:val="2"/>
        </w:numPr>
        <w:tabs>
          <w:tab w:val="clear" w:pos="2868"/>
          <w:tab w:val="num" w:pos="709"/>
          <w:tab w:val="left" w:pos="2552"/>
        </w:tabs>
        <w:ind w:left="567" w:hanging="567"/>
        <w:jc w:val="both"/>
        <w:rPr>
          <w:rFonts w:ascii="Times New Roman" w:eastAsia="Calibri" w:hAnsi="Times New Roman" w:cs="Times New Roman"/>
          <w:i w:val="0"/>
          <w:iCs/>
          <w:sz w:val="22"/>
          <w:szCs w:val="22"/>
          <w:lang w:eastAsia="en-US"/>
        </w:rPr>
      </w:pPr>
      <w:bookmarkStart w:id="96" w:name="_Toc193716426"/>
      <w:r>
        <w:rPr>
          <w:rFonts w:eastAsia="Calibri"/>
          <w:i w:val="0"/>
          <w:iCs/>
          <w:sz w:val="22"/>
          <w:szCs w:val="22"/>
          <w:lang w:eastAsia="en-US"/>
        </w:rPr>
        <w:lastRenderedPageBreak/>
        <w:t>Za</w:t>
      </w:r>
      <w:r w:rsidR="004B6C5E">
        <w:rPr>
          <w:rFonts w:eastAsia="Calibri"/>
          <w:i w:val="0"/>
          <w:iCs/>
          <w:sz w:val="22"/>
          <w:szCs w:val="22"/>
          <w:lang w:eastAsia="en-US"/>
        </w:rPr>
        <w:t xml:space="preserve">łącznik nr 2 </w:t>
      </w:r>
      <w:r w:rsidR="007C6297" w:rsidRPr="00575C57">
        <w:rPr>
          <w:rFonts w:eastAsia="Calibri"/>
          <w:i w:val="0"/>
          <w:iCs/>
          <w:sz w:val="22"/>
          <w:szCs w:val="22"/>
          <w:lang w:eastAsia="en-US"/>
        </w:rPr>
        <w:t>Kompleksowa ocena w zakresie krajowego bezpieczeństwa pestycydowego w oparciu o krajowe wskaźniki ryzyka pestycydowego oraz zharmonizowany wskaźnik ryzyka HRI1 dla Polski – rok 2023</w:t>
      </w:r>
      <w:bookmarkEnd w:id="96"/>
    </w:p>
    <w:p w14:paraId="625A56E3" w14:textId="77777777" w:rsidR="00575C57" w:rsidRPr="0049161C" w:rsidRDefault="00575C57" w:rsidP="00575C57">
      <w:pPr>
        <w:widowControl/>
        <w:spacing w:after="80" w:line="360" w:lineRule="auto"/>
        <w:rPr>
          <w:rFonts w:ascii="Arial" w:eastAsia="Calibri" w:hAnsi="Arial" w:cs="Arial"/>
          <w:b/>
          <w:sz w:val="22"/>
          <w:szCs w:val="22"/>
          <w:lang w:eastAsia="en-US"/>
        </w:rPr>
      </w:pPr>
      <w:r w:rsidRPr="0049161C">
        <w:rPr>
          <w:rFonts w:ascii="Arial" w:eastAsia="Calibri" w:hAnsi="Arial" w:cs="Arial"/>
          <w:b/>
          <w:sz w:val="22"/>
          <w:szCs w:val="22"/>
          <w:lang w:eastAsia="en-US"/>
        </w:rPr>
        <w:t>1.</w:t>
      </w:r>
      <w:r w:rsidRPr="0049161C">
        <w:rPr>
          <w:rFonts w:ascii="Arial" w:eastAsia="Calibri" w:hAnsi="Arial" w:cs="Arial"/>
          <w:b/>
          <w:sz w:val="22"/>
          <w:szCs w:val="22"/>
          <w:lang w:eastAsia="en-US"/>
        </w:rPr>
        <w:tab/>
        <w:t>Wprowadzenie</w:t>
      </w:r>
    </w:p>
    <w:p w14:paraId="3EC420A6" w14:textId="1F161A60" w:rsidR="00575C57" w:rsidRPr="00F0638A" w:rsidRDefault="00DB34DA" w:rsidP="00F0638A">
      <w:pPr>
        <w:pStyle w:val="NormalnyWeb"/>
        <w:tabs>
          <w:tab w:val="left" w:pos="284"/>
        </w:tabs>
        <w:spacing w:beforeAutospacing="0" w:after="120" w:afterAutospacing="0" w:line="360" w:lineRule="auto"/>
        <w:ind w:firstLine="284"/>
        <w:jc w:val="both"/>
        <w:rPr>
          <w:rFonts w:ascii="Arial" w:hAnsi="Arial" w:cs="Arial"/>
        </w:rPr>
      </w:pPr>
      <w:r w:rsidRPr="00F0638A">
        <w:rPr>
          <w:rFonts w:ascii="Arial" w:hAnsi="Arial" w:cs="Arial"/>
        </w:rPr>
        <w:t>O</w:t>
      </w:r>
      <w:r w:rsidR="00575C57" w:rsidRPr="00F0638A">
        <w:rPr>
          <w:rFonts w:ascii="Arial" w:hAnsi="Arial" w:cs="Arial"/>
        </w:rPr>
        <w:t xml:space="preserve">pracowanie </w:t>
      </w:r>
      <w:r w:rsidR="00CC0131" w:rsidRPr="00F0638A">
        <w:rPr>
          <w:rFonts w:ascii="Arial" w:hAnsi="Arial" w:cs="Arial"/>
        </w:rPr>
        <w:t>zawiera</w:t>
      </w:r>
      <w:r w:rsidR="00575C57" w:rsidRPr="00F0638A">
        <w:rPr>
          <w:rFonts w:ascii="Arial" w:hAnsi="Arial" w:cs="Arial"/>
        </w:rPr>
        <w:t xml:space="preserve"> cztery obszary tematyczne:</w:t>
      </w:r>
    </w:p>
    <w:p w14:paraId="05256683" w14:textId="77777777"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hAnsi="Arial" w:cs="Arial"/>
        </w:rPr>
      </w:pPr>
      <w:r w:rsidRPr="00F0638A">
        <w:rPr>
          <w:rFonts w:ascii="Arial" w:hAnsi="Arial" w:cs="Arial"/>
        </w:rPr>
        <w:t>zagrożenie konsumentów wynikające z pozostałości środków ochrony roślin (ś.o.r.) w płodach rolnych;</w:t>
      </w:r>
    </w:p>
    <w:p w14:paraId="06DA59C7" w14:textId="77777777"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hAnsi="Arial" w:cs="Arial"/>
        </w:rPr>
      </w:pPr>
      <w:r w:rsidRPr="00F0638A">
        <w:rPr>
          <w:rFonts w:ascii="Arial" w:hAnsi="Arial" w:cs="Arial"/>
        </w:rPr>
        <w:t>zagrożenia wynikające z nieprawidłowego stosowania środków ochrony roślin (ś.o.r.);</w:t>
      </w:r>
    </w:p>
    <w:p w14:paraId="01B2E4E3" w14:textId="77777777"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hAnsi="Arial" w:cs="Arial"/>
        </w:rPr>
      </w:pPr>
      <w:r w:rsidRPr="00F0638A">
        <w:rPr>
          <w:rFonts w:ascii="Arial" w:hAnsi="Arial" w:cs="Arial"/>
        </w:rPr>
        <w:t>zagrożenie wynikające z zanieczyszczenia wód powierzchniowych;</w:t>
      </w:r>
    </w:p>
    <w:p w14:paraId="470397C7" w14:textId="77777777"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hAnsi="Arial" w:cs="Arial"/>
        </w:rPr>
      </w:pPr>
      <w:r w:rsidRPr="00F0638A">
        <w:rPr>
          <w:rFonts w:ascii="Arial" w:hAnsi="Arial" w:cs="Arial"/>
        </w:rPr>
        <w:t>zagrożenia wynikające z wielkości i struktury sprzedaży ś.o.r..</w:t>
      </w:r>
    </w:p>
    <w:p w14:paraId="6FE299CA" w14:textId="77777777" w:rsidR="00575C57" w:rsidRPr="00F0638A" w:rsidRDefault="00575C57" w:rsidP="00F0638A">
      <w:pPr>
        <w:pStyle w:val="NormalnyWeb"/>
        <w:tabs>
          <w:tab w:val="left" w:pos="284"/>
        </w:tabs>
        <w:spacing w:beforeAutospacing="0" w:after="120" w:afterAutospacing="0" w:line="360" w:lineRule="auto"/>
        <w:ind w:firstLine="284"/>
        <w:jc w:val="both"/>
        <w:rPr>
          <w:rFonts w:ascii="Arial" w:hAnsi="Arial" w:cs="Arial"/>
        </w:rPr>
      </w:pPr>
      <w:r w:rsidRPr="00F0638A">
        <w:rPr>
          <w:rFonts w:ascii="Arial" w:hAnsi="Arial" w:cs="Arial"/>
        </w:rPr>
        <w:t>Jako podstawę opracowania przyjęto obliczenia krajowych wskaźników ryzyka związanego ze stosowaniem środków ochrony roślin (w skrócie „ryzyka pestycydowego”) oraz zharmonizowanego wskaźnika ryzyka HRI1.</w:t>
      </w:r>
    </w:p>
    <w:p w14:paraId="6332CBD3" w14:textId="4FAFE970" w:rsidR="00575C57" w:rsidRPr="00F0638A" w:rsidRDefault="00575C57" w:rsidP="00F0638A">
      <w:pPr>
        <w:pStyle w:val="NormalnyWeb"/>
        <w:tabs>
          <w:tab w:val="left" w:pos="284"/>
        </w:tabs>
        <w:spacing w:beforeAutospacing="0" w:after="120" w:afterAutospacing="0" w:line="360" w:lineRule="auto"/>
        <w:ind w:firstLine="284"/>
        <w:jc w:val="both"/>
        <w:rPr>
          <w:rFonts w:ascii="Arial" w:hAnsi="Arial" w:cs="Arial"/>
        </w:rPr>
      </w:pPr>
      <w:r w:rsidRPr="00F0638A">
        <w:rPr>
          <w:rFonts w:ascii="Arial" w:hAnsi="Arial" w:cs="Arial"/>
        </w:rPr>
        <w:t xml:space="preserve">Zestaw krajowych wskaźników ryzyka pestycydowego </w:t>
      </w:r>
      <w:r w:rsidR="00F0638A">
        <w:rPr>
          <w:rFonts w:ascii="Arial" w:hAnsi="Arial" w:cs="Arial"/>
        </w:rPr>
        <w:t>obejmuje</w:t>
      </w:r>
      <w:r w:rsidRPr="00F0638A">
        <w:rPr>
          <w:rFonts w:ascii="Arial" w:hAnsi="Arial" w:cs="Arial"/>
        </w:rPr>
        <w:t>:</w:t>
      </w:r>
    </w:p>
    <w:p w14:paraId="2EC237CB" w14:textId="77777777" w:rsidR="00575C57" w:rsidRPr="00F0638A" w:rsidRDefault="00575C57" w:rsidP="00E74A80">
      <w:pPr>
        <w:widowControl/>
        <w:numPr>
          <w:ilvl w:val="0"/>
          <w:numId w:val="37"/>
        </w:numPr>
        <w:suppressAutoHyphens/>
        <w:autoSpaceDN w:val="0"/>
        <w:spacing w:after="80" w:line="360" w:lineRule="auto"/>
        <w:rPr>
          <w:rFonts w:ascii="Arial" w:eastAsia="Lucida Sans Unicode" w:hAnsi="Arial" w:cs="Arial"/>
          <w:kern w:val="3"/>
          <w:lang w:eastAsia="en-US"/>
        </w:rPr>
      </w:pPr>
      <w:r w:rsidRPr="00F0638A">
        <w:rPr>
          <w:rFonts w:ascii="Arial" w:eastAsia="Lucida Sans Unicode" w:hAnsi="Arial" w:cs="Arial"/>
          <w:kern w:val="3"/>
          <w:lang w:eastAsia="en-US"/>
        </w:rPr>
        <w:t>Wskaźnik pozostałości pestycydowych w płodach rolnych przeznaczonych do spożycia i przetwórstwa (W</w:t>
      </w:r>
      <w:r w:rsidRPr="00F0638A">
        <w:rPr>
          <w:rFonts w:ascii="Arial" w:eastAsia="Lucida Sans Unicode" w:hAnsi="Arial" w:cs="Arial"/>
          <w:kern w:val="3"/>
          <w:vertAlign w:val="subscript"/>
          <w:lang w:eastAsia="en-US"/>
        </w:rPr>
        <w:t>Poz.</w:t>
      </w:r>
      <w:r w:rsidRPr="00F0638A">
        <w:rPr>
          <w:rFonts w:ascii="Arial" w:eastAsia="Lucida Sans Unicode" w:hAnsi="Arial" w:cs="Arial"/>
          <w:kern w:val="3"/>
          <w:lang w:eastAsia="en-US"/>
        </w:rPr>
        <w:t>);</w:t>
      </w:r>
    </w:p>
    <w:p w14:paraId="6BE32DED" w14:textId="77777777" w:rsidR="00575C57" w:rsidRPr="00F0638A" w:rsidRDefault="00575C57" w:rsidP="00E74A80">
      <w:pPr>
        <w:widowControl/>
        <w:numPr>
          <w:ilvl w:val="0"/>
          <w:numId w:val="37"/>
        </w:numPr>
        <w:suppressAutoHyphens/>
        <w:autoSpaceDN w:val="0"/>
        <w:spacing w:after="80" w:line="360" w:lineRule="auto"/>
        <w:rPr>
          <w:rFonts w:ascii="Arial" w:eastAsia="Lucida Sans Unicode" w:hAnsi="Arial" w:cs="Arial"/>
          <w:kern w:val="3"/>
          <w:lang w:eastAsia="en-US"/>
        </w:rPr>
      </w:pPr>
      <w:r w:rsidRPr="00F0638A">
        <w:rPr>
          <w:rFonts w:ascii="Arial" w:eastAsia="Lucida Sans Unicode" w:hAnsi="Arial" w:cs="Arial"/>
          <w:kern w:val="3"/>
          <w:lang w:eastAsia="en-US"/>
        </w:rPr>
        <w:t>Wskaźniki nieprawidłowości towarzyszących stosowaniu środków ochrony roślin:</w:t>
      </w:r>
    </w:p>
    <w:p w14:paraId="0565CC5F" w14:textId="6CA9BD41"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 wykryć przekroczeń NDP w kontroli pozostałości ś.o.r. (W</w:t>
      </w:r>
      <w:r w:rsidRPr="00F0638A">
        <w:rPr>
          <w:rFonts w:ascii="Arial" w:eastAsia="Lucida Sans Unicode" w:hAnsi="Arial" w:cs="Arial"/>
          <w:kern w:val="3"/>
          <w:vertAlign w:val="subscript"/>
          <w:lang w:eastAsia="en-US"/>
        </w:rPr>
        <w:t>S.NDP</w:t>
      </w:r>
      <w:r w:rsidRPr="00F0638A">
        <w:rPr>
          <w:rFonts w:ascii="Arial" w:eastAsia="Lucida Sans Unicode" w:hAnsi="Arial" w:cs="Arial"/>
          <w:kern w:val="3"/>
          <w:lang w:eastAsia="en-US"/>
        </w:rPr>
        <w:t>),</w:t>
      </w:r>
    </w:p>
    <w:p w14:paraId="2D5E01F3" w14:textId="0F455096"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 wykryć substancji niedopuszczonych do stosowania w kontroli pozostałości ś.o.r. (W</w:t>
      </w:r>
      <w:r w:rsidRPr="00F0638A">
        <w:rPr>
          <w:rFonts w:ascii="Arial" w:eastAsia="Lucida Sans Unicode" w:hAnsi="Arial" w:cs="Arial"/>
          <w:kern w:val="3"/>
          <w:vertAlign w:val="subscript"/>
          <w:lang w:eastAsia="en-US"/>
        </w:rPr>
        <w:t>S.Niedop.</w:t>
      </w:r>
      <w:r w:rsidRPr="00F0638A">
        <w:rPr>
          <w:rFonts w:ascii="Arial" w:eastAsia="Lucida Sans Unicode" w:hAnsi="Arial" w:cs="Arial"/>
          <w:kern w:val="3"/>
          <w:lang w:eastAsia="en-US"/>
        </w:rPr>
        <w:t>),</w:t>
      </w:r>
    </w:p>
    <w:p w14:paraId="0A7D8BEA" w14:textId="2260F0A7"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 wykryć nieprawidłowości w kontroli stosowania ś.o.r. (W</w:t>
      </w:r>
      <w:r w:rsidRPr="00F0638A">
        <w:rPr>
          <w:rFonts w:ascii="Arial" w:eastAsia="Lucida Sans Unicode" w:hAnsi="Arial" w:cs="Arial"/>
          <w:kern w:val="3"/>
          <w:vertAlign w:val="subscript"/>
          <w:lang w:eastAsia="en-US"/>
        </w:rPr>
        <w:t>S.Kontrola</w:t>
      </w:r>
      <w:r w:rsidRPr="00F0638A">
        <w:rPr>
          <w:rFonts w:ascii="Arial" w:eastAsia="Lucida Sans Unicode" w:hAnsi="Arial" w:cs="Arial"/>
          <w:kern w:val="3"/>
          <w:lang w:eastAsia="en-US"/>
        </w:rPr>
        <w:t>);</w:t>
      </w:r>
    </w:p>
    <w:p w14:paraId="0D6D522C" w14:textId="77777777" w:rsidR="00575C57" w:rsidRPr="00F0638A" w:rsidRDefault="00575C57" w:rsidP="00E74A80">
      <w:pPr>
        <w:widowControl/>
        <w:numPr>
          <w:ilvl w:val="0"/>
          <w:numId w:val="37"/>
        </w:numPr>
        <w:suppressAutoHyphens/>
        <w:autoSpaceDN w:val="0"/>
        <w:spacing w:after="80" w:line="360" w:lineRule="auto"/>
        <w:rPr>
          <w:rFonts w:ascii="Arial" w:eastAsia="Lucida Sans Unicode" w:hAnsi="Arial" w:cs="Arial"/>
          <w:kern w:val="3"/>
          <w:lang w:eastAsia="en-US"/>
        </w:rPr>
      </w:pPr>
      <w:r w:rsidRPr="00F0638A">
        <w:rPr>
          <w:rFonts w:ascii="Arial" w:eastAsia="Lucida Sans Unicode" w:hAnsi="Arial" w:cs="Arial"/>
          <w:kern w:val="3"/>
          <w:lang w:eastAsia="en-US"/>
        </w:rPr>
        <w:t>Wskaźnik obciążenia pestycydowego wód powierzchniowych (W</w:t>
      </w:r>
      <w:r w:rsidRPr="00F0638A">
        <w:rPr>
          <w:rFonts w:ascii="Arial" w:eastAsia="Lucida Sans Unicode" w:hAnsi="Arial" w:cs="Arial"/>
          <w:kern w:val="3"/>
          <w:vertAlign w:val="subscript"/>
          <w:lang w:eastAsia="en-US"/>
        </w:rPr>
        <w:t>WP</w:t>
      </w:r>
      <w:r w:rsidRPr="00F0638A">
        <w:rPr>
          <w:rFonts w:ascii="Arial" w:eastAsia="Lucida Sans Unicode" w:hAnsi="Arial" w:cs="Arial"/>
          <w:kern w:val="3"/>
          <w:lang w:eastAsia="en-US"/>
        </w:rPr>
        <w:t>);</w:t>
      </w:r>
    </w:p>
    <w:p w14:paraId="35F6245F" w14:textId="77777777" w:rsidR="00575C57" w:rsidRPr="00F0638A" w:rsidRDefault="00575C57" w:rsidP="00E74A80">
      <w:pPr>
        <w:widowControl/>
        <w:numPr>
          <w:ilvl w:val="0"/>
          <w:numId w:val="37"/>
        </w:numPr>
        <w:suppressAutoHyphens/>
        <w:autoSpaceDN w:val="0"/>
        <w:spacing w:after="80" w:line="360" w:lineRule="auto"/>
        <w:rPr>
          <w:rFonts w:ascii="Arial" w:eastAsia="Lucida Sans Unicode" w:hAnsi="Arial" w:cs="Arial"/>
          <w:kern w:val="3"/>
          <w:lang w:eastAsia="en-US"/>
        </w:rPr>
      </w:pPr>
      <w:r w:rsidRPr="00F0638A">
        <w:rPr>
          <w:rFonts w:ascii="Arial" w:eastAsia="Lucida Sans Unicode" w:hAnsi="Arial" w:cs="Arial"/>
          <w:kern w:val="3"/>
          <w:lang w:eastAsia="en-US"/>
        </w:rPr>
        <w:t>Wskaźniki sprzedaży pod względem potencjalnych zagrożeń dla zdrowia i dla środowiska:</w:t>
      </w:r>
    </w:p>
    <w:p w14:paraId="3EDE27CE" w14:textId="551F9537"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Wskaźniki struktury sprzedaży (WSS</w:t>
      </w:r>
      <w:r w:rsidRPr="00F0638A">
        <w:rPr>
          <w:rFonts w:ascii="Arial" w:eastAsia="Lucida Sans Unicode" w:hAnsi="Arial" w:cs="Arial"/>
          <w:kern w:val="3"/>
          <w:vertAlign w:val="subscript"/>
          <w:lang w:eastAsia="en-US"/>
        </w:rPr>
        <w:t>Zagr.Zdr.</w:t>
      </w:r>
      <w:r w:rsidRPr="00F0638A">
        <w:rPr>
          <w:rFonts w:ascii="Arial" w:eastAsia="Lucida Sans Unicode" w:hAnsi="Arial" w:cs="Arial"/>
          <w:kern w:val="3"/>
          <w:lang w:eastAsia="en-US"/>
        </w:rPr>
        <w:t xml:space="preserve"> i WSS</w:t>
      </w:r>
      <w:r w:rsidRPr="00F0638A">
        <w:rPr>
          <w:rFonts w:ascii="Arial" w:eastAsia="Lucida Sans Unicode" w:hAnsi="Arial" w:cs="Arial"/>
          <w:kern w:val="3"/>
          <w:vertAlign w:val="subscript"/>
          <w:lang w:eastAsia="en-US"/>
        </w:rPr>
        <w:t>Zagr.Środ.</w:t>
      </w:r>
      <w:r w:rsidRPr="00F0638A">
        <w:rPr>
          <w:rFonts w:ascii="Arial" w:eastAsia="Lucida Sans Unicode" w:hAnsi="Arial" w:cs="Arial"/>
          <w:kern w:val="3"/>
          <w:lang w:eastAsia="en-US"/>
        </w:rPr>
        <w:t>),</w:t>
      </w:r>
    </w:p>
    <w:p w14:paraId="6BA9D4C3" w14:textId="657F9B2E"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Wskaźniki wielkości sprzedaży (WS</w:t>
      </w:r>
      <w:r w:rsidRPr="00F0638A">
        <w:rPr>
          <w:rFonts w:ascii="Arial" w:eastAsia="Lucida Sans Unicode" w:hAnsi="Arial" w:cs="Arial"/>
          <w:kern w:val="3"/>
          <w:vertAlign w:val="subscript"/>
          <w:lang w:eastAsia="en-US"/>
        </w:rPr>
        <w:t>Zagr.Zdr.</w:t>
      </w:r>
      <w:r w:rsidRPr="00F0638A">
        <w:rPr>
          <w:rFonts w:ascii="Arial" w:eastAsia="Lucida Sans Unicode" w:hAnsi="Arial" w:cs="Arial"/>
          <w:kern w:val="3"/>
          <w:lang w:eastAsia="en-US"/>
        </w:rPr>
        <w:t xml:space="preserve"> i WS</w:t>
      </w:r>
      <w:r w:rsidRPr="00F0638A">
        <w:rPr>
          <w:rFonts w:ascii="Arial" w:eastAsia="Lucida Sans Unicode" w:hAnsi="Arial" w:cs="Arial"/>
          <w:kern w:val="3"/>
          <w:vertAlign w:val="subscript"/>
          <w:lang w:eastAsia="en-US"/>
        </w:rPr>
        <w:t>Zagr.Środ.</w:t>
      </w:r>
      <w:r w:rsidRPr="00F0638A">
        <w:rPr>
          <w:rFonts w:ascii="Arial" w:eastAsia="Lucida Sans Unicode" w:hAnsi="Arial" w:cs="Arial"/>
          <w:kern w:val="3"/>
          <w:lang w:eastAsia="en-US"/>
        </w:rPr>
        <w:t>);</w:t>
      </w:r>
    </w:p>
    <w:p w14:paraId="6D542F41" w14:textId="77777777" w:rsidR="00575C57" w:rsidRPr="00F0638A" w:rsidRDefault="00575C57" w:rsidP="00E74A80">
      <w:pPr>
        <w:widowControl/>
        <w:numPr>
          <w:ilvl w:val="0"/>
          <w:numId w:val="37"/>
        </w:numPr>
        <w:suppressAutoHyphens/>
        <w:autoSpaceDN w:val="0"/>
        <w:spacing w:after="80" w:line="360" w:lineRule="auto"/>
        <w:rPr>
          <w:rFonts w:ascii="Arial" w:eastAsia="Lucida Sans Unicode" w:hAnsi="Arial" w:cs="Arial"/>
          <w:kern w:val="3"/>
          <w:lang w:eastAsia="en-US"/>
        </w:rPr>
      </w:pPr>
      <w:r w:rsidRPr="00F0638A">
        <w:rPr>
          <w:rFonts w:ascii="Arial" w:eastAsia="Lucida Sans Unicode" w:hAnsi="Arial" w:cs="Arial"/>
          <w:kern w:val="3"/>
          <w:lang w:eastAsia="en-US"/>
        </w:rPr>
        <w:t>Wskaźniki sprzedaży substancji priorytetowych w dziedzinie polityki wodnej:</w:t>
      </w:r>
    </w:p>
    <w:p w14:paraId="51A5B88A" w14:textId="5CF8ED66"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 wielkości sprzedaży (WS</w:t>
      </w:r>
      <w:r w:rsidRPr="00F0638A">
        <w:rPr>
          <w:rFonts w:ascii="Arial" w:eastAsia="Lucida Sans Unicode" w:hAnsi="Arial" w:cs="Arial"/>
          <w:kern w:val="3"/>
          <w:vertAlign w:val="subscript"/>
          <w:lang w:eastAsia="en-US"/>
        </w:rPr>
        <w:t>PW</w:t>
      </w:r>
      <w:r w:rsidRPr="00F0638A">
        <w:rPr>
          <w:rFonts w:ascii="Arial" w:eastAsia="Lucida Sans Unicode" w:hAnsi="Arial" w:cs="Arial"/>
          <w:kern w:val="3"/>
          <w:lang w:eastAsia="en-US"/>
        </w:rPr>
        <w:t>)</w:t>
      </w:r>
    </w:p>
    <w:p w14:paraId="5DA55D93" w14:textId="04573636"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 struktury sprzedaży (WSS</w:t>
      </w:r>
      <w:r w:rsidRPr="00F0638A">
        <w:rPr>
          <w:rFonts w:ascii="Arial" w:eastAsia="Lucida Sans Unicode" w:hAnsi="Arial" w:cs="Arial"/>
          <w:kern w:val="3"/>
          <w:vertAlign w:val="subscript"/>
          <w:lang w:eastAsia="en-US"/>
        </w:rPr>
        <w:t>PW</w:t>
      </w:r>
      <w:r w:rsidRPr="00F0638A">
        <w:rPr>
          <w:rFonts w:ascii="Arial" w:eastAsia="Lucida Sans Unicode" w:hAnsi="Arial" w:cs="Arial"/>
          <w:kern w:val="3"/>
          <w:lang w:eastAsia="en-US"/>
        </w:rPr>
        <w:t>);</w:t>
      </w:r>
    </w:p>
    <w:p w14:paraId="2C03A945" w14:textId="77777777" w:rsidR="00575C57" w:rsidRPr="00F0638A" w:rsidRDefault="00575C57" w:rsidP="00E74A80">
      <w:pPr>
        <w:widowControl/>
        <w:numPr>
          <w:ilvl w:val="0"/>
          <w:numId w:val="37"/>
        </w:numPr>
        <w:suppressAutoHyphens/>
        <w:autoSpaceDN w:val="0"/>
        <w:spacing w:after="80" w:line="360" w:lineRule="auto"/>
        <w:rPr>
          <w:rFonts w:ascii="Arial" w:eastAsia="Lucida Sans Unicode" w:hAnsi="Arial" w:cs="Arial"/>
          <w:kern w:val="3"/>
          <w:lang w:eastAsia="en-US"/>
        </w:rPr>
      </w:pPr>
      <w:r w:rsidRPr="00F0638A">
        <w:rPr>
          <w:rFonts w:ascii="Arial" w:eastAsia="Lucida Sans Unicode" w:hAnsi="Arial" w:cs="Arial"/>
          <w:kern w:val="3"/>
          <w:lang w:eastAsia="en-US"/>
        </w:rPr>
        <w:t>Wskaźniki sprzedaży substancji czynnych wymagających programów monitorowania:</w:t>
      </w:r>
    </w:p>
    <w:p w14:paraId="23817FE1" w14:textId="1620B0B8" w:rsidR="00575C57" w:rsidRPr="00F0638A"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 wielkości sprzedaży (WS</w:t>
      </w:r>
      <w:r w:rsidRPr="00F0638A">
        <w:rPr>
          <w:rFonts w:ascii="Arial" w:eastAsia="Lucida Sans Unicode" w:hAnsi="Arial" w:cs="Arial"/>
          <w:kern w:val="3"/>
          <w:vertAlign w:val="subscript"/>
          <w:lang w:eastAsia="en-US"/>
        </w:rPr>
        <w:t>Monit.</w:t>
      </w:r>
      <w:r w:rsidRPr="00F0638A">
        <w:rPr>
          <w:rFonts w:ascii="Arial" w:eastAsia="Lucida Sans Unicode" w:hAnsi="Arial" w:cs="Arial"/>
          <w:kern w:val="3"/>
          <w:lang w:eastAsia="en-US"/>
        </w:rPr>
        <w:t>),</w:t>
      </w:r>
    </w:p>
    <w:p w14:paraId="3A139CFA" w14:textId="1244E06B" w:rsidR="00575C57" w:rsidRDefault="00575C57" w:rsidP="00F0638A">
      <w:pPr>
        <w:pStyle w:val="NormalnyWeb"/>
        <w:numPr>
          <w:ilvl w:val="0"/>
          <w:numId w:val="41"/>
        </w:numPr>
        <w:tabs>
          <w:tab w:val="left" w:pos="284"/>
        </w:tabs>
        <w:spacing w:beforeAutospacing="0" w:after="120" w:afterAutospacing="0" w:line="360" w:lineRule="auto"/>
        <w:jc w:val="both"/>
        <w:rPr>
          <w:rFonts w:ascii="Arial" w:eastAsia="Lucida Sans Unicode" w:hAnsi="Arial" w:cs="Arial"/>
          <w:kern w:val="3"/>
          <w:lang w:eastAsia="en-US"/>
        </w:rPr>
      </w:pPr>
      <w:r w:rsidRPr="00F0638A">
        <w:rPr>
          <w:rFonts w:ascii="Arial" w:eastAsia="Lucida Sans Unicode" w:hAnsi="Arial" w:cs="Arial"/>
          <w:kern w:val="3"/>
          <w:lang w:eastAsia="en-US"/>
        </w:rPr>
        <w:t>Wskaźnik struktury sprzedaży (WSS</w:t>
      </w:r>
      <w:r w:rsidRPr="00F0638A">
        <w:rPr>
          <w:rFonts w:ascii="Arial" w:eastAsia="Lucida Sans Unicode" w:hAnsi="Arial" w:cs="Arial"/>
          <w:kern w:val="3"/>
          <w:vertAlign w:val="subscript"/>
          <w:lang w:eastAsia="en-US"/>
        </w:rPr>
        <w:t>Monit.</w:t>
      </w:r>
      <w:r w:rsidRPr="00F0638A">
        <w:rPr>
          <w:rFonts w:ascii="Arial" w:eastAsia="Lucida Sans Unicode" w:hAnsi="Arial" w:cs="Arial"/>
          <w:kern w:val="3"/>
          <w:lang w:eastAsia="en-US"/>
        </w:rPr>
        <w:t>).</w:t>
      </w:r>
    </w:p>
    <w:p w14:paraId="77622A81" w14:textId="77777777" w:rsidR="00F0638A" w:rsidRPr="00F0638A" w:rsidRDefault="00F0638A" w:rsidP="00F0638A">
      <w:pPr>
        <w:pStyle w:val="NormalnyWeb"/>
        <w:tabs>
          <w:tab w:val="left" w:pos="284"/>
        </w:tabs>
        <w:spacing w:beforeAutospacing="0" w:after="120" w:afterAutospacing="0" w:line="360" w:lineRule="auto"/>
        <w:ind w:left="1004"/>
        <w:jc w:val="both"/>
        <w:rPr>
          <w:rFonts w:ascii="Arial" w:eastAsia="Lucida Sans Unicode" w:hAnsi="Arial" w:cs="Arial"/>
          <w:kern w:val="3"/>
          <w:lang w:eastAsia="en-US"/>
        </w:rPr>
      </w:pPr>
    </w:p>
    <w:p w14:paraId="69664D84" w14:textId="77777777" w:rsidR="00575C57" w:rsidRPr="0049161C" w:rsidRDefault="00575C57" w:rsidP="00575C57">
      <w:pPr>
        <w:widowControl/>
        <w:spacing w:after="80" w:line="360" w:lineRule="auto"/>
        <w:jc w:val="both"/>
        <w:rPr>
          <w:rFonts w:ascii="Arial" w:eastAsia="Calibri" w:hAnsi="Arial" w:cs="Arial"/>
          <w:b/>
          <w:sz w:val="22"/>
          <w:szCs w:val="22"/>
          <w:lang w:eastAsia="en-US"/>
        </w:rPr>
      </w:pPr>
      <w:r w:rsidRPr="0049161C">
        <w:rPr>
          <w:rFonts w:ascii="Arial" w:eastAsia="Calibri" w:hAnsi="Arial" w:cs="Arial"/>
          <w:b/>
          <w:sz w:val="22"/>
          <w:szCs w:val="22"/>
          <w:lang w:eastAsia="en-US"/>
        </w:rPr>
        <w:lastRenderedPageBreak/>
        <w:t>2.</w:t>
      </w:r>
      <w:r w:rsidRPr="0049161C">
        <w:rPr>
          <w:rFonts w:ascii="Arial" w:eastAsia="Calibri" w:hAnsi="Arial" w:cs="Arial"/>
          <w:sz w:val="22"/>
          <w:szCs w:val="22"/>
          <w:lang w:eastAsia="en-US"/>
        </w:rPr>
        <w:tab/>
      </w:r>
      <w:r w:rsidRPr="0049161C">
        <w:rPr>
          <w:rFonts w:ascii="Arial" w:eastAsia="Calibri" w:hAnsi="Arial" w:cs="Arial"/>
          <w:b/>
          <w:sz w:val="22"/>
          <w:szCs w:val="22"/>
          <w:lang w:eastAsia="en-US"/>
        </w:rPr>
        <w:t xml:space="preserve">Zagrożenie konsumentów wynikające z pozostałości ś.o.r. w płodach rolnych </w:t>
      </w:r>
    </w:p>
    <w:p w14:paraId="14B8B29F" w14:textId="77777777" w:rsidR="00575C57" w:rsidRPr="00F0638A" w:rsidRDefault="00575C57" w:rsidP="00F0638A">
      <w:pPr>
        <w:pStyle w:val="NormalnyWeb"/>
        <w:tabs>
          <w:tab w:val="left" w:pos="284"/>
        </w:tabs>
        <w:spacing w:beforeAutospacing="0" w:after="120" w:afterAutospacing="0" w:line="360" w:lineRule="auto"/>
        <w:ind w:firstLine="284"/>
        <w:jc w:val="both"/>
        <w:rPr>
          <w:rFonts w:ascii="Arial" w:hAnsi="Arial" w:cs="Arial"/>
        </w:rPr>
      </w:pPr>
      <w:r w:rsidRPr="00F0638A">
        <w:rPr>
          <w:rFonts w:ascii="Arial" w:hAnsi="Arial" w:cs="Arial"/>
        </w:rPr>
        <w:t xml:space="preserve">Narzędziami do oceny występowania pozostałości ś.o.r. w płodach rolnych dedykowane są dwa wskaźniki krajowe: wskaźnik „A” – „Wskaźnik pozostałości pestycydowych w płodach rolnych przeznaczonych do spożycia i przetwórstwa” (WPoz.) oraz wskaźnik z grupy „B” – „Wskaźnik wykryć przekroczeń NDP w kontroli pozostałości ś.o.r.” (WS.NDP). </w:t>
      </w:r>
    </w:p>
    <w:p w14:paraId="0CA9464C" w14:textId="77777777" w:rsidR="00575C57" w:rsidRPr="00F0638A" w:rsidRDefault="00575C57" w:rsidP="00F0638A">
      <w:pPr>
        <w:pStyle w:val="NormalnyWeb"/>
        <w:tabs>
          <w:tab w:val="left" w:pos="284"/>
        </w:tabs>
        <w:spacing w:beforeAutospacing="0" w:after="120" w:afterAutospacing="0" w:line="360" w:lineRule="auto"/>
        <w:ind w:firstLine="284"/>
        <w:jc w:val="both"/>
        <w:rPr>
          <w:rFonts w:ascii="Arial" w:hAnsi="Arial" w:cs="Arial"/>
        </w:rPr>
      </w:pPr>
      <w:r w:rsidRPr="00F0638A">
        <w:rPr>
          <w:rFonts w:ascii="Arial" w:hAnsi="Arial" w:cs="Arial"/>
        </w:rPr>
        <w:t>Wskaźniki uwzględniają pozostałości ś.o.r. w płodach rolnych w stanie dojrzałości zbiorczej (przed zbiorem i po zbiorze), natomiast nie uwzględniają pozostałości w próbkach pobranych podczas wzrostu roślin. Wyniki analiz próbek pobranych w stanie dojrzałości zbiorczej dają obraz potencjalnych zagrożeń dla konsumentów.</w:t>
      </w:r>
    </w:p>
    <w:p w14:paraId="54FA7E7E" w14:textId="77777777" w:rsidR="00575C57" w:rsidRPr="00F0638A" w:rsidRDefault="00575C57" w:rsidP="00575C57">
      <w:pPr>
        <w:widowControl/>
        <w:spacing w:after="80" w:line="360" w:lineRule="auto"/>
        <w:jc w:val="both"/>
        <w:rPr>
          <w:rFonts w:ascii="Arial" w:eastAsia="Calibri" w:hAnsi="Arial" w:cs="Arial"/>
          <w:vertAlign w:val="subscript"/>
          <w:lang w:eastAsia="en-US"/>
        </w:rPr>
      </w:pPr>
      <w:r w:rsidRPr="00F0638A">
        <w:rPr>
          <w:rFonts w:ascii="Arial" w:eastAsia="Calibri" w:hAnsi="Arial" w:cs="Arial"/>
          <w:lang w:eastAsia="en-US"/>
        </w:rPr>
        <w:t>W tabeli 1 i na rysunkach 1 i 2 przedstawiono obliczenia wskaźników W</w:t>
      </w:r>
      <w:r w:rsidRPr="00F0638A">
        <w:rPr>
          <w:rFonts w:ascii="Arial" w:eastAsia="Calibri" w:hAnsi="Arial" w:cs="Arial"/>
          <w:vertAlign w:val="subscript"/>
          <w:lang w:eastAsia="en-US"/>
        </w:rPr>
        <w:t xml:space="preserve">Poz </w:t>
      </w:r>
      <w:r w:rsidRPr="00F0638A">
        <w:rPr>
          <w:rFonts w:ascii="Arial" w:eastAsia="Calibri" w:hAnsi="Arial" w:cs="Arial"/>
          <w:lang w:eastAsia="en-US"/>
        </w:rPr>
        <w:t>i W</w:t>
      </w:r>
      <w:r w:rsidRPr="00F0638A">
        <w:rPr>
          <w:rFonts w:ascii="Arial" w:eastAsia="Calibri" w:hAnsi="Arial" w:cs="Arial"/>
          <w:vertAlign w:val="subscript"/>
          <w:lang w:eastAsia="en-US"/>
        </w:rPr>
        <w:t>S.NDP.</w:t>
      </w:r>
    </w:p>
    <w:p w14:paraId="28D37A0C" w14:textId="77777777" w:rsidR="00575C57" w:rsidRPr="00F0638A" w:rsidRDefault="00575C57" w:rsidP="00F0638A">
      <w:pPr>
        <w:widowControl/>
        <w:spacing w:before="120" w:after="120" w:line="360" w:lineRule="auto"/>
        <w:rPr>
          <w:rFonts w:ascii="Arial" w:eastAsia="Calibri" w:hAnsi="Arial" w:cs="Arial"/>
          <w:i/>
          <w:lang w:eastAsia="en-US"/>
        </w:rPr>
      </w:pPr>
      <w:r w:rsidRPr="00F0638A">
        <w:rPr>
          <w:rFonts w:ascii="Arial" w:eastAsia="Calibri" w:hAnsi="Arial" w:cs="Arial"/>
          <w:i/>
          <w:lang w:eastAsia="en-US"/>
        </w:rPr>
        <w:t>Tabela 1. Wyniki obliczeń wskaźników W</w:t>
      </w:r>
      <w:r w:rsidRPr="00F0638A">
        <w:rPr>
          <w:rFonts w:ascii="Arial" w:eastAsia="Calibri" w:hAnsi="Arial" w:cs="Arial"/>
          <w:i/>
          <w:vertAlign w:val="subscript"/>
          <w:lang w:eastAsia="en-US"/>
        </w:rPr>
        <w:t xml:space="preserve">Poz </w:t>
      </w:r>
      <w:r w:rsidRPr="00F0638A">
        <w:rPr>
          <w:rFonts w:ascii="Arial" w:eastAsia="Calibri" w:hAnsi="Arial" w:cs="Arial"/>
          <w:i/>
          <w:lang w:eastAsia="en-US"/>
        </w:rPr>
        <w:t>i W</w:t>
      </w:r>
      <w:r w:rsidRPr="00F0638A">
        <w:rPr>
          <w:rFonts w:ascii="Arial" w:eastAsia="Calibri" w:hAnsi="Arial" w:cs="Arial"/>
          <w:i/>
          <w:vertAlign w:val="subscript"/>
          <w:lang w:eastAsia="en-US"/>
        </w:rPr>
        <w:t xml:space="preserve">S.NDP. </w:t>
      </w:r>
      <w:r w:rsidRPr="00F0638A">
        <w:rPr>
          <w:rFonts w:ascii="Arial" w:eastAsia="Calibri" w:hAnsi="Arial" w:cs="Arial"/>
          <w:i/>
          <w:lang w:eastAsia="en-US"/>
        </w:rPr>
        <w:t>w latach 2016-2023</w:t>
      </w:r>
    </w:p>
    <w:tbl>
      <w:tblPr>
        <w:tblW w:w="2541" w:type="pct"/>
        <w:jc w:val="center"/>
        <w:tblCellMar>
          <w:left w:w="10" w:type="dxa"/>
          <w:right w:w="10" w:type="dxa"/>
        </w:tblCellMar>
        <w:tblLook w:val="04A0" w:firstRow="1" w:lastRow="0" w:firstColumn="1" w:lastColumn="0" w:noHBand="0" w:noVBand="1"/>
      </w:tblPr>
      <w:tblGrid>
        <w:gridCol w:w="1305"/>
        <w:gridCol w:w="1650"/>
        <w:gridCol w:w="1650"/>
      </w:tblGrid>
      <w:tr w:rsidR="00575C57" w:rsidRPr="00F0638A" w14:paraId="2AD2529B"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FDE2C5"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Rok</w:t>
            </w:r>
          </w:p>
        </w:tc>
        <w:tc>
          <w:tcPr>
            <w:tcW w:w="1791" w:type="pct"/>
            <w:tcBorders>
              <w:top w:val="single" w:sz="4" w:space="0" w:color="auto"/>
              <w:left w:val="single" w:sz="4" w:space="0" w:color="auto"/>
              <w:bottom w:val="single" w:sz="4" w:space="0" w:color="auto"/>
              <w:right w:val="single" w:sz="4" w:space="0" w:color="auto"/>
            </w:tcBorders>
            <w:vAlign w:val="center"/>
            <w:hideMark/>
          </w:tcPr>
          <w:p w14:paraId="4DF17330"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W</w:t>
            </w:r>
            <w:r w:rsidRPr="00F0638A">
              <w:rPr>
                <w:rFonts w:ascii="Arial" w:eastAsia="Lucida Sans Unicode" w:hAnsi="Arial" w:cs="Arial"/>
                <w:kern w:val="3"/>
                <w:vertAlign w:val="subscript"/>
                <w:lang w:eastAsia="en-US"/>
              </w:rPr>
              <w:t>Poz.</w:t>
            </w:r>
            <w:r w:rsidRPr="00F0638A">
              <w:rPr>
                <w:rFonts w:ascii="Arial" w:eastAsia="Lucida Sans Unicode" w:hAnsi="Arial" w:cs="Arial"/>
                <w:kern w:val="3"/>
                <w:lang w:eastAsia="en-US"/>
              </w:rPr>
              <w:t xml:space="preserve"> [%]</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DCC730"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W</w:t>
            </w:r>
            <w:r w:rsidRPr="00F0638A">
              <w:rPr>
                <w:rFonts w:ascii="Arial" w:eastAsia="Lucida Sans Unicode" w:hAnsi="Arial" w:cs="Arial"/>
                <w:kern w:val="3"/>
                <w:vertAlign w:val="subscript"/>
                <w:lang w:eastAsia="en-US"/>
              </w:rPr>
              <w:t>S.NDP</w:t>
            </w:r>
          </w:p>
        </w:tc>
      </w:tr>
      <w:tr w:rsidR="00575C57" w:rsidRPr="00F0638A" w14:paraId="065A1696"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B7D9CD"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2016</w:t>
            </w:r>
          </w:p>
        </w:tc>
        <w:tc>
          <w:tcPr>
            <w:tcW w:w="1791" w:type="pct"/>
            <w:tcBorders>
              <w:top w:val="single" w:sz="4" w:space="0" w:color="auto"/>
              <w:left w:val="single" w:sz="4" w:space="0" w:color="auto"/>
              <w:bottom w:val="single" w:sz="4" w:space="0" w:color="auto"/>
              <w:right w:val="single" w:sz="4" w:space="0" w:color="auto"/>
            </w:tcBorders>
            <w:vAlign w:val="center"/>
            <w:hideMark/>
          </w:tcPr>
          <w:p w14:paraId="652B70FA"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14,13</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9A090D"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0,027</w:t>
            </w:r>
          </w:p>
        </w:tc>
      </w:tr>
      <w:tr w:rsidR="00575C57" w:rsidRPr="00F0638A" w14:paraId="4305F2FC"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212A52"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2017</w:t>
            </w:r>
          </w:p>
        </w:tc>
        <w:tc>
          <w:tcPr>
            <w:tcW w:w="1791" w:type="pct"/>
            <w:tcBorders>
              <w:top w:val="single" w:sz="4" w:space="0" w:color="auto"/>
              <w:left w:val="single" w:sz="4" w:space="0" w:color="auto"/>
              <w:bottom w:val="single" w:sz="4" w:space="0" w:color="auto"/>
              <w:right w:val="single" w:sz="4" w:space="0" w:color="auto"/>
            </w:tcBorders>
            <w:vAlign w:val="center"/>
            <w:hideMark/>
          </w:tcPr>
          <w:p w14:paraId="18615D9D"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15,92</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5110FF"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0,038</w:t>
            </w:r>
          </w:p>
        </w:tc>
      </w:tr>
      <w:tr w:rsidR="00575C57" w:rsidRPr="00F0638A" w14:paraId="56E17471"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77A0C"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2018</w:t>
            </w:r>
          </w:p>
        </w:tc>
        <w:tc>
          <w:tcPr>
            <w:tcW w:w="1791" w:type="pct"/>
            <w:tcBorders>
              <w:top w:val="single" w:sz="4" w:space="0" w:color="auto"/>
              <w:left w:val="single" w:sz="4" w:space="0" w:color="auto"/>
              <w:bottom w:val="single" w:sz="4" w:space="0" w:color="auto"/>
              <w:right w:val="single" w:sz="4" w:space="0" w:color="auto"/>
            </w:tcBorders>
            <w:vAlign w:val="center"/>
            <w:hideMark/>
          </w:tcPr>
          <w:p w14:paraId="0F2209A9"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b.d.</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D95011"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b.d.</w:t>
            </w:r>
          </w:p>
        </w:tc>
      </w:tr>
      <w:tr w:rsidR="00575C57" w:rsidRPr="00F0638A" w14:paraId="5C2F9937"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3CEBD8"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2019</w:t>
            </w:r>
          </w:p>
        </w:tc>
        <w:tc>
          <w:tcPr>
            <w:tcW w:w="1791" w:type="pct"/>
            <w:tcBorders>
              <w:top w:val="single" w:sz="4" w:space="0" w:color="auto"/>
              <w:left w:val="single" w:sz="4" w:space="0" w:color="auto"/>
              <w:bottom w:val="single" w:sz="4" w:space="0" w:color="auto"/>
              <w:right w:val="single" w:sz="4" w:space="0" w:color="auto"/>
            </w:tcBorders>
            <w:vAlign w:val="center"/>
            <w:hideMark/>
          </w:tcPr>
          <w:p w14:paraId="16307A50"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24,62</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D1156B"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0,059</w:t>
            </w:r>
          </w:p>
        </w:tc>
      </w:tr>
      <w:tr w:rsidR="00575C57" w:rsidRPr="00F0638A" w14:paraId="512E832F"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15A9AD"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2020</w:t>
            </w:r>
          </w:p>
        </w:tc>
        <w:tc>
          <w:tcPr>
            <w:tcW w:w="1791" w:type="pct"/>
            <w:tcBorders>
              <w:top w:val="single" w:sz="4" w:space="0" w:color="auto"/>
              <w:left w:val="single" w:sz="4" w:space="0" w:color="auto"/>
              <w:bottom w:val="single" w:sz="4" w:space="0" w:color="auto"/>
              <w:right w:val="single" w:sz="4" w:space="0" w:color="auto"/>
            </w:tcBorders>
            <w:vAlign w:val="center"/>
            <w:hideMark/>
          </w:tcPr>
          <w:p w14:paraId="3F1B0B65"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16,38</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90E85A"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0,034</w:t>
            </w:r>
          </w:p>
        </w:tc>
      </w:tr>
      <w:tr w:rsidR="00575C57" w:rsidRPr="00F0638A" w14:paraId="2379D554"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6B8EA6"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2021</w:t>
            </w:r>
          </w:p>
        </w:tc>
        <w:tc>
          <w:tcPr>
            <w:tcW w:w="1791" w:type="pct"/>
            <w:tcBorders>
              <w:top w:val="single" w:sz="4" w:space="0" w:color="auto"/>
              <w:left w:val="single" w:sz="4" w:space="0" w:color="auto"/>
              <w:bottom w:val="single" w:sz="4" w:space="0" w:color="auto"/>
              <w:right w:val="single" w:sz="4" w:space="0" w:color="auto"/>
            </w:tcBorders>
            <w:vAlign w:val="center"/>
            <w:hideMark/>
          </w:tcPr>
          <w:p w14:paraId="394C3159"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21,67</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0E0245"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0,032</w:t>
            </w:r>
          </w:p>
        </w:tc>
      </w:tr>
      <w:tr w:rsidR="00575C57" w:rsidRPr="00F0638A" w14:paraId="406E23D5"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F9BD34"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2022</w:t>
            </w:r>
          </w:p>
        </w:tc>
        <w:tc>
          <w:tcPr>
            <w:tcW w:w="1791" w:type="pct"/>
            <w:tcBorders>
              <w:top w:val="single" w:sz="4" w:space="0" w:color="auto"/>
              <w:left w:val="single" w:sz="4" w:space="0" w:color="auto"/>
              <w:bottom w:val="single" w:sz="4" w:space="0" w:color="auto"/>
              <w:right w:val="single" w:sz="4" w:space="0" w:color="auto"/>
            </w:tcBorders>
            <w:vAlign w:val="center"/>
            <w:hideMark/>
          </w:tcPr>
          <w:p w14:paraId="6EDC2484"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28,24</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71D7BD"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0,038</w:t>
            </w:r>
          </w:p>
        </w:tc>
      </w:tr>
      <w:tr w:rsidR="00575C57" w:rsidRPr="00F0638A" w14:paraId="7610BA8E" w14:textId="77777777" w:rsidTr="00575C57">
        <w:trPr>
          <w:trHeight w:val="363"/>
          <w:jc w:val="center"/>
        </w:trPr>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6188BB"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2023</w:t>
            </w:r>
          </w:p>
        </w:tc>
        <w:tc>
          <w:tcPr>
            <w:tcW w:w="1791" w:type="pct"/>
            <w:tcBorders>
              <w:top w:val="single" w:sz="4" w:space="0" w:color="auto"/>
              <w:left w:val="single" w:sz="4" w:space="0" w:color="auto"/>
              <w:bottom w:val="single" w:sz="4" w:space="0" w:color="auto"/>
              <w:right w:val="single" w:sz="4" w:space="0" w:color="auto"/>
            </w:tcBorders>
            <w:vAlign w:val="center"/>
            <w:hideMark/>
          </w:tcPr>
          <w:p w14:paraId="24C74C6C"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14,38</w:t>
            </w:r>
          </w:p>
        </w:tc>
        <w:tc>
          <w:tcPr>
            <w:tcW w:w="1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CB8096" w14:textId="77777777" w:rsidR="00575C57" w:rsidRPr="00F0638A" w:rsidRDefault="00575C57" w:rsidP="00575C57">
            <w:pPr>
              <w:widowControl/>
              <w:suppressAutoHyphens/>
              <w:autoSpaceDN w:val="0"/>
              <w:jc w:val="center"/>
              <w:rPr>
                <w:rFonts w:ascii="Arial" w:eastAsia="Lucida Sans Unicode" w:hAnsi="Arial" w:cs="Arial"/>
                <w:kern w:val="3"/>
                <w:lang w:eastAsia="en-US"/>
              </w:rPr>
            </w:pPr>
            <w:r w:rsidRPr="00F0638A">
              <w:rPr>
                <w:rFonts w:ascii="Arial" w:eastAsia="Lucida Sans Unicode" w:hAnsi="Arial" w:cs="Arial"/>
                <w:kern w:val="3"/>
                <w:lang w:eastAsia="en-US"/>
              </w:rPr>
              <w:t>0,031</w:t>
            </w:r>
          </w:p>
        </w:tc>
      </w:tr>
    </w:tbl>
    <w:p w14:paraId="7AD1BF09" w14:textId="77777777" w:rsidR="00575C57" w:rsidRPr="00575C57" w:rsidRDefault="00575C57" w:rsidP="00575C57">
      <w:pPr>
        <w:widowControl/>
        <w:spacing w:line="360" w:lineRule="auto"/>
        <w:jc w:val="both"/>
        <w:rPr>
          <w:rFonts w:eastAsia="Calibri"/>
          <w:sz w:val="24"/>
          <w:szCs w:val="24"/>
          <w:lang w:eastAsia="en-US"/>
        </w:rPr>
      </w:pPr>
    </w:p>
    <w:p w14:paraId="5B9ABA5F" w14:textId="77777777" w:rsidR="00575C57" w:rsidRPr="00F0638A" w:rsidRDefault="00575C57" w:rsidP="00F0638A">
      <w:pPr>
        <w:widowControl/>
        <w:spacing w:before="120" w:after="120" w:line="360" w:lineRule="auto"/>
        <w:rPr>
          <w:rFonts w:ascii="Arial" w:eastAsia="Calibri" w:hAnsi="Arial" w:cs="Arial"/>
          <w:i/>
          <w:lang w:eastAsia="en-US"/>
        </w:rPr>
      </w:pPr>
      <w:r w:rsidRPr="00F0638A">
        <w:rPr>
          <w:rFonts w:ascii="Arial" w:eastAsia="Calibri" w:hAnsi="Arial" w:cs="Arial"/>
          <w:i/>
          <w:lang w:eastAsia="en-US"/>
        </w:rPr>
        <w:t>Rys. 1. Wyniki obliczeń wskaźnika W</w:t>
      </w:r>
      <w:r w:rsidRPr="00F0638A">
        <w:rPr>
          <w:rFonts w:ascii="Arial" w:eastAsia="Calibri" w:hAnsi="Arial" w:cs="Arial"/>
          <w:i/>
          <w:vertAlign w:val="subscript"/>
          <w:lang w:eastAsia="en-US"/>
        </w:rPr>
        <w:t xml:space="preserve">Poz </w:t>
      </w:r>
      <w:r w:rsidRPr="00F0638A">
        <w:rPr>
          <w:rFonts w:ascii="Arial" w:eastAsia="Calibri" w:hAnsi="Arial" w:cs="Arial"/>
          <w:i/>
          <w:lang w:eastAsia="en-US"/>
        </w:rPr>
        <w:t>[%]</w:t>
      </w:r>
      <w:r w:rsidRPr="00F0638A">
        <w:rPr>
          <w:rFonts w:ascii="Arial" w:eastAsia="Calibri" w:hAnsi="Arial" w:cs="Arial"/>
          <w:i/>
          <w:vertAlign w:val="subscript"/>
          <w:lang w:eastAsia="en-US"/>
        </w:rPr>
        <w:t xml:space="preserve"> </w:t>
      </w:r>
      <w:r w:rsidRPr="00F0638A">
        <w:rPr>
          <w:rFonts w:ascii="Arial" w:eastAsia="Calibri" w:hAnsi="Arial" w:cs="Arial"/>
          <w:i/>
          <w:lang w:eastAsia="en-US"/>
        </w:rPr>
        <w:t>w latach 2016-2023</w:t>
      </w:r>
    </w:p>
    <w:p w14:paraId="59ECC353" w14:textId="77777777" w:rsidR="00575C57" w:rsidRPr="00575C57" w:rsidRDefault="00575C57" w:rsidP="00575C57">
      <w:pPr>
        <w:widowControl/>
        <w:spacing w:line="360" w:lineRule="auto"/>
        <w:rPr>
          <w:rFonts w:eastAsia="Calibri"/>
          <w:i/>
          <w:sz w:val="24"/>
          <w:szCs w:val="22"/>
          <w:lang w:eastAsia="en-US"/>
        </w:rPr>
      </w:pPr>
      <w:r w:rsidRPr="00575C57">
        <w:rPr>
          <w:rFonts w:eastAsia="Calibri"/>
          <w:noProof/>
          <w:sz w:val="24"/>
          <w:szCs w:val="22"/>
        </w:rPr>
        <w:drawing>
          <wp:inline distT="0" distB="0" distL="0" distR="0" wp14:anchorId="79C5F8B3" wp14:editId="7E777E3A">
            <wp:extent cx="5557962" cy="2274073"/>
            <wp:effectExtent l="0" t="0" r="5080" b="12065"/>
            <wp:docPr id="81860947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2BDCE08" w14:textId="77777777" w:rsidR="00F0638A" w:rsidRDefault="00F0638A" w:rsidP="00575C57">
      <w:pPr>
        <w:widowControl/>
        <w:spacing w:before="120" w:line="360" w:lineRule="auto"/>
        <w:rPr>
          <w:rFonts w:eastAsia="Calibri"/>
          <w:i/>
          <w:sz w:val="24"/>
          <w:szCs w:val="22"/>
          <w:lang w:eastAsia="en-US"/>
        </w:rPr>
      </w:pPr>
    </w:p>
    <w:p w14:paraId="325E4283" w14:textId="77777777" w:rsidR="00F0638A" w:rsidRDefault="00F0638A" w:rsidP="00575C57">
      <w:pPr>
        <w:widowControl/>
        <w:spacing w:before="120" w:line="360" w:lineRule="auto"/>
        <w:rPr>
          <w:rFonts w:eastAsia="Calibri"/>
          <w:i/>
          <w:sz w:val="24"/>
          <w:szCs w:val="22"/>
          <w:lang w:eastAsia="en-US"/>
        </w:rPr>
      </w:pPr>
    </w:p>
    <w:p w14:paraId="4E006249" w14:textId="77777777" w:rsidR="00F0638A" w:rsidRDefault="00F0638A" w:rsidP="00575C57">
      <w:pPr>
        <w:widowControl/>
        <w:spacing w:before="120" w:line="360" w:lineRule="auto"/>
        <w:rPr>
          <w:rFonts w:eastAsia="Calibri"/>
          <w:i/>
          <w:sz w:val="24"/>
          <w:szCs w:val="22"/>
          <w:lang w:eastAsia="en-US"/>
        </w:rPr>
      </w:pPr>
    </w:p>
    <w:p w14:paraId="6B0E27CF" w14:textId="55663B5E" w:rsidR="00575C57" w:rsidRPr="00F0638A" w:rsidRDefault="00575C57" w:rsidP="00F0638A">
      <w:pPr>
        <w:widowControl/>
        <w:spacing w:before="120" w:after="120" w:line="360" w:lineRule="auto"/>
        <w:rPr>
          <w:rFonts w:ascii="Arial" w:eastAsia="Calibri" w:hAnsi="Arial" w:cs="Arial"/>
          <w:i/>
          <w:lang w:eastAsia="en-US"/>
        </w:rPr>
      </w:pPr>
      <w:r w:rsidRPr="00F0638A">
        <w:rPr>
          <w:rFonts w:ascii="Arial" w:eastAsia="Calibri" w:hAnsi="Arial" w:cs="Arial"/>
          <w:i/>
          <w:lang w:eastAsia="en-US"/>
        </w:rPr>
        <w:lastRenderedPageBreak/>
        <w:t>Rys. 2. Wyniki obliczeń wskaźnika W</w:t>
      </w:r>
      <w:r w:rsidRPr="00F0638A">
        <w:rPr>
          <w:rFonts w:ascii="Arial" w:eastAsia="Calibri" w:hAnsi="Arial" w:cs="Arial"/>
          <w:i/>
          <w:vertAlign w:val="subscript"/>
          <w:lang w:eastAsia="en-US"/>
        </w:rPr>
        <w:t xml:space="preserve">S.NDP </w:t>
      </w:r>
      <w:r w:rsidRPr="00F0638A">
        <w:rPr>
          <w:rFonts w:ascii="Arial" w:eastAsia="Calibri" w:hAnsi="Arial" w:cs="Arial"/>
          <w:i/>
          <w:lang w:eastAsia="en-US"/>
        </w:rPr>
        <w:t>w latach 2015-2023</w:t>
      </w:r>
    </w:p>
    <w:p w14:paraId="191A162E" w14:textId="77777777" w:rsidR="00575C57" w:rsidRPr="00575C57" w:rsidRDefault="00575C57" w:rsidP="00575C57">
      <w:pPr>
        <w:widowControl/>
        <w:spacing w:after="80" w:line="360" w:lineRule="auto"/>
        <w:jc w:val="both"/>
        <w:rPr>
          <w:rFonts w:eastAsia="Calibri"/>
          <w:sz w:val="24"/>
          <w:szCs w:val="22"/>
          <w:highlight w:val="yellow"/>
          <w:lang w:eastAsia="en-US"/>
        </w:rPr>
      </w:pPr>
      <w:r w:rsidRPr="00575C57">
        <w:rPr>
          <w:rFonts w:eastAsia="Calibri"/>
          <w:noProof/>
          <w:sz w:val="24"/>
          <w:szCs w:val="22"/>
        </w:rPr>
        <w:drawing>
          <wp:inline distT="0" distB="0" distL="0" distR="0" wp14:anchorId="2C50603D" wp14:editId="2288BD68">
            <wp:extent cx="5772785" cy="2751455"/>
            <wp:effectExtent l="0" t="0" r="18415" b="10795"/>
            <wp:docPr id="19"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8D19E6E" w14:textId="4AD8DD82" w:rsidR="00575C57" w:rsidRPr="005146D2" w:rsidRDefault="00575C57" w:rsidP="003157B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3157BB">
        <w:rPr>
          <w:rFonts w:ascii="Arial" w:hAnsi="Arial" w:cs="Arial"/>
        </w:rPr>
        <w:t>Wskaźnik</w:t>
      </w:r>
      <w:r w:rsidRPr="005146D2">
        <w:rPr>
          <w:rFonts w:ascii="Arial" w:eastAsia="Calibri" w:hAnsi="Arial" w:cs="Arial"/>
          <w:lang w:eastAsia="en-US"/>
        </w:rPr>
        <w:t xml:space="preserve"> W</w:t>
      </w:r>
      <w:r w:rsidRPr="005146D2">
        <w:rPr>
          <w:rFonts w:ascii="Arial" w:eastAsia="Calibri" w:hAnsi="Arial" w:cs="Arial"/>
          <w:vertAlign w:val="subscript"/>
          <w:lang w:eastAsia="en-US"/>
        </w:rPr>
        <w:t>Poz.</w:t>
      </w:r>
      <w:r w:rsidRPr="005146D2">
        <w:rPr>
          <w:rFonts w:ascii="Arial" w:eastAsia="Calibri" w:hAnsi="Arial" w:cs="Arial"/>
          <w:lang w:eastAsia="en-US"/>
        </w:rPr>
        <w:t xml:space="preserve"> można interpretować jako średnią procentową sumę wykrywanych pozostałości w stosunku do ich NDP w badanych próbkach płodów rolnych podlegających spożyciu przez ludzi. W</w:t>
      </w:r>
      <w:r w:rsidR="005146D2">
        <w:rPr>
          <w:rFonts w:ascii="Arial" w:eastAsia="Calibri" w:hAnsi="Arial" w:cs="Arial"/>
          <w:lang w:eastAsia="en-US"/>
        </w:rPr>
        <w:t> </w:t>
      </w:r>
      <w:r w:rsidRPr="005146D2">
        <w:rPr>
          <w:rFonts w:ascii="Arial" w:eastAsia="Calibri" w:hAnsi="Arial" w:cs="Arial"/>
          <w:lang w:eastAsia="en-US"/>
        </w:rPr>
        <w:t>2023</w:t>
      </w:r>
      <w:r w:rsidR="0049161C">
        <w:rPr>
          <w:rFonts w:ascii="Arial" w:eastAsia="Calibri" w:hAnsi="Arial" w:cs="Arial"/>
          <w:lang w:eastAsia="en-US"/>
        </w:rPr>
        <w:t> </w:t>
      </w:r>
      <w:r w:rsidR="005146D2">
        <w:rPr>
          <w:rFonts w:ascii="Arial" w:eastAsia="Calibri" w:hAnsi="Arial" w:cs="Arial"/>
          <w:lang w:eastAsia="en-US"/>
        </w:rPr>
        <w:t xml:space="preserve">r. </w:t>
      </w:r>
      <w:r w:rsidRPr="005146D2">
        <w:rPr>
          <w:rFonts w:ascii="Arial" w:eastAsia="Calibri" w:hAnsi="Arial" w:cs="Arial"/>
          <w:lang w:eastAsia="en-US"/>
        </w:rPr>
        <w:t>nastąpił spadek wartości wskaźnika W</w:t>
      </w:r>
      <w:r w:rsidRPr="005146D2">
        <w:rPr>
          <w:rFonts w:ascii="Arial" w:eastAsia="Calibri" w:hAnsi="Arial" w:cs="Arial"/>
          <w:vertAlign w:val="subscript"/>
          <w:lang w:eastAsia="en-US"/>
        </w:rPr>
        <w:t xml:space="preserve">Poz </w:t>
      </w:r>
      <w:r w:rsidRPr="005146D2">
        <w:rPr>
          <w:rFonts w:ascii="Arial" w:eastAsia="Calibri" w:hAnsi="Arial" w:cs="Arial"/>
          <w:lang w:eastAsia="en-US"/>
        </w:rPr>
        <w:t xml:space="preserve">z 28,24% do 14,38%. Główny wpływ na wyższą wartość wskaźnika w 2022 </w:t>
      </w:r>
      <w:r w:rsidR="005146D2">
        <w:rPr>
          <w:rFonts w:ascii="Arial" w:eastAsia="Calibri" w:hAnsi="Arial" w:cs="Arial"/>
          <w:lang w:eastAsia="en-US"/>
        </w:rPr>
        <w:t xml:space="preserve">r. </w:t>
      </w:r>
      <w:r w:rsidRPr="005146D2">
        <w:rPr>
          <w:rFonts w:ascii="Arial" w:eastAsia="Calibri" w:hAnsi="Arial" w:cs="Arial"/>
          <w:lang w:eastAsia="en-US"/>
        </w:rPr>
        <w:t>miały incydentalnie wykrywane bardzo duże przekroczenia NDP w</w:t>
      </w:r>
      <w:r w:rsidR="005146D2">
        <w:rPr>
          <w:rFonts w:ascii="Arial" w:eastAsia="Calibri" w:hAnsi="Arial" w:cs="Arial"/>
          <w:lang w:eastAsia="en-US"/>
        </w:rPr>
        <w:t> </w:t>
      </w:r>
      <w:r w:rsidRPr="005146D2">
        <w:rPr>
          <w:rFonts w:ascii="Arial" w:eastAsia="Calibri" w:hAnsi="Arial" w:cs="Arial"/>
          <w:lang w:eastAsia="en-US"/>
        </w:rPr>
        <w:t>uprawach kukurydzy, pszenicy, pszenżyta i ziemniaka. W 2023 r</w:t>
      </w:r>
      <w:r w:rsidR="005146D2">
        <w:rPr>
          <w:rFonts w:ascii="Arial" w:eastAsia="Calibri" w:hAnsi="Arial" w:cs="Arial"/>
          <w:lang w:eastAsia="en-US"/>
        </w:rPr>
        <w:t>.</w:t>
      </w:r>
      <w:r w:rsidRPr="005146D2">
        <w:rPr>
          <w:rFonts w:ascii="Arial" w:eastAsia="Calibri" w:hAnsi="Arial" w:cs="Arial"/>
          <w:lang w:eastAsia="en-US"/>
        </w:rPr>
        <w:t xml:space="preserve"> podobnie jak w poprzednich latach największy udział w wartości wskaźnika mają wykrycia pozostałości w uprawie buraka cukrowego (35% wartości wskaźnika w roku 2023). Znaczący jest również udział uprawy jabłoni i jęczmienia. Należy również wspomnieć o uprawie maliny (jedna próbka z wielokrotnym przekroczeniem NDP) oraz uprawach kopru, selera i kminku (mały udział w produkcji) dla których suma wykrytych pozostałości średnio na próbkę wynosiła ponad 100% NDP.</w:t>
      </w:r>
    </w:p>
    <w:p w14:paraId="3CB7B2E2" w14:textId="2BEB1CEA" w:rsidR="00575C57" w:rsidRPr="005146D2" w:rsidRDefault="00575C57" w:rsidP="003157B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3157BB">
        <w:rPr>
          <w:rFonts w:ascii="Arial" w:hAnsi="Arial" w:cs="Arial"/>
        </w:rPr>
        <w:t>Analiza</w:t>
      </w:r>
      <w:r w:rsidRPr="005146D2">
        <w:rPr>
          <w:rFonts w:ascii="Arial" w:eastAsia="Calibri" w:hAnsi="Arial" w:cs="Arial"/>
          <w:lang w:eastAsia="en-US"/>
        </w:rPr>
        <w:t xml:space="preserve"> obliczeń wskaźnika W</w:t>
      </w:r>
      <w:r w:rsidRPr="005146D2">
        <w:rPr>
          <w:rFonts w:ascii="Arial" w:eastAsia="Calibri" w:hAnsi="Arial" w:cs="Arial"/>
          <w:vertAlign w:val="subscript"/>
          <w:lang w:eastAsia="en-US"/>
        </w:rPr>
        <w:t>S.NDP</w:t>
      </w:r>
      <w:r w:rsidRPr="005146D2">
        <w:rPr>
          <w:rFonts w:ascii="Arial" w:eastAsia="Calibri" w:hAnsi="Arial" w:cs="Arial"/>
          <w:lang w:eastAsia="en-US"/>
        </w:rPr>
        <w:t xml:space="preserve"> pokazuje, że w 2023 </w:t>
      </w:r>
      <w:r w:rsidR="005146D2">
        <w:rPr>
          <w:rFonts w:ascii="Arial" w:eastAsia="Calibri" w:hAnsi="Arial" w:cs="Arial"/>
          <w:lang w:eastAsia="en-US"/>
        </w:rPr>
        <w:t xml:space="preserve">r. </w:t>
      </w:r>
      <w:r w:rsidRPr="005146D2">
        <w:rPr>
          <w:rFonts w:ascii="Arial" w:eastAsia="Calibri" w:hAnsi="Arial" w:cs="Arial"/>
          <w:lang w:eastAsia="en-US"/>
        </w:rPr>
        <w:t>wykryto 87 przekroczeń NDP na 3</w:t>
      </w:r>
      <w:r w:rsidR="005146D2">
        <w:rPr>
          <w:rFonts w:ascii="Arial" w:eastAsia="Calibri" w:hAnsi="Arial" w:cs="Arial"/>
          <w:lang w:eastAsia="en-US"/>
        </w:rPr>
        <w:t> </w:t>
      </w:r>
      <w:r w:rsidRPr="005146D2">
        <w:rPr>
          <w:rFonts w:ascii="Arial" w:eastAsia="Calibri" w:hAnsi="Arial" w:cs="Arial"/>
          <w:lang w:eastAsia="en-US"/>
        </w:rPr>
        <w:t xml:space="preserve">487 zbadanych próbek w stanie dojrzałości, co stanowi 2,52%. W  2022 </w:t>
      </w:r>
      <w:r w:rsidR="005146D2">
        <w:rPr>
          <w:rFonts w:ascii="Arial" w:eastAsia="Calibri" w:hAnsi="Arial" w:cs="Arial"/>
          <w:lang w:eastAsia="en-US"/>
        </w:rPr>
        <w:t xml:space="preserve">r. </w:t>
      </w:r>
      <w:r w:rsidRPr="005146D2">
        <w:rPr>
          <w:rFonts w:ascii="Arial" w:eastAsia="Calibri" w:hAnsi="Arial" w:cs="Arial"/>
          <w:lang w:eastAsia="en-US"/>
        </w:rPr>
        <w:t>było to odpowiednio 3,07%. Uwzględniając współczynnik zakresu badań laboratoriów wartość wskaźnika W</w:t>
      </w:r>
      <w:r w:rsidRPr="005146D2">
        <w:rPr>
          <w:rFonts w:ascii="Arial" w:eastAsia="Calibri" w:hAnsi="Arial" w:cs="Arial"/>
          <w:vertAlign w:val="subscript"/>
          <w:lang w:eastAsia="en-US"/>
        </w:rPr>
        <w:t>S.NDP</w:t>
      </w:r>
      <w:r w:rsidRPr="005146D2">
        <w:rPr>
          <w:rFonts w:ascii="Arial" w:eastAsia="Calibri" w:hAnsi="Arial" w:cs="Arial"/>
          <w:lang w:eastAsia="en-US"/>
        </w:rPr>
        <w:t xml:space="preserve"> w 2023</w:t>
      </w:r>
      <w:r w:rsidR="005146D2">
        <w:rPr>
          <w:rFonts w:ascii="Arial" w:eastAsia="Calibri" w:hAnsi="Arial" w:cs="Arial"/>
          <w:lang w:eastAsia="en-US"/>
        </w:rPr>
        <w:t xml:space="preserve"> r.</w:t>
      </w:r>
      <w:r w:rsidRPr="005146D2">
        <w:rPr>
          <w:rFonts w:ascii="Arial" w:eastAsia="Calibri" w:hAnsi="Arial" w:cs="Arial"/>
          <w:lang w:eastAsia="en-US"/>
        </w:rPr>
        <w:t xml:space="preserve"> wyn</w:t>
      </w:r>
      <w:r w:rsidR="005146D2">
        <w:rPr>
          <w:rFonts w:ascii="Arial" w:eastAsia="Calibri" w:hAnsi="Arial" w:cs="Arial"/>
          <w:lang w:eastAsia="en-US"/>
        </w:rPr>
        <w:t>iosła</w:t>
      </w:r>
      <w:r w:rsidRPr="005146D2">
        <w:rPr>
          <w:rFonts w:ascii="Arial" w:eastAsia="Calibri" w:hAnsi="Arial" w:cs="Arial"/>
          <w:lang w:eastAsia="en-US"/>
        </w:rPr>
        <w:t xml:space="preserve"> 0,031 (3,1%). Wartość ta jest mniejsza o 19% niż rok wcześniej.</w:t>
      </w:r>
    </w:p>
    <w:p w14:paraId="6E566888" w14:textId="0E625D50" w:rsidR="00575C57" w:rsidRDefault="00575C57" w:rsidP="003157B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3157BB">
        <w:rPr>
          <w:rFonts w:ascii="Arial" w:hAnsi="Arial" w:cs="Arial"/>
        </w:rPr>
        <w:t>W</w:t>
      </w:r>
      <w:r w:rsidRPr="005146D2">
        <w:rPr>
          <w:rFonts w:ascii="Arial" w:eastAsia="Calibri" w:hAnsi="Arial" w:cs="Arial"/>
          <w:lang w:eastAsia="en-US"/>
        </w:rPr>
        <w:t xml:space="preserve"> związku z obliczeniami wskaźników bazujących na wykryciach pozostałości ś.o.r. </w:t>
      </w:r>
      <w:r w:rsidR="005146D2">
        <w:rPr>
          <w:rFonts w:ascii="Arial" w:eastAsia="Calibri" w:hAnsi="Arial" w:cs="Arial"/>
          <w:lang w:eastAsia="en-US"/>
        </w:rPr>
        <w:t>należy zwrócić uwagę na obliczany</w:t>
      </w:r>
      <w:r w:rsidRPr="005146D2">
        <w:rPr>
          <w:rFonts w:ascii="Arial" w:eastAsia="Calibri" w:hAnsi="Arial" w:cs="Arial"/>
          <w:lang w:eastAsia="en-US"/>
        </w:rPr>
        <w:t xml:space="preserve"> corocznie „Współczynnik zakresu badań laboratoriów” – ZB</w:t>
      </w:r>
      <w:r w:rsidRPr="005146D2">
        <w:rPr>
          <w:rFonts w:ascii="Arial" w:eastAsia="Calibri" w:hAnsi="Arial" w:cs="Arial"/>
          <w:vertAlign w:val="subscript"/>
          <w:lang w:eastAsia="en-US"/>
        </w:rPr>
        <w:t>i</w:t>
      </w:r>
      <w:r w:rsidRPr="005146D2">
        <w:rPr>
          <w:rFonts w:ascii="Arial" w:eastAsia="Calibri" w:hAnsi="Arial" w:cs="Arial"/>
          <w:lang w:eastAsia="en-US"/>
        </w:rPr>
        <w:t>, który opisuje zakres badań (spektrum analizowanych substancji czynnych) poszczególnych laboratoriów uczestniczących w</w:t>
      </w:r>
      <w:r w:rsidR="005146D2">
        <w:rPr>
          <w:rFonts w:ascii="Arial" w:eastAsia="Calibri" w:hAnsi="Arial" w:cs="Arial"/>
          <w:lang w:eastAsia="en-US"/>
        </w:rPr>
        <w:t> </w:t>
      </w:r>
      <w:r w:rsidRPr="005146D2">
        <w:rPr>
          <w:rFonts w:ascii="Arial" w:eastAsia="Calibri" w:hAnsi="Arial" w:cs="Arial"/>
          <w:lang w:eastAsia="en-US"/>
        </w:rPr>
        <w:t>kontroli pozostałości ś.o.r. w płodach rolnych. Współczynnik o zakresie wartości od 0 do 1 obrazuje jaka jest liczba substancji czynnych objętych zakresem badań danego laboratorium w stosunku do liczby substancji czynnych będących w krajowej sprzedaży oraz wyszczególnionych w rozporządzeniu unijnym dotyczącym programu kontroli pozostałości pestycydów w żywności. Wykorzystywany jest w obliczeniach wskaźnika „A” - W</w:t>
      </w:r>
      <w:r w:rsidRPr="005146D2">
        <w:rPr>
          <w:rFonts w:ascii="Arial" w:eastAsia="Calibri" w:hAnsi="Arial" w:cs="Arial"/>
          <w:vertAlign w:val="subscript"/>
          <w:lang w:eastAsia="en-US"/>
        </w:rPr>
        <w:t>Poz.</w:t>
      </w:r>
      <w:r w:rsidRPr="005146D2">
        <w:rPr>
          <w:rFonts w:ascii="Arial" w:eastAsia="Calibri" w:hAnsi="Arial" w:cs="Arial"/>
          <w:lang w:eastAsia="en-US"/>
        </w:rPr>
        <w:t xml:space="preserve"> oraz dwóch wskaźników z grupy „B” – W</w:t>
      </w:r>
      <w:r w:rsidRPr="005146D2">
        <w:rPr>
          <w:rFonts w:ascii="Arial" w:eastAsia="Calibri" w:hAnsi="Arial" w:cs="Arial"/>
          <w:vertAlign w:val="subscript"/>
          <w:lang w:eastAsia="en-US"/>
        </w:rPr>
        <w:t>S.NDP</w:t>
      </w:r>
      <w:r w:rsidRPr="005146D2">
        <w:rPr>
          <w:rFonts w:ascii="Arial" w:eastAsia="Calibri" w:hAnsi="Arial" w:cs="Arial"/>
          <w:lang w:eastAsia="en-US"/>
        </w:rPr>
        <w:t xml:space="preserve"> i W</w:t>
      </w:r>
      <w:r w:rsidRPr="005146D2">
        <w:rPr>
          <w:rFonts w:ascii="Arial" w:eastAsia="Calibri" w:hAnsi="Arial" w:cs="Arial"/>
          <w:vertAlign w:val="subscript"/>
          <w:lang w:eastAsia="en-US"/>
        </w:rPr>
        <w:t>S.Niedop.</w:t>
      </w:r>
      <w:r w:rsidRPr="005146D2">
        <w:rPr>
          <w:rFonts w:ascii="Arial" w:eastAsia="Calibri" w:hAnsi="Arial" w:cs="Arial"/>
          <w:lang w:eastAsia="en-US"/>
        </w:rPr>
        <w:t>. Wyniki obliczeń współczynnika ZB</w:t>
      </w:r>
      <w:r w:rsidRPr="005146D2">
        <w:rPr>
          <w:rFonts w:ascii="Arial" w:eastAsia="Calibri" w:hAnsi="Arial" w:cs="Arial"/>
          <w:vertAlign w:val="subscript"/>
          <w:lang w:eastAsia="en-US"/>
        </w:rPr>
        <w:t>i</w:t>
      </w:r>
      <w:r w:rsidRPr="005146D2">
        <w:rPr>
          <w:rFonts w:ascii="Arial" w:eastAsia="Calibri" w:hAnsi="Arial" w:cs="Arial"/>
          <w:lang w:eastAsia="en-US"/>
        </w:rPr>
        <w:t xml:space="preserve"> (2019-2023) przedstawiono w tabeli 2. W 2023</w:t>
      </w:r>
      <w:r w:rsidR="005146D2">
        <w:rPr>
          <w:rFonts w:ascii="Arial" w:eastAsia="Calibri" w:hAnsi="Arial" w:cs="Arial"/>
          <w:lang w:eastAsia="en-US"/>
        </w:rPr>
        <w:t xml:space="preserve"> r.</w:t>
      </w:r>
      <w:r w:rsidRPr="005146D2">
        <w:rPr>
          <w:rFonts w:ascii="Arial" w:eastAsia="Calibri" w:hAnsi="Arial" w:cs="Arial"/>
          <w:lang w:eastAsia="en-US"/>
        </w:rPr>
        <w:t xml:space="preserve"> średnia wartość współczynnika wyniosła 0,785 i była na podobnym poziomie jak rok wcześniej.</w:t>
      </w:r>
    </w:p>
    <w:p w14:paraId="6EA282AD" w14:textId="77777777" w:rsidR="005146D2" w:rsidRPr="005146D2" w:rsidRDefault="005146D2" w:rsidP="00575C57">
      <w:pPr>
        <w:widowControl/>
        <w:spacing w:line="360" w:lineRule="auto"/>
        <w:jc w:val="both"/>
        <w:rPr>
          <w:rFonts w:ascii="Arial" w:eastAsia="Calibri" w:hAnsi="Arial" w:cs="Arial"/>
          <w:lang w:eastAsia="en-US"/>
        </w:rPr>
      </w:pPr>
    </w:p>
    <w:p w14:paraId="03F520D9" w14:textId="77777777" w:rsidR="00575C57" w:rsidRPr="005146D2" w:rsidRDefault="00575C57" w:rsidP="005146D2">
      <w:pPr>
        <w:widowControl/>
        <w:spacing w:before="120" w:after="120" w:line="360" w:lineRule="auto"/>
        <w:rPr>
          <w:rFonts w:ascii="Arial" w:eastAsia="Calibri" w:hAnsi="Arial" w:cs="Arial"/>
          <w:i/>
          <w:lang w:eastAsia="en-US"/>
        </w:rPr>
      </w:pPr>
      <w:r w:rsidRPr="005146D2">
        <w:rPr>
          <w:rFonts w:ascii="Arial" w:eastAsia="Calibri" w:hAnsi="Arial" w:cs="Arial"/>
          <w:i/>
          <w:lang w:eastAsia="en-US"/>
        </w:rPr>
        <w:lastRenderedPageBreak/>
        <w:t>Tabela 2. Wyniki obliczeń współczynnika zakresu badań laboratorium (ZBi)</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4"/>
        <w:gridCol w:w="1276"/>
        <w:gridCol w:w="1276"/>
        <w:gridCol w:w="1276"/>
        <w:gridCol w:w="1702"/>
        <w:gridCol w:w="1417"/>
        <w:gridCol w:w="1134"/>
      </w:tblGrid>
      <w:tr w:rsidR="00575C57" w:rsidRPr="005146D2" w14:paraId="05882CA1" w14:textId="77777777" w:rsidTr="00575C57">
        <w:trPr>
          <w:trHeight w:val="629"/>
          <w:jc w:val="center"/>
        </w:trPr>
        <w:tc>
          <w:tcPr>
            <w:tcW w:w="993" w:type="dxa"/>
            <w:vMerge w:val="restart"/>
            <w:tcBorders>
              <w:top w:val="single" w:sz="4" w:space="0" w:color="auto"/>
              <w:left w:val="single" w:sz="4" w:space="0" w:color="auto"/>
              <w:bottom w:val="single" w:sz="4" w:space="0" w:color="auto"/>
              <w:right w:val="single" w:sz="4" w:space="0" w:color="auto"/>
            </w:tcBorders>
            <w:noWrap/>
            <w:vAlign w:val="center"/>
            <w:hideMark/>
          </w:tcPr>
          <w:p w14:paraId="6DF9C69F"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Rok</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2245BEE5" w14:textId="0B33FE58" w:rsidR="00575C57" w:rsidRPr="005146D2" w:rsidRDefault="00575C57" w:rsidP="00575C57">
            <w:pPr>
              <w:widowControl/>
              <w:jc w:val="center"/>
              <w:rPr>
                <w:rFonts w:ascii="Arial" w:hAnsi="Arial" w:cs="Arial"/>
                <w:color w:val="000000"/>
              </w:rPr>
            </w:pPr>
            <w:r w:rsidRPr="005146D2">
              <w:rPr>
                <w:rFonts w:ascii="Arial" w:hAnsi="Arial" w:cs="Arial"/>
                <w:color w:val="000000"/>
              </w:rPr>
              <w:t xml:space="preserve">Laboratoria Instytutu Ochrony Roślin </w:t>
            </w:r>
            <w:r w:rsidR="0049161C">
              <w:rPr>
                <w:rFonts w:ascii="Arial" w:hAnsi="Arial" w:cs="Arial"/>
              </w:rPr>
              <w:t>–</w:t>
            </w:r>
            <w:r w:rsidRPr="005146D2">
              <w:rPr>
                <w:rFonts w:ascii="Arial" w:hAnsi="Arial" w:cs="Arial"/>
                <w:color w:val="000000"/>
              </w:rPr>
              <w:t xml:space="preserve"> PIB</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8B917DA"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Laboratorium Instytutu Ogrodnictwa w Skierniewicach</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FD4FD09"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Centralne Laboratorium GIORiN w Toruniu</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8FBF8E4"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Średni</w:t>
            </w:r>
          </w:p>
        </w:tc>
      </w:tr>
      <w:tr w:rsidR="00575C57" w:rsidRPr="005146D2" w14:paraId="329346E8" w14:textId="77777777" w:rsidTr="00575C57">
        <w:trPr>
          <w:trHeight w:val="412"/>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424E23F" w14:textId="77777777" w:rsidR="00575C57" w:rsidRPr="005146D2" w:rsidRDefault="00575C57" w:rsidP="00575C57">
            <w:pPr>
              <w:widowControl/>
              <w:spacing w:line="276" w:lineRule="auto"/>
              <w:rPr>
                <w:rFonts w:ascii="Arial" w:hAnsi="Arial" w:cs="Arial"/>
                <w:color w:val="00000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60868D9"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Białystok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AB1E21"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Poznań</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AFB4E6"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Sośnicowice</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BBBE63" w14:textId="77777777" w:rsidR="00575C57" w:rsidRPr="005146D2" w:rsidRDefault="00575C57" w:rsidP="00575C57">
            <w:pPr>
              <w:widowControl/>
              <w:spacing w:line="276" w:lineRule="auto"/>
              <w:rPr>
                <w:rFonts w:ascii="Arial" w:hAnsi="Arial" w:cs="Arial"/>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E83A5D8" w14:textId="77777777" w:rsidR="00575C57" w:rsidRPr="005146D2" w:rsidRDefault="00575C57" w:rsidP="00575C57">
            <w:pPr>
              <w:widowControl/>
              <w:spacing w:line="276" w:lineRule="auto"/>
              <w:rPr>
                <w:rFonts w:ascii="Arial" w:hAnsi="Arial" w:cs="Arial"/>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7E2D0D" w14:textId="77777777" w:rsidR="00575C57" w:rsidRPr="005146D2" w:rsidRDefault="00575C57" w:rsidP="00575C57">
            <w:pPr>
              <w:widowControl/>
              <w:spacing w:line="276" w:lineRule="auto"/>
              <w:rPr>
                <w:rFonts w:ascii="Arial" w:hAnsi="Arial" w:cs="Arial"/>
                <w:color w:val="000000"/>
              </w:rPr>
            </w:pPr>
          </w:p>
        </w:tc>
      </w:tr>
      <w:tr w:rsidR="00575C57" w:rsidRPr="005146D2" w14:paraId="3CD25805" w14:textId="77777777" w:rsidTr="00575C57">
        <w:trPr>
          <w:trHeight w:val="399"/>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5713FD6F"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2019</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4EE6C48"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0,9498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9BCE1A5"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0,7351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E294877"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0,7303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CDC8AF"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0,7942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98B80A"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0,6188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D94900"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0,7656</w:t>
            </w:r>
          </w:p>
        </w:tc>
      </w:tr>
      <w:tr w:rsidR="00575C57" w:rsidRPr="005146D2" w14:paraId="0CC2B226" w14:textId="77777777" w:rsidTr="00575C57">
        <w:trPr>
          <w:trHeight w:val="399"/>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6C879B8B"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2020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9671AA2"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0,9297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3758B7F"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0,7206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F756E62"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0,7171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18B17E"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0,7869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5E0D68"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0,6032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35386E"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0,7515</w:t>
            </w:r>
          </w:p>
        </w:tc>
      </w:tr>
      <w:tr w:rsidR="00575C57" w:rsidRPr="005146D2" w14:paraId="7B701A9F" w14:textId="77777777" w:rsidTr="00575C57">
        <w:trPr>
          <w:trHeight w:val="399"/>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24391BA5"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2021</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DE6597D"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0,9445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903F45D"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0,7302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7C27977"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0,7263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BA905D"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0,8647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411A3A"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0,6156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97DFC3"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0,7763</w:t>
            </w:r>
          </w:p>
        </w:tc>
      </w:tr>
      <w:tr w:rsidR="00575C57" w:rsidRPr="005146D2" w14:paraId="79C8A3D5" w14:textId="77777777" w:rsidTr="00575C57">
        <w:trPr>
          <w:trHeight w:val="399"/>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16BA3D5A"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2022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1D05547"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0,9443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0644562"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0,7586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1C68A1D"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0,7292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AD25EC"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0,8985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9488BA"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0,6268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4E3809" w14:textId="77777777" w:rsidR="00575C57" w:rsidRPr="005146D2" w:rsidRDefault="00575C57" w:rsidP="00575C57">
            <w:pPr>
              <w:widowControl/>
              <w:jc w:val="center"/>
              <w:rPr>
                <w:rFonts w:ascii="Arial" w:hAnsi="Arial" w:cs="Arial"/>
                <w:color w:val="000000"/>
              </w:rPr>
            </w:pPr>
            <w:r w:rsidRPr="005146D2">
              <w:rPr>
                <w:rFonts w:ascii="Arial" w:eastAsia="Calibri" w:hAnsi="Arial" w:cs="Arial"/>
                <w:color w:val="000000"/>
                <w:lang w:eastAsia="en-US"/>
              </w:rPr>
              <w:t>0,791</w:t>
            </w:r>
          </w:p>
        </w:tc>
      </w:tr>
      <w:tr w:rsidR="00575C57" w:rsidRPr="005146D2" w14:paraId="7047C90D" w14:textId="77777777" w:rsidTr="00575C57">
        <w:trPr>
          <w:trHeight w:val="399"/>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2142182B"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2023</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FA5F1C6"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0,9371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C393610"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0,7561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9DBC479"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0,7164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0D4CCB"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0,8941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47E4BC" w14:textId="77777777" w:rsidR="00575C57" w:rsidRPr="005146D2" w:rsidRDefault="00575C57" w:rsidP="00575C57">
            <w:pPr>
              <w:widowControl/>
              <w:jc w:val="center"/>
              <w:rPr>
                <w:rFonts w:ascii="Arial" w:hAnsi="Arial" w:cs="Arial"/>
                <w:color w:val="000000"/>
              </w:rPr>
            </w:pPr>
            <w:r w:rsidRPr="005146D2">
              <w:rPr>
                <w:rFonts w:ascii="Arial" w:hAnsi="Arial" w:cs="Arial"/>
                <w:color w:val="000000"/>
              </w:rPr>
              <w:t>0,6226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1EC3BC" w14:textId="77777777" w:rsidR="00575C57" w:rsidRPr="005146D2" w:rsidRDefault="00575C57" w:rsidP="00575C57">
            <w:pPr>
              <w:widowControl/>
              <w:jc w:val="center"/>
              <w:rPr>
                <w:rFonts w:ascii="Arial" w:eastAsia="Calibri" w:hAnsi="Arial" w:cs="Arial"/>
                <w:color w:val="000000"/>
                <w:lang w:eastAsia="en-US"/>
              </w:rPr>
            </w:pPr>
            <w:r w:rsidRPr="005146D2">
              <w:rPr>
                <w:rFonts w:ascii="Arial" w:eastAsia="Calibri" w:hAnsi="Arial" w:cs="Arial"/>
                <w:color w:val="000000"/>
                <w:lang w:eastAsia="en-US"/>
              </w:rPr>
              <w:t>0,785</w:t>
            </w:r>
          </w:p>
        </w:tc>
      </w:tr>
    </w:tbl>
    <w:p w14:paraId="0CF8FC0D" w14:textId="77777777" w:rsidR="00575C57" w:rsidRPr="0049161C" w:rsidRDefault="00575C57" w:rsidP="00575C57">
      <w:pPr>
        <w:widowControl/>
        <w:spacing w:after="80" w:line="360" w:lineRule="auto"/>
        <w:jc w:val="both"/>
        <w:rPr>
          <w:rFonts w:ascii="Arial" w:eastAsia="Calibri" w:hAnsi="Arial" w:cs="Arial"/>
          <w:b/>
          <w:sz w:val="22"/>
          <w:szCs w:val="22"/>
          <w:lang w:eastAsia="en-US"/>
        </w:rPr>
      </w:pPr>
    </w:p>
    <w:p w14:paraId="46EA29CE" w14:textId="77777777" w:rsidR="00575C57" w:rsidRPr="0049161C" w:rsidRDefault="00575C57" w:rsidP="00575C57">
      <w:pPr>
        <w:widowControl/>
        <w:spacing w:after="80" w:line="360" w:lineRule="auto"/>
        <w:jc w:val="both"/>
        <w:rPr>
          <w:rFonts w:ascii="Arial" w:eastAsia="Calibri" w:hAnsi="Arial" w:cs="Arial"/>
          <w:b/>
          <w:sz w:val="22"/>
          <w:szCs w:val="22"/>
          <w:u w:val="single"/>
          <w:lang w:eastAsia="en-US"/>
        </w:rPr>
      </w:pPr>
      <w:r w:rsidRPr="0049161C">
        <w:rPr>
          <w:rFonts w:ascii="Arial" w:eastAsia="Calibri" w:hAnsi="Arial" w:cs="Arial"/>
          <w:b/>
          <w:sz w:val="22"/>
          <w:szCs w:val="22"/>
          <w:lang w:eastAsia="en-US"/>
        </w:rPr>
        <w:t xml:space="preserve">3. </w:t>
      </w:r>
      <w:r w:rsidRPr="0049161C">
        <w:rPr>
          <w:rFonts w:ascii="Arial" w:eastAsia="Calibri" w:hAnsi="Arial" w:cs="Arial"/>
          <w:b/>
          <w:sz w:val="22"/>
          <w:szCs w:val="22"/>
          <w:lang w:eastAsia="en-US"/>
        </w:rPr>
        <w:tab/>
        <w:t xml:space="preserve">Zagrożenia wynikające z nieprawidłowego stosowania ś.o.r. </w:t>
      </w:r>
    </w:p>
    <w:p w14:paraId="2052AEB0" w14:textId="77777777" w:rsidR="00575C57" w:rsidRPr="005146D2" w:rsidRDefault="00575C57" w:rsidP="005146D2">
      <w:pPr>
        <w:pStyle w:val="NormalnyWeb"/>
        <w:tabs>
          <w:tab w:val="left" w:pos="284"/>
        </w:tabs>
        <w:spacing w:beforeAutospacing="0" w:after="120" w:afterAutospacing="0" w:line="360" w:lineRule="auto"/>
        <w:ind w:firstLine="284"/>
        <w:jc w:val="both"/>
        <w:rPr>
          <w:rFonts w:ascii="Arial" w:hAnsi="Arial" w:cs="Arial"/>
        </w:rPr>
      </w:pPr>
      <w:r w:rsidRPr="005146D2">
        <w:rPr>
          <w:rFonts w:ascii="Arial" w:hAnsi="Arial" w:cs="Arial"/>
        </w:rPr>
        <w:t xml:space="preserve">Zagrożenia wynikające z nieprawidłowego stosowania ś.o.r. monitorowane są za pomocą trzech wskaźników z grupy „B”: </w:t>
      </w:r>
    </w:p>
    <w:p w14:paraId="1F044A2A" w14:textId="77777777" w:rsidR="00575C57" w:rsidRPr="005146D2" w:rsidRDefault="00575C57" w:rsidP="00E74A80">
      <w:pPr>
        <w:widowControl/>
        <w:numPr>
          <w:ilvl w:val="0"/>
          <w:numId w:val="38"/>
        </w:numPr>
        <w:suppressAutoHyphens/>
        <w:autoSpaceDN w:val="0"/>
        <w:spacing w:after="80" w:line="360" w:lineRule="auto"/>
        <w:ind w:left="714" w:hanging="357"/>
        <w:jc w:val="both"/>
        <w:rPr>
          <w:rFonts w:ascii="Arial" w:eastAsia="Lucida Sans Unicode" w:hAnsi="Arial" w:cs="Arial"/>
          <w:kern w:val="3"/>
          <w:lang w:eastAsia="en-US"/>
        </w:rPr>
      </w:pPr>
      <w:r w:rsidRPr="005146D2">
        <w:rPr>
          <w:rFonts w:ascii="Arial" w:eastAsia="Lucida Sans Unicode" w:hAnsi="Arial" w:cs="Arial"/>
          <w:kern w:val="3"/>
          <w:lang w:eastAsia="en-US"/>
        </w:rPr>
        <w:t>Wskaźnik wykryć nieprawidłowości w kontroli stosowania ś.o.r. (W</w:t>
      </w:r>
      <w:r w:rsidRPr="005146D2">
        <w:rPr>
          <w:rFonts w:ascii="Arial" w:eastAsia="Lucida Sans Unicode" w:hAnsi="Arial" w:cs="Arial"/>
          <w:kern w:val="3"/>
          <w:vertAlign w:val="subscript"/>
          <w:lang w:eastAsia="en-US"/>
        </w:rPr>
        <w:t>S.Kontrola</w:t>
      </w:r>
      <w:r w:rsidRPr="005146D2">
        <w:rPr>
          <w:rFonts w:ascii="Arial" w:eastAsia="Lucida Sans Unicode" w:hAnsi="Arial" w:cs="Arial"/>
          <w:kern w:val="3"/>
          <w:lang w:eastAsia="en-US"/>
        </w:rPr>
        <w:t>)</w:t>
      </w:r>
    </w:p>
    <w:p w14:paraId="029DF7E4" w14:textId="77777777" w:rsidR="00575C57" w:rsidRPr="005146D2" w:rsidRDefault="00575C57" w:rsidP="00E74A80">
      <w:pPr>
        <w:widowControl/>
        <w:numPr>
          <w:ilvl w:val="0"/>
          <w:numId w:val="38"/>
        </w:numPr>
        <w:suppressAutoHyphens/>
        <w:autoSpaceDN w:val="0"/>
        <w:spacing w:after="80" w:line="360" w:lineRule="auto"/>
        <w:ind w:left="714" w:hanging="357"/>
        <w:jc w:val="both"/>
        <w:rPr>
          <w:rFonts w:ascii="Arial" w:eastAsia="Lucida Sans Unicode" w:hAnsi="Arial" w:cs="Arial"/>
          <w:kern w:val="3"/>
          <w:lang w:eastAsia="en-US"/>
        </w:rPr>
      </w:pPr>
      <w:r w:rsidRPr="005146D2">
        <w:rPr>
          <w:rFonts w:ascii="Arial" w:eastAsia="Lucida Sans Unicode" w:hAnsi="Arial" w:cs="Arial"/>
          <w:kern w:val="3"/>
          <w:lang w:eastAsia="en-US"/>
        </w:rPr>
        <w:t>Wskaźnik wykryć przekroczeń NDP w kontroli pozostałości ś.o.r. (W</w:t>
      </w:r>
      <w:r w:rsidRPr="005146D2">
        <w:rPr>
          <w:rFonts w:ascii="Arial" w:eastAsia="Lucida Sans Unicode" w:hAnsi="Arial" w:cs="Arial"/>
          <w:kern w:val="3"/>
          <w:vertAlign w:val="subscript"/>
          <w:lang w:eastAsia="en-US"/>
        </w:rPr>
        <w:t>S.NDP</w:t>
      </w:r>
      <w:r w:rsidRPr="005146D2">
        <w:rPr>
          <w:rFonts w:ascii="Arial" w:eastAsia="Lucida Sans Unicode" w:hAnsi="Arial" w:cs="Arial"/>
          <w:kern w:val="3"/>
          <w:lang w:eastAsia="en-US"/>
        </w:rPr>
        <w:t xml:space="preserve">) </w:t>
      </w:r>
    </w:p>
    <w:p w14:paraId="013B9603" w14:textId="77777777" w:rsidR="00575C57" w:rsidRPr="005146D2" w:rsidRDefault="00575C57" w:rsidP="00E74A80">
      <w:pPr>
        <w:widowControl/>
        <w:numPr>
          <w:ilvl w:val="0"/>
          <w:numId w:val="38"/>
        </w:numPr>
        <w:suppressAutoHyphens/>
        <w:autoSpaceDN w:val="0"/>
        <w:spacing w:after="80" w:line="360" w:lineRule="auto"/>
        <w:jc w:val="both"/>
        <w:rPr>
          <w:rFonts w:ascii="Arial" w:eastAsia="Lucida Sans Unicode" w:hAnsi="Arial" w:cs="Arial"/>
          <w:kern w:val="3"/>
          <w:lang w:eastAsia="en-US"/>
        </w:rPr>
      </w:pPr>
      <w:r w:rsidRPr="005146D2">
        <w:rPr>
          <w:rFonts w:ascii="Arial" w:eastAsia="Lucida Sans Unicode" w:hAnsi="Arial" w:cs="Arial"/>
          <w:kern w:val="3"/>
          <w:lang w:eastAsia="en-US"/>
        </w:rPr>
        <w:t>Wskaźnik wykryć substancji niedopuszczonych do stosowania w kontroli pozostałości ś.o.r. (W</w:t>
      </w:r>
      <w:r w:rsidRPr="005146D2">
        <w:rPr>
          <w:rFonts w:ascii="Arial" w:eastAsia="Lucida Sans Unicode" w:hAnsi="Arial" w:cs="Arial"/>
          <w:kern w:val="3"/>
          <w:vertAlign w:val="subscript"/>
          <w:lang w:eastAsia="en-US"/>
        </w:rPr>
        <w:t>S.Niedop.</w:t>
      </w:r>
      <w:r w:rsidRPr="005146D2">
        <w:rPr>
          <w:rFonts w:ascii="Arial" w:eastAsia="Lucida Sans Unicode" w:hAnsi="Arial" w:cs="Arial"/>
          <w:kern w:val="3"/>
          <w:lang w:eastAsia="en-US"/>
        </w:rPr>
        <w:t xml:space="preserve">); </w:t>
      </w:r>
    </w:p>
    <w:p w14:paraId="65F69CB3" w14:textId="77777777" w:rsidR="00575C57" w:rsidRPr="005146D2" w:rsidRDefault="00575C57" w:rsidP="005146D2">
      <w:pPr>
        <w:pStyle w:val="NormalnyWeb"/>
        <w:tabs>
          <w:tab w:val="left" w:pos="284"/>
        </w:tabs>
        <w:spacing w:beforeAutospacing="0" w:after="120" w:afterAutospacing="0" w:line="360" w:lineRule="auto"/>
        <w:ind w:firstLine="284"/>
        <w:jc w:val="both"/>
        <w:rPr>
          <w:rFonts w:ascii="Arial" w:hAnsi="Arial" w:cs="Arial"/>
        </w:rPr>
      </w:pPr>
      <w:r w:rsidRPr="005146D2">
        <w:rPr>
          <w:rFonts w:ascii="Arial" w:hAnsi="Arial" w:cs="Arial"/>
        </w:rPr>
        <w:t>Poniżej przedstawiono wyniki obliczeń ww. wskaźników z ostatnich lat (im niższa wartość wskaźnika tym lepiej).</w:t>
      </w:r>
    </w:p>
    <w:p w14:paraId="40E664ED" w14:textId="77777777" w:rsidR="00575C57" w:rsidRPr="005146D2" w:rsidRDefault="00575C57" w:rsidP="005146D2">
      <w:pPr>
        <w:widowControl/>
        <w:spacing w:before="120" w:after="120" w:line="360" w:lineRule="auto"/>
        <w:rPr>
          <w:rFonts w:ascii="Arial" w:eastAsia="Calibri" w:hAnsi="Arial" w:cs="Arial"/>
          <w:i/>
          <w:lang w:eastAsia="en-US"/>
        </w:rPr>
      </w:pPr>
      <w:r w:rsidRPr="005146D2">
        <w:rPr>
          <w:rFonts w:ascii="Arial" w:eastAsia="Calibri" w:hAnsi="Arial" w:cs="Arial"/>
          <w:i/>
          <w:lang w:eastAsia="en-US"/>
        </w:rPr>
        <w:t>Tabela 3. Wyniki obliczeń wskaźników W</w:t>
      </w:r>
      <w:r w:rsidRPr="005146D2">
        <w:rPr>
          <w:rFonts w:ascii="Arial" w:eastAsia="Calibri" w:hAnsi="Arial" w:cs="Arial"/>
          <w:i/>
          <w:vertAlign w:val="subscript"/>
          <w:lang w:eastAsia="en-US"/>
        </w:rPr>
        <w:t>S.Kontrola</w:t>
      </w:r>
      <w:r w:rsidRPr="005146D2">
        <w:rPr>
          <w:rFonts w:ascii="Arial" w:eastAsia="Calibri" w:hAnsi="Arial" w:cs="Arial"/>
          <w:i/>
          <w:lang w:eastAsia="en-US"/>
        </w:rPr>
        <w:t>, W</w:t>
      </w:r>
      <w:r w:rsidRPr="005146D2">
        <w:rPr>
          <w:rFonts w:ascii="Arial" w:eastAsia="Calibri" w:hAnsi="Arial" w:cs="Arial"/>
          <w:i/>
          <w:vertAlign w:val="subscript"/>
          <w:lang w:eastAsia="en-US"/>
        </w:rPr>
        <w:t>S.NDP</w:t>
      </w:r>
      <w:r w:rsidRPr="005146D2">
        <w:rPr>
          <w:rFonts w:ascii="Arial" w:eastAsia="Calibri" w:hAnsi="Arial" w:cs="Arial"/>
          <w:i/>
          <w:lang w:eastAsia="en-US"/>
        </w:rPr>
        <w:t>,</w:t>
      </w:r>
      <w:r w:rsidRPr="005146D2">
        <w:rPr>
          <w:rFonts w:ascii="Arial" w:eastAsia="Calibri" w:hAnsi="Arial" w:cs="Arial"/>
          <w:i/>
          <w:vertAlign w:val="subscript"/>
          <w:lang w:eastAsia="en-US"/>
        </w:rPr>
        <w:t xml:space="preserve"> </w:t>
      </w:r>
      <w:r w:rsidRPr="005146D2">
        <w:rPr>
          <w:rFonts w:ascii="Arial" w:eastAsia="Calibri" w:hAnsi="Arial" w:cs="Arial"/>
          <w:i/>
          <w:lang w:eastAsia="en-US"/>
        </w:rPr>
        <w:t>W</w:t>
      </w:r>
      <w:r w:rsidRPr="005146D2">
        <w:rPr>
          <w:rFonts w:ascii="Arial" w:eastAsia="Calibri" w:hAnsi="Arial" w:cs="Arial"/>
          <w:i/>
          <w:vertAlign w:val="subscript"/>
          <w:lang w:eastAsia="en-US"/>
        </w:rPr>
        <w:t>S.Niedop</w:t>
      </w:r>
      <w:r w:rsidRPr="005146D2">
        <w:rPr>
          <w:rFonts w:ascii="Arial" w:eastAsia="Calibri" w:hAnsi="Arial" w:cs="Arial"/>
          <w:i/>
          <w:lang w:eastAsia="en-US"/>
        </w:rPr>
        <w:t>,</w:t>
      </w:r>
      <w:r w:rsidRPr="005146D2">
        <w:rPr>
          <w:rFonts w:ascii="Arial" w:eastAsia="Calibri" w:hAnsi="Arial" w:cs="Arial"/>
          <w:i/>
          <w:vertAlign w:val="subscript"/>
          <w:lang w:eastAsia="en-US"/>
        </w:rPr>
        <w:t xml:space="preserve"> </w:t>
      </w:r>
    </w:p>
    <w:tbl>
      <w:tblPr>
        <w:tblW w:w="3451" w:type="pct"/>
        <w:jc w:val="center"/>
        <w:tblCellMar>
          <w:left w:w="10" w:type="dxa"/>
          <w:right w:w="10" w:type="dxa"/>
        </w:tblCellMar>
        <w:tblLook w:val="04A0" w:firstRow="1" w:lastRow="0" w:firstColumn="1" w:lastColumn="0" w:noHBand="0" w:noVBand="1"/>
      </w:tblPr>
      <w:tblGrid>
        <w:gridCol w:w="1306"/>
        <w:gridCol w:w="1650"/>
        <w:gridCol w:w="1650"/>
        <w:gridCol w:w="1649"/>
      </w:tblGrid>
      <w:tr w:rsidR="00575C57" w:rsidRPr="005146D2" w14:paraId="0D2E1273"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BAA007"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Rok</w:t>
            </w:r>
          </w:p>
        </w:tc>
        <w:tc>
          <w:tcPr>
            <w:tcW w:w="1319" w:type="pct"/>
            <w:tcBorders>
              <w:top w:val="single" w:sz="4" w:space="0" w:color="auto"/>
              <w:left w:val="single" w:sz="4" w:space="0" w:color="auto"/>
              <w:bottom w:val="single" w:sz="4" w:space="0" w:color="auto"/>
              <w:right w:val="single" w:sz="4" w:space="0" w:color="auto"/>
            </w:tcBorders>
            <w:vAlign w:val="center"/>
            <w:hideMark/>
          </w:tcPr>
          <w:p w14:paraId="4F9A14C5"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W</w:t>
            </w:r>
            <w:r w:rsidRPr="005146D2">
              <w:rPr>
                <w:rFonts w:ascii="Arial" w:eastAsia="Lucida Sans Unicode" w:hAnsi="Arial" w:cs="Arial"/>
                <w:kern w:val="3"/>
                <w:vertAlign w:val="subscript"/>
                <w:lang w:eastAsia="en-US"/>
              </w:rPr>
              <w:t>S.Kontrola</w:t>
            </w:r>
            <w:r w:rsidRPr="005146D2">
              <w:rPr>
                <w:rFonts w:ascii="Arial" w:eastAsia="Lucida Sans Unicode" w:hAnsi="Arial" w:cs="Arial"/>
                <w:kern w:val="3"/>
                <w:lang w:eastAsia="en-US"/>
              </w:rPr>
              <w:t xml:space="preserve"> [%]</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1B9671"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W</w:t>
            </w:r>
            <w:r w:rsidRPr="005146D2">
              <w:rPr>
                <w:rFonts w:ascii="Arial" w:eastAsia="Lucida Sans Unicode" w:hAnsi="Arial" w:cs="Arial"/>
                <w:kern w:val="3"/>
                <w:vertAlign w:val="subscript"/>
                <w:lang w:eastAsia="en-US"/>
              </w:rPr>
              <w:t>S.NDP</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6754D3"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W</w:t>
            </w:r>
            <w:r w:rsidRPr="005146D2">
              <w:rPr>
                <w:rFonts w:ascii="Arial" w:eastAsia="Lucida Sans Unicode" w:hAnsi="Arial" w:cs="Arial"/>
                <w:kern w:val="3"/>
                <w:vertAlign w:val="subscript"/>
                <w:lang w:eastAsia="en-US"/>
              </w:rPr>
              <w:t>S.Niedop.</w:t>
            </w:r>
            <w:r w:rsidRPr="005146D2">
              <w:rPr>
                <w:rFonts w:ascii="Arial" w:eastAsia="Lucida Sans Unicode" w:hAnsi="Arial" w:cs="Arial"/>
                <w:kern w:val="3"/>
                <w:lang w:eastAsia="en-US"/>
              </w:rPr>
              <w:t xml:space="preserve"> </w:t>
            </w:r>
            <w:r w:rsidRPr="005146D2">
              <w:rPr>
                <w:rFonts w:ascii="Arial" w:eastAsia="Lucida Sans Unicode" w:hAnsi="Arial" w:cs="Arial"/>
                <w:kern w:val="3"/>
                <w:vertAlign w:val="subscript"/>
                <w:lang w:eastAsia="en-US"/>
              </w:rPr>
              <w:t xml:space="preserve"> </w:t>
            </w:r>
          </w:p>
        </w:tc>
      </w:tr>
      <w:tr w:rsidR="00575C57" w:rsidRPr="005146D2" w14:paraId="4F09D13D"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86798E"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2015</w:t>
            </w:r>
          </w:p>
        </w:tc>
        <w:tc>
          <w:tcPr>
            <w:tcW w:w="1319" w:type="pct"/>
            <w:tcBorders>
              <w:top w:val="single" w:sz="4" w:space="0" w:color="auto"/>
              <w:left w:val="single" w:sz="4" w:space="0" w:color="auto"/>
              <w:bottom w:val="single" w:sz="4" w:space="0" w:color="auto"/>
              <w:right w:val="single" w:sz="4" w:space="0" w:color="auto"/>
            </w:tcBorders>
            <w:vAlign w:val="center"/>
            <w:hideMark/>
          </w:tcPr>
          <w:p w14:paraId="30F203C5"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1,039</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876579"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0,040</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4CA2AF"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0,318</w:t>
            </w:r>
          </w:p>
        </w:tc>
      </w:tr>
      <w:tr w:rsidR="00575C57" w:rsidRPr="005146D2" w14:paraId="45C05364"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ACFDCE"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2016</w:t>
            </w:r>
          </w:p>
        </w:tc>
        <w:tc>
          <w:tcPr>
            <w:tcW w:w="1319" w:type="pct"/>
            <w:tcBorders>
              <w:top w:val="single" w:sz="4" w:space="0" w:color="auto"/>
              <w:left w:val="single" w:sz="4" w:space="0" w:color="auto"/>
              <w:bottom w:val="single" w:sz="4" w:space="0" w:color="auto"/>
              <w:right w:val="single" w:sz="4" w:space="0" w:color="auto"/>
            </w:tcBorders>
            <w:vAlign w:val="center"/>
            <w:hideMark/>
          </w:tcPr>
          <w:p w14:paraId="7591B035"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1,103</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21E26D"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0,027</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F8757F"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0,208</w:t>
            </w:r>
          </w:p>
        </w:tc>
      </w:tr>
      <w:tr w:rsidR="00575C57" w:rsidRPr="005146D2" w14:paraId="14433BCE"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4BFD63"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2017</w:t>
            </w:r>
          </w:p>
        </w:tc>
        <w:tc>
          <w:tcPr>
            <w:tcW w:w="1319" w:type="pct"/>
            <w:tcBorders>
              <w:top w:val="single" w:sz="4" w:space="0" w:color="auto"/>
              <w:left w:val="single" w:sz="4" w:space="0" w:color="auto"/>
              <w:bottom w:val="single" w:sz="4" w:space="0" w:color="auto"/>
              <w:right w:val="single" w:sz="4" w:space="0" w:color="auto"/>
            </w:tcBorders>
            <w:vAlign w:val="center"/>
            <w:hideMark/>
          </w:tcPr>
          <w:p w14:paraId="4444CBE8"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1,101</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4F5063"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0,038</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CB95EB"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0,298</w:t>
            </w:r>
          </w:p>
        </w:tc>
      </w:tr>
      <w:tr w:rsidR="00575C57" w:rsidRPr="005146D2" w14:paraId="708D0DEA"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5A02BC"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2018</w:t>
            </w:r>
          </w:p>
        </w:tc>
        <w:tc>
          <w:tcPr>
            <w:tcW w:w="1319" w:type="pct"/>
            <w:tcBorders>
              <w:top w:val="single" w:sz="4" w:space="0" w:color="auto"/>
              <w:left w:val="single" w:sz="4" w:space="0" w:color="auto"/>
              <w:bottom w:val="single" w:sz="4" w:space="0" w:color="auto"/>
              <w:right w:val="single" w:sz="4" w:space="0" w:color="auto"/>
            </w:tcBorders>
            <w:vAlign w:val="center"/>
            <w:hideMark/>
          </w:tcPr>
          <w:p w14:paraId="0227C948"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1,086</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6180AF"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b.d.</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9295E3"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0,265</w:t>
            </w:r>
          </w:p>
        </w:tc>
      </w:tr>
      <w:tr w:rsidR="00575C57" w:rsidRPr="005146D2" w14:paraId="151EF7CE"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5BABF0"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2019</w:t>
            </w:r>
          </w:p>
        </w:tc>
        <w:tc>
          <w:tcPr>
            <w:tcW w:w="1319" w:type="pct"/>
            <w:tcBorders>
              <w:top w:val="single" w:sz="4" w:space="0" w:color="auto"/>
              <w:left w:val="single" w:sz="4" w:space="0" w:color="auto"/>
              <w:bottom w:val="single" w:sz="4" w:space="0" w:color="auto"/>
              <w:right w:val="single" w:sz="4" w:space="0" w:color="auto"/>
            </w:tcBorders>
            <w:vAlign w:val="center"/>
            <w:hideMark/>
          </w:tcPr>
          <w:p w14:paraId="4DDFFF9C"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1,335</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5DF364"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0,059</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4F1680"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0,299</w:t>
            </w:r>
          </w:p>
        </w:tc>
      </w:tr>
      <w:tr w:rsidR="00575C57" w:rsidRPr="005146D2" w14:paraId="3C6003B3"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15625D"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2020</w:t>
            </w:r>
          </w:p>
        </w:tc>
        <w:tc>
          <w:tcPr>
            <w:tcW w:w="1319" w:type="pct"/>
            <w:tcBorders>
              <w:top w:val="single" w:sz="4" w:space="0" w:color="auto"/>
              <w:left w:val="single" w:sz="4" w:space="0" w:color="auto"/>
              <w:bottom w:val="single" w:sz="4" w:space="0" w:color="auto"/>
              <w:right w:val="single" w:sz="4" w:space="0" w:color="auto"/>
            </w:tcBorders>
            <w:vAlign w:val="center"/>
            <w:hideMark/>
          </w:tcPr>
          <w:p w14:paraId="2F6B8365"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1,279</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9C8BF6"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0,034</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B24723"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0,239</w:t>
            </w:r>
          </w:p>
        </w:tc>
      </w:tr>
      <w:tr w:rsidR="00575C57" w:rsidRPr="005146D2" w14:paraId="39200654"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7AB8C7"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2021</w:t>
            </w:r>
          </w:p>
        </w:tc>
        <w:tc>
          <w:tcPr>
            <w:tcW w:w="1319" w:type="pct"/>
            <w:tcBorders>
              <w:top w:val="single" w:sz="4" w:space="0" w:color="auto"/>
              <w:left w:val="single" w:sz="4" w:space="0" w:color="auto"/>
              <w:bottom w:val="single" w:sz="4" w:space="0" w:color="auto"/>
              <w:right w:val="single" w:sz="4" w:space="0" w:color="auto"/>
            </w:tcBorders>
            <w:vAlign w:val="center"/>
            <w:hideMark/>
          </w:tcPr>
          <w:p w14:paraId="610F8075"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1,358</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C0045D"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0,032</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7420EE"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0,196</w:t>
            </w:r>
          </w:p>
        </w:tc>
      </w:tr>
      <w:tr w:rsidR="00575C57" w:rsidRPr="005146D2" w14:paraId="745391C9"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9FA361"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2022</w:t>
            </w:r>
          </w:p>
        </w:tc>
        <w:tc>
          <w:tcPr>
            <w:tcW w:w="1319" w:type="pct"/>
            <w:tcBorders>
              <w:top w:val="single" w:sz="4" w:space="0" w:color="auto"/>
              <w:left w:val="single" w:sz="4" w:space="0" w:color="auto"/>
              <w:bottom w:val="single" w:sz="4" w:space="0" w:color="auto"/>
              <w:right w:val="single" w:sz="4" w:space="0" w:color="auto"/>
            </w:tcBorders>
            <w:vAlign w:val="center"/>
            <w:hideMark/>
          </w:tcPr>
          <w:p w14:paraId="334B7211"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1,369</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63C7FF"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0,038</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FC68F7"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0,287</w:t>
            </w:r>
          </w:p>
        </w:tc>
      </w:tr>
      <w:tr w:rsidR="00575C57" w:rsidRPr="005146D2" w14:paraId="74C31645" w14:textId="77777777" w:rsidTr="00575C57">
        <w:trPr>
          <w:trHeight w:val="363"/>
          <w:jc w:val="center"/>
        </w:trPr>
        <w:tc>
          <w:tcPr>
            <w:tcW w:w="10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0CC5DA"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2023</w:t>
            </w:r>
          </w:p>
        </w:tc>
        <w:tc>
          <w:tcPr>
            <w:tcW w:w="1319" w:type="pct"/>
            <w:tcBorders>
              <w:top w:val="single" w:sz="4" w:space="0" w:color="auto"/>
              <w:left w:val="single" w:sz="4" w:space="0" w:color="auto"/>
              <w:bottom w:val="single" w:sz="4" w:space="0" w:color="auto"/>
              <w:right w:val="single" w:sz="4" w:space="0" w:color="auto"/>
            </w:tcBorders>
            <w:vAlign w:val="center"/>
            <w:hideMark/>
          </w:tcPr>
          <w:p w14:paraId="160F2386"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1,177</w:t>
            </w:r>
          </w:p>
        </w:tc>
        <w:tc>
          <w:tcPr>
            <w:tcW w:w="1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D291A9"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0,031</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2AF342" w14:textId="77777777" w:rsidR="00575C57" w:rsidRPr="005146D2" w:rsidRDefault="00575C57" w:rsidP="00575C57">
            <w:pPr>
              <w:widowControl/>
              <w:suppressAutoHyphens/>
              <w:autoSpaceDN w:val="0"/>
              <w:jc w:val="center"/>
              <w:rPr>
                <w:rFonts w:ascii="Arial" w:eastAsia="Lucida Sans Unicode" w:hAnsi="Arial" w:cs="Arial"/>
                <w:kern w:val="3"/>
                <w:lang w:eastAsia="en-US"/>
              </w:rPr>
            </w:pPr>
            <w:r w:rsidRPr="005146D2">
              <w:rPr>
                <w:rFonts w:ascii="Arial" w:eastAsia="Lucida Sans Unicode" w:hAnsi="Arial" w:cs="Arial"/>
                <w:kern w:val="3"/>
                <w:lang w:eastAsia="en-US"/>
              </w:rPr>
              <w:t>0,227</w:t>
            </w:r>
          </w:p>
        </w:tc>
      </w:tr>
    </w:tbl>
    <w:p w14:paraId="7B3A5976" w14:textId="13F35253" w:rsidR="00575C57" w:rsidRDefault="00575C57" w:rsidP="00575C57">
      <w:pPr>
        <w:widowControl/>
        <w:spacing w:before="120" w:line="360" w:lineRule="auto"/>
        <w:rPr>
          <w:rFonts w:ascii="Arial" w:eastAsia="Calibri" w:hAnsi="Arial" w:cs="Arial"/>
          <w:i/>
          <w:lang w:eastAsia="en-US"/>
        </w:rPr>
      </w:pPr>
    </w:p>
    <w:p w14:paraId="33867196" w14:textId="2BB1AC80" w:rsidR="005146D2" w:rsidRDefault="005146D2" w:rsidP="00CA6220">
      <w:pPr>
        <w:pStyle w:val="NormalnyWeb"/>
        <w:tabs>
          <w:tab w:val="left" w:pos="284"/>
        </w:tabs>
        <w:spacing w:beforeAutospacing="0" w:after="120" w:afterAutospacing="0" w:line="360" w:lineRule="auto"/>
        <w:ind w:firstLine="284"/>
        <w:jc w:val="both"/>
        <w:rPr>
          <w:rFonts w:ascii="Arial" w:eastAsia="Calibri" w:hAnsi="Arial" w:cs="Arial"/>
          <w:lang w:eastAsia="en-US"/>
        </w:rPr>
      </w:pPr>
    </w:p>
    <w:p w14:paraId="5A3372E1" w14:textId="77777777" w:rsidR="00CA6220" w:rsidRDefault="00CA6220" w:rsidP="00CA6220">
      <w:pPr>
        <w:pStyle w:val="NormalnyWeb"/>
        <w:tabs>
          <w:tab w:val="left" w:pos="284"/>
        </w:tabs>
        <w:spacing w:beforeAutospacing="0" w:after="120" w:afterAutospacing="0" w:line="360" w:lineRule="auto"/>
        <w:ind w:firstLine="284"/>
        <w:jc w:val="both"/>
        <w:rPr>
          <w:rFonts w:ascii="Arial" w:eastAsia="Calibri" w:hAnsi="Arial" w:cs="Arial"/>
          <w:i/>
          <w:lang w:eastAsia="en-US"/>
        </w:rPr>
      </w:pPr>
    </w:p>
    <w:p w14:paraId="0534379B" w14:textId="77777777" w:rsidR="005146D2" w:rsidRPr="005146D2" w:rsidRDefault="005146D2" w:rsidP="00575C57">
      <w:pPr>
        <w:widowControl/>
        <w:spacing w:before="120" w:line="360" w:lineRule="auto"/>
        <w:rPr>
          <w:rFonts w:ascii="Arial" w:eastAsia="Calibri" w:hAnsi="Arial" w:cs="Arial"/>
          <w:i/>
          <w:lang w:eastAsia="en-US"/>
        </w:rPr>
      </w:pPr>
    </w:p>
    <w:p w14:paraId="08870293" w14:textId="77777777" w:rsidR="00575C57" w:rsidRPr="005146D2" w:rsidRDefault="00575C57" w:rsidP="00575C57">
      <w:pPr>
        <w:widowControl/>
        <w:spacing w:before="120" w:line="360" w:lineRule="auto"/>
        <w:rPr>
          <w:rFonts w:ascii="Arial" w:eastAsia="Calibri" w:hAnsi="Arial" w:cs="Arial"/>
          <w:i/>
          <w:lang w:eastAsia="en-US"/>
        </w:rPr>
      </w:pPr>
      <w:r w:rsidRPr="005146D2">
        <w:rPr>
          <w:rFonts w:ascii="Arial" w:eastAsia="Calibri" w:hAnsi="Arial" w:cs="Arial"/>
          <w:i/>
          <w:lang w:eastAsia="en-US"/>
        </w:rPr>
        <w:lastRenderedPageBreak/>
        <w:t>Rys. 3. Wyniki obliczeń wskaźnika W</w:t>
      </w:r>
      <w:r w:rsidRPr="005146D2">
        <w:rPr>
          <w:rFonts w:ascii="Arial" w:eastAsia="Calibri" w:hAnsi="Arial" w:cs="Arial"/>
          <w:i/>
          <w:vertAlign w:val="subscript"/>
          <w:lang w:eastAsia="en-US"/>
        </w:rPr>
        <w:t xml:space="preserve">S.Kontrola </w:t>
      </w:r>
      <w:r w:rsidRPr="005146D2">
        <w:rPr>
          <w:rFonts w:ascii="Arial" w:eastAsia="Calibri" w:hAnsi="Arial" w:cs="Arial"/>
          <w:i/>
          <w:lang w:eastAsia="en-US"/>
        </w:rPr>
        <w:t>[%]</w:t>
      </w:r>
      <w:r w:rsidRPr="005146D2">
        <w:rPr>
          <w:rFonts w:ascii="Arial" w:eastAsia="Calibri" w:hAnsi="Arial" w:cs="Arial"/>
          <w:i/>
          <w:vertAlign w:val="subscript"/>
          <w:lang w:eastAsia="en-US"/>
        </w:rPr>
        <w:t xml:space="preserve"> </w:t>
      </w:r>
      <w:r w:rsidRPr="005146D2">
        <w:rPr>
          <w:rFonts w:ascii="Arial" w:eastAsia="Calibri" w:hAnsi="Arial" w:cs="Arial"/>
          <w:i/>
          <w:lang w:eastAsia="en-US"/>
        </w:rPr>
        <w:t>w latach 2015-2023</w:t>
      </w:r>
    </w:p>
    <w:p w14:paraId="3E7A7ADF" w14:textId="77777777" w:rsidR="00575C57" w:rsidRPr="00575C57" w:rsidRDefault="00575C57" w:rsidP="00575C57">
      <w:pPr>
        <w:widowControl/>
        <w:spacing w:before="120" w:line="360" w:lineRule="auto"/>
        <w:rPr>
          <w:rFonts w:eastAsia="Calibri"/>
          <w:i/>
          <w:sz w:val="24"/>
          <w:szCs w:val="22"/>
          <w:highlight w:val="yellow"/>
          <w:lang w:eastAsia="en-US"/>
        </w:rPr>
      </w:pPr>
      <w:r w:rsidRPr="00575C57">
        <w:rPr>
          <w:rFonts w:eastAsia="Calibri"/>
          <w:noProof/>
          <w:sz w:val="24"/>
          <w:szCs w:val="22"/>
        </w:rPr>
        <w:drawing>
          <wp:inline distT="0" distB="0" distL="0" distR="0" wp14:anchorId="72D70FED" wp14:editId="3F8AEC70">
            <wp:extent cx="5772785" cy="2751455"/>
            <wp:effectExtent l="0" t="0" r="18415" b="10795"/>
            <wp:docPr id="20"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BC8A310" w14:textId="77777777" w:rsidR="00575C57" w:rsidRPr="005146D2" w:rsidRDefault="00575C57" w:rsidP="005146D2">
      <w:pPr>
        <w:widowControl/>
        <w:spacing w:before="120" w:after="120" w:line="360" w:lineRule="auto"/>
        <w:rPr>
          <w:rFonts w:ascii="Arial" w:eastAsia="Calibri" w:hAnsi="Arial" w:cs="Arial"/>
          <w:i/>
          <w:lang w:eastAsia="en-US"/>
        </w:rPr>
      </w:pPr>
      <w:r w:rsidRPr="005146D2">
        <w:rPr>
          <w:rFonts w:ascii="Arial" w:eastAsia="Calibri" w:hAnsi="Arial" w:cs="Arial"/>
          <w:i/>
          <w:lang w:eastAsia="en-US"/>
        </w:rPr>
        <w:t>Rys. 4. Wyniki obliczeń wskaźników W</w:t>
      </w:r>
      <w:r w:rsidRPr="005146D2">
        <w:rPr>
          <w:rFonts w:ascii="Arial" w:eastAsia="Calibri" w:hAnsi="Arial" w:cs="Arial"/>
          <w:i/>
          <w:vertAlign w:val="subscript"/>
          <w:lang w:eastAsia="en-US"/>
        </w:rPr>
        <w:t>S.NDP</w:t>
      </w:r>
      <w:r w:rsidRPr="005146D2">
        <w:rPr>
          <w:rFonts w:ascii="Arial" w:eastAsia="Calibri" w:hAnsi="Arial" w:cs="Arial"/>
          <w:i/>
          <w:lang w:eastAsia="en-US"/>
        </w:rPr>
        <w:t>,</w:t>
      </w:r>
      <w:r w:rsidRPr="005146D2">
        <w:rPr>
          <w:rFonts w:ascii="Arial" w:eastAsia="Calibri" w:hAnsi="Arial" w:cs="Arial"/>
          <w:i/>
          <w:vertAlign w:val="subscript"/>
          <w:lang w:eastAsia="en-US"/>
        </w:rPr>
        <w:t xml:space="preserve"> </w:t>
      </w:r>
      <w:r w:rsidRPr="005146D2">
        <w:rPr>
          <w:rFonts w:ascii="Arial" w:eastAsia="Calibri" w:hAnsi="Arial" w:cs="Arial"/>
          <w:i/>
          <w:lang w:eastAsia="en-US"/>
        </w:rPr>
        <w:t>W</w:t>
      </w:r>
      <w:r w:rsidRPr="005146D2">
        <w:rPr>
          <w:rFonts w:ascii="Arial" w:eastAsia="Calibri" w:hAnsi="Arial" w:cs="Arial"/>
          <w:i/>
          <w:vertAlign w:val="subscript"/>
          <w:lang w:eastAsia="en-US"/>
        </w:rPr>
        <w:t>S.Niedop</w:t>
      </w:r>
      <w:r w:rsidRPr="005146D2">
        <w:rPr>
          <w:rFonts w:ascii="Arial" w:eastAsia="Calibri" w:hAnsi="Arial" w:cs="Arial"/>
          <w:i/>
          <w:lang w:eastAsia="en-US"/>
        </w:rPr>
        <w:t xml:space="preserve"> w latach 2015-2023</w:t>
      </w:r>
    </w:p>
    <w:p w14:paraId="5B2485C9" w14:textId="77777777" w:rsidR="00575C57" w:rsidRPr="00575C57" w:rsidRDefault="00575C57" w:rsidP="00575C57">
      <w:pPr>
        <w:widowControl/>
        <w:spacing w:before="120" w:line="360" w:lineRule="auto"/>
        <w:rPr>
          <w:rFonts w:eastAsia="Calibri"/>
          <w:i/>
          <w:sz w:val="24"/>
          <w:szCs w:val="24"/>
          <w:lang w:eastAsia="en-US"/>
        </w:rPr>
      </w:pPr>
      <w:r w:rsidRPr="00575C57">
        <w:rPr>
          <w:rFonts w:eastAsia="Calibri"/>
          <w:noProof/>
          <w:sz w:val="24"/>
          <w:szCs w:val="22"/>
        </w:rPr>
        <w:drawing>
          <wp:inline distT="0" distB="0" distL="0" distR="0" wp14:anchorId="4F9D498C" wp14:editId="601B56ED">
            <wp:extent cx="5772785" cy="2774950"/>
            <wp:effectExtent l="0" t="0" r="18415" b="6350"/>
            <wp:docPr id="21"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32D5C4B" w14:textId="77777777" w:rsidR="00575C57" w:rsidRPr="00575C57" w:rsidRDefault="00575C57" w:rsidP="00575C57">
      <w:pPr>
        <w:widowControl/>
        <w:spacing w:before="120" w:line="360" w:lineRule="auto"/>
        <w:rPr>
          <w:rFonts w:eastAsia="Calibri"/>
          <w:i/>
          <w:sz w:val="24"/>
          <w:szCs w:val="24"/>
          <w:lang w:eastAsia="en-US"/>
        </w:rPr>
      </w:pPr>
    </w:p>
    <w:p w14:paraId="1E3A6EC8" w14:textId="7306F299" w:rsidR="00575C57" w:rsidRPr="005146D2" w:rsidRDefault="003157BB" w:rsidP="005146D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Należy podkreślić, że w</w:t>
      </w:r>
      <w:r w:rsidR="00575C57" w:rsidRPr="005146D2">
        <w:rPr>
          <w:rFonts w:ascii="Arial" w:hAnsi="Arial" w:cs="Arial"/>
        </w:rPr>
        <w:t>skaźnik wykryć nieprawidłowości w kontroli stosowania ś.o.r. (</w:t>
      </w:r>
      <w:r w:rsidR="00575C57" w:rsidRPr="003157BB">
        <w:rPr>
          <w:rFonts w:ascii="Arial" w:hAnsi="Arial" w:cs="Arial"/>
        </w:rPr>
        <w:t>W</w:t>
      </w:r>
      <w:r w:rsidR="00575C57" w:rsidRPr="003157BB">
        <w:rPr>
          <w:rFonts w:ascii="Arial" w:hAnsi="Arial" w:cs="Arial"/>
          <w:vertAlign w:val="subscript"/>
        </w:rPr>
        <w:t>S.Kontrola</w:t>
      </w:r>
      <w:r w:rsidR="00575C57" w:rsidRPr="005146D2">
        <w:rPr>
          <w:rFonts w:ascii="Arial" w:hAnsi="Arial" w:cs="Arial"/>
        </w:rPr>
        <w:t xml:space="preserve">) wykorzystywany jest jako miernik do monitorowania stopnia realizacji głównych celów </w:t>
      </w:r>
      <w:r>
        <w:rPr>
          <w:rFonts w:ascii="Arial" w:hAnsi="Arial" w:cs="Arial"/>
        </w:rPr>
        <w:t>k</w:t>
      </w:r>
      <w:r w:rsidR="00575C57" w:rsidRPr="005146D2">
        <w:rPr>
          <w:rFonts w:ascii="Arial" w:hAnsi="Arial" w:cs="Arial"/>
        </w:rPr>
        <w:t xml:space="preserve">rajowego </w:t>
      </w:r>
      <w:r>
        <w:rPr>
          <w:rFonts w:ascii="Arial" w:hAnsi="Arial" w:cs="Arial"/>
        </w:rPr>
        <w:t>p</w:t>
      </w:r>
      <w:r w:rsidR="00575C57" w:rsidRPr="005146D2">
        <w:rPr>
          <w:rFonts w:ascii="Arial" w:hAnsi="Arial" w:cs="Arial"/>
        </w:rPr>
        <w:t xml:space="preserve">lanu </w:t>
      </w:r>
      <w:r>
        <w:rPr>
          <w:rFonts w:ascii="Arial" w:hAnsi="Arial" w:cs="Arial"/>
        </w:rPr>
        <w:t>d</w:t>
      </w:r>
      <w:r w:rsidR="00575C57" w:rsidRPr="005146D2">
        <w:rPr>
          <w:rFonts w:ascii="Arial" w:hAnsi="Arial" w:cs="Arial"/>
        </w:rPr>
        <w:t xml:space="preserve">ziałania na rzecz ograniczenia ryzyka związanego ze stosowaniem środków ochrony roślin w latach 2023-2027. Przyjęta w KPD wartość graniczna miernika wynosi 1,5%. Wskaźnik ten uwzględnia wyniki prowadzonych przez PIORiN kontroli stosowania </w:t>
      </w:r>
      <w:r>
        <w:rPr>
          <w:rFonts w:ascii="Arial" w:hAnsi="Arial" w:cs="Arial"/>
        </w:rPr>
        <w:t>środków ochrony roślin</w:t>
      </w:r>
      <w:r w:rsidR="00575C57" w:rsidRPr="005146D2">
        <w:rPr>
          <w:rFonts w:ascii="Arial" w:hAnsi="Arial" w:cs="Arial"/>
        </w:rPr>
        <w:t xml:space="preserve"> w siedmiu szczegółowych obszarach kontroli i</w:t>
      </w:r>
      <w:r>
        <w:rPr>
          <w:rFonts w:ascii="Arial" w:hAnsi="Arial" w:cs="Arial"/>
        </w:rPr>
        <w:t> </w:t>
      </w:r>
      <w:r w:rsidR="00575C57" w:rsidRPr="005146D2">
        <w:rPr>
          <w:rFonts w:ascii="Arial" w:hAnsi="Arial" w:cs="Arial"/>
        </w:rPr>
        <w:t>obrazuje procentową liczbę nieprawidłowości w stosunku do liczby kontroli. Każdemu szczegółowemu obszarowi kontroli przypisana jest decyzyjnie indywidualna waga (w</w:t>
      </w:r>
      <w:r>
        <w:rPr>
          <w:rFonts w:ascii="Arial" w:hAnsi="Arial" w:cs="Arial"/>
        </w:rPr>
        <w:t> </w:t>
      </w:r>
      <w:r w:rsidR="00575C57" w:rsidRPr="005146D2">
        <w:rPr>
          <w:rFonts w:ascii="Arial" w:hAnsi="Arial" w:cs="Arial"/>
        </w:rPr>
        <w:t xml:space="preserve">uzgodnieniu z MRiRW) uwypuklająca znaczenie poszczególnych obszarów kontroli. Za najważniejszy obszar nieprawidłowości uznano użycie ś.o.r. niedopuszczonego do obrotu (waga 0,3), a za najmniej istotne posiadanie aktualnego zaświadczenia potwierdzającego ukończenie szkolenia </w:t>
      </w:r>
      <w:r w:rsidR="00575C57" w:rsidRPr="005146D2">
        <w:rPr>
          <w:rFonts w:ascii="Arial" w:hAnsi="Arial" w:cs="Arial"/>
        </w:rPr>
        <w:lastRenderedPageBreak/>
        <w:t>oraz nieprawidłowości w dokumentacji dotyczącej stosowania ś.o.r. (waga po 0,05 dla każdego z tych obszarów).</w:t>
      </w:r>
    </w:p>
    <w:p w14:paraId="42B8B7B6" w14:textId="04CC0F47" w:rsidR="00575C57" w:rsidRPr="003157BB" w:rsidRDefault="00575C57" w:rsidP="003157B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3157BB">
        <w:rPr>
          <w:rFonts w:ascii="Arial" w:hAnsi="Arial" w:cs="Arial"/>
        </w:rPr>
        <w:t>W</w:t>
      </w:r>
      <w:r w:rsidRPr="003157BB">
        <w:rPr>
          <w:rFonts w:ascii="Arial" w:eastAsia="Calibri" w:hAnsi="Arial" w:cs="Arial"/>
          <w:lang w:eastAsia="en-US"/>
        </w:rPr>
        <w:t xml:space="preserve"> 2023 </w:t>
      </w:r>
      <w:r w:rsidR="003157BB">
        <w:rPr>
          <w:rFonts w:ascii="Arial" w:eastAsia="Calibri" w:hAnsi="Arial" w:cs="Arial"/>
          <w:lang w:eastAsia="en-US"/>
        </w:rPr>
        <w:t xml:space="preserve">r. </w:t>
      </w:r>
      <w:r w:rsidRPr="003157BB">
        <w:rPr>
          <w:rFonts w:ascii="Arial" w:eastAsia="Calibri" w:hAnsi="Arial" w:cs="Arial"/>
          <w:lang w:eastAsia="en-US"/>
        </w:rPr>
        <w:t>nastąpił spadek wartości wskaźnika W</w:t>
      </w:r>
      <w:r w:rsidRPr="003157BB">
        <w:rPr>
          <w:rFonts w:ascii="Arial" w:eastAsia="Calibri" w:hAnsi="Arial" w:cs="Arial"/>
          <w:vertAlign w:val="subscript"/>
          <w:lang w:eastAsia="en-US"/>
        </w:rPr>
        <w:t>S.Kontrola</w:t>
      </w:r>
      <w:r w:rsidRPr="003157BB">
        <w:rPr>
          <w:rFonts w:ascii="Arial" w:eastAsia="Calibri" w:hAnsi="Arial" w:cs="Arial"/>
          <w:lang w:eastAsia="en-US"/>
        </w:rPr>
        <w:t xml:space="preserve"> z 1,369% do 1,177%. W dalszym ciągu głównym obszarem kontroli mającym wpływ na wartość wskaźnika jest „użycie ś.o.r. niezgodnie z</w:t>
      </w:r>
      <w:r w:rsidR="003157BB">
        <w:rPr>
          <w:rFonts w:ascii="Arial" w:eastAsia="Calibri" w:hAnsi="Arial" w:cs="Arial"/>
          <w:lang w:eastAsia="en-US"/>
        </w:rPr>
        <w:t> </w:t>
      </w:r>
      <w:r w:rsidRPr="003157BB">
        <w:rPr>
          <w:rFonts w:ascii="Arial" w:eastAsia="Calibri" w:hAnsi="Arial" w:cs="Arial"/>
          <w:lang w:eastAsia="en-US"/>
        </w:rPr>
        <w:t>zakresem stosowania” – 471 nieprawidłowości na 21</w:t>
      </w:r>
      <w:r w:rsidR="003157BB">
        <w:rPr>
          <w:rFonts w:ascii="Arial" w:eastAsia="Calibri" w:hAnsi="Arial" w:cs="Arial"/>
          <w:lang w:eastAsia="en-US"/>
        </w:rPr>
        <w:t> </w:t>
      </w:r>
      <w:r w:rsidRPr="003157BB">
        <w:rPr>
          <w:rFonts w:ascii="Arial" w:eastAsia="Calibri" w:hAnsi="Arial" w:cs="Arial"/>
          <w:lang w:eastAsia="en-US"/>
        </w:rPr>
        <w:t>651 kontroli (2,18%), co przekłada się na około 37% wartości wskaźnika (0,435%). Analizując zestawieni</w:t>
      </w:r>
      <w:r w:rsidR="003157BB">
        <w:rPr>
          <w:rFonts w:ascii="Arial" w:eastAsia="Calibri" w:hAnsi="Arial" w:cs="Arial"/>
          <w:lang w:eastAsia="en-US"/>
        </w:rPr>
        <w:t xml:space="preserve">e wyników kontroli stosowania z </w:t>
      </w:r>
      <w:r w:rsidRPr="003157BB">
        <w:rPr>
          <w:rFonts w:ascii="Arial" w:eastAsia="Calibri" w:hAnsi="Arial" w:cs="Arial"/>
          <w:lang w:eastAsia="en-US"/>
        </w:rPr>
        <w:t xml:space="preserve">2023 </w:t>
      </w:r>
      <w:r w:rsidR="003157BB">
        <w:rPr>
          <w:rFonts w:ascii="Arial" w:eastAsia="Calibri" w:hAnsi="Arial" w:cs="Arial"/>
          <w:lang w:eastAsia="en-US"/>
        </w:rPr>
        <w:t xml:space="preserve">r. </w:t>
      </w:r>
      <w:r w:rsidRPr="003157BB">
        <w:rPr>
          <w:rFonts w:ascii="Arial" w:eastAsia="Calibri" w:hAnsi="Arial" w:cs="Arial"/>
          <w:lang w:eastAsia="en-US"/>
        </w:rPr>
        <w:t>można szacować sumaryczną liczbę nieprawidłowości (łącznie wszystkie obszary kontroli) na około 8</w:t>
      </w:r>
      <w:r w:rsidR="003157BB">
        <w:rPr>
          <w:rFonts w:ascii="Arial" w:eastAsia="Calibri" w:hAnsi="Arial" w:cs="Arial"/>
          <w:lang w:eastAsia="en-US"/>
        </w:rPr>
        <w:t> </w:t>
      </w:r>
      <w:r w:rsidRPr="003157BB">
        <w:rPr>
          <w:rFonts w:ascii="Arial" w:eastAsia="Calibri" w:hAnsi="Arial" w:cs="Arial"/>
          <w:lang w:eastAsia="en-US"/>
        </w:rPr>
        <w:t>nieprawidłowości na 100 gospodarstw (8,135%). Jest to identyczny wynik jak w 2022</w:t>
      </w:r>
      <w:r w:rsidR="003157BB">
        <w:rPr>
          <w:rFonts w:ascii="Arial" w:eastAsia="Calibri" w:hAnsi="Arial" w:cs="Arial"/>
          <w:lang w:eastAsia="en-US"/>
        </w:rPr>
        <w:t xml:space="preserve"> r.</w:t>
      </w:r>
    </w:p>
    <w:p w14:paraId="436C9EC7" w14:textId="0A3F99C5" w:rsidR="00575C57" w:rsidRPr="003157BB" w:rsidRDefault="00575C57" w:rsidP="003157B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3157BB">
        <w:rPr>
          <w:rFonts w:ascii="Arial" w:eastAsia="Calibri" w:hAnsi="Arial" w:cs="Arial"/>
          <w:lang w:eastAsia="en-US"/>
        </w:rPr>
        <w:t>Na wartość wskaźnika W</w:t>
      </w:r>
      <w:r w:rsidRPr="003157BB">
        <w:rPr>
          <w:rFonts w:ascii="Arial" w:eastAsia="Calibri" w:hAnsi="Arial" w:cs="Arial"/>
          <w:vertAlign w:val="subscript"/>
          <w:lang w:eastAsia="en-US"/>
        </w:rPr>
        <w:t>S.NDP</w:t>
      </w:r>
      <w:r w:rsidRPr="003157BB">
        <w:rPr>
          <w:rFonts w:ascii="Arial" w:eastAsia="Calibri" w:hAnsi="Arial" w:cs="Arial"/>
          <w:lang w:eastAsia="en-US"/>
        </w:rPr>
        <w:t xml:space="preserve"> największy wpływ mają te uprawy, w których odnotowuje się największą liczbę przekroczeń NDP w stosunku do liczby przeprowadzonych kontroli. Dla następujących upraw liczba przekroczeń NDP w 2023 r</w:t>
      </w:r>
      <w:r w:rsidR="00995EFB">
        <w:rPr>
          <w:rFonts w:ascii="Arial" w:eastAsia="Calibri" w:hAnsi="Arial" w:cs="Arial"/>
          <w:lang w:eastAsia="en-US"/>
        </w:rPr>
        <w:t>.</w:t>
      </w:r>
      <w:r w:rsidRPr="003157BB">
        <w:rPr>
          <w:rFonts w:ascii="Arial" w:eastAsia="Calibri" w:hAnsi="Arial" w:cs="Arial"/>
          <w:lang w:eastAsia="en-US"/>
        </w:rPr>
        <w:t xml:space="preserve"> stanowiła co najmniej 10% liczby kontroli: koper (15,4%), jarmuż (12,5%), kapusta brukselska (11,1%), seler (10,7%), kapusta pekińska (10,6%).</w:t>
      </w:r>
    </w:p>
    <w:p w14:paraId="39141415" w14:textId="34E641AB" w:rsidR="00575C57" w:rsidRPr="003157BB" w:rsidRDefault="00575C57" w:rsidP="003157B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3157BB">
        <w:rPr>
          <w:rFonts w:ascii="Arial" w:eastAsia="Calibri" w:hAnsi="Arial" w:cs="Arial"/>
          <w:lang w:eastAsia="en-US"/>
        </w:rPr>
        <w:t>Z kolei na wartość wskaźnika W</w:t>
      </w:r>
      <w:r w:rsidRPr="003157BB">
        <w:rPr>
          <w:rFonts w:ascii="Arial" w:eastAsia="Calibri" w:hAnsi="Arial" w:cs="Arial"/>
          <w:vertAlign w:val="subscript"/>
          <w:lang w:eastAsia="en-US"/>
        </w:rPr>
        <w:t>S.Niedop.</w:t>
      </w:r>
      <w:r w:rsidRPr="003157BB">
        <w:rPr>
          <w:rFonts w:ascii="Arial" w:eastAsia="Calibri" w:hAnsi="Arial" w:cs="Arial"/>
          <w:lang w:eastAsia="en-US"/>
        </w:rPr>
        <w:t xml:space="preserve"> największy wpływ mają te uprawy, w których odnotowuje się największą liczbę wykryć substancji niedopuszczonych do stosowania w danej uprawie w stosunku do liczby przeprowadzonych kontroli. Poniżej wyszczególniono kilka upraw, dla których liczba wykryć substancji niedopuszczonych w stosunku do liczby próbek w 2023 r</w:t>
      </w:r>
      <w:r w:rsidR="003157BB">
        <w:rPr>
          <w:rFonts w:ascii="Arial" w:eastAsia="Calibri" w:hAnsi="Arial" w:cs="Arial"/>
          <w:lang w:eastAsia="en-US"/>
        </w:rPr>
        <w:t>.</w:t>
      </w:r>
      <w:r w:rsidRPr="003157BB">
        <w:rPr>
          <w:rFonts w:ascii="Arial" w:eastAsia="Calibri" w:hAnsi="Arial" w:cs="Arial"/>
          <w:lang w:eastAsia="en-US"/>
        </w:rPr>
        <w:t xml:space="preserve"> była najwyższa: kminek zwyczajny (283%), rabarbar (100%), koper (84%), agrest (51%). Występowanie wartości powyżej 100% </w:t>
      </w:r>
      <w:r w:rsidR="003157BB">
        <w:rPr>
          <w:rFonts w:ascii="Arial" w:eastAsia="Calibri" w:hAnsi="Arial" w:cs="Arial"/>
          <w:lang w:eastAsia="en-US"/>
        </w:rPr>
        <w:t>wynika</w:t>
      </w:r>
      <w:r w:rsidRPr="003157BB">
        <w:rPr>
          <w:rFonts w:ascii="Arial" w:eastAsia="Calibri" w:hAnsi="Arial" w:cs="Arial"/>
          <w:lang w:eastAsia="en-US"/>
        </w:rPr>
        <w:t xml:space="preserve"> się z faktu, że w jednej próbce może być stwierdzone występowanie kilku substancji czynnych niedopuszczonych do stosowania.</w:t>
      </w:r>
    </w:p>
    <w:p w14:paraId="525330A9" w14:textId="0E7BDC17" w:rsidR="00575C57" w:rsidRPr="003157BB" w:rsidRDefault="00575C57" w:rsidP="003157B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3157BB">
        <w:rPr>
          <w:rFonts w:ascii="Arial" w:eastAsia="Calibri" w:hAnsi="Arial" w:cs="Arial"/>
          <w:lang w:eastAsia="en-US"/>
        </w:rPr>
        <w:t>Należy zauważyć, że od lat liczba nieprawidłowości wynikających z zastosowania substancji niedopuszczonych do stosowania wielokrotnie przewyższa liczbę nieprawidłowości wynikających z</w:t>
      </w:r>
      <w:r w:rsidR="003157BB">
        <w:rPr>
          <w:rFonts w:ascii="Arial" w:eastAsia="Calibri" w:hAnsi="Arial" w:cs="Arial"/>
          <w:lang w:eastAsia="en-US"/>
        </w:rPr>
        <w:t> </w:t>
      </w:r>
      <w:r w:rsidRPr="003157BB">
        <w:rPr>
          <w:rFonts w:ascii="Arial" w:eastAsia="Calibri" w:hAnsi="Arial" w:cs="Arial"/>
          <w:lang w:eastAsia="en-US"/>
        </w:rPr>
        <w:t>przekroczeń NDP. W 2023 r. stwierdzono 687 wykryć substancji niedopuszczonych i 88 przekroczeń NDP (687/88 = 7,8).</w:t>
      </w:r>
    </w:p>
    <w:p w14:paraId="5C7EA4BA" w14:textId="77777777" w:rsidR="00575C57" w:rsidRPr="0049161C" w:rsidRDefault="00575C57" w:rsidP="00575C57">
      <w:pPr>
        <w:widowControl/>
        <w:spacing w:after="80" w:line="360" w:lineRule="auto"/>
        <w:jc w:val="both"/>
        <w:rPr>
          <w:rFonts w:ascii="Arial" w:eastAsia="Calibri" w:hAnsi="Arial" w:cs="Arial"/>
          <w:i/>
          <w:sz w:val="22"/>
          <w:szCs w:val="22"/>
          <w:u w:val="single"/>
          <w:lang w:eastAsia="en-US"/>
        </w:rPr>
      </w:pPr>
      <w:r w:rsidRPr="0049161C">
        <w:rPr>
          <w:rFonts w:ascii="Arial" w:eastAsia="Calibri" w:hAnsi="Arial" w:cs="Arial"/>
          <w:b/>
          <w:sz w:val="22"/>
          <w:szCs w:val="22"/>
          <w:lang w:eastAsia="en-US"/>
        </w:rPr>
        <w:t>4.</w:t>
      </w:r>
      <w:r w:rsidRPr="0049161C">
        <w:rPr>
          <w:rFonts w:ascii="Arial" w:eastAsia="Calibri" w:hAnsi="Arial" w:cs="Arial"/>
          <w:sz w:val="22"/>
          <w:szCs w:val="22"/>
          <w:lang w:eastAsia="en-US"/>
        </w:rPr>
        <w:tab/>
      </w:r>
      <w:r w:rsidRPr="0049161C">
        <w:rPr>
          <w:rFonts w:ascii="Arial" w:eastAsia="Calibri" w:hAnsi="Arial" w:cs="Arial"/>
          <w:b/>
          <w:sz w:val="22"/>
          <w:szCs w:val="22"/>
          <w:lang w:eastAsia="en-US"/>
        </w:rPr>
        <w:t>Zagrożenie wynikające z zanieczyszczenia wód powierzchniowych</w:t>
      </w:r>
    </w:p>
    <w:p w14:paraId="01824B8A" w14:textId="6121286A" w:rsidR="00575C57" w:rsidRPr="00CA6220" w:rsidRDefault="00575C57" w:rsidP="00CA6220">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A6220">
        <w:rPr>
          <w:rFonts w:ascii="Arial" w:eastAsia="Calibri" w:hAnsi="Arial" w:cs="Arial"/>
          <w:lang w:eastAsia="en-US"/>
        </w:rPr>
        <w:t>Do monitorowania zanieczyszczenia wód powierzchniowych w okresie prowadzenia działalności rolniczej służy wskaźnik „C” – „Wskaźnik obciążenia pestycydowego wód powierzchniowych” W</w:t>
      </w:r>
      <w:r w:rsidRPr="00CA6220">
        <w:rPr>
          <w:rFonts w:ascii="Arial" w:eastAsia="Calibri" w:hAnsi="Arial" w:cs="Arial"/>
          <w:vertAlign w:val="subscript"/>
          <w:lang w:eastAsia="en-US"/>
        </w:rPr>
        <w:t>WP</w:t>
      </w:r>
      <w:r w:rsidRPr="00CA6220">
        <w:rPr>
          <w:rFonts w:ascii="Arial" w:eastAsia="Calibri" w:hAnsi="Arial" w:cs="Arial"/>
          <w:lang w:eastAsia="en-US"/>
        </w:rPr>
        <w:t xml:space="preserve"> wyrażony w [µg/litr]. Dane do obliczeń wskaźnika pochodzą z badań próbek wód powierzchniowych z rzek z terenu całego kraju prowadzonych przez IOR</w:t>
      </w:r>
      <w:r w:rsidR="0049161C">
        <w:rPr>
          <w:rFonts w:ascii="Arial" w:eastAsia="Calibri" w:hAnsi="Arial" w:cs="Arial"/>
          <w:lang w:eastAsia="en-US"/>
        </w:rPr>
        <w:t xml:space="preserve"> </w:t>
      </w:r>
      <w:r w:rsidR="0049161C">
        <w:rPr>
          <w:rFonts w:ascii="Arial" w:hAnsi="Arial" w:cs="Arial"/>
        </w:rPr>
        <w:t xml:space="preserve">– </w:t>
      </w:r>
      <w:r w:rsidRPr="00CA6220">
        <w:rPr>
          <w:rFonts w:ascii="Arial" w:eastAsia="Calibri" w:hAnsi="Arial" w:cs="Arial"/>
          <w:lang w:eastAsia="en-US"/>
        </w:rPr>
        <w:t>PIB Poznań oraz Instytut Ogrodnictwa</w:t>
      </w:r>
      <w:r w:rsidR="0049161C">
        <w:rPr>
          <w:rFonts w:ascii="Arial" w:hAnsi="Arial" w:cs="Arial"/>
        </w:rPr>
        <w:t xml:space="preserve">– </w:t>
      </w:r>
      <w:r w:rsidR="0049161C" w:rsidRPr="00CA6220">
        <w:rPr>
          <w:rFonts w:ascii="Arial" w:eastAsia="Calibri" w:hAnsi="Arial" w:cs="Arial"/>
          <w:lang w:eastAsia="en-US"/>
        </w:rPr>
        <w:t>PIB</w:t>
      </w:r>
      <w:r w:rsidRPr="00CA6220">
        <w:rPr>
          <w:rFonts w:ascii="Arial" w:eastAsia="Calibri" w:hAnsi="Arial" w:cs="Arial"/>
          <w:lang w:eastAsia="en-US"/>
        </w:rPr>
        <w:t xml:space="preserve"> Skierniewice. W 2023</w:t>
      </w:r>
      <w:r w:rsidR="00995EFB">
        <w:rPr>
          <w:rFonts w:ascii="Arial" w:eastAsia="Calibri" w:hAnsi="Arial" w:cs="Arial"/>
          <w:lang w:eastAsia="en-US"/>
        </w:rPr>
        <w:t> r.</w:t>
      </w:r>
      <w:r w:rsidRPr="00CA6220">
        <w:rPr>
          <w:rFonts w:ascii="Arial" w:eastAsia="Calibri" w:hAnsi="Arial" w:cs="Arial"/>
          <w:lang w:eastAsia="en-US"/>
        </w:rPr>
        <w:t xml:space="preserve"> przebadano 648 próbek. Ze względu na funkcję wskaźnika zastosowano podział rzek na następujące rodzaje: </w:t>
      </w:r>
    </w:p>
    <w:p w14:paraId="7E98AA0C" w14:textId="7244B74F" w:rsidR="00575C57" w:rsidRPr="00CA6220" w:rsidRDefault="00575C57" w:rsidP="00CA6220">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CA6220">
        <w:rPr>
          <w:rFonts w:ascii="Arial" w:eastAsia="Calibri" w:hAnsi="Arial" w:cs="Arial"/>
          <w:lang w:eastAsia="en-US"/>
        </w:rPr>
        <w:t xml:space="preserve">rzeki małe o charakterze lokalnym, o przepływie do 10 m3/s, przebiegające przez tereny rolnicze. </w:t>
      </w:r>
    </w:p>
    <w:p w14:paraId="41C0820D" w14:textId="0867D777" w:rsidR="00575C57" w:rsidRPr="00CA6220" w:rsidRDefault="00575C57" w:rsidP="00CA6220">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CA6220">
        <w:rPr>
          <w:rFonts w:ascii="Arial" w:eastAsia="Calibri" w:hAnsi="Arial" w:cs="Arial"/>
          <w:lang w:eastAsia="en-US"/>
        </w:rPr>
        <w:t xml:space="preserve">rzeki średnie, o przepływie 10 – 100 m3/s, </w:t>
      </w:r>
    </w:p>
    <w:p w14:paraId="1149FD20" w14:textId="723B0E3F" w:rsidR="00575C57" w:rsidRPr="00CA6220" w:rsidRDefault="00575C57" w:rsidP="00CA6220">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CA6220">
        <w:rPr>
          <w:rFonts w:ascii="Arial" w:eastAsia="Lucida Sans Unicode" w:hAnsi="Arial" w:cs="Arial"/>
          <w:kern w:val="3"/>
          <w:lang w:eastAsia="en-US"/>
        </w:rPr>
        <w:t>rzeki</w:t>
      </w:r>
      <w:r w:rsidRPr="00CA6220">
        <w:rPr>
          <w:rFonts w:ascii="Arial" w:eastAsia="Calibri" w:hAnsi="Arial" w:cs="Arial"/>
          <w:lang w:eastAsia="en-US"/>
        </w:rPr>
        <w:t xml:space="preserve"> duże, o średnim natężeniu przepływu powyżej 100 m3/s w miejscu poboru próbki,</w:t>
      </w:r>
    </w:p>
    <w:p w14:paraId="5E806447" w14:textId="77777777" w:rsidR="00575C57" w:rsidRPr="00CA6220" w:rsidRDefault="00575C57" w:rsidP="00575C57">
      <w:pPr>
        <w:widowControl/>
        <w:spacing w:line="360" w:lineRule="auto"/>
        <w:jc w:val="both"/>
        <w:rPr>
          <w:rFonts w:ascii="Arial" w:eastAsia="Calibri" w:hAnsi="Arial" w:cs="Arial"/>
          <w:lang w:eastAsia="en-US"/>
        </w:rPr>
      </w:pPr>
      <w:r w:rsidRPr="00CA6220">
        <w:rPr>
          <w:rFonts w:ascii="Arial" w:eastAsia="Calibri" w:hAnsi="Arial" w:cs="Arial"/>
          <w:lang w:eastAsia="en-US"/>
        </w:rPr>
        <w:t>Wyniki obliczeń wskaźnika W</w:t>
      </w:r>
      <w:r w:rsidRPr="00CA6220">
        <w:rPr>
          <w:rFonts w:ascii="Arial" w:eastAsia="Calibri" w:hAnsi="Arial" w:cs="Arial"/>
          <w:vertAlign w:val="subscript"/>
          <w:lang w:eastAsia="en-US"/>
        </w:rPr>
        <w:t>WP</w:t>
      </w:r>
      <w:r w:rsidRPr="00CA6220">
        <w:rPr>
          <w:rFonts w:ascii="Arial" w:eastAsia="Calibri" w:hAnsi="Arial" w:cs="Arial"/>
          <w:lang w:eastAsia="en-US"/>
        </w:rPr>
        <w:t xml:space="preserve"> z lat 2019-2023 zaprezentowano w tabeli 4 i na rysunku 5.</w:t>
      </w:r>
    </w:p>
    <w:p w14:paraId="45B1CD98" w14:textId="77777777" w:rsidR="00CA6220" w:rsidRDefault="00CA6220" w:rsidP="00575C57">
      <w:pPr>
        <w:widowControl/>
        <w:spacing w:before="120" w:line="360" w:lineRule="auto"/>
        <w:rPr>
          <w:rFonts w:ascii="Arial" w:eastAsia="Calibri" w:hAnsi="Arial" w:cs="Arial"/>
          <w:i/>
          <w:lang w:eastAsia="en-US"/>
        </w:rPr>
      </w:pPr>
    </w:p>
    <w:p w14:paraId="7E93E5B6" w14:textId="2FC578A3" w:rsidR="00575C57" w:rsidRPr="00CA6220" w:rsidRDefault="00575C57" w:rsidP="00CA6220">
      <w:pPr>
        <w:widowControl/>
        <w:spacing w:before="120" w:after="120" w:line="360" w:lineRule="auto"/>
        <w:rPr>
          <w:rFonts w:ascii="Arial" w:eastAsia="Calibri" w:hAnsi="Arial" w:cs="Arial"/>
          <w:i/>
          <w:lang w:eastAsia="en-US"/>
        </w:rPr>
      </w:pPr>
      <w:r w:rsidRPr="00CA6220">
        <w:rPr>
          <w:rFonts w:ascii="Arial" w:eastAsia="Calibri" w:hAnsi="Arial" w:cs="Arial"/>
          <w:i/>
          <w:lang w:eastAsia="en-US"/>
        </w:rPr>
        <w:lastRenderedPageBreak/>
        <w:t>Tabela 4. Wyniki obliczeń wskaźnika W</w:t>
      </w:r>
      <w:r w:rsidRPr="00CA6220">
        <w:rPr>
          <w:rFonts w:ascii="Arial" w:eastAsia="Calibri" w:hAnsi="Arial" w:cs="Arial"/>
          <w:i/>
          <w:vertAlign w:val="subscript"/>
          <w:lang w:eastAsia="en-US"/>
        </w:rPr>
        <w:t>WP</w:t>
      </w:r>
    </w:p>
    <w:tbl>
      <w:tblPr>
        <w:tblStyle w:val="Tabela-Siatka2"/>
        <w:tblW w:w="0" w:type="auto"/>
        <w:tblInd w:w="0" w:type="dxa"/>
        <w:tblLook w:val="04A0" w:firstRow="1" w:lastRow="0" w:firstColumn="1" w:lastColumn="0" w:noHBand="0" w:noVBand="1"/>
      </w:tblPr>
      <w:tblGrid>
        <w:gridCol w:w="826"/>
        <w:gridCol w:w="2055"/>
        <w:gridCol w:w="2062"/>
        <w:gridCol w:w="2055"/>
        <w:gridCol w:w="2064"/>
      </w:tblGrid>
      <w:tr w:rsidR="00575C57" w:rsidRPr="00CA6220" w14:paraId="1F4699D9" w14:textId="77777777" w:rsidTr="00575C57">
        <w:trPr>
          <w:trHeight w:val="397"/>
        </w:trPr>
        <w:tc>
          <w:tcPr>
            <w:tcW w:w="834" w:type="dxa"/>
            <w:vMerge w:val="restart"/>
            <w:tcBorders>
              <w:top w:val="single" w:sz="4" w:space="0" w:color="auto"/>
              <w:left w:val="single" w:sz="4" w:space="0" w:color="auto"/>
              <w:bottom w:val="single" w:sz="4" w:space="0" w:color="auto"/>
              <w:right w:val="single" w:sz="4" w:space="0" w:color="auto"/>
            </w:tcBorders>
            <w:vAlign w:val="center"/>
            <w:hideMark/>
          </w:tcPr>
          <w:p w14:paraId="0AE062DE"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Rok</w:t>
            </w:r>
          </w:p>
        </w:tc>
        <w:tc>
          <w:tcPr>
            <w:tcW w:w="8454" w:type="dxa"/>
            <w:gridSpan w:val="4"/>
            <w:tcBorders>
              <w:top w:val="single" w:sz="4" w:space="0" w:color="auto"/>
              <w:left w:val="single" w:sz="4" w:space="0" w:color="auto"/>
              <w:bottom w:val="single" w:sz="4" w:space="0" w:color="auto"/>
              <w:right w:val="single" w:sz="4" w:space="0" w:color="auto"/>
            </w:tcBorders>
            <w:vAlign w:val="center"/>
            <w:hideMark/>
          </w:tcPr>
          <w:p w14:paraId="5D3D99EA"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Wskaźnik W</w:t>
            </w:r>
            <w:r w:rsidRPr="00CA6220">
              <w:rPr>
                <w:rFonts w:ascii="Arial" w:hAnsi="Arial" w:cs="Arial"/>
                <w:sz w:val="20"/>
                <w:szCs w:val="20"/>
                <w:vertAlign w:val="subscript"/>
              </w:rPr>
              <w:t>WP</w:t>
            </w:r>
            <w:r w:rsidRPr="00CA6220">
              <w:rPr>
                <w:rFonts w:ascii="Arial" w:hAnsi="Arial" w:cs="Arial"/>
                <w:sz w:val="20"/>
                <w:szCs w:val="20"/>
              </w:rPr>
              <w:t xml:space="preserve"> [µg/L]</w:t>
            </w:r>
          </w:p>
        </w:tc>
      </w:tr>
      <w:tr w:rsidR="00575C57" w:rsidRPr="00CA6220" w14:paraId="2E734A09" w14:textId="77777777" w:rsidTr="00575C5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88ECA0" w14:textId="77777777" w:rsidR="00575C57" w:rsidRPr="00CA6220" w:rsidRDefault="00575C57" w:rsidP="00575C57">
            <w:pPr>
              <w:widowControl/>
              <w:rPr>
                <w:rFonts w:ascii="Arial" w:hAnsi="Arial" w:cs="Arial"/>
                <w:sz w:val="20"/>
                <w:szCs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14:paraId="09EAAB51"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Rzeki małe</w:t>
            </w:r>
          </w:p>
        </w:tc>
        <w:tc>
          <w:tcPr>
            <w:tcW w:w="2114" w:type="dxa"/>
            <w:tcBorders>
              <w:top w:val="single" w:sz="4" w:space="0" w:color="auto"/>
              <w:left w:val="single" w:sz="4" w:space="0" w:color="auto"/>
              <w:bottom w:val="single" w:sz="4" w:space="0" w:color="auto"/>
              <w:right w:val="single" w:sz="4" w:space="0" w:color="auto"/>
            </w:tcBorders>
            <w:vAlign w:val="center"/>
            <w:hideMark/>
          </w:tcPr>
          <w:p w14:paraId="0ABAF934"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Rzeki średnie</w:t>
            </w:r>
          </w:p>
        </w:tc>
        <w:tc>
          <w:tcPr>
            <w:tcW w:w="2113" w:type="dxa"/>
            <w:tcBorders>
              <w:top w:val="single" w:sz="4" w:space="0" w:color="auto"/>
              <w:left w:val="single" w:sz="4" w:space="0" w:color="auto"/>
              <w:bottom w:val="single" w:sz="4" w:space="0" w:color="auto"/>
              <w:right w:val="single" w:sz="4" w:space="0" w:color="auto"/>
            </w:tcBorders>
            <w:vAlign w:val="center"/>
            <w:hideMark/>
          </w:tcPr>
          <w:p w14:paraId="41F6EAE6"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Rzeki duże</w:t>
            </w:r>
          </w:p>
        </w:tc>
        <w:tc>
          <w:tcPr>
            <w:tcW w:w="2114" w:type="dxa"/>
            <w:tcBorders>
              <w:top w:val="single" w:sz="4" w:space="0" w:color="auto"/>
              <w:left w:val="single" w:sz="4" w:space="0" w:color="auto"/>
              <w:bottom w:val="single" w:sz="4" w:space="0" w:color="auto"/>
              <w:right w:val="single" w:sz="4" w:space="0" w:color="auto"/>
            </w:tcBorders>
            <w:vAlign w:val="center"/>
            <w:hideMark/>
          </w:tcPr>
          <w:p w14:paraId="389E5D6F"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Łącznie</w:t>
            </w:r>
          </w:p>
        </w:tc>
      </w:tr>
      <w:tr w:rsidR="00575C57" w:rsidRPr="00CA6220" w14:paraId="045DB364" w14:textId="77777777" w:rsidTr="00575C57">
        <w:trPr>
          <w:trHeight w:val="340"/>
        </w:trPr>
        <w:tc>
          <w:tcPr>
            <w:tcW w:w="834" w:type="dxa"/>
            <w:tcBorders>
              <w:top w:val="single" w:sz="4" w:space="0" w:color="auto"/>
              <w:left w:val="single" w:sz="4" w:space="0" w:color="auto"/>
              <w:bottom w:val="single" w:sz="4" w:space="0" w:color="auto"/>
              <w:right w:val="single" w:sz="4" w:space="0" w:color="auto"/>
            </w:tcBorders>
            <w:vAlign w:val="center"/>
            <w:hideMark/>
          </w:tcPr>
          <w:p w14:paraId="17EC0587"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2019</w:t>
            </w:r>
          </w:p>
        </w:tc>
        <w:tc>
          <w:tcPr>
            <w:tcW w:w="2113" w:type="dxa"/>
            <w:tcBorders>
              <w:top w:val="single" w:sz="4" w:space="0" w:color="auto"/>
              <w:left w:val="single" w:sz="4" w:space="0" w:color="auto"/>
              <w:bottom w:val="single" w:sz="4" w:space="0" w:color="auto"/>
              <w:right w:val="single" w:sz="4" w:space="0" w:color="auto"/>
            </w:tcBorders>
            <w:vAlign w:val="center"/>
            <w:hideMark/>
          </w:tcPr>
          <w:p w14:paraId="549CBFBE"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0,892</w:t>
            </w:r>
          </w:p>
        </w:tc>
        <w:tc>
          <w:tcPr>
            <w:tcW w:w="2114" w:type="dxa"/>
            <w:tcBorders>
              <w:top w:val="single" w:sz="4" w:space="0" w:color="auto"/>
              <w:left w:val="single" w:sz="4" w:space="0" w:color="auto"/>
              <w:bottom w:val="single" w:sz="4" w:space="0" w:color="auto"/>
              <w:right w:val="single" w:sz="4" w:space="0" w:color="auto"/>
            </w:tcBorders>
            <w:vAlign w:val="center"/>
            <w:hideMark/>
          </w:tcPr>
          <w:p w14:paraId="1C74C29A"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0,516</w:t>
            </w:r>
          </w:p>
        </w:tc>
        <w:tc>
          <w:tcPr>
            <w:tcW w:w="2113" w:type="dxa"/>
            <w:tcBorders>
              <w:top w:val="single" w:sz="4" w:space="0" w:color="auto"/>
              <w:left w:val="single" w:sz="4" w:space="0" w:color="auto"/>
              <w:bottom w:val="single" w:sz="4" w:space="0" w:color="auto"/>
              <w:right w:val="single" w:sz="4" w:space="0" w:color="auto"/>
            </w:tcBorders>
            <w:vAlign w:val="center"/>
            <w:hideMark/>
          </w:tcPr>
          <w:p w14:paraId="465A5AF9"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0,914</w:t>
            </w:r>
          </w:p>
        </w:tc>
        <w:tc>
          <w:tcPr>
            <w:tcW w:w="2114" w:type="dxa"/>
            <w:tcBorders>
              <w:top w:val="single" w:sz="4" w:space="0" w:color="auto"/>
              <w:left w:val="single" w:sz="4" w:space="0" w:color="auto"/>
              <w:bottom w:val="single" w:sz="4" w:space="0" w:color="auto"/>
              <w:right w:val="single" w:sz="4" w:space="0" w:color="auto"/>
            </w:tcBorders>
            <w:vAlign w:val="center"/>
            <w:hideMark/>
          </w:tcPr>
          <w:p w14:paraId="1360D1CF"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0,799</w:t>
            </w:r>
          </w:p>
        </w:tc>
      </w:tr>
      <w:tr w:rsidR="00575C57" w:rsidRPr="00CA6220" w14:paraId="1A4B2269" w14:textId="77777777" w:rsidTr="00575C57">
        <w:trPr>
          <w:trHeight w:val="340"/>
        </w:trPr>
        <w:tc>
          <w:tcPr>
            <w:tcW w:w="834" w:type="dxa"/>
            <w:tcBorders>
              <w:top w:val="single" w:sz="4" w:space="0" w:color="auto"/>
              <w:left w:val="single" w:sz="4" w:space="0" w:color="auto"/>
              <w:bottom w:val="single" w:sz="4" w:space="0" w:color="auto"/>
              <w:right w:val="single" w:sz="4" w:space="0" w:color="auto"/>
            </w:tcBorders>
            <w:vAlign w:val="center"/>
            <w:hideMark/>
          </w:tcPr>
          <w:p w14:paraId="19B7B7DB"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2020</w:t>
            </w:r>
          </w:p>
        </w:tc>
        <w:tc>
          <w:tcPr>
            <w:tcW w:w="2113" w:type="dxa"/>
            <w:tcBorders>
              <w:top w:val="single" w:sz="4" w:space="0" w:color="auto"/>
              <w:left w:val="single" w:sz="4" w:space="0" w:color="auto"/>
              <w:bottom w:val="single" w:sz="4" w:space="0" w:color="auto"/>
              <w:right w:val="single" w:sz="4" w:space="0" w:color="auto"/>
            </w:tcBorders>
            <w:vAlign w:val="center"/>
            <w:hideMark/>
          </w:tcPr>
          <w:p w14:paraId="38150CB3"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2,165</w:t>
            </w:r>
          </w:p>
        </w:tc>
        <w:tc>
          <w:tcPr>
            <w:tcW w:w="2114" w:type="dxa"/>
            <w:tcBorders>
              <w:top w:val="single" w:sz="4" w:space="0" w:color="auto"/>
              <w:left w:val="single" w:sz="4" w:space="0" w:color="auto"/>
              <w:bottom w:val="single" w:sz="4" w:space="0" w:color="auto"/>
              <w:right w:val="single" w:sz="4" w:space="0" w:color="auto"/>
            </w:tcBorders>
            <w:vAlign w:val="center"/>
            <w:hideMark/>
          </w:tcPr>
          <w:p w14:paraId="1A94F517"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1,018</w:t>
            </w:r>
          </w:p>
        </w:tc>
        <w:tc>
          <w:tcPr>
            <w:tcW w:w="2113" w:type="dxa"/>
            <w:tcBorders>
              <w:top w:val="single" w:sz="4" w:space="0" w:color="auto"/>
              <w:left w:val="single" w:sz="4" w:space="0" w:color="auto"/>
              <w:bottom w:val="single" w:sz="4" w:space="0" w:color="auto"/>
              <w:right w:val="single" w:sz="4" w:space="0" w:color="auto"/>
            </w:tcBorders>
            <w:vAlign w:val="center"/>
            <w:hideMark/>
          </w:tcPr>
          <w:p w14:paraId="5F8B2076"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0,948</w:t>
            </w:r>
          </w:p>
        </w:tc>
        <w:tc>
          <w:tcPr>
            <w:tcW w:w="2114" w:type="dxa"/>
            <w:tcBorders>
              <w:top w:val="single" w:sz="4" w:space="0" w:color="auto"/>
              <w:left w:val="single" w:sz="4" w:space="0" w:color="auto"/>
              <w:bottom w:val="single" w:sz="4" w:space="0" w:color="auto"/>
              <w:right w:val="single" w:sz="4" w:space="0" w:color="auto"/>
            </w:tcBorders>
            <w:vAlign w:val="center"/>
            <w:hideMark/>
          </w:tcPr>
          <w:p w14:paraId="7769360A"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1,711</w:t>
            </w:r>
          </w:p>
        </w:tc>
      </w:tr>
      <w:tr w:rsidR="00575C57" w:rsidRPr="00CA6220" w14:paraId="21869B91" w14:textId="77777777" w:rsidTr="00575C57">
        <w:trPr>
          <w:trHeight w:val="340"/>
        </w:trPr>
        <w:tc>
          <w:tcPr>
            <w:tcW w:w="834" w:type="dxa"/>
            <w:tcBorders>
              <w:top w:val="single" w:sz="4" w:space="0" w:color="auto"/>
              <w:left w:val="single" w:sz="4" w:space="0" w:color="auto"/>
              <w:bottom w:val="single" w:sz="4" w:space="0" w:color="auto"/>
              <w:right w:val="single" w:sz="4" w:space="0" w:color="auto"/>
            </w:tcBorders>
            <w:vAlign w:val="center"/>
            <w:hideMark/>
          </w:tcPr>
          <w:p w14:paraId="4F73C486"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2021</w:t>
            </w:r>
          </w:p>
        </w:tc>
        <w:tc>
          <w:tcPr>
            <w:tcW w:w="2113" w:type="dxa"/>
            <w:tcBorders>
              <w:top w:val="single" w:sz="4" w:space="0" w:color="auto"/>
              <w:left w:val="single" w:sz="4" w:space="0" w:color="auto"/>
              <w:bottom w:val="single" w:sz="4" w:space="0" w:color="auto"/>
              <w:right w:val="single" w:sz="4" w:space="0" w:color="auto"/>
            </w:tcBorders>
            <w:vAlign w:val="center"/>
            <w:hideMark/>
          </w:tcPr>
          <w:p w14:paraId="2747333B"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1,157</w:t>
            </w:r>
          </w:p>
        </w:tc>
        <w:tc>
          <w:tcPr>
            <w:tcW w:w="2114" w:type="dxa"/>
            <w:tcBorders>
              <w:top w:val="single" w:sz="4" w:space="0" w:color="auto"/>
              <w:left w:val="single" w:sz="4" w:space="0" w:color="auto"/>
              <w:bottom w:val="single" w:sz="4" w:space="0" w:color="auto"/>
              <w:right w:val="single" w:sz="4" w:space="0" w:color="auto"/>
            </w:tcBorders>
            <w:vAlign w:val="center"/>
            <w:hideMark/>
          </w:tcPr>
          <w:p w14:paraId="71851D25"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0,189</w:t>
            </w:r>
          </w:p>
        </w:tc>
        <w:tc>
          <w:tcPr>
            <w:tcW w:w="2113" w:type="dxa"/>
            <w:tcBorders>
              <w:top w:val="single" w:sz="4" w:space="0" w:color="auto"/>
              <w:left w:val="single" w:sz="4" w:space="0" w:color="auto"/>
              <w:bottom w:val="single" w:sz="4" w:space="0" w:color="auto"/>
              <w:right w:val="single" w:sz="4" w:space="0" w:color="auto"/>
            </w:tcBorders>
            <w:vAlign w:val="center"/>
            <w:hideMark/>
          </w:tcPr>
          <w:p w14:paraId="1ABC15EC"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0,608</w:t>
            </w:r>
          </w:p>
        </w:tc>
        <w:tc>
          <w:tcPr>
            <w:tcW w:w="2114" w:type="dxa"/>
            <w:tcBorders>
              <w:top w:val="single" w:sz="4" w:space="0" w:color="auto"/>
              <w:left w:val="single" w:sz="4" w:space="0" w:color="auto"/>
              <w:bottom w:val="single" w:sz="4" w:space="0" w:color="auto"/>
              <w:right w:val="single" w:sz="4" w:space="0" w:color="auto"/>
            </w:tcBorders>
            <w:vAlign w:val="center"/>
            <w:hideMark/>
          </w:tcPr>
          <w:p w14:paraId="3CA1AD6A"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0,906</w:t>
            </w:r>
          </w:p>
        </w:tc>
      </w:tr>
      <w:tr w:rsidR="00575C57" w:rsidRPr="00CA6220" w14:paraId="24908498" w14:textId="77777777" w:rsidTr="00575C57">
        <w:trPr>
          <w:trHeight w:val="340"/>
        </w:trPr>
        <w:tc>
          <w:tcPr>
            <w:tcW w:w="834" w:type="dxa"/>
            <w:tcBorders>
              <w:top w:val="single" w:sz="4" w:space="0" w:color="auto"/>
              <w:left w:val="single" w:sz="4" w:space="0" w:color="auto"/>
              <w:bottom w:val="single" w:sz="4" w:space="0" w:color="auto"/>
              <w:right w:val="single" w:sz="4" w:space="0" w:color="auto"/>
            </w:tcBorders>
            <w:vAlign w:val="center"/>
            <w:hideMark/>
          </w:tcPr>
          <w:p w14:paraId="440ADE45"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2022</w:t>
            </w:r>
          </w:p>
        </w:tc>
        <w:tc>
          <w:tcPr>
            <w:tcW w:w="2113" w:type="dxa"/>
            <w:tcBorders>
              <w:top w:val="single" w:sz="4" w:space="0" w:color="auto"/>
              <w:left w:val="single" w:sz="4" w:space="0" w:color="auto"/>
              <w:bottom w:val="single" w:sz="4" w:space="0" w:color="auto"/>
              <w:right w:val="single" w:sz="4" w:space="0" w:color="auto"/>
            </w:tcBorders>
            <w:vAlign w:val="center"/>
            <w:hideMark/>
          </w:tcPr>
          <w:p w14:paraId="6FFDD9AD"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0,883</w:t>
            </w:r>
          </w:p>
        </w:tc>
        <w:tc>
          <w:tcPr>
            <w:tcW w:w="2114" w:type="dxa"/>
            <w:tcBorders>
              <w:top w:val="single" w:sz="4" w:space="0" w:color="auto"/>
              <w:left w:val="single" w:sz="4" w:space="0" w:color="auto"/>
              <w:bottom w:val="single" w:sz="4" w:space="0" w:color="auto"/>
              <w:right w:val="single" w:sz="4" w:space="0" w:color="auto"/>
            </w:tcBorders>
            <w:vAlign w:val="center"/>
            <w:hideMark/>
          </w:tcPr>
          <w:p w14:paraId="7894AF2A"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1,095</w:t>
            </w:r>
          </w:p>
        </w:tc>
        <w:tc>
          <w:tcPr>
            <w:tcW w:w="2113" w:type="dxa"/>
            <w:tcBorders>
              <w:top w:val="single" w:sz="4" w:space="0" w:color="auto"/>
              <w:left w:val="single" w:sz="4" w:space="0" w:color="auto"/>
              <w:bottom w:val="single" w:sz="4" w:space="0" w:color="auto"/>
              <w:right w:val="single" w:sz="4" w:space="0" w:color="auto"/>
            </w:tcBorders>
            <w:vAlign w:val="center"/>
            <w:hideMark/>
          </w:tcPr>
          <w:p w14:paraId="7B10DF0E"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0,653</w:t>
            </w:r>
          </w:p>
        </w:tc>
        <w:tc>
          <w:tcPr>
            <w:tcW w:w="2114" w:type="dxa"/>
            <w:tcBorders>
              <w:top w:val="single" w:sz="4" w:space="0" w:color="auto"/>
              <w:left w:val="single" w:sz="4" w:space="0" w:color="auto"/>
              <w:bottom w:val="single" w:sz="4" w:space="0" w:color="auto"/>
              <w:right w:val="single" w:sz="4" w:space="0" w:color="auto"/>
            </w:tcBorders>
            <w:vAlign w:val="center"/>
            <w:hideMark/>
          </w:tcPr>
          <w:p w14:paraId="514A2594"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0,915</w:t>
            </w:r>
          </w:p>
        </w:tc>
      </w:tr>
      <w:tr w:rsidR="00575C57" w:rsidRPr="00CA6220" w14:paraId="396BD819" w14:textId="77777777" w:rsidTr="00575C57">
        <w:trPr>
          <w:trHeight w:val="340"/>
        </w:trPr>
        <w:tc>
          <w:tcPr>
            <w:tcW w:w="834" w:type="dxa"/>
            <w:tcBorders>
              <w:top w:val="single" w:sz="4" w:space="0" w:color="auto"/>
              <w:left w:val="single" w:sz="4" w:space="0" w:color="auto"/>
              <w:bottom w:val="single" w:sz="4" w:space="0" w:color="auto"/>
              <w:right w:val="single" w:sz="4" w:space="0" w:color="auto"/>
            </w:tcBorders>
            <w:vAlign w:val="center"/>
            <w:hideMark/>
          </w:tcPr>
          <w:p w14:paraId="573B8F4A"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2023</w:t>
            </w:r>
          </w:p>
        </w:tc>
        <w:tc>
          <w:tcPr>
            <w:tcW w:w="2113" w:type="dxa"/>
            <w:tcBorders>
              <w:top w:val="single" w:sz="4" w:space="0" w:color="auto"/>
              <w:left w:val="single" w:sz="4" w:space="0" w:color="auto"/>
              <w:bottom w:val="single" w:sz="4" w:space="0" w:color="auto"/>
              <w:right w:val="single" w:sz="4" w:space="0" w:color="auto"/>
            </w:tcBorders>
            <w:vAlign w:val="center"/>
            <w:hideMark/>
          </w:tcPr>
          <w:p w14:paraId="22F4DC15"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1,503</w:t>
            </w:r>
          </w:p>
        </w:tc>
        <w:tc>
          <w:tcPr>
            <w:tcW w:w="2114" w:type="dxa"/>
            <w:tcBorders>
              <w:top w:val="single" w:sz="4" w:space="0" w:color="auto"/>
              <w:left w:val="single" w:sz="4" w:space="0" w:color="auto"/>
              <w:bottom w:val="single" w:sz="4" w:space="0" w:color="auto"/>
              <w:right w:val="single" w:sz="4" w:space="0" w:color="auto"/>
            </w:tcBorders>
            <w:vAlign w:val="center"/>
            <w:hideMark/>
          </w:tcPr>
          <w:p w14:paraId="26ABCF12"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0,268</w:t>
            </w:r>
          </w:p>
        </w:tc>
        <w:tc>
          <w:tcPr>
            <w:tcW w:w="2113" w:type="dxa"/>
            <w:tcBorders>
              <w:top w:val="single" w:sz="4" w:space="0" w:color="auto"/>
              <w:left w:val="single" w:sz="4" w:space="0" w:color="auto"/>
              <w:bottom w:val="single" w:sz="4" w:space="0" w:color="auto"/>
              <w:right w:val="single" w:sz="4" w:space="0" w:color="auto"/>
            </w:tcBorders>
            <w:vAlign w:val="center"/>
            <w:hideMark/>
          </w:tcPr>
          <w:p w14:paraId="2833BD48"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1,087</w:t>
            </w:r>
          </w:p>
        </w:tc>
        <w:tc>
          <w:tcPr>
            <w:tcW w:w="2114" w:type="dxa"/>
            <w:tcBorders>
              <w:top w:val="single" w:sz="4" w:space="0" w:color="auto"/>
              <w:left w:val="single" w:sz="4" w:space="0" w:color="auto"/>
              <w:bottom w:val="single" w:sz="4" w:space="0" w:color="auto"/>
              <w:right w:val="single" w:sz="4" w:space="0" w:color="auto"/>
            </w:tcBorders>
            <w:vAlign w:val="center"/>
            <w:hideMark/>
          </w:tcPr>
          <w:p w14:paraId="63F14188" w14:textId="77777777" w:rsidR="00575C57" w:rsidRPr="00CA6220" w:rsidRDefault="00575C57" w:rsidP="00575C57">
            <w:pPr>
              <w:widowControl/>
              <w:jc w:val="center"/>
              <w:rPr>
                <w:rFonts w:ascii="Arial" w:hAnsi="Arial" w:cs="Arial"/>
                <w:sz w:val="20"/>
                <w:szCs w:val="20"/>
              </w:rPr>
            </w:pPr>
            <w:r w:rsidRPr="00CA6220">
              <w:rPr>
                <w:rFonts w:ascii="Arial" w:hAnsi="Arial" w:cs="Arial"/>
                <w:sz w:val="20"/>
                <w:szCs w:val="20"/>
              </w:rPr>
              <w:t>1,131</w:t>
            </w:r>
          </w:p>
        </w:tc>
      </w:tr>
    </w:tbl>
    <w:p w14:paraId="794DFAD0" w14:textId="77777777" w:rsidR="00575C57" w:rsidRPr="00575C57" w:rsidRDefault="00575C57" w:rsidP="00575C57">
      <w:pPr>
        <w:widowControl/>
        <w:spacing w:before="120" w:line="360" w:lineRule="auto"/>
        <w:rPr>
          <w:rFonts w:eastAsia="Calibri"/>
          <w:i/>
          <w:sz w:val="14"/>
          <w:szCs w:val="22"/>
          <w:lang w:eastAsia="en-US"/>
        </w:rPr>
      </w:pPr>
    </w:p>
    <w:p w14:paraId="3F9C058F" w14:textId="77777777" w:rsidR="00575C57" w:rsidRPr="00CA6220" w:rsidRDefault="00575C57" w:rsidP="00CA6220">
      <w:pPr>
        <w:widowControl/>
        <w:spacing w:before="120" w:after="120" w:line="360" w:lineRule="auto"/>
        <w:rPr>
          <w:rFonts w:ascii="Arial" w:eastAsia="Calibri" w:hAnsi="Arial" w:cs="Arial"/>
          <w:i/>
          <w:lang w:eastAsia="en-US"/>
        </w:rPr>
      </w:pPr>
      <w:r w:rsidRPr="00CA6220">
        <w:rPr>
          <w:rFonts w:ascii="Arial" w:eastAsia="Calibri" w:hAnsi="Arial" w:cs="Arial"/>
          <w:i/>
          <w:lang w:eastAsia="en-US"/>
        </w:rPr>
        <w:t>Rys. 5. Wyniki obliczeń wskaźnika W</w:t>
      </w:r>
      <w:r w:rsidRPr="00CA6220">
        <w:rPr>
          <w:rFonts w:ascii="Arial" w:eastAsia="Calibri" w:hAnsi="Arial" w:cs="Arial"/>
          <w:i/>
          <w:vertAlign w:val="subscript"/>
          <w:lang w:eastAsia="en-US"/>
        </w:rPr>
        <w:t xml:space="preserve">WP </w:t>
      </w:r>
      <w:r w:rsidRPr="00CA6220">
        <w:rPr>
          <w:rFonts w:ascii="Arial" w:eastAsia="Calibri" w:hAnsi="Arial" w:cs="Arial"/>
          <w:i/>
          <w:lang w:eastAsia="en-US"/>
        </w:rPr>
        <w:t>w latach 2019-2023</w:t>
      </w:r>
    </w:p>
    <w:p w14:paraId="5F8E0C80" w14:textId="77777777" w:rsidR="00575C57" w:rsidRPr="00575C57" w:rsidRDefault="00575C57" w:rsidP="00575C57">
      <w:pPr>
        <w:widowControl/>
        <w:suppressAutoHyphens/>
        <w:autoSpaceDN w:val="0"/>
        <w:spacing w:line="360" w:lineRule="auto"/>
        <w:jc w:val="both"/>
        <w:rPr>
          <w:rFonts w:eastAsia="Lucida Sans Unicode" w:cs="F"/>
          <w:kern w:val="3"/>
          <w:sz w:val="24"/>
          <w:szCs w:val="22"/>
          <w:highlight w:val="yellow"/>
          <w:lang w:eastAsia="en-US"/>
        </w:rPr>
      </w:pPr>
      <w:r w:rsidRPr="00575C57">
        <w:rPr>
          <w:rFonts w:eastAsia="Lucida Sans Unicode" w:cs="F"/>
          <w:noProof/>
          <w:kern w:val="3"/>
          <w:sz w:val="24"/>
          <w:szCs w:val="22"/>
        </w:rPr>
        <w:drawing>
          <wp:inline distT="0" distB="0" distL="0" distR="0" wp14:anchorId="13E29E7D" wp14:editId="5B6CA6DD">
            <wp:extent cx="5645426" cy="2488758"/>
            <wp:effectExtent l="0" t="0" r="12700" b="6985"/>
            <wp:docPr id="22"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7826443" w14:textId="600CCAB8" w:rsidR="00575C57" w:rsidRPr="00CA6220" w:rsidRDefault="00575C57" w:rsidP="00E82897">
      <w:pPr>
        <w:pStyle w:val="NormalnyWeb"/>
        <w:tabs>
          <w:tab w:val="left" w:pos="284"/>
        </w:tabs>
        <w:spacing w:after="120" w:line="360" w:lineRule="auto"/>
        <w:ind w:firstLine="284"/>
        <w:jc w:val="both"/>
        <w:rPr>
          <w:rFonts w:ascii="Arial" w:eastAsia="Calibri" w:hAnsi="Arial" w:cs="Arial"/>
          <w:lang w:eastAsia="en-US"/>
        </w:rPr>
      </w:pPr>
      <w:r w:rsidRPr="00CA6220">
        <w:rPr>
          <w:rFonts w:ascii="Arial" w:eastAsia="Calibri" w:hAnsi="Arial" w:cs="Arial"/>
          <w:lang w:eastAsia="en-US"/>
        </w:rPr>
        <w:t xml:space="preserve">Uzyskane wyniki można interpretować w świetle przepisów dotyczących wody pitnej, gdzie dopuszczalne stężenie sumy pestycydów wynosi 0,5 µg/L, lub w świetle wymagań, jakim powinny odpowiadać wody powierzchniowe wykorzystywane do zaopatrzenia ludności w wodę przeznaczoną do spożycia (według załącznika 1 </w:t>
      </w:r>
      <w:r w:rsidR="00CA6220">
        <w:rPr>
          <w:rFonts w:ascii="Arial" w:eastAsia="Calibri" w:hAnsi="Arial" w:cs="Arial"/>
          <w:lang w:eastAsia="en-US"/>
        </w:rPr>
        <w:t>r</w:t>
      </w:r>
      <w:r w:rsidRPr="00CA6220">
        <w:rPr>
          <w:rFonts w:ascii="Arial" w:eastAsia="Calibri" w:hAnsi="Arial" w:cs="Arial"/>
          <w:lang w:eastAsia="en-US"/>
        </w:rPr>
        <w:t>ozporządzenia</w:t>
      </w:r>
      <w:r w:rsidR="00E82897" w:rsidRPr="00E82897">
        <w:rPr>
          <w:rFonts w:ascii="Arial" w:eastAsia="Calibri" w:hAnsi="Arial" w:cs="Arial"/>
          <w:lang w:eastAsia="en-US"/>
        </w:rPr>
        <w:t xml:space="preserve"> Ministra Gospodarki Morskiej i Żeglugi Śródlądowej </w:t>
      </w:r>
      <w:r w:rsidR="00DD78AC" w:rsidRPr="00E82897">
        <w:rPr>
          <w:rFonts w:ascii="Arial" w:eastAsia="Calibri" w:hAnsi="Arial" w:cs="Arial"/>
          <w:lang w:eastAsia="en-US"/>
        </w:rPr>
        <w:t>z</w:t>
      </w:r>
      <w:r w:rsidR="00DD78AC">
        <w:rPr>
          <w:rFonts w:ascii="Arial" w:eastAsia="Calibri" w:hAnsi="Arial" w:cs="Arial"/>
          <w:lang w:eastAsia="en-US"/>
        </w:rPr>
        <w:t> </w:t>
      </w:r>
      <w:r w:rsidR="00DD78AC" w:rsidRPr="00E82897">
        <w:rPr>
          <w:rFonts w:ascii="Arial" w:eastAsia="Calibri" w:hAnsi="Arial" w:cs="Arial"/>
          <w:lang w:eastAsia="en-US"/>
        </w:rPr>
        <w:t xml:space="preserve">dnia 29 sierpnia 2019 r. </w:t>
      </w:r>
      <w:r w:rsidR="00E82897" w:rsidRPr="00E82897">
        <w:rPr>
          <w:rFonts w:ascii="Arial" w:eastAsia="Calibri" w:hAnsi="Arial" w:cs="Arial"/>
          <w:lang w:eastAsia="en-US"/>
        </w:rPr>
        <w:t>w sprawie wymagań, jakim powinny odpowiadać wody powierzchniowe wykorzystywane do zaopatrzenia ludności w wodę przeznaczoną do spożycia przez ludzi</w:t>
      </w:r>
      <w:r w:rsidR="00D42AFB">
        <w:rPr>
          <w:rFonts w:ascii="Arial" w:eastAsia="Calibri" w:hAnsi="Arial" w:cs="Arial"/>
          <w:lang w:eastAsia="en-US"/>
        </w:rPr>
        <w:t xml:space="preserve"> Dz. U. poz</w:t>
      </w:r>
      <w:r w:rsidR="009C0A20">
        <w:rPr>
          <w:rFonts w:ascii="Arial" w:eastAsia="Calibri" w:hAnsi="Arial" w:cs="Arial"/>
          <w:lang w:eastAsia="en-US"/>
        </w:rPr>
        <w:t>.</w:t>
      </w:r>
      <w:r w:rsidR="00D42AFB">
        <w:rPr>
          <w:rFonts w:ascii="Arial" w:eastAsia="Calibri" w:hAnsi="Arial" w:cs="Arial"/>
          <w:lang w:eastAsia="en-US"/>
        </w:rPr>
        <w:t xml:space="preserve"> </w:t>
      </w:r>
      <w:r w:rsidR="009C0A20">
        <w:rPr>
          <w:rFonts w:ascii="Arial" w:eastAsia="Calibri" w:hAnsi="Arial" w:cs="Arial"/>
          <w:lang w:eastAsia="en-US"/>
        </w:rPr>
        <w:t>1747)</w:t>
      </w:r>
      <w:r w:rsidR="00E82897" w:rsidRPr="00E82897">
        <w:rPr>
          <w:rFonts w:ascii="Arial" w:eastAsia="Calibri" w:hAnsi="Arial" w:cs="Arial"/>
          <w:lang w:eastAsia="en-US"/>
        </w:rPr>
        <w:t>)</w:t>
      </w:r>
      <w:r w:rsidR="000C6FB2">
        <w:rPr>
          <w:rFonts w:ascii="Arial" w:eastAsia="Calibri" w:hAnsi="Arial" w:cs="Arial"/>
          <w:lang w:eastAsia="en-US"/>
        </w:rPr>
        <w:t>.</w:t>
      </w:r>
    </w:p>
    <w:p w14:paraId="104D4F69" w14:textId="77777777" w:rsidR="00575C57" w:rsidRPr="00CA6220" w:rsidRDefault="00575C57" w:rsidP="00CA6220">
      <w:pPr>
        <w:widowControl/>
        <w:spacing w:before="120" w:after="120" w:line="360" w:lineRule="auto"/>
        <w:rPr>
          <w:rFonts w:ascii="Arial" w:eastAsia="Calibri" w:hAnsi="Arial" w:cs="Arial"/>
          <w:i/>
          <w:lang w:eastAsia="en-US"/>
        </w:rPr>
      </w:pPr>
      <w:r w:rsidRPr="00CA6220">
        <w:rPr>
          <w:rFonts w:ascii="Arial" w:eastAsia="Calibri" w:hAnsi="Arial" w:cs="Arial"/>
          <w:i/>
          <w:lang w:eastAsia="en-US"/>
        </w:rPr>
        <w:t>Tabela 5. Kategorie jakości wody pitnej</w:t>
      </w:r>
    </w:p>
    <w:tbl>
      <w:tblPr>
        <w:tblStyle w:val="Tabela-Siatka2"/>
        <w:tblW w:w="0" w:type="auto"/>
        <w:tblInd w:w="108" w:type="dxa"/>
        <w:tblLook w:val="04A0" w:firstRow="1" w:lastRow="0" w:firstColumn="1" w:lastColumn="0" w:noHBand="0" w:noVBand="1"/>
      </w:tblPr>
      <w:tblGrid>
        <w:gridCol w:w="2369"/>
        <w:gridCol w:w="2925"/>
        <w:gridCol w:w="3660"/>
      </w:tblGrid>
      <w:tr w:rsidR="00575C57" w:rsidRPr="00575C57" w14:paraId="747E862D" w14:textId="77777777" w:rsidTr="00575C57">
        <w:trPr>
          <w:trHeight w:val="474"/>
        </w:trPr>
        <w:tc>
          <w:tcPr>
            <w:tcW w:w="2410" w:type="dxa"/>
            <w:tcBorders>
              <w:top w:val="single" w:sz="4" w:space="0" w:color="auto"/>
              <w:left w:val="single" w:sz="4" w:space="0" w:color="auto"/>
              <w:bottom w:val="single" w:sz="4" w:space="0" w:color="auto"/>
              <w:right w:val="single" w:sz="4" w:space="0" w:color="auto"/>
            </w:tcBorders>
            <w:vAlign w:val="center"/>
            <w:hideMark/>
          </w:tcPr>
          <w:p w14:paraId="00EC264C" w14:textId="77777777" w:rsidR="00575C57" w:rsidRPr="00CA6220" w:rsidRDefault="00575C57" w:rsidP="00575C57">
            <w:pPr>
              <w:widowControl/>
              <w:spacing w:before="60" w:after="60"/>
              <w:jc w:val="center"/>
              <w:rPr>
                <w:rFonts w:ascii="Arial" w:hAnsi="Arial" w:cs="Arial"/>
                <w:sz w:val="20"/>
                <w:szCs w:val="20"/>
              </w:rPr>
            </w:pPr>
            <w:r w:rsidRPr="00CA6220">
              <w:rPr>
                <w:rFonts w:ascii="Arial" w:hAnsi="Arial" w:cs="Arial"/>
                <w:sz w:val="20"/>
                <w:szCs w:val="20"/>
              </w:rPr>
              <w:t>Kategoria jakości wody</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E85D918" w14:textId="77777777" w:rsidR="00575C57" w:rsidRPr="00CA6220" w:rsidRDefault="00575C57" w:rsidP="00575C57">
            <w:pPr>
              <w:widowControl/>
              <w:spacing w:before="60" w:after="60"/>
              <w:jc w:val="center"/>
              <w:rPr>
                <w:rFonts w:ascii="Arial" w:hAnsi="Arial" w:cs="Arial"/>
                <w:sz w:val="20"/>
                <w:szCs w:val="20"/>
              </w:rPr>
            </w:pPr>
            <w:r w:rsidRPr="00CA6220">
              <w:rPr>
                <w:rFonts w:ascii="Arial" w:hAnsi="Arial" w:cs="Arial"/>
                <w:sz w:val="20"/>
                <w:szCs w:val="20"/>
              </w:rPr>
              <w:t>Zawartość sumy pestycydów</w:t>
            </w:r>
          </w:p>
        </w:tc>
        <w:tc>
          <w:tcPr>
            <w:tcW w:w="3717" w:type="dxa"/>
            <w:tcBorders>
              <w:top w:val="single" w:sz="4" w:space="0" w:color="auto"/>
              <w:left w:val="single" w:sz="4" w:space="0" w:color="auto"/>
              <w:bottom w:val="single" w:sz="4" w:space="0" w:color="auto"/>
              <w:right w:val="single" w:sz="4" w:space="0" w:color="auto"/>
            </w:tcBorders>
            <w:vAlign w:val="center"/>
            <w:hideMark/>
          </w:tcPr>
          <w:p w14:paraId="6FE6635B" w14:textId="77777777" w:rsidR="00575C57" w:rsidRPr="00CA6220" w:rsidRDefault="00575C57" w:rsidP="00575C57">
            <w:pPr>
              <w:widowControl/>
              <w:spacing w:before="60" w:after="60"/>
              <w:jc w:val="center"/>
              <w:rPr>
                <w:rFonts w:ascii="Arial" w:hAnsi="Arial" w:cs="Arial"/>
                <w:sz w:val="20"/>
                <w:szCs w:val="20"/>
              </w:rPr>
            </w:pPr>
            <w:r w:rsidRPr="00CA6220">
              <w:rPr>
                <w:rFonts w:ascii="Arial" w:hAnsi="Arial" w:cs="Arial"/>
                <w:sz w:val="20"/>
                <w:szCs w:val="20"/>
              </w:rPr>
              <w:t>Wymagania dotyczące uzdatniania</w:t>
            </w:r>
          </w:p>
        </w:tc>
      </w:tr>
      <w:tr w:rsidR="00575C57" w:rsidRPr="00575C57" w14:paraId="5ED27799" w14:textId="77777777" w:rsidTr="00575C57">
        <w:tc>
          <w:tcPr>
            <w:tcW w:w="2410" w:type="dxa"/>
            <w:tcBorders>
              <w:top w:val="single" w:sz="4" w:space="0" w:color="auto"/>
              <w:left w:val="single" w:sz="4" w:space="0" w:color="auto"/>
              <w:bottom w:val="single" w:sz="4" w:space="0" w:color="auto"/>
              <w:right w:val="single" w:sz="4" w:space="0" w:color="auto"/>
            </w:tcBorders>
            <w:vAlign w:val="center"/>
            <w:hideMark/>
          </w:tcPr>
          <w:p w14:paraId="34EE70BF"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A1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A6827BA"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Do 0,001 mg/L  (1 µg/L)</w:t>
            </w:r>
          </w:p>
        </w:tc>
        <w:tc>
          <w:tcPr>
            <w:tcW w:w="3717" w:type="dxa"/>
            <w:tcBorders>
              <w:top w:val="single" w:sz="4" w:space="0" w:color="auto"/>
              <w:left w:val="single" w:sz="4" w:space="0" w:color="auto"/>
              <w:bottom w:val="single" w:sz="4" w:space="0" w:color="auto"/>
              <w:right w:val="single" w:sz="4" w:space="0" w:color="auto"/>
            </w:tcBorders>
            <w:vAlign w:val="center"/>
            <w:hideMark/>
          </w:tcPr>
          <w:p w14:paraId="48C8EA54"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Woda wymagająca prostego uzdatniania fizycznego</w:t>
            </w:r>
          </w:p>
        </w:tc>
      </w:tr>
      <w:tr w:rsidR="00575C57" w:rsidRPr="00575C57" w14:paraId="07012BD3" w14:textId="77777777" w:rsidTr="00575C57">
        <w:tc>
          <w:tcPr>
            <w:tcW w:w="2410" w:type="dxa"/>
            <w:tcBorders>
              <w:top w:val="single" w:sz="4" w:space="0" w:color="auto"/>
              <w:left w:val="single" w:sz="4" w:space="0" w:color="auto"/>
              <w:bottom w:val="single" w:sz="4" w:space="0" w:color="auto"/>
              <w:right w:val="single" w:sz="4" w:space="0" w:color="auto"/>
            </w:tcBorders>
            <w:vAlign w:val="center"/>
            <w:hideMark/>
          </w:tcPr>
          <w:p w14:paraId="4B4315AD"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A2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A379AB"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Do 0,0025 mg/L  (2,5 µg/L)</w:t>
            </w:r>
          </w:p>
        </w:tc>
        <w:tc>
          <w:tcPr>
            <w:tcW w:w="3717" w:type="dxa"/>
            <w:tcBorders>
              <w:top w:val="single" w:sz="4" w:space="0" w:color="auto"/>
              <w:left w:val="single" w:sz="4" w:space="0" w:color="auto"/>
              <w:bottom w:val="single" w:sz="4" w:space="0" w:color="auto"/>
              <w:right w:val="single" w:sz="4" w:space="0" w:color="auto"/>
            </w:tcBorders>
            <w:vAlign w:val="center"/>
            <w:hideMark/>
          </w:tcPr>
          <w:p w14:paraId="057F7D93"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Woda wymagająca typowego uzdatniania fizycznego i chemicznego</w:t>
            </w:r>
          </w:p>
        </w:tc>
      </w:tr>
      <w:tr w:rsidR="00575C57" w:rsidRPr="00575C57" w14:paraId="10EB4D82" w14:textId="77777777" w:rsidTr="00575C57">
        <w:tc>
          <w:tcPr>
            <w:tcW w:w="2410" w:type="dxa"/>
            <w:tcBorders>
              <w:top w:val="single" w:sz="4" w:space="0" w:color="auto"/>
              <w:left w:val="single" w:sz="4" w:space="0" w:color="auto"/>
              <w:bottom w:val="single" w:sz="4" w:space="0" w:color="auto"/>
              <w:right w:val="single" w:sz="4" w:space="0" w:color="auto"/>
            </w:tcBorders>
            <w:vAlign w:val="center"/>
            <w:hideMark/>
          </w:tcPr>
          <w:p w14:paraId="52FAF2B3"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A3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03DADF3"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Do 0,005 mg/L  (5 µg/L)</w:t>
            </w:r>
          </w:p>
        </w:tc>
        <w:tc>
          <w:tcPr>
            <w:tcW w:w="3717" w:type="dxa"/>
            <w:tcBorders>
              <w:top w:val="single" w:sz="4" w:space="0" w:color="auto"/>
              <w:left w:val="single" w:sz="4" w:space="0" w:color="auto"/>
              <w:bottom w:val="single" w:sz="4" w:space="0" w:color="auto"/>
              <w:right w:val="single" w:sz="4" w:space="0" w:color="auto"/>
            </w:tcBorders>
            <w:vAlign w:val="center"/>
            <w:hideMark/>
          </w:tcPr>
          <w:p w14:paraId="5946EC7D" w14:textId="77777777" w:rsidR="00575C57" w:rsidRPr="00CA6220" w:rsidRDefault="00575C57" w:rsidP="00575C57">
            <w:pPr>
              <w:widowControl/>
              <w:spacing w:after="60"/>
              <w:jc w:val="center"/>
              <w:rPr>
                <w:rFonts w:ascii="Arial" w:hAnsi="Arial" w:cs="Arial"/>
                <w:sz w:val="20"/>
                <w:szCs w:val="20"/>
              </w:rPr>
            </w:pPr>
            <w:r w:rsidRPr="00CA6220">
              <w:rPr>
                <w:rFonts w:ascii="Arial" w:hAnsi="Arial" w:cs="Arial"/>
                <w:sz w:val="20"/>
                <w:szCs w:val="20"/>
              </w:rPr>
              <w:t>Woda wymagająca wysokosprawnego uzdatniania fizycznego i chemicznego</w:t>
            </w:r>
          </w:p>
        </w:tc>
      </w:tr>
    </w:tbl>
    <w:p w14:paraId="2E092AC7" w14:textId="77777777" w:rsidR="00575C57" w:rsidRPr="00575C57" w:rsidRDefault="00575C57" w:rsidP="00575C57">
      <w:pPr>
        <w:widowControl/>
        <w:suppressAutoHyphens/>
        <w:autoSpaceDN w:val="0"/>
        <w:spacing w:line="360" w:lineRule="auto"/>
        <w:jc w:val="both"/>
        <w:rPr>
          <w:rFonts w:eastAsia="Lucida Sans Unicode" w:cs="F"/>
          <w:kern w:val="3"/>
          <w:sz w:val="24"/>
          <w:szCs w:val="22"/>
          <w:lang w:eastAsia="en-US"/>
        </w:rPr>
      </w:pPr>
    </w:p>
    <w:p w14:paraId="30BAD0C3" w14:textId="732E7D56" w:rsidR="00575C57" w:rsidRPr="00CA6220" w:rsidRDefault="00575C57" w:rsidP="00CA6220">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A6220">
        <w:rPr>
          <w:rFonts w:ascii="Arial" w:eastAsia="Calibri" w:hAnsi="Arial" w:cs="Arial"/>
          <w:lang w:eastAsia="en-US"/>
        </w:rPr>
        <w:lastRenderedPageBreak/>
        <w:t>Wyniki obliczeń wskaźników dla rzek w 2023 r. przekraczały wartości wymagane dla wody pitnej oraz kategorii A1. Dla rzek małych i dużych były w granicach wymagań kategorii A2, natomiast dla rzek średnich były poniżej dopuszczalnego stężenia pestycydów dla wody pitnej.</w:t>
      </w:r>
    </w:p>
    <w:p w14:paraId="09E792B9" w14:textId="77777777" w:rsidR="00575C57" w:rsidRPr="00CA6220" w:rsidRDefault="00575C57" w:rsidP="00CA6220">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A6220">
        <w:rPr>
          <w:rFonts w:ascii="Arial" w:eastAsia="Calibri" w:hAnsi="Arial" w:cs="Arial"/>
          <w:lang w:eastAsia="en-US"/>
        </w:rPr>
        <w:t>W kolejnych latach należy dążyć do zwiększenia zakresu badanych substancji czynnych - około 64% całkowitej wielkości sprzedaży substancji czynnych nie jest objęta badaniami wód (w tym wiele substancji o największej sprzedaży).</w:t>
      </w:r>
    </w:p>
    <w:p w14:paraId="2509A2C8" w14:textId="09DEF7F4" w:rsidR="00575C57" w:rsidRPr="0049161C" w:rsidRDefault="00575C57" w:rsidP="00575C57">
      <w:pPr>
        <w:widowControl/>
        <w:spacing w:after="200" w:line="276" w:lineRule="auto"/>
        <w:rPr>
          <w:rFonts w:ascii="Arial" w:eastAsia="Calibri" w:hAnsi="Arial" w:cs="Arial"/>
          <w:b/>
          <w:sz w:val="22"/>
          <w:szCs w:val="22"/>
          <w:lang w:eastAsia="en-US"/>
        </w:rPr>
      </w:pPr>
      <w:r w:rsidRPr="0049161C">
        <w:rPr>
          <w:rFonts w:ascii="Arial" w:eastAsia="Calibri" w:hAnsi="Arial" w:cs="Arial"/>
          <w:b/>
          <w:sz w:val="22"/>
          <w:szCs w:val="22"/>
          <w:lang w:eastAsia="en-US"/>
        </w:rPr>
        <w:t>5.</w:t>
      </w:r>
      <w:r w:rsidRPr="0049161C">
        <w:rPr>
          <w:rFonts w:ascii="Arial" w:eastAsia="Calibri" w:hAnsi="Arial" w:cs="Arial"/>
          <w:b/>
          <w:sz w:val="22"/>
          <w:szCs w:val="22"/>
          <w:lang w:eastAsia="en-US"/>
        </w:rPr>
        <w:tab/>
        <w:t>Zagrożenia wynikające z wielkości i struktury sprzedaży ś</w:t>
      </w:r>
      <w:r w:rsidR="00CA6220" w:rsidRPr="0049161C">
        <w:rPr>
          <w:rFonts w:ascii="Arial" w:eastAsia="Calibri" w:hAnsi="Arial" w:cs="Arial"/>
          <w:b/>
          <w:sz w:val="22"/>
          <w:szCs w:val="22"/>
          <w:lang w:eastAsia="en-US"/>
        </w:rPr>
        <w:t>rodków ochrony roślin</w:t>
      </w:r>
      <w:r w:rsidRPr="0049161C">
        <w:rPr>
          <w:rFonts w:ascii="Arial" w:eastAsia="Calibri" w:hAnsi="Arial" w:cs="Arial"/>
          <w:b/>
          <w:sz w:val="22"/>
          <w:szCs w:val="22"/>
          <w:lang w:eastAsia="en-US"/>
        </w:rPr>
        <w:t xml:space="preserve"> </w:t>
      </w:r>
    </w:p>
    <w:p w14:paraId="7DB69DCE" w14:textId="496CFEDF" w:rsidR="00575C57" w:rsidRPr="00CA6220" w:rsidRDefault="00575C57" w:rsidP="00CA6220">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A6220">
        <w:rPr>
          <w:rFonts w:ascii="Arial" w:eastAsia="Calibri" w:hAnsi="Arial" w:cs="Arial"/>
          <w:lang w:eastAsia="en-US"/>
        </w:rPr>
        <w:t>Zagrożenia wynikające z wielkości i struktury sprzedaży ś.o.r. opisywane są wskaźnikami z grupy „D” – „Wskaźniki sprzedaży pod względem potencjalnych zagrożeń dla zdrowia i dla środowiska” (WS</w:t>
      </w:r>
      <w:r w:rsidRPr="00CA6220">
        <w:rPr>
          <w:rFonts w:ascii="Arial" w:eastAsia="Calibri" w:hAnsi="Arial" w:cs="Arial"/>
          <w:vertAlign w:val="subscript"/>
          <w:lang w:eastAsia="en-US"/>
        </w:rPr>
        <w:t>Zagr.</w:t>
      </w:r>
      <w:r w:rsidRPr="00CA6220">
        <w:rPr>
          <w:rFonts w:ascii="Arial" w:eastAsia="Calibri" w:hAnsi="Arial" w:cs="Arial"/>
          <w:lang w:eastAsia="en-US"/>
        </w:rPr>
        <w:t xml:space="preserve"> i WSS</w:t>
      </w:r>
      <w:r w:rsidRPr="00CA6220">
        <w:rPr>
          <w:rFonts w:ascii="Arial" w:eastAsia="Calibri" w:hAnsi="Arial" w:cs="Arial"/>
          <w:vertAlign w:val="subscript"/>
          <w:lang w:eastAsia="en-US"/>
        </w:rPr>
        <w:t>Zagr.</w:t>
      </w:r>
      <w:r w:rsidRPr="00CA6220">
        <w:rPr>
          <w:rFonts w:ascii="Arial" w:eastAsia="Calibri" w:hAnsi="Arial" w:cs="Arial"/>
          <w:lang w:eastAsia="en-US"/>
        </w:rPr>
        <w:t>), wskaźnikami z grupy „E” – „Wskaźniki sprzedaży substancji priorytetowych w</w:t>
      </w:r>
      <w:r w:rsidR="00CA6220">
        <w:rPr>
          <w:rFonts w:ascii="Arial" w:eastAsia="Calibri" w:hAnsi="Arial" w:cs="Arial"/>
          <w:lang w:eastAsia="en-US"/>
        </w:rPr>
        <w:t> </w:t>
      </w:r>
      <w:r w:rsidRPr="00CA6220">
        <w:rPr>
          <w:rFonts w:ascii="Arial" w:eastAsia="Calibri" w:hAnsi="Arial" w:cs="Arial"/>
          <w:lang w:eastAsia="en-US"/>
        </w:rPr>
        <w:t>dziedzinie polityki wodnej” (WS</w:t>
      </w:r>
      <w:r w:rsidRPr="00CA6220">
        <w:rPr>
          <w:rFonts w:ascii="Arial" w:eastAsia="Calibri" w:hAnsi="Arial" w:cs="Arial"/>
          <w:vertAlign w:val="subscript"/>
          <w:lang w:eastAsia="en-US"/>
        </w:rPr>
        <w:t>PW</w:t>
      </w:r>
      <w:r w:rsidRPr="00CA6220">
        <w:rPr>
          <w:rFonts w:ascii="Arial" w:eastAsia="Calibri" w:hAnsi="Arial" w:cs="Arial"/>
          <w:lang w:eastAsia="en-US"/>
        </w:rPr>
        <w:t xml:space="preserve"> i WSS</w:t>
      </w:r>
      <w:r w:rsidRPr="00CA6220">
        <w:rPr>
          <w:rFonts w:ascii="Arial" w:eastAsia="Calibri" w:hAnsi="Arial" w:cs="Arial"/>
          <w:vertAlign w:val="subscript"/>
          <w:lang w:eastAsia="en-US"/>
        </w:rPr>
        <w:t>PW</w:t>
      </w:r>
      <w:r w:rsidRPr="00CA6220">
        <w:rPr>
          <w:rFonts w:ascii="Arial" w:eastAsia="Calibri" w:hAnsi="Arial" w:cs="Arial"/>
          <w:lang w:eastAsia="en-US"/>
        </w:rPr>
        <w:t>), wskaźnikami z grupy „F” – „Wskaźniki sprzedaży substancji czynnych wymagających programów monitorowania” (WS</w:t>
      </w:r>
      <w:r w:rsidRPr="00CA6220">
        <w:rPr>
          <w:rFonts w:ascii="Arial" w:eastAsia="Calibri" w:hAnsi="Arial" w:cs="Arial"/>
          <w:vertAlign w:val="subscript"/>
          <w:lang w:eastAsia="en-US"/>
        </w:rPr>
        <w:t>Monit.</w:t>
      </w:r>
      <w:r w:rsidRPr="00CA6220">
        <w:rPr>
          <w:rFonts w:ascii="Arial" w:eastAsia="Calibri" w:hAnsi="Arial" w:cs="Arial"/>
          <w:lang w:eastAsia="en-US"/>
        </w:rPr>
        <w:t xml:space="preserve"> i WSS</w:t>
      </w:r>
      <w:r w:rsidRPr="00CA6220">
        <w:rPr>
          <w:rFonts w:ascii="Arial" w:eastAsia="Calibri" w:hAnsi="Arial" w:cs="Arial"/>
          <w:vertAlign w:val="subscript"/>
          <w:lang w:eastAsia="en-US"/>
        </w:rPr>
        <w:t>Monit.</w:t>
      </w:r>
      <w:r w:rsidRPr="00CA6220">
        <w:rPr>
          <w:rFonts w:ascii="Arial" w:eastAsia="Calibri" w:hAnsi="Arial" w:cs="Arial"/>
          <w:lang w:eastAsia="en-US"/>
        </w:rPr>
        <w:t xml:space="preserve">) oraz </w:t>
      </w:r>
      <w:r w:rsidR="00CA6220">
        <w:rPr>
          <w:rFonts w:ascii="Arial" w:eastAsia="Calibri" w:hAnsi="Arial" w:cs="Arial"/>
          <w:lang w:eastAsia="en-US"/>
        </w:rPr>
        <w:t>z</w:t>
      </w:r>
      <w:r w:rsidRPr="00CA6220">
        <w:rPr>
          <w:rFonts w:ascii="Arial" w:eastAsia="Calibri" w:hAnsi="Arial" w:cs="Arial"/>
          <w:lang w:eastAsia="en-US"/>
        </w:rPr>
        <w:t>harmonizowanym wskaźnikiem ryzyka HRI1. Wskaźniki WS są związane z wielkością sprzedaży, a</w:t>
      </w:r>
      <w:r w:rsidR="00CA6220">
        <w:rPr>
          <w:rFonts w:ascii="Arial" w:eastAsia="Calibri" w:hAnsi="Arial" w:cs="Arial"/>
          <w:lang w:eastAsia="en-US"/>
        </w:rPr>
        <w:t> </w:t>
      </w:r>
      <w:r w:rsidRPr="00CA6220">
        <w:rPr>
          <w:rFonts w:ascii="Arial" w:eastAsia="Calibri" w:hAnsi="Arial" w:cs="Arial"/>
          <w:lang w:eastAsia="en-US"/>
        </w:rPr>
        <w:t>wskaźniki WSS ze strukturą sprzedaży. Wzrost wskaźników wskazuje na zwiększenie zagrożenia. Zharmonizowany wskaźnik ryzyka HRI1 związany ze strukturą sprzedaży jest odnoszony do wartości bazowej 100 (średnia z lat 2011-2013). Jego wartość poniżej 100 oznacza potencjalnie mniejsze zagrożenie. W tabelach 6-8 zestawiono wyniki obliczeń wskaźników sprzedażowych z ostatnich lat.</w:t>
      </w:r>
    </w:p>
    <w:p w14:paraId="61D0EF28" w14:textId="77777777" w:rsidR="00575C57" w:rsidRPr="00CA6220" w:rsidRDefault="00575C57" w:rsidP="00CA6220">
      <w:pPr>
        <w:widowControl/>
        <w:spacing w:before="120" w:after="120"/>
        <w:rPr>
          <w:rFonts w:ascii="Arial" w:eastAsia="Calibri" w:hAnsi="Arial" w:cs="Arial"/>
          <w:i/>
          <w:lang w:eastAsia="en-US"/>
        </w:rPr>
      </w:pPr>
      <w:r w:rsidRPr="00CA6220">
        <w:rPr>
          <w:rFonts w:ascii="Arial" w:eastAsia="Calibri" w:hAnsi="Arial" w:cs="Arial"/>
          <w:i/>
          <w:lang w:eastAsia="en-US"/>
        </w:rPr>
        <w:t>Tabela 6. Wyniki obliczeń wskaźników sprzedaży pod względem potencjalnych zagrożeń dla zdrowia i dla środowiska (wskaźniki „D” – WSS</w:t>
      </w:r>
      <w:r w:rsidRPr="00CA6220">
        <w:rPr>
          <w:rFonts w:ascii="Arial" w:eastAsia="Calibri" w:hAnsi="Arial" w:cs="Arial"/>
          <w:i/>
          <w:vertAlign w:val="subscript"/>
          <w:lang w:eastAsia="en-US"/>
        </w:rPr>
        <w:t>Zagr</w:t>
      </w:r>
      <w:r w:rsidRPr="00CA6220">
        <w:rPr>
          <w:rFonts w:ascii="Arial" w:eastAsia="Calibri" w:hAnsi="Arial" w:cs="Arial"/>
          <w:i/>
          <w:lang w:eastAsia="en-US"/>
        </w:rPr>
        <w:t>. i WS</w:t>
      </w:r>
      <w:r w:rsidRPr="00CA6220">
        <w:rPr>
          <w:rFonts w:ascii="Arial" w:eastAsia="Calibri" w:hAnsi="Arial" w:cs="Arial"/>
          <w:i/>
          <w:vertAlign w:val="subscript"/>
          <w:lang w:eastAsia="en-US"/>
        </w:rPr>
        <w:t>Zagr.</w:t>
      </w:r>
      <w:r w:rsidRPr="00CA6220">
        <w:rPr>
          <w:rFonts w:ascii="Arial" w:eastAsia="Calibri" w:hAnsi="Arial" w:cs="Arial"/>
          <w:i/>
          <w:lang w:eastAsia="en-US"/>
        </w:rPr>
        <w:t>) w latach 2015-2023</w:t>
      </w:r>
    </w:p>
    <w:tbl>
      <w:tblPr>
        <w:tblW w:w="9075" w:type="dxa"/>
        <w:tblInd w:w="10" w:type="dxa"/>
        <w:tblLayout w:type="fixed"/>
        <w:tblCellMar>
          <w:left w:w="10" w:type="dxa"/>
          <w:right w:w="10" w:type="dxa"/>
        </w:tblCellMar>
        <w:tblLook w:val="04A0" w:firstRow="1" w:lastRow="0" w:firstColumn="1" w:lastColumn="0" w:noHBand="0" w:noVBand="1"/>
      </w:tblPr>
      <w:tblGrid>
        <w:gridCol w:w="852"/>
        <w:gridCol w:w="1135"/>
        <w:gridCol w:w="1182"/>
        <w:gridCol w:w="1229"/>
        <w:gridCol w:w="1133"/>
        <w:gridCol w:w="1181"/>
        <w:gridCol w:w="1181"/>
        <w:gridCol w:w="1182"/>
      </w:tblGrid>
      <w:tr w:rsidR="00575C57" w:rsidRPr="00575C57" w14:paraId="69E28B1A" w14:textId="77777777" w:rsidTr="00575C57">
        <w:trPr>
          <w:trHeight w:val="567"/>
        </w:trPr>
        <w:tc>
          <w:tcPr>
            <w:tcW w:w="851" w:type="dxa"/>
            <w:tcBorders>
              <w:top w:val="single" w:sz="4" w:space="0" w:color="auto"/>
              <w:left w:val="single" w:sz="4" w:space="0" w:color="auto"/>
              <w:bottom w:val="single" w:sz="4" w:space="0" w:color="auto"/>
              <w:right w:val="single" w:sz="4" w:space="0" w:color="auto"/>
            </w:tcBorders>
            <w:vAlign w:val="center"/>
            <w:hideMark/>
          </w:tcPr>
          <w:p w14:paraId="2773AD2C"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Rok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C72A15"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Sprzedaż   [Mg]</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A62AD7"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WSS</w:t>
            </w:r>
            <w:r w:rsidRPr="00CA6220">
              <w:rPr>
                <w:rFonts w:ascii="Arial" w:eastAsia="Lucida Sans Unicode" w:hAnsi="Arial" w:cs="Arial"/>
                <w:kern w:val="3"/>
                <w:vertAlign w:val="subscript"/>
                <w:lang w:eastAsia="en-US"/>
              </w:rPr>
              <w:t>Zagr.Zdr</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C65152"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WSS</w:t>
            </w:r>
            <w:r w:rsidRPr="00CA6220">
              <w:rPr>
                <w:rFonts w:ascii="Arial" w:eastAsia="Lucida Sans Unicode" w:hAnsi="Arial" w:cs="Arial"/>
                <w:kern w:val="3"/>
                <w:vertAlign w:val="subscript"/>
                <w:lang w:eastAsia="en-US"/>
              </w:rPr>
              <w:t>Zagr.Środ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2AA11E" w14:textId="77777777" w:rsidR="00575C57" w:rsidRPr="00CA6220" w:rsidRDefault="00575C57" w:rsidP="00575C57">
            <w:pPr>
              <w:widowControl/>
              <w:suppressAutoHyphens/>
              <w:autoSpaceDN w:val="0"/>
              <w:jc w:val="center"/>
              <w:rPr>
                <w:rFonts w:ascii="Arial" w:eastAsia="Lucida Sans Unicode" w:hAnsi="Arial" w:cs="Arial"/>
                <w:kern w:val="3"/>
                <w:vertAlign w:val="subscript"/>
                <w:lang w:eastAsia="en-US"/>
              </w:rPr>
            </w:pPr>
            <w:r w:rsidRPr="00CA6220">
              <w:rPr>
                <w:rFonts w:ascii="Arial" w:eastAsia="Lucida Sans Unicode" w:hAnsi="Arial" w:cs="Arial"/>
                <w:kern w:val="3"/>
                <w:lang w:eastAsia="en-US"/>
              </w:rPr>
              <w:t>WSS</w:t>
            </w:r>
            <w:r w:rsidRPr="00CA6220">
              <w:rPr>
                <w:rFonts w:ascii="Arial" w:eastAsia="Lucida Sans Unicode" w:hAnsi="Arial" w:cs="Arial"/>
                <w:kern w:val="3"/>
                <w:vertAlign w:val="subscript"/>
                <w:lang w:eastAsia="en-US"/>
              </w:rPr>
              <w:t>Zagr.</w:t>
            </w:r>
          </w:p>
          <w:p w14:paraId="3873A5C9"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(suma)</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ABD81A"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WS</w:t>
            </w:r>
            <w:r w:rsidRPr="00CA6220">
              <w:rPr>
                <w:rFonts w:ascii="Arial" w:eastAsia="Lucida Sans Unicode" w:hAnsi="Arial" w:cs="Arial"/>
                <w:kern w:val="3"/>
                <w:vertAlign w:val="subscript"/>
                <w:lang w:eastAsia="en-US"/>
              </w:rPr>
              <w:t>Zagr.Zdr.</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8E4440"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WS</w:t>
            </w:r>
            <w:r w:rsidRPr="00CA6220">
              <w:rPr>
                <w:rFonts w:ascii="Arial" w:eastAsia="Lucida Sans Unicode" w:hAnsi="Arial" w:cs="Arial"/>
                <w:kern w:val="3"/>
                <w:vertAlign w:val="subscript"/>
                <w:lang w:eastAsia="en-US"/>
              </w:rPr>
              <w:t>Zagr.Środ.</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DD06D2" w14:textId="77777777" w:rsidR="00575C57" w:rsidRPr="00CA6220" w:rsidRDefault="00575C57" w:rsidP="00575C57">
            <w:pPr>
              <w:widowControl/>
              <w:suppressAutoHyphens/>
              <w:autoSpaceDN w:val="0"/>
              <w:jc w:val="center"/>
              <w:rPr>
                <w:rFonts w:ascii="Arial" w:eastAsia="Lucida Sans Unicode" w:hAnsi="Arial" w:cs="Arial"/>
                <w:kern w:val="3"/>
                <w:vertAlign w:val="subscript"/>
                <w:lang w:eastAsia="en-US"/>
              </w:rPr>
            </w:pPr>
            <w:r w:rsidRPr="00CA6220">
              <w:rPr>
                <w:rFonts w:ascii="Arial" w:eastAsia="Lucida Sans Unicode" w:hAnsi="Arial" w:cs="Arial"/>
                <w:kern w:val="3"/>
                <w:lang w:eastAsia="en-US"/>
              </w:rPr>
              <w:t>WS</w:t>
            </w:r>
            <w:r w:rsidRPr="00CA6220">
              <w:rPr>
                <w:rFonts w:ascii="Arial" w:eastAsia="Lucida Sans Unicode" w:hAnsi="Arial" w:cs="Arial"/>
                <w:kern w:val="3"/>
                <w:vertAlign w:val="subscript"/>
                <w:lang w:eastAsia="en-US"/>
              </w:rPr>
              <w:t>Zagr.</w:t>
            </w:r>
          </w:p>
          <w:p w14:paraId="4C5B6946"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(suma)</w:t>
            </w:r>
          </w:p>
        </w:tc>
      </w:tr>
      <w:tr w:rsidR="00575C57" w:rsidRPr="00575C57" w14:paraId="7F35207F"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32FF5B22"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57F66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67297,39</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949919"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2,784</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C21917"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3,205</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496C5C"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5,988</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CED991"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3,061</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7D68D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3,524</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2BDFCB"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6,585</w:t>
            </w:r>
          </w:p>
        </w:tc>
      </w:tr>
      <w:tr w:rsidR="00575C57" w:rsidRPr="00575C57" w14:paraId="3DEAF050"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342C995B"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03FD3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68105,84</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1619EB"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2,669</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ED3EA2"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3,001</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88CD20"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5,67</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3243A0"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2,97</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594CC1"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3,34</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E27D3A"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6,31</w:t>
            </w:r>
          </w:p>
        </w:tc>
      </w:tr>
      <w:tr w:rsidR="00575C57" w:rsidRPr="00575C57" w14:paraId="774E0EA6"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79120985"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043910"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71445,83</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0DFD7E"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2,719</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2AD14"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2,885</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76BE19"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5,604</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6772C9"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3,175</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AB8195"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3,368</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96EEA5"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6,543</w:t>
            </w:r>
          </w:p>
        </w:tc>
      </w:tr>
      <w:tr w:rsidR="00575C57" w:rsidRPr="00575C57" w14:paraId="62C7BCFE"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0894E6ED"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6BC5DF"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65333,70</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92E98E"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2,88</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16DBDA"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3,08</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FD304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5,96</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321E2F"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3,08</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BCDDCB"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3,28</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95A42B"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6,36</w:t>
            </w:r>
          </w:p>
        </w:tc>
      </w:tr>
      <w:tr w:rsidR="00575C57" w:rsidRPr="00575C57" w14:paraId="08185FE1"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23AA3F0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40D8D1"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68906,95</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CAABA2"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2,98</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273A4D"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3,16</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F4444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6,14</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EC73B9"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3,36</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203EEC"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3,55</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1ABED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6,91</w:t>
            </w:r>
          </w:p>
        </w:tc>
      </w:tr>
      <w:tr w:rsidR="00575C57" w:rsidRPr="00575C57" w14:paraId="4DD71EA4"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2A22F46F"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081AEC"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69849,40</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FD85FC"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2,55</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09DB80"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3,07</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36BE3A"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5,62</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2C934E"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2,92</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1C082E"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3,5</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729551"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6,42</w:t>
            </w:r>
          </w:p>
        </w:tc>
      </w:tr>
      <w:tr w:rsidR="00575C57" w:rsidRPr="00575C57" w14:paraId="41577A42"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50BF47BA"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2F95B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78874,51</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8F83F2"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2,43</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C5950F"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3,11</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F4387E"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5,54</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27FDA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3,13</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3B059A"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4,01</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52AA2E"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7,14</w:t>
            </w:r>
          </w:p>
        </w:tc>
      </w:tr>
      <w:tr w:rsidR="00575C57" w:rsidRPr="00575C57" w14:paraId="217C90F6"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53F9FDC2"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2022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88D5C4" w14:textId="77777777" w:rsidR="00575C57" w:rsidRPr="00CA6220" w:rsidRDefault="00575C57" w:rsidP="00575C57">
            <w:pPr>
              <w:widowControl/>
              <w:jc w:val="center"/>
              <w:rPr>
                <w:rFonts w:ascii="Arial" w:eastAsia="Lucida Sans Unicode" w:hAnsi="Arial" w:cs="Arial"/>
                <w:kern w:val="3"/>
                <w:lang w:eastAsia="en-US"/>
              </w:rPr>
            </w:pPr>
            <w:r w:rsidRPr="00CA6220">
              <w:rPr>
                <w:rFonts w:ascii="Arial" w:eastAsia="Lucida Sans Unicode" w:hAnsi="Arial" w:cs="Arial"/>
                <w:kern w:val="3"/>
                <w:lang w:eastAsia="en-US"/>
              </w:rPr>
              <w:t>71607,69</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7D9552" w14:textId="77777777" w:rsidR="00575C57" w:rsidRPr="00CA6220" w:rsidRDefault="00575C57" w:rsidP="00575C57">
            <w:pPr>
              <w:widowControl/>
              <w:jc w:val="center"/>
              <w:rPr>
                <w:rFonts w:ascii="Arial" w:eastAsia="Lucida Sans Unicode" w:hAnsi="Arial" w:cs="Arial"/>
                <w:kern w:val="3"/>
                <w:lang w:eastAsia="en-US"/>
              </w:rPr>
            </w:pPr>
            <w:r w:rsidRPr="00CA6220">
              <w:rPr>
                <w:rFonts w:ascii="Arial" w:eastAsia="Lucida Sans Unicode" w:hAnsi="Arial" w:cs="Arial"/>
                <w:kern w:val="3"/>
                <w:lang w:eastAsia="en-US"/>
              </w:rPr>
              <w:t>2,51</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D651D2" w14:textId="77777777" w:rsidR="00575C57" w:rsidRPr="00CA6220" w:rsidRDefault="00575C57" w:rsidP="00575C57">
            <w:pPr>
              <w:widowControl/>
              <w:jc w:val="center"/>
              <w:rPr>
                <w:rFonts w:ascii="Arial" w:eastAsia="Lucida Sans Unicode" w:hAnsi="Arial" w:cs="Arial"/>
                <w:kern w:val="3"/>
                <w:lang w:eastAsia="en-US"/>
              </w:rPr>
            </w:pPr>
            <w:r w:rsidRPr="00CA6220">
              <w:rPr>
                <w:rFonts w:ascii="Arial" w:eastAsia="Lucida Sans Unicode" w:hAnsi="Arial" w:cs="Arial"/>
                <w:kern w:val="3"/>
                <w:lang w:eastAsia="en-US"/>
              </w:rPr>
              <w:t>3,49</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0D8F7A" w14:textId="77777777" w:rsidR="00575C57" w:rsidRPr="00CA6220" w:rsidRDefault="00575C57" w:rsidP="00575C57">
            <w:pPr>
              <w:widowControl/>
              <w:jc w:val="center"/>
              <w:rPr>
                <w:rFonts w:ascii="Arial" w:eastAsia="Lucida Sans Unicode" w:hAnsi="Arial" w:cs="Arial"/>
                <w:kern w:val="3"/>
                <w:lang w:eastAsia="en-US"/>
              </w:rPr>
            </w:pPr>
            <w:r w:rsidRPr="00CA6220">
              <w:rPr>
                <w:rFonts w:ascii="Arial" w:eastAsia="Lucida Sans Unicode" w:hAnsi="Arial" w:cs="Arial"/>
                <w:kern w:val="3"/>
                <w:lang w:eastAsia="en-US"/>
              </w:rPr>
              <w:t>6,0</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45F8E9" w14:textId="77777777" w:rsidR="00575C57" w:rsidRPr="00CA6220" w:rsidRDefault="00575C57" w:rsidP="00575C57">
            <w:pPr>
              <w:widowControl/>
              <w:jc w:val="center"/>
              <w:rPr>
                <w:rFonts w:ascii="Arial" w:eastAsia="Lucida Sans Unicode" w:hAnsi="Arial" w:cs="Arial"/>
                <w:kern w:val="3"/>
                <w:lang w:eastAsia="en-US"/>
              </w:rPr>
            </w:pPr>
            <w:r w:rsidRPr="00CA6220">
              <w:rPr>
                <w:rFonts w:ascii="Arial" w:eastAsia="Lucida Sans Unicode" w:hAnsi="Arial" w:cs="Arial"/>
                <w:kern w:val="3"/>
                <w:lang w:eastAsia="en-US"/>
              </w:rPr>
              <w:t>2,94</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6AE852" w14:textId="77777777" w:rsidR="00575C57" w:rsidRPr="00CA6220" w:rsidRDefault="00575C57" w:rsidP="00575C57">
            <w:pPr>
              <w:widowControl/>
              <w:jc w:val="center"/>
              <w:rPr>
                <w:rFonts w:ascii="Arial" w:eastAsia="Lucida Sans Unicode" w:hAnsi="Arial" w:cs="Arial"/>
                <w:kern w:val="3"/>
                <w:lang w:eastAsia="en-US"/>
              </w:rPr>
            </w:pPr>
            <w:r w:rsidRPr="00CA6220">
              <w:rPr>
                <w:rFonts w:ascii="Arial" w:eastAsia="Lucida Sans Unicode" w:hAnsi="Arial" w:cs="Arial"/>
                <w:kern w:val="3"/>
                <w:lang w:eastAsia="en-US"/>
              </w:rPr>
              <w:t>4,08</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5F7E4A" w14:textId="77777777" w:rsidR="00575C57" w:rsidRPr="00CA6220" w:rsidRDefault="00575C57" w:rsidP="00575C57">
            <w:pPr>
              <w:widowControl/>
              <w:jc w:val="center"/>
              <w:rPr>
                <w:rFonts w:ascii="Arial" w:eastAsia="Lucida Sans Unicode" w:hAnsi="Arial" w:cs="Arial"/>
                <w:kern w:val="3"/>
                <w:lang w:eastAsia="en-US"/>
              </w:rPr>
            </w:pPr>
            <w:r w:rsidRPr="00CA6220">
              <w:rPr>
                <w:rFonts w:ascii="Arial" w:eastAsia="Lucida Sans Unicode" w:hAnsi="Arial" w:cs="Arial"/>
                <w:kern w:val="3"/>
                <w:lang w:eastAsia="en-US"/>
              </w:rPr>
              <w:t>7,02</w:t>
            </w:r>
          </w:p>
        </w:tc>
      </w:tr>
      <w:tr w:rsidR="00575C57" w:rsidRPr="00575C57" w14:paraId="1179D567" w14:textId="77777777" w:rsidTr="00575C57">
        <w:trPr>
          <w:trHeight w:val="340"/>
        </w:trPr>
        <w:tc>
          <w:tcPr>
            <w:tcW w:w="851" w:type="dxa"/>
            <w:tcBorders>
              <w:top w:val="single" w:sz="4" w:space="0" w:color="auto"/>
              <w:left w:val="single" w:sz="4" w:space="0" w:color="auto"/>
              <w:bottom w:val="single" w:sz="4" w:space="0" w:color="auto"/>
              <w:right w:val="single" w:sz="4" w:space="0" w:color="auto"/>
            </w:tcBorders>
            <w:vAlign w:val="center"/>
            <w:hideMark/>
          </w:tcPr>
          <w:p w14:paraId="42D1EA0F" w14:textId="77777777" w:rsidR="00575C57" w:rsidRPr="00CA6220" w:rsidRDefault="00575C57" w:rsidP="00575C57">
            <w:pPr>
              <w:widowControl/>
              <w:jc w:val="center"/>
              <w:rPr>
                <w:rFonts w:ascii="Arial" w:hAnsi="Arial" w:cs="Arial"/>
                <w:color w:val="000000"/>
              </w:rPr>
            </w:pPr>
            <w:r w:rsidRPr="00CA6220">
              <w:rPr>
                <w:rFonts w:ascii="Arial" w:hAnsi="Arial" w:cs="Arial"/>
                <w:color w:val="000000"/>
              </w:rPr>
              <w:t>2023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0D203D" w14:textId="77777777" w:rsidR="00575C57" w:rsidRPr="00CA6220" w:rsidRDefault="00575C57" w:rsidP="00575C57">
            <w:pPr>
              <w:widowControl/>
              <w:jc w:val="center"/>
              <w:rPr>
                <w:rFonts w:ascii="Arial" w:eastAsia="Calibri" w:hAnsi="Arial" w:cs="Arial"/>
                <w:color w:val="000000"/>
                <w:lang w:eastAsia="en-US"/>
              </w:rPr>
            </w:pPr>
            <w:r w:rsidRPr="00CA6220">
              <w:rPr>
                <w:rFonts w:ascii="Arial" w:eastAsia="Calibri" w:hAnsi="Arial" w:cs="Arial"/>
                <w:color w:val="000000"/>
                <w:lang w:eastAsia="en-US"/>
              </w:rPr>
              <w:t>61437,97</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9A6F05" w14:textId="77777777" w:rsidR="00575C57" w:rsidRPr="00CA6220" w:rsidRDefault="00575C57" w:rsidP="00575C57">
            <w:pPr>
              <w:widowControl/>
              <w:jc w:val="center"/>
              <w:rPr>
                <w:rFonts w:ascii="Arial" w:eastAsia="Calibri" w:hAnsi="Arial" w:cs="Arial"/>
                <w:color w:val="000000"/>
                <w:lang w:eastAsia="en-US"/>
              </w:rPr>
            </w:pPr>
            <w:r w:rsidRPr="00CA6220">
              <w:rPr>
                <w:rFonts w:ascii="Arial" w:eastAsia="Calibri" w:hAnsi="Arial" w:cs="Arial"/>
                <w:color w:val="000000"/>
                <w:lang w:eastAsia="en-US"/>
              </w:rPr>
              <w:t>2,64</w:t>
            </w: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A1E8C3" w14:textId="77777777" w:rsidR="00575C57" w:rsidRPr="00CA6220" w:rsidRDefault="00575C57" w:rsidP="00575C57">
            <w:pPr>
              <w:widowControl/>
              <w:jc w:val="center"/>
              <w:rPr>
                <w:rFonts w:ascii="Arial" w:eastAsia="Calibri" w:hAnsi="Arial" w:cs="Arial"/>
                <w:color w:val="000000"/>
                <w:lang w:eastAsia="en-US"/>
              </w:rPr>
            </w:pPr>
            <w:r w:rsidRPr="00CA6220">
              <w:rPr>
                <w:rFonts w:ascii="Arial" w:eastAsia="Calibri" w:hAnsi="Arial" w:cs="Arial"/>
                <w:color w:val="000000"/>
                <w:lang w:eastAsia="en-US"/>
              </w:rPr>
              <w:t>3,53</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6B416E" w14:textId="77777777" w:rsidR="00575C57" w:rsidRPr="00CA6220" w:rsidRDefault="00575C57" w:rsidP="00575C57">
            <w:pPr>
              <w:widowControl/>
              <w:jc w:val="center"/>
              <w:rPr>
                <w:rFonts w:ascii="Arial" w:eastAsia="Calibri" w:hAnsi="Arial" w:cs="Arial"/>
                <w:color w:val="000000"/>
                <w:lang w:eastAsia="en-US"/>
              </w:rPr>
            </w:pPr>
            <w:r w:rsidRPr="00CA6220">
              <w:rPr>
                <w:rFonts w:ascii="Arial" w:eastAsia="Calibri" w:hAnsi="Arial" w:cs="Arial"/>
                <w:color w:val="000000"/>
                <w:lang w:eastAsia="en-US"/>
              </w:rPr>
              <w:t>6,18</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B9E277" w14:textId="77777777" w:rsidR="00575C57" w:rsidRPr="00CA6220" w:rsidRDefault="00575C57" w:rsidP="00575C57">
            <w:pPr>
              <w:widowControl/>
              <w:jc w:val="center"/>
              <w:rPr>
                <w:rFonts w:ascii="Arial" w:eastAsia="Calibri" w:hAnsi="Arial" w:cs="Arial"/>
                <w:color w:val="000000"/>
                <w:lang w:eastAsia="en-US"/>
              </w:rPr>
            </w:pPr>
            <w:r w:rsidRPr="00CA6220">
              <w:rPr>
                <w:rFonts w:ascii="Arial" w:eastAsia="Calibri" w:hAnsi="Arial" w:cs="Arial"/>
                <w:color w:val="000000"/>
                <w:lang w:eastAsia="en-US"/>
              </w:rPr>
              <w:t>2,65</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31D056" w14:textId="77777777" w:rsidR="00575C57" w:rsidRPr="00CA6220" w:rsidRDefault="00575C57" w:rsidP="00575C57">
            <w:pPr>
              <w:widowControl/>
              <w:jc w:val="center"/>
              <w:rPr>
                <w:rFonts w:ascii="Arial" w:eastAsia="Calibri" w:hAnsi="Arial" w:cs="Arial"/>
                <w:color w:val="000000"/>
                <w:lang w:eastAsia="en-US"/>
              </w:rPr>
            </w:pPr>
            <w:r w:rsidRPr="00CA6220">
              <w:rPr>
                <w:rFonts w:ascii="Arial" w:eastAsia="Calibri" w:hAnsi="Arial" w:cs="Arial"/>
                <w:color w:val="000000"/>
                <w:lang w:eastAsia="en-US"/>
              </w:rPr>
              <w:t>3,55</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125CAB" w14:textId="77777777" w:rsidR="00575C57" w:rsidRPr="00CA6220" w:rsidRDefault="00575C57" w:rsidP="00575C57">
            <w:pPr>
              <w:widowControl/>
              <w:jc w:val="center"/>
              <w:rPr>
                <w:rFonts w:ascii="Arial" w:eastAsia="Calibri" w:hAnsi="Arial" w:cs="Arial"/>
                <w:color w:val="000000"/>
                <w:lang w:eastAsia="en-US"/>
              </w:rPr>
            </w:pPr>
            <w:r w:rsidRPr="00CA6220">
              <w:rPr>
                <w:rFonts w:ascii="Arial" w:eastAsia="Calibri" w:hAnsi="Arial" w:cs="Arial"/>
                <w:color w:val="000000"/>
                <w:lang w:eastAsia="en-US"/>
              </w:rPr>
              <w:t>6,20</w:t>
            </w:r>
          </w:p>
        </w:tc>
      </w:tr>
    </w:tbl>
    <w:p w14:paraId="09FC9CA0" w14:textId="77777777" w:rsidR="00575C57" w:rsidRPr="00575C57" w:rsidRDefault="00575C57" w:rsidP="00575C57">
      <w:pPr>
        <w:widowControl/>
        <w:suppressAutoHyphens/>
        <w:autoSpaceDN w:val="0"/>
        <w:jc w:val="both"/>
        <w:rPr>
          <w:rFonts w:eastAsia="Lucida Sans Unicode" w:cs="F"/>
          <w:kern w:val="3"/>
          <w:sz w:val="24"/>
          <w:szCs w:val="24"/>
          <w:highlight w:val="yellow"/>
          <w:lang w:eastAsia="en-US"/>
        </w:rPr>
      </w:pPr>
    </w:p>
    <w:p w14:paraId="75939E2C" w14:textId="77777777" w:rsidR="00CA6220" w:rsidRDefault="00CA6220" w:rsidP="00575C57">
      <w:pPr>
        <w:widowControl/>
        <w:spacing w:before="120" w:line="360" w:lineRule="auto"/>
        <w:rPr>
          <w:rFonts w:ascii="Arial" w:eastAsia="Calibri" w:hAnsi="Arial" w:cs="Arial"/>
          <w:i/>
          <w:lang w:eastAsia="en-US"/>
        </w:rPr>
      </w:pPr>
    </w:p>
    <w:p w14:paraId="3A8C8238" w14:textId="77777777" w:rsidR="00CA6220" w:rsidRDefault="00CA6220" w:rsidP="00575C57">
      <w:pPr>
        <w:widowControl/>
        <w:spacing w:before="120" w:line="360" w:lineRule="auto"/>
        <w:rPr>
          <w:rFonts w:ascii="Arial" w:eastAsia="Calibri" w:hAnsi="Arial" w:cs="Arial"/>
          <w:i/>
          <w:lang w:eastAsia="en-US"/>
        </w:rPr>
      </w:pPr>
    </w:p>
    <w:p w14:paraId="3230388A" w14:textId="77777777" w:rsidR="00CA6220" w:rsidRDefault="00CA6220" w:rsidP="00575C57">
      <w:pPr>
        <w:widowControl/>
        <w:spacing w:before="120" w:line="360" w:lineRule="auto"/>
        <w:rPr>
          <w:rFonts w:ascii="Arial" w:eastAsia="Calibri" w:hAnsi="Arial" w:cs="Arial"/>
          <w:i/>
          <w:lang w:eastAsia="en-US"/>
        </w:rPr>
      </w:pPr>
    </w:p>
    <w:p w14:paraId="16703F56" w14:textId="77777777" w:rsidR="00CA6220" w:rsidRDefault="00CA6220" w:rsidP="00575C57">
      <w:pPr>
        <w:widowControl/>
        <w:spacing w:before="120" w:line="360" w:lineRule="auto"/>
        <w:rPr>
          <w:rFonts w:ascii="Arial" w:eastAsia="Calibri" w:hAnsi="Arial" w:cs="Arial"/>
          <w:i/>
          <w:lang w:eastAsia="en-US"/>
        </w:rPr>
      </w:pPr>
    </w:p>
    <w:p w14:paraId="7790783E" w14:textId="77777777" w:rsidR="00CA6220" w:rsidRDefault="00CA6220" w:rsidP="00575C57">
      <w:pPr>
        <w:widowControl/>
        <w:spacing w:before="120" w:line="360" w:lineRule="auto"/>
        <w:rPr>
          <w:rFonts w:ascii="Arial" w:eastAsia="Calibri" w:hAnsi="Arial" w:cs="Arial"/>
          <w:i/>
          <w:lang w:eastAsia="en-US"/>
        </w:rPr>
      </w:pPr>
    </w:p>
    <w:p w14:paraId="54E70712" w14:textId="77777777" w:rsidR="00CA6220" w:rsidRDefault="00CA6220" w:rsidP="00575C57">
      <w:pPr>
        <w:widowControl/>
        <w:spacing w:before="120" w:line="360" w:lineRule="auto"/>
        <w:rPr>
          <w:rFonts w:ascii="Arial" w:eastAsia="Calibri" w:hAnsi="Arial" w:cs="Arial"/>
          <w:i/>
          <w:lang w:eastAsia="en-US"/>
        </w:rPr>
      </w:pPr>
    </w:p>
    <w:p w14:paraId="3B114F30" w14:textId="6FEF92FE" w:rsidR="00575C57" w:rsidRPr="00CA6220" w:rsidRDefault="00575C57" w:rsidP="00575C57">
      <w:pPr>
        <w:widowControl/>
        <w:spacing w:before="120" w:line="360" w:lineRule="auto"/>
        <w:rPr>
          <w:rFonts w:ascii="Arial" w:eastAsia="Calibri" w:hAnsi="Arial" w:cs="Arial"/>
          <w:i/>
          <w:lang w:eastAsia="en-US"/>
        </w:rPr>
      </w:pPr>
      <w:r w:rsidRPr="00CA6220">
        <w:rPr>
          <w:rFonts w:ascii="Arial" w:eastAsia="Calibri" w:hAnsi="Arial" w:cs="Arial"/>
          <w:i/>
          <w:lang w:eastAsia="en-US"/>
        </w:rPr>
        <w:lastRenderedPageBreak/>
        <w:t>Rys. 6. Wskaźniki „D” – WS</w:t>
      </w:r>
      <w:r w:rsidRPr="00CA6220">
        <w:rPr>
          <w:rFonts w:ascii="Arial" w:eastAsia="Calibri" w:hAnsi="Arial" w:cs="Arial"/>
          <w:i/>
          <w:vertAlign w:val="subscript"/>
          <w:lang w:eastAsia="en-US"/>
        </w:rPr>
        <w:t>Zagr.</w:t>
      </w:r>
      <w:r w:rsidRPr="00CA6220">
        <w:rPr>
          <w:rFonts w:ascii="Arial" w:eastAsia="Calibri" w:hAnsi="Arial" w:cs="Arial"/>
          <w:i/>
          <w:lang w:eastAsia="en-US"/>
        </w:rPr>
        <w:t xml:space="preserve"> i WSS</w:t>
      </w:r>
      <w:r w:rsidRPr="00CA6220">
        <w:rPr>
          <w:rFonts w:ascii="Arial" w:eastAsia="Calibri" w:hAnsi="Arial" w:cs="Arial"/>
          <w:i/>
          <w:vertAlign w:val="subscript"/>
          <w:lang w:eastAsia="en-US"/>
        </w:rPr>
        <w:t>Zagr.</w:t>
      </w:r>
      <w:r w:rsidRPr="00CA6220">
        <w:rPr>
          <w:rFonts w:ascii="Arial" w:eastAsia="Calibri" w:hAnsi="Arial" w:cs="Arial"/>
          <w:i/>
          <w:lang w:eastAsia="en-US"/>
        </w:rPr>
        <w:t>w latach 2013-2023</w:t>
      </w:r>
    </w:p>
    <w:p w14:paraId="2217AC98" w14:textId="77777777" w:rsidR="00575C57" w:rsidRPr="00575C57" w:rsidRDefault="00575C57" w:rsidP="00575C57">
      <w:pPr>
        <w:widowControl/>
        <w:suppressAutoHyphens/>
        <w:autoSpaceDN w:val="0"/>
        <w:spacing w:after="120"/>
        <w:jc w:val="both"/>
        <w:rPr>
          <w:rFonts w:eastAsia="Lucida Sans Unicode" w:cs="F"/>
          <w:kern w:val="3"/>
          <w:sz w:val="24"/>
          <w:szCs w:val="24"/>
          <w:highlight w:val="yellow"/>
          <w:lang w:eastAsia="en-US"/>
        </w:rPr>
      </w:pPr>
      <w:r w:rsidRPr="00575C57">
        <w:rPr>
          <w:rFonts w:eastAsia="Lucida Sans Unicode" w:cs="F"/>
          <w:noProof/>
          <w:kern w:val="3"/>
          <w:sz w:val="24"/>
          <w:szCs w:val="22"/>
        </w:rPr>
        <w:drawing>
          <wp:inline distT="0" distB="0" distL="0" distR="0" wp14:anchorId="6D4B3C97" wp14:editId="7A606E41">
            <wp:extent cx="5772785" cy="2886075"/>
            <wp:effectExtent l="0" t="0" r="18415" b="9525"/>
            <wp:docPr id="23"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7930418" w14:textId="72A6C109" w:rsidR="00CA6220" w:rsidRPr="00CA6220" w:rsidRDefault="00575C57" w:rsidP="00CA6220">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A6220">
        <w:rPr>
          <w:rFonts w:ascii="Arial" w:eastAsia="Calibri" w:hAnsi="Arial" w:cs="Arial"/>
          <w:lang w:eastAsia="en-US"/>
        </w:rPr>
        <w:t xml:space="preserve">Wskaźniki „D” odgrywają podobną rolę jak zharmonizowany wskaźnik unijny HRI1, przy czym wskaźnik unijny analizuje zagrożenia związane z wielkością sprzedaży substancji czynnych, a krajowe wskaźniki „D” analizują zagrożenia związane z wielkością sprzedażą preparatów (z wykorzystaniem przypisanych im kodów H definiujących zagrożenia powodowane przez poszczególne preparaty). Wartości wskaźników nie mają żadnego odniesienia fizycznego i służą jedynie do analizy trendu, przy czym oddzielnie można analizować zagrożenia dla zdrowia i dla środowiska. Sprzedawane w 2023 </w:t>
      </w:r>
      <w:r w:rsidR="00CA6220" w:rsidRPr="00CA6220">
        <w:rPr>
          <w:rFonts w:ascii="Arial" w:eastAsia="Calibri" w:hAnsi="Arial" w:cs="Arial"/>
          <w:lang w:eastAsia="en-US"/>
        </w:rPr>
        <w:t xml:space="preserve">r. </w:t>
      </w:r>
      <w:r w:rsidRPr="00CA6220">
        <w:rPr>
          <w:rFonts w:ascii="Arial" w:eastAsia="Calibri" w:hAnsi="Arial" w:cs="Arial"/>
          <w:lang w:eastAsia="en-US"/>
        </w:rPr>
        <w:t>środki miały średnio najwięcej potencjalnych zagrożeń w porównaniu do poprzednich lat (wskaźnik WSS</w:t>
      </w:r>
      <w:r w:rsidRPr="00CA6220">
        <w:rPr>
          <w:rFonts w:ascii="Arial" w:eastAsia="Calibri" w:hAnsi="Arial" w:cs="Arial"/>
          <w:vertAlign w:val="subscript"/>
          <w:lang w:eastAsia="en-US"/>
        </w:rPr>
        <w:t xml:space="preserve">Zagr. </w:t>
      </w:r>
      <w:r w:rsidRPr="00CA6220">
        <w:rPr>
          <w:rFonts w:ascii="Arial" w:eastAsia="Calibri" w:hAnsi="Arial" w:cs="Arial"/>
          <w:lang w:eastAsia="en-US"/>
        </w:rPr>
        <w:t>= 6,18). Jednak obniżenie całkowitej sprzedaży powoduje, że wskaźnik WS</w:t>
      </w:r>
      <w:r w:rsidRPr="00CA6220">
        <w:rPr>
          <w:rFonts w:ascii="Arial" w:eastAsia="Calibri" w:hAnsi="Arial" w:cs="Arial"/>
          <w:vertAlign w:val="subscript"/>
          <w:lang w:eastAsia="en-US"/>
        </w:rPr>
        <w:t xml:space="preserve">Zagr </w:t>
      </w:r>
      <w:r w:rsidRPr="00CA6220">
        <w:rPr>
          <w:rFonts w:ascii="Arial" w:eastAsia="Calibri" w:hAnsi="Arial" w:cs="Arial"/>
          <w:lang w:eastAsia="en-US"/>
        </w:rPr>
        <w:t xml:space="preserve">ma najniższą wartość w analizowanym okresie (2015-2023). </w:t>
      </w:r>
    </w:p>
    <w:p w14:paraId="5302BF6C" w14:textId="77777777" w:rsidR="00575C57" w:rsidRPr="00CA6220" w:rsidRDefault="00575C57" w:rsidP="00CA6220">
      <w:pPr>
        <w:widowControl/>
        <w:spacing w:before="120" w:after="120"/>
        <w:rPr>
          <w:rFonts w:ascii="Arial" w:eastAsia="Calibri" w:hAnsi="Arial" w:cs="Arial"/>
          <w:i/>
          <w:lang w:eastAsia="en-US"/>
        </w:rPr>
      </w:pPr>
      <w:r w:rsidRPr="00CA6220">
        <w:rPr>
          <w:rFonts w:ascii="Arial" w:eastAsia="Calibri" w:hAnsi="Arial" w:cs="Arial"/>
          <w:i/>
          <w:lang w:eastAsia="en-US"/>
        </w:rPr>
        <w:t>Tabela 7. Wyniki obliczeń wskaźników sprzedaży substancji priorytetowych w dziedzinie polityki wodnej (wskaźniki „E” - WS</w:t>
      </w:r>
      <w:r w:rsidRPr="00CA6220">
        <w:rPr>
          <w:rFonts w:ascii="Arial" w:eastAsia="Calibri" w:hAnsi="Arial" w:cs="Arial"/>
          <w:i/>
          <w:vertAlign w:val="subscript"/>
          <w:lang w:eastAsia="en-US"/>
        </w:rPr>
        <w:t>PW</w:t>
      </w:r>
      <w:r w:rsidRPr="00CA6220">
        <w:rPr>
          <w:rFonts w:ascii="Arial" w:eastAsia="Calibri" w:hAnsi="Arial" w:cs="Arial"/>
          <w:i/>
          <w:lang w:eastAsia="en-US"/>
        </w:rPr>
        <w:t xml:space="preserve"> i WSS</w:t>
      </w:r>
      <w:r w:rsidRPr="00CA6220">
        <w:rPr>
          <w:rFonts w:ascii="Arial" w:eastAsia="Calibri" w:hAnsi="Arial" w:cs="Arial"/>
          <w:i/>
          <w:vertAlign w:val="subscript"/>
          <w:lang w:eastAsia="en-US"/>
        </w:rPr>
        <w:t>PW</w:t>
      </w:r>
      <w:r w:rsidRPr="00CA6220">
        <w:rPr>
          <w:rFonts w:ascii="Arial" w:eastAsia="Calibri" w:hAnsi="Arial" w:cs="Arial"/>
          <w:i/>
          <w:lang w:eastAsia="en-US"/>
        </w:rPr>
        <w:t>) dla lat 2015-2023</w:t>
      </w:r>
    </w:p>
    <w:tbl>
      <w:tblPr>
        <w:tblW w:w="9135" w:type="dxa"/>
        <w:jc w:val="center"/>
        <w:tblLayout w:type="fixed"/>
        <w:tblCellMar>
          <w:left w:w="10" w:type="dxa"/>
          <w:right w:w="10" w:type="dxa"/>
        </w:tblCellMar>
        <w:tblLook w:val="04A0" w:firstRow="1" w:lastRow="0" w:firstColumn="1" w:lastColumn="0" w:noHBand="0" w:noVBand="1"/>
      </w:tblPr>
      <w:tblGrid>
        <w:gridCol w:w="1167"/>
        <w:gridCol w:w="2656"/>
        <w:gridCol w:w="2656"/>
        <w:gridCol w:w="2656"/>
      </w:tblGrid>
      <w:tr w:rsidR="00575C57" w:rsidRPr="00CA6220" w14:paraId="42461759" w14:textId="77777777" w:rsidTr="00575C57">
        <w:trPr>
          <w:trHeight w:val="567"/>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B767B23"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Rok</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5EB80A"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 xml:space="preserve">Wskaźnik wielkości sprzedaży </w:t>
            </w:r>
            <w:r w:rsidRPr="00CA6220">
              <w:rPr>
                <w:rFonts w:ascii="Arial" w:hAnsi="Arial" w:cs="Arial"/>
                <w:b/>
                <w:bCs/>
                <w:kern w:val="3"/>
              </w:rPr>
              <w:t>WS</w:t>
            </w:r>
            <w:r w:rsidRPr="00CA6220">
              <w:rPr>
                <w:rFonts w:ascii="Arial" w:hAnsi="Arial" w:cs="Arial"/>
                <w:b/>
                <w:bCs/>
                <w:kern w:val="3"/>
                <w:vertAlign w:val="subscript"/>
              </w:rPr>
              <w:t>PW</w:t>
            </w:r>
            <w:r w:rsidRPr="00CA6220">
              <w:rPr>
                <w:rFonts w:ascii="Arial" w:hAnsi="Arial" w:cs="Arial"/>
                <w:bCs/>
                <w:kern w:val="3"/>
              </w:rPr>
              <w:t xml:space="preserve"> [Mg]</w:t>
            </w:r>
          </w:p>
        </w:tc>
        <w:tc>
          <w:tcPr>
            <w:tcW w:w="2657" w:type="dxa"/>
            <w:tcBorders>
              <w:top w:val="single" w:sz="4" w:space="0" w:color="auto"/>
              <w:left w:val="single" w:sz="4" w:space="0" w:color="auto"/>
              <w:bottom w:val="single" w:sz="4" w:space="0" w:color="auto"/>
              <w:right w:val="single" w:sz="4" w:space="0" w:color="auto"/>
            </w:tcBorders>
            <w:vAlign w:val="center"/>
            <w:hideMark/>
          </w:tcPr>
          <w:p w14:paraId="7BC75F06"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bCs/>
                <w:kern w:val="3"/>
              </w:rPr>
              <w:t xml:space="preserve">Sumaryczna sprzedaż substancji czynnych </w:t>
            </w:r>
            <w:r w:rsidRPr="00CA6220">
              <w:rPr>
                <w:rFonts w:ascii="Arial" w:hAnsi="Arial" w:cs="Arial"/>
                <w:b/>
                <w:bCs/>
                <w:kern w:val="3"/>
              </w:rPr>
              <w:t>S</w:t>
            </w:r>
            <w:r w:rsidRPr="00CA6220">
              <w:rPr>
                <w:rFonts w:ascii="Arial" w:hAnsi="Arial" w:cs="Arial"/>
                <w:bCs/>
                <w:kern w:val="3"/>
              </w:rPr>
              <w:t xml:space="preserve"> [Mg]</w:t>
            </w:r>
          </w:p>
        </w:tc>
        <w:tc>
          <w:tcPr>
            <w:tcW w:w="2657" w:type="dxa"/>
            <w:tcBorders>
              <w:top w:val="single" w:sz="4" w:space="0" w:color="auto"/>
              <w:left w:val="single" w:sz="4" w:space="0" w:color="auto"/>
              <w:bottom w:val="single" w:sz="4" w:space="0" w:color="auto"/>
              <w:right w:val="single" w:sz="4" w:space="0" w:color="auto"/>
            </w:tcBorders>
            <w:vAlign w:val="center"/>
            <w:hideMark/>
          </w:tcPr>
          <w:p w14:paraId="2A957213"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bCs/>
                <w:kern w:val="3"/>
              </w:rPr>
              <w:t xml:space="preserve">Wskaźnik struktury sprzedaży </w:t>
            </w:r>
            <w:r w:rsidRPr="00CA6220">
              <w:rPr>
                <w:rFonts w:ascii="Arial" w:hAnsi="Arial" w:cs="Arial"/>
                <w:b/>
                <w:bCs/>
                <w:kern w:val="3"/>
              </w:rPr>
              <w:t>WSS</w:t>
            </w:r>
            <w:r w:rsidRPr="00CA6220">
              <w:rPr>
                <w:rFonts w:ascii="Arial" w:hAnsi="Arial" w:cs="Arial"/>
                <w:b/>
                <w:bCs/>
                <w:kern w:val="3"/>
                <w:vertAlign w:val="subscript"/>
              </w:rPr>
              <w:t>PW</w:t>
            </w:r>
            <w:r w:rsidRPr="00CA6220">
              <w:rPr>
                <w:rFonts w:ascii="Arial" w:hAnsi="Arial" w:cs="Arial"/>
                <w:bCs/>
                <w:kern w:val="3"/>
              </w:rPr>
              <w:t xml:space="preserve"> [%]</w:t>
            </w:r>
          </w:p>
        </w:tc>
      </w:tr>
      <w:tr w:rsidR="00575C57" w:rsidRPr="00CA6220" w14:paraId="1FC147A4"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FA8002"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2015</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0D9BED"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hAnsi="Arial" w:cs="Arial"/>
                <w:kern w:val="3"/>
              </w:rPr>
              <w:t>1552,85</w:t>
            </w:r>
          </w:p>
        </w:tc>
        <w:tc>
          <w:tcPr>
            <w:tcW w:w="2657" w:type="dxa"/>
            <w:tcBorders>
              <w:top w:val="single" w:sz="4" w:space="0" w:color="auto"/>
              <w:left w:val="single" w:sz="4" w:space="0" w:color="auto"/>
              <w:bottom w:val="single" w:sz="4" w:space="0" w:color="auto"/>
              <w:right w:val="single" w:sz="4" w:space="0" w:color="auto"/>
            </w:tcBorders>
            <w:vAlign w:val="center"/>
            <w:hideMark/>
          </w:tcPr>
          <w:p w14:paraId="1323ACB7"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24006,14</w:t>
            </w:r>
          </w:p>
        </w:tc>
        <w:tc>
          <w:tcPr>
            <w:tcW w:w="2657" w:type="dxa"/>
            <w:tcBorders>
              <w:top w:val="single" w:sz="4" w:space="0" w:color="auto"/>
              <w:left w:val="single" w:sz="4" w:space="0" w:color="auto"/>
              <w:bottom w:val="single" w:sz="4" w:space="0" w:color="auto"/>
              <w:right w:val="single" w:sz="4" w:space="0" w:color="auto"/>
            </w:tcBorders>
            <w:vAlign w:val="center"/>
            <w:hideMark/>
          </w:tcPr>
          <w:p w14:paraId="5AA5A53F"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6,47</w:t>
            </w:r>
          </w:p>
        </w:tc>
      </w:tr>
      <w:tr w:rsidR="00575C57" w:rsidRPr="00CA6220" w14:paraId="750C6652"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4E62BAE"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2016</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6888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hAnsi="Arial" w:cs="Arial"/>
                <w:kern w:val="3"/>
              </w:rPr>
              <w:t>1228,44</w:t>
            </w:r>
          </w:p>
        </w:tc>
        <w:tc>
          <w:tcPr>
            <w:tcW w:w="2657" w:type="dxa"/>
            <w:tcBorders>
              <w:top w:val="single" w:sz="4" w:space="0" w:color="auto"/>
              <w:left w:val="single" w:sz="4" w:space="0" w:color="auto"/>
              <w:bottom w:val="single" w:sz="4" w:space="0" w:color="auto"/>
              <w:right w:val="single" w:sz="4" w:space="0" w:color="auto"/>
            </w:tcBorders>
            <w:vAlign w:val="center"/>
            <w:hideMark/>
          </w:tcPr>
          <w:p w14:paraId="6A508678"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24462,51</w:t>
            </w:r>
          </w:p>
        </w:tc>
        <w:tc>
          <w:tcPr>
            <w:tcW w:w="2657" w:type="dxa"/>
            <w:tcBorders>
              <w:top w:val="single" w:sz="4" w:space="0" w:color="auto"/>
              <w:left w:val="single" w:sz="4" w:space="0" w:color="auto"/>
              <w:bottom w:val="single" w:sz="4" w:space="0" w:color="auto"/>
              <w:right w:val="single" w:sz="4" w:space="0" w:color="auto"/>
            </w:tcBorders>
            <w:vAlign w:val="center"/>
            <w:hideMark/>
          </w:tcPr>
          <w:p w14:paraId="2E43AB39"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5,02</w:t>
            </w:r>
          </w:p>
        </w:tc>
      </w:tr>
      <w:tr w:rsidR="00575C57" w:rsidRPr="00CA6220" w14:paraId="023109FF"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7BE55F7"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2017</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F4E070"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hAnsi="Arial" w:cs="Arial"/>
                <w:kern w:val="3"/>
              </w:rPr>
              <w:t>1119,93</w:t>
            </w:r>
          </w:p>
        </w:tc>
        <w:tc>
          <w:tcPr>
            <w:tcW w:w="2657" w:type="dxa"/>
            <w:tcBorders>
              <w:top w:val="single" w:sz="4" w:space="0" w:color="auto"/>
              <w:left w:val="single" w:sz="4" w:space="0" w:color="auto"/>
              <w:bottom w:val="single" w:sz="4" w:space="0" w:color="auto"/>
              <w:right w:val="single" w:sz="4" w:space="0" w:color="auto"/>
            </w:tcBorders>
            <w:vAlign w:val="center"/>
            <w:hideMark/>
          </w:tcPr>
          <w:p w14:paraId="5C52FE54"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25075,08</w:t>
            </w:r>
          </w:p>
        </w:tc>
        <w:tc>
          <w:tcPr>
            <w:tcW w:w="2657" w:type="dxa"/>
            <w:tcBorders>
              <w:top w:val="single" w:sz="4" w:space="0" w:color="auto"/>
              <w:left w:val="single" w:sz="4" w:space="0" w:color="auto"/>
              <w:bottom w:val="single" w:sz="4" w:space="0" w:color="auto"/>
              <w:right w:val="single" w:sz="4" w:space="0" w:color="auto"/>
            </w:tcBorders>
            <w:vAlign w:val="center"/>
            <w:hideMark/>
          </w:tcPr>
          <w:p w14:paraId="76F3CDF4"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4,47</w:t>
            </w:r>
          </w:p>
        </w:tc>
      </w:tr>
      <w:tr w:rsidR="00575C57" w:rsidRPr="00CA6220" w14:paraId="46AB0B97"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E5934F5"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2018</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17320"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997,91</w:t>
            </w:r>
          </w:p>
        </w:tc>
        <w:tc>
          <w:tcPr>
            <w:tcW w:w="2657" w:type="dxa"/>
            <w:tcBorders>
              <w:top w:val="single" w:sz="4" w:space="0" w:color="auto"/>
              <w:left w:val="single" w:sz="4" w:space="0" w:color="auto"/>
              <w:bottom w:val="single" w:sz="4" w:space="0" w:color="auto"/>
              <w:right w:val="single" w:sz="4" w:space="0" w:color="auto"/>
            </w:tcBorders>
            <w:vAlign w:val="center"/>
            <w:hideMark/>
          </w:tcPr>
          <w:p w14:paraId="62BA4E1E"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23178,43</w:t>
            </w:r>
          </w:p>
        </w:tc>
        <w:tc>
          <w:tcPr>
            <w:tcW w:w="2657" w:type="dxa"/>
            <w:tcBorders>
              <w:top w:val="single" w:sz="4" w:space="0" w:color="auto"/>
              <w:left w:val="single" w:sz="4" w:space="0" w:color="auto"/>
              <w:bottom w:val="single" w:sz="4" w:space="0" w:color="auto"/>
              <w:right w:val="single" w:sz="4" w:space="0" w:color="auto"/>
            </w:tcBorders>
            <w:vAlign w:val="center"/>
            <w:hideMark/>
          </w:tcPr>
          <w:p w14:paraId="2053B748"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4,31</w:t>
            </w:r>
          </w:p>
        </w:tc>
      </w:tr>
      <w:tr w:rsidR="00575C57" w:rsidRPr="00CA6220" w14:paraId="05673A51"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E86FCE"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2019</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160468"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1975,87</w:t>
            </w:r>
          </w:p>
        </w:tc>
        <w:tc>
          <w:tcPr>
            <w:tcW w:w="2657" w:type="dxa"/>
            <w:tcBorders>
              <w:top w:val="single" w:sz="4" w:space="0" w:color="auto"/>
              <w:left w:val="single" w:sz="4" w:space="0" w:color="auto"/>
              <w:bottom w:val="single" w:sz="4" w:space="0" w:color="auto"/>
              <w:right w:val="single" w:sz="4" w:space="0" w:color="auto"/>
            </w:tcBorders>
            <w:vAlign w:val="center"/>
            <w:hideMark/>
          </w:tcPr>
          <w:p w14:paraId="11B3EA11"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24280,66</w:t>
            </w:r>
          </w:p>
        </w:tc>
        <w:tc>
          <w:tcPr>
            <w:tcW w:w="2657" w:type="dxa"/>
            <w:tcBorders>
              <w:top w:val="single" w:sz="4" w:space="0" w:color="auto"/>
              <w:left w:val="single" w:sz="4" w:space="0" w:color="auto"/>
              <w:bottom w:val="single" w:sz="4" w:space="0" w:color="auto"/>
              <w:right w:val="single" w:sz="4" w:space="0" w:color="auto"/>
            </w:tcBorders>
            <w:vAlign w:val="center"/>
            <w:hideMark/>
          </w:tcPr>
          <w:p w14:paraId="3E275150"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8,14</w:t>
            </w:r>
          </w:p>
        </w:tc>
      </w:tr>
      <w:tr w:rsidR="00575C57" w:rsidRPr="00CA6220" w14:paraId="4EB401D6"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434D724"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2020</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2E763D"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206,57</w:t>
            </w:r>
          </w:p>
        </w:tc>
        <w:tc>
          <w:tcPr>
            <w:tcW w:w="2657" w:type="dxa"/>
            <w:tcBorders>
              <w:top w:val="single" w:sz="4" w:space="0" w:color="auto"/>
              <w:left w:val="single" w:sz="4" w:space="0" w:color="auto"/>
              <w:bottom w:val="single" w:sz="4" w:space="0" w:color="auto"/>
              <w:right w:val="single" w:sz="4" w:space="0" w:color="auto"/>
            </w:tcBorders>
            <w:vAlign w:val="center"/>
            <w:hideMark/>
          </w:tcPr>
          <w:p w14:paraId="437AED28"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24628,01</w:t>
            </w:r>
          </w:p>
        </w:tc>
        <w:tc>
          <w:tcPr>
            <w:tcW w:w="2657" w:type="dxa"/>
            <w:tcBorders>
              <w:top w:val="single" w:sz="4" w:space="0" w:color="auto"/>
              <w:left w:val="single" w:sz="4" w:space="0" w:color="auto"/>
              <w:bottom w:val="single" w:sz="4" w:space="0" w:color="auto"/>
              <w:right w:val="single" w:sz="4" w:space="0" w:color="auto"/>
            </w:tcBorders>
            <w:vAlign w:val="center"/>
            <w:hideMark/>
          </w:tcPr>
          <w:p w14:paraId="5DE9000E"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0,84</w:t>
            </w:r>
          </w:p>
        </w:tc>
      </w:tr>
      <w:tr w:rsidR="00575C57" w:rsidRPr="00CA6220" w14:paraId="71EDE8CB"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B74608"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2021</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069233"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184,04</w:t>
            </w:r>
          </w:p>
        </w:tc>
        <w:tc>
          <w:tcPr>
            <w:tcW w:w="2657" w:type="dxa"/>
            <w:tcBorders>
              <w:top w:val="single" w:sz="4" w:space="0" w:color="auto"/>
              <w:left w:val="single" w:sz="4" w:space="0" w:color="auto"/>
              <w:bottom w:val="single" w:sz="4" w:space="0" w:color="auto"/>
              <w:right w:val="single" w:sz="4" w:space="0" w:color="auto"/>
            </w:tcBorders>
            <w:vAlign w:val="center"/>
            <w:hideMark/>
          </w:tcPr>
          <w:p w14:paraId="5B237A94"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26972,68</w:t>
            </w:r>
          </w:p>
        </w:tc>
        <w:tc>
          <w:tcPr>
            <w:tcW w:w="2657" w:type="dxa"/>
            <w:tcBorders>
              <w:top w:val="single" w:sz="4" w:space="0" w:color="auto"/>
              <w:left w:val="single" w:sz="4" w:space="0" w:color="auto"/>
              <w:bottom w:val="single" w:sz="4" w:space="0" w:color="auto"/>
              <w:right w:val="single" w:sz="4" w:space="0" w:color="auto"/>
            </w:tcBorders>
            <w:vAlign w:val="center"/>
            <w:hideMark/>
          </w:tcPr>
          <w:p w14:paraId="7B22679D"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0,68</w:t>
            </w:r>
          </w:p>
        </w:tc>
      </w:tr>
      <w:tr w:rsidR="00575C57" w:rsidRPr="00CA6220" w14:paraId="1E983CD7"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F08B034"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2022</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5C897E"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176,89</w:t>
            </w:r>
          </w:p>
        </w:tc>
        <w:tc>
          <w:tcPr>
            <w:tcW w:w="2657" w:type="dxa"/>
            <w:tcBorders>
              <w:top w:val="single" w:sz="4" w:space="0" w:color="auto"/>
              <w:left w:val="single" w:sz="4" w:space="0" w:color="auto"/>
              <w:bottom w:val="single" w:sz="4" w:space="0" w:color="auto"/>
              <w:right w:val="single" w:sz="4" w:space="0" w:color="auto"/>
            </w:tcBorders>
            <w:vAlign w:val="center"/>
            <w:hideMark/>
          </w:tcPr>
          <w:p w14:paraId="48136F01"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22320,35</w:t>
            </w:r>
          </w:p>
        </w:tc>
        <w:tc>
          <w:tcPr>
            <w:tcW w:w="2657" w:type="dxa"/>
            <w:tcBorders>
              <w:top w:val="single" w:sz="4" w:space="0" w:color="auto"/>
              <w:left w:val="single" w:sz="4" w:space="0" w:color="auto"/>
              <w:bottom w:val="single" w:sz="4" w:space="0" w:color="auto"/>
              <w:right w:val="single" w:sz="4" w:space="0" w:color="auto"/>
            </w:tcBorders>
            <w:vAlign w:val="center"/>
            <w:hideMark/>
          </w:tcPr>
          <w:p w14:paraId="2C96571A"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0,79</w:t>
            </w:r>
          </w:p>
        </w:tc>
      </w:tr>
      <w:tr w:rsidR="00575C57" w:rsidRPr="00CA6220" w14:paraId="5456705B" w14:textId="77777777" w:rsidTr="00575C57">
        <w:trPr>
          <w:trHeight w:val="340"/>
          <w:jc w:val="center"/>
        </w:trPr>
        <w:tc>
          <w:tcPr>
            <w:tcW w:w="116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162C704" w14:textId="77777777" w:rsidR="00575C57" w:rsidRPr="00CA6220" w:rsidRDefault="00575C57" w:rsidP="00575C57">
            <w:pPr>
              <w:widowControl/>
              <w:suppressAutoHyphens/>
              <w:autoSpaceDN w:val="0"/>
              <w:jc w:val="center"/>
              <w:rPr>
                <w:rFonts w:ascii="Arial" w:eastAsia="Lucida Sans Unicode" w:hAnsi="Arial" w:cs="Arial"/>
                <w:kern w:val="3"/>
                <w:lang w:eastAsia="en-US"/>
              </w:rPr>
            </w:pPr>
            <w:r w:rsidRPr="00CA6220">
              <w:rPr>
                <w:rFonts w:ascii="Arial" w:eastAsia="Lucida Sans Unicode" w:hAnsi="Arial" w:cs="Arial"/>
                <w:kern w:val="3"/>
                <w:lang w:eastAsia="en-US"/>
              </w:rPr>
              <w:t>2023</w:t>
            </w:r>
          </w:p>
        </w:tc>
        <w:tc>
          <w:tcPr>
            <w:tcW w:w="26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9C629" w14:textId="77777777" w:rsidR="00575C57" w:rsidRPr="00CA6220" w:rsidRDefault="00575C57" w:rsidP="00575C57">
            <w:pPr>
              <w:widowControl/>
              <w:jc w:val="center"/>
              <w:rPr>
                <w:rFonts w:ascii="Arial" w:hAnsi="Arial" w:cs="Arial"/>
              </w:rPr>
            </w:pPr>
            <w:r w:rsidRPr="00CA6220">
              <w:rPr>
                <w:rFonts w:ascii="Arial" w:eastAsia="Calibri" w:hAnsi="Arial" w:cs="Arial"/>
                <w:color w:val="000000"/>
                <w:lang w:eastAsia="en-US"/>
              </w:rPr>
              <w:t>228,14</w:t>
            </w:r>
          </w:p>
        </w:tc>
        <w:tc>
          <w:tcPr>
            <w:tcW w:w="2657" w:type="dxa"/>
            <w:tcBorders>
              <w:top w:val="single" w:sz="4" w:space="0" w:color="auto"/>
              <w:left w:val="single" w:sz="4" w:space="0" w:color="auto"/>
              <w:bottom w:val="single" w:sz="4" w:space="0" w:color="auto"/>
              <w:right w:val="single" w:sz="4" w:space="0" w:color="auto"/>
            </w:tcBorders>
            <w:vAlign w:val="center"/>
            <w:hideMark/>
          </w:tcPr>
          <w:p w14:paraId="3BB3E757" w14:textId="77777777" w:rsidR="00575C57" w:rsidRPr="00CA6220" w:rsidRDefault="00575C57" w:rsidP="00575C57">
            <w:pPr>
              <w:widowControl/>
              <w:jc w:val="center"/>
              <w:rPr>
                <w:rFonts w:ascii="Arial" w:hAnsi="Arial" w:cs="Arial"/>
              </w:rPr>
            </w:pPr>
            <w:r w:rsidRPr="00CA6220">
              <w:rPr>
                <w:rFonts w:ascii="Arial" w:eastAsia="Calibri" w:hAnsi="Arial" w:cs="Arial"/>
                <w:color w:val="000000"/>
                <w:lang w:eastAsia="en-US"/>
              </w:rPr>
              <w:t>20047,27</w:t>
            </w:r>
          </w:p>
        </w:tc>
        <w:tc>
          <w:tcPr>
            <w:tcW w:w="2657" w:type="dxa"/>
            <w:tcBorders>
              <w:top w:val="single" w:sz="4" w:space="0" w:color="auto"/>
              <w:left w:val="single" w:sz="4" w:space="0" w:color="auto"/>
              <w:bottom w:val="single" w:sz="4" w:space="0" w:color="auto"/>
              <w:right w:val="single" w:sz="4" w:space="0" w:color="auto"/>
            </w:tcBorders>
            <w:vAlign w:val="center"/>
            <w:hideMark/>
          </w:tcPr>
          <w:p w14:paraId="7FBEC347" w14:textId="77777777" w:rsidR="00575C57" w:rsidRPr="00CA6220" w:rsidRDefault="00575C57" w:rsidP="00575C57">
            <w:pPr>
              <w:widowControl/>
              <w:suppressAutoHyphens/>
              <w:autoSpaceDN w:val="0"/>
              <w:jc w:val="center"/>
              <w:rPr>
                <w:rFonts w:ascii="Arial" w:hAnsi="Arial" w:cs="Arial"/>
                <w:kern w:val="3"/>
              </w:rPr>
            </w:pPr>
            <w:r w:rsidRPr="00CA6220">
              <w:rPr>
                <w:rFonts w:ascii="Arial" w:hAnsi="Arial" w:cs="Arial"/>
                <w:kern w:val="3"/>
              </w:rPr>
              <w:t>1,14</w:t>
            </w:r>
          </w:p>
        </w:tc>
      </w:tr>
    </w:tbl>
    <w:p w14:paraId="13212CC0" w14:textId="77777777" w:rsidR="00575C57" w:rsidRPr="00CA6220" w:rsidRDefault="00575C57" w:rsidP="00575C57">
      <w:pPr>
        <w:widowControl/>
        <w:rPr>
          <w:rFonts w:ascii="Arial" w:eastAsia="Calibri" w:hAnsi="Arial" w:cs="Arial"/>
          <w:highlight w:val="yellow"/>
          <w:lang w:eastAsia="en-US"/>
        </w:rPr>
      </w:pPr>
    </w:p>
    <w:p w14:paraId="380F6665" w14:textId="77777777" w:rsidR="00CA6220" w:rsidRDefault="00CA6220" w:rsidP="00575C57">
      <w:pPr>
        <w:widowControl/>
        <w:spacing w:before="120" w:line="360" w:lineRule="auto"/>
        <w:rPr>
          <w:rFonts w:ascii="Arial" w:eastAsia="Calibri" w:hAnsi="Arial" w:cs="Arial"/>
          <w:i/>
          <w:lang w:eastAsia="en-US"/>
        </w:rPr>
      </w:pPr>
    </w:p>
    <w:p w14:paraId="5512CB0A" w14:textId="77777777" w:rsidR="00CA6220" w:rsidRDefault="00CA6220" w:rsidP="00575C57">
      <w:pPr>
        <w:widowControl/>
        <w:spacing w:before="120" w:line="360" w:lineRule="auto"/>
        <w:rPr>
          <w:rFonts w:ascii="Arial" w:eastAsia="Calibri" w:hAnsi="Arial" w:cs="Arial"/>
          <w:i/>
          <w:lang w:eastAsia="en-US"/>
        </w:rPr>
      </w:pPr>
    </w:p>
    <w:p w14:paraId="7ABE857B" w14:textId="7E31BC53" w:rsidR="00575C57" w:rsidRPr="00CA6220" w:rsidRDefault="00575C57" w:rsidP="00CA6220">
      <w:pPr>
        <w:widowControl/>
        <w:spacing w:before="120" w:after="120" w:line="360" w:lineRule="auto"/>
        <w:rPr>
          <w:rFonts w:ascii="Arial" w:eastAsia="Calibri" w:hAnsi="Arial" w:cs="Arial"/>
          <w:i/>
          <w:lang w:eastAsia="en-US"/>
        </w:rPr>
      </w:pPr>
      <w:r w:rsidRPr="00CA6220">
        <w:rPr>
          <w:rFonts w:ascii="Arial" w:eastAsia="Calibri" w:hAnsi="Arial" w:cs="Arial"/>
          <w:i/>
          <w:lang w:eastAsia="en-US"/>
        </w:rPr>
        <w:lastRenderedPageBreak/>
        <w:t>Rys. 7. Wskaźniki „E” – WS</w:t>
      </w:r>
      <w:r w:rsidRPr="00CA6220">
        <w:rPr>
          <w:rFonts w:ascii="Arial" w:eastAsia="Calibri" w:hAnsi="Arial" w:cs="Arial"/>
          <w:i/>
          <w:vertAlign w:val="subscript"/>
          <w:lang w:eastAsia="en-US"/>
        </w:rPr>
        <w:t>PW</w:t>
      </w:r>
      <w:r w:rsidRPr="00CA6220">
        <w:rPr>
          <w:rFonts w:ascii="Arial" w:eastAsia="Calibri" w:hAnsi="Arial" w:cs="Arial"/>
          <w:i/>
          <w:lang w:eastAsia="en-US"/>
        </w:rPr>
        <w:t xml:space="preserve"> i WSS</w:t>
      </w:r>
      <w:r w:rsidRPr="00CA6220">
        <w:rPr>
          <w:rFonts w:ascii="Arial" w:eastAsia="Calibri" w:hAnsi="Arial" w:cs="Arial"/>
          <w:i/>
          <w:vertAlign w:val="subscript"/>
          <w:lang w:eastAsia="en-US"/>
        </w:rPr>
        <w:t>PW.</w:t>
      </w:r>
      <w:r w:rsidRPr="00CA6220">
        <w:rPr>
          <w:rFonts w:ascii="Arial" w:eastAsia="Calibri" w:hAnsi="Arial" w:cs="Arial"/>
          <w:i/>
          <w:lang w:eastAsia="en-US"/>
        </w:rPr>
        <w:t>w latach 2015-2023</w:t>
      </w:r>
    </w:p>
    <w:p w14:paraId="7A13C7AD" w14:textId="6357AF1B" w:rsidR="00575C57" w:rsidRPr="00575C57" w:rsidRDefault="00575C57" w:rsidP="00575C57">
      <w:pPr>
        <w:widowControl/>
        <w:spacing w:after="120"/>
        <w:rPr>
          <w:rFonts w:eastAsia="Calibri"/>
          <w:i/>
          <w:sz w:val="24"/>
          <w:szCs w:val="22"/>
          <w:highlight w:val="yellow"/>
          <w:lang w:eastAsia="en-US"/>
        </w:rPr>
      </w:pPr>
      <w:r w:rsidRPr="00575C57">
        <w:rPr>
          <w:rFonts w:eastAsia="Calibri"/>
          <w:noProof/>
          <w:sz w:val="24"/>
          <w:szCs w:val="22"/>
        </w:rPr>
        <w:drawing>
          <wp:inline distT="0" distB="0" distL="0" distR="0" wp14:anchorId="6072A820" wp14:editId="2CB71EDD">
            <wp:extent cx="5481115" cy="2415496"/>
            <wp:effectExtent l="0" t="0" r="5715" b="4445"/>
            <wp:docPr id="24"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3E02BC3" w14:textId="77777777" w:rsidR="00575C57" w:rsidRPr="00575C57" w:rsidRDefault="00575C57" w:rsidP="00575C57">
      <w:pPr>
        <w:widowControl/>
        <w:rPr>
          <w:rFonts w:eastAsia="Calibri"/>
          <w:sz w:val="24"/>
          <w:szCs w:val="22"/>
          <w:highlight w:val="yellow"/>
          <w:lang w:eastAsia="en-US"/>
        </w:rPr>
      </w:pPr>
    </w:p>
    <w:p w14:paraId="29FBB1AE" w14:textId="77777777" w:rsidR="00575C57" w:rsidRPr="00EC290B" w:rsidRDefault="00575C57" w:rsidP="00EC290B">
      <w:pPr>
        <w:widowControl/>
        <w:spacing w:before="120" w:after="120"/>
        <w:rPr>
          <w:rFonts w:ascii="Arial" w:eastAsia="Calibri" w:hAnsi="Arial" w:cs="Arial"/>
          <w:i/>
          <w:lang w:eastAsia="en-US"/>
        </w:rPr>
      </w:pPr>
      <w:r w:rsidRPr="00EC290B">
        <w:rPr>
          <w:rFonts w:ascii="Arial" w:eastAsia="Calibri" w:hAnsi="Arial" w:cs="Arial"/>
          <w:i/>
          <w:lang w:eastAsia="en-US"/>
        </w:rPr>
        <w:t>Tabela 8. Wyniki obliczeń wskaźników sprzedaży substancji czynnych wymagających programów monitorowania (wskaźniki „F” – WS</w:t>
      </w:r>
      <w:r w:rsidRPr="00EC290B">
        <w:rPr>
          <w:rFonts w:ascii="Arial" w:eastAsia="Calibri" w:hAnsi="Arial" w:cs="Arial"/>
          <w:i/>
          <w:vertAlign w:val="subscript"/>
          <w:lang w:eastAsia="en-US"/>
        </w:rPr>
        <w:t>Monit</w:t>
      </w:r>
      <w:r w:rsidRPr="00EC290B">
        <w:rPr>
          <w:rFonts w:ascii="Arial" w:eastAsia="Calibri" w:hAnsi="Arial" w:cs="Arial"/>
          <w:i/>
          <w:lang w:eastAsia="en-US"/>
        </w:rPr>
        <w:t>. i WSS</w:t>
      </w:r>
      <w:r w:rsidRPr="00EC290B">
        <w:rPr>
          <w:rFonts w:ascii="Arial" w:eastAsia="Calibri" w:hAnsi="Arial" w:cs="Arial"/>
          <w:i/>
          <w:vertAlign w:val="subscript"/>
          <w:lang w:eastAsia="en-US"/>
        </w:rPr>
        <w:t>Monit.</w:t>
      </w:r>
      <w:r w:rsidRPr="00EC290B">
        <w:rPr>
          <w:rFonts w:ascii="Arial" w:eastAsia="Calibri" w:hAnsi="Arial" w:cs="Arial"/>
          <w:i/>
          <w:lang w:eastAsia="en-US"/>
        </w:rPr>
        <w:t>) dla lat 2015-2023</w:t>
      </w:r>
    </w:p>
    <w:tbl>
      <w:tblPr>
        <w:tblW w:w="8874" w:type="dxa"/>
        <w:jc w:val="center"/>
        <w:tblLayout w:type="fixed"/>
        <w:tblCellMar>
          <w:left w:w="10" w:type="dxa"/>
          <w:right w:w="10" w:type="dxa"/>
        </w:tblCellMar>
        <w:tblLook w:val="04A0" w:firstRow="1" w:lastRow="0" w:firstColumn="1" w:lastColumn="0" w:noHBand="0" w:noVBand="1"/>
      </w:tblPr>
      <w:tblGrid>
        <w:gridCol w:w="1134"/>
        <w:gridCol w:w="2580"/>
        <w:gridCol w:w="2580"/>
        <w:gridCol w:w="2580"/>
      </w:tblGrid>
      <w:tr w:rsidR="00575C57" w:rsidRPr="00EC290B" w14:paraId="041F3B18" w14:textId="77777777" w:rsidTr="00EC290B">
        <w:trPr>
          <w:trHeight w:val="542"/>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7DC31E2"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Rok</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72847E"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 xml:space="preserve">Wskaźnik wielkości sprzedaży </w:t>
            </w:r>
            <w:r w:rsidRPr="00EC290B">
              <w:rPr>
                <w:rFonts w:ascii="Arial" w:hAnsi="Arial" w:cs="Arial"/>
                <w:b/>
                <w:bCs/>
                <w:kern w:val="3"/>
              </w:rPr>
              <w:t>WS</w:t>
            </w:r>
            <w:r w:rsidRPr="00EC290B">
              <w:rPr>
                <w:rFonts w:ascii="Arial" w:hAnsi="Arial" w:cs="Arial"/>
                <w:b/>
                <w:bCs/>
                <w:kern w:val="3"/>
                <w:vertAlign w:val="subscript"/>
              </w:rPr>
              <w:t>Monit.</w:t>
            </w:r>
            <w:r w:rsidRPr="00EC290B">
              <w:rPr>
                <w:rFonts w:ascii="Arial" w:hAnsi="Arial" w:cs="Arial"/>
                <w:bCs/>
                <w:kern w:val="3"/>
              </w:rPr>
              <w:t xml:space="preserve"> [Mg]</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551A3FF" w14:textId="77777777" w:rsidR="00575C57" w:rsidRPr="00EC290B" w:rsidRDefault="00575C57" w:rsidP="00575C57">
            <w:pPr>
              <w:widowControl/>
              <w:suppressAutoHyphens/>
              <w:autoSpaceDN w:val="0"/>
              <w:jc w:val="center"/>
              <w:rPr>
                <w:rFonts w:ascii="Arial" w:hAnsi="Arial" w:cs="Arial"/>
                <w:kern w:val="3"/>
              </w:rPr>
            </w:pPr>
            <w:r w:rsidRPr="00EC290B">
              <w:rPr>
                <w:rFonts w:ascii="Arial" w:hAnsi="Arial" w:cs="Arial"/>
                <w:bCs/>
                <w:kern w:val="3"/>
              </w:rPr>
              <w:t xml:space="preserve">Sumaryczna sprzedaż substancji czynnych </w:t>
            </w:r>
            <w:r w:rsidRPr="00EC290B">
              <w:rPr>
                <w:rFonts w:ascii="Arial" w:hAnsi="Arial" w:cs="Arial"/>
                <w:b/>
                <w:bCs/>
                <w:kern w:val="3"/>
              </w:rPr>
              <w:t>S</w:t>
            </w:r>
            <w:r w:rsidRPr="00EC290B">
              <w:rPr>
                <w:rFonts w:ascii="Arial" w:hAnsi="Arial" w:cs="Arial"/>
                <w:bCs/>
                <w:kern w:val="3"/>
              </w:rPr>
              <w:t xml:space="preserve"> [Mg]</w:t>
            </w:r>
          </w:p>
        </w:tc>
        <w:tc>
          <w:tcPr>
            <w:tcW w:w="2580" w:type="dxa"/>
            <w:tcBorders>
              <w:top w:val="single" w:sz="4" w:space="0" w:color="auto"/>
              <w:left w:val="single" w:sz="4" w:space="0" w:color="auto"/>
              <w:bottom w:val="single" w:sz="4" w:space="0" w:color="auto"/>
              <w:right w:val="single" w:sz="4" w:space="0" w:color="auto"/>
            </w:tcBorders>
            <w:vAlign w:val="center"/>
            <w:hideMark/>
          </w:tcPr>
          <w:p w14:paraId="080D5FC2" w14:textId="77777777" w:rsidR="00575C57" w:rsidRPr="00EC290B" w:rsidRDefault="00575C57" w:rsidP="00575C57">
            <w:pPr>
              <w:widowControl/>
              <w:suppressAutoHyphens/>
              <w:autoSpaceDN w:val="0"/>
              <w:jc w:val="center"/>
              <w:rPr>
                <w:rFonts w:ascii="Arial" w:hAnsi="Arial" w:cs="Arial"/>
                <w:kern w:val="3"/>
              </w:rPr>
            </w:pPr>
            <w:r w:rsidRPr="00EC290B">
              <w:rPr>
                <w:rFonts w:ascii="Arial" w:hAnsi="Arial" w:cs="Arial"/>
                <w:bCs/>
                <w:kern w:val="3"/>
              </w:rPr>
              <w:t xml:space="preserve">Wskaźnik struktury sprzedaży </w:t>
            </w:r>
            <w:r w:rsidRPr="00EC290B">
              <w:rPr>
                <w:rFonts w:ascii="Arial" w:hAnsi="Arial" w:cs="Arial"/>
                <w:b/>
                <w:bCs/>
                <w:kern w:val="3"/>
              </w:rPr>
              <w:t>WSS</w:t>
            </w:r>
            <w:r w:rsidRPr="00EC290B">
              <w:rPr>
                <w:rFonts w:ascii="Arial" w:hAnsi="Arial" w:cs="Arial"/>
                <w:b/>
                <w:bCs/>
                <w:kern w:val="3"/>
                <w:vertAlign w:val="subscript"/>
              </w:rPr>
              <w:t>Monit.</w:t>
            </w:r>
            <w:r w:rsidRPr="00EC290B">
              <w:rPr>
                <w:rFonts w:ascii="Arial" w:hAnsi="Arial" w:cs="Arial"/>
                <w:bCs/>
                <w:kern w:val="3"/>
              </w:rPr>
              <w:t xml:space="preserve"> [%]</w:t>
            </w:r>
          </w:p>
        </w:tc>
      </w:tr>
      <w:tr w:rsidR="00575C57" w:rsidRPr="00EC290B" w14:paraId="5FD75534"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D2AC23D"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2015</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6A72AE"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2165,56</w:t>
            </w:r>
          </w:p>
        </w:tc>
        <w:tc>
          <w:tcPr>
            <w:tcW w:w="2580" w:type="dxa"/>
            <w:tcBorders>
              <w:top w:val="single" w:sz="4" w:space="0" w:color="auto"/>
              <w:left w:val="single" w:sz="4" w:space="0" w:color="auto"/>
              <w:bottom w:val="single" w:sz="4" w:space="0" w:color="auto"/>
              <w:right w:val="single" w:sz="4" w:space="0" w:color="auto"/>
            </w:tcBorders>
            <w:vAlign w:val="center"/>
            <w:hideMark/>
          </w:tcPr>
          <w:p w14:paraId="0ABE52DC"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24006,14</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27D66A3"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9,02</w:t>
            </w:r>
          </w:p>
        </w:tc>
      </w:tr>
      <w:tr w:rsidR="00575C57" w:rsidRPr="00EC290B" w14:paraId="287C80C8"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2EC8B7F"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2016</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B07EA6"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2002,95</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8F77548"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24462,51</w:t>
            </w:r>
          </w:p>
        </w:tc>
        <w:tc>
          <w:tcPr>
            <w:tcW w:w="2580" w:type="dxa"/>
            <w:tcBorders>
              <w:top w:val="single" w:sz="4" w:space="0" w:color="auto"/>
              <w:left w:val="single" w:sz="4" w:space="0" w:color="auto"/>
              <w:bottom w:val="single" w:sz="4" w:space="0" w:color="auto"/>
              <w:right w:val="single" w:sz="4" w:space="0" w:color="auto"/>
            </w:tcBorders>
            <w:vAlign w:val="center"/>
            <w:hideMark/>
          </w:tcPr>
          <w:p w14:paraId="085B0FDF"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8,19</w:t>
            </w:r>
          </w:p>
        </w:tc>
      </w:tr>
      <w:tr w:rsidR="00575C57" w:rsidRPr="00EC290B" w14:paraId="62682997"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B6536EC"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2017</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F8D368"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2184,74</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8D2DDD3"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25075,08</w:t>
            </w:r>
          </w:p>
        </w:tc>
        <w:tc>
          <w:tcPr>
            <w:tcW w:w="2580" w:type="dxa"/>
            <w:tcBorders>
              <w:top w:val="single" w:sz="4" w:space="0" w:color="auto"/>
              <w:left w:val="single" w:sz="4" w:space="0" w:color="auto"/>
              <w:bottom w:val="single" w:sz="4" w:space="0" w:color="auto"/>
              <w:right w:val="single" w:sz="4" w:space="0" w:color="auto"/>
            </w:tcBorders>
            <w:vAlign w:val="center"/>
            <w:hideMark/>
          </w:tcPr>
          <w:p w14:paraId="2C94C577"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8,71</w:t>
            </w:r>
          </w:p>
        </w:tc>
      </w:tr>
      <w:tr w:rsidR="00575C57" w:rsidRPr="00EC290B" w14:paraId="4D5215D0"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1106B02"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2018</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E60DCE"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2329,74</w:t>
            </w:r>
          </w:p>
        </w:tc>
        <w:tc>
          <w:tcPr>
            <w:tcW w:w="2580" w:type="dxa"/>
            <w:tcBorders>
              <w:top w:val="single" w:sz="4" w:space="0" w:color="auto"/>
              <w:left w:val="single" w:sz="4" w:space="0" w:color="auto"/>
              <w:bottom w:val="single" w:sz="4" w:space="0" w:color="auto"/>
              <w:right w:val="single" w:sz="4" w:space="0" w:color="auto"/>
            </w:tcBorders>
            <w:vAlign w:val="center"/>
            <w:hideMark/>
          </w:tcPr>
          <w:p w14:paraId="7DAC8F1E"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23178,43</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FFB78B1"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10,05</w:t>
            </w:r>
          </w:p>
        </w:tc>
      </w:tr>
      <w:tr w:rsidR="00575C57" w:rsidRPr="00EC290B" w14:paraId="6F209D48"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11B9B89"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2019</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AC1D7"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2398,86</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25B449A"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24280,66</w:t>
            </w:r>
          </w:p>
        </w:tc>
        <w:tc>
          <w:tcPr>
            <w:tcW w:w="2580" w:type="dxa"/>
            <w:tcBorders>
              <w:top w:val="single" w:sz="4" w:space="0" w:color="auto"/>
              <w:left w:val="single" w:sz="4" w:space="0" w:color="auto"/>
              <w:bottom w:val="single" w:sz="4" w:space="0" w:color="auto"/>
              <w:right w:val="single" w:sz="4" w:space="0" w:color="auto"/>
            </w:tcBorders>
            <w:vAlign w:val="center"/>
            <w:hideMark/>
          </w:tcPr>
          <w:p w14:paraId="72638635"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9,88</w:t>
            </w:r>
          </w:p>
        </w:tc>
      </w:tr>
      <w:tr w:rsidR="00575C57" w:rsidRPr="00EC290B" w14:paraId="272DAAB8"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13EC113"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2020</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81E1B9"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2506,07</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4BD5EA8"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24628,01</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FE534F6"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10,18</w:t>
            </w:r>
          </w:p>
        </w:tc>
      </w:tr>
      <w:tr w:rsidR="00575C57" w:rsidRPr="00EC290B" w14:paraId="1E45AAB5"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DFB1728"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2021</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B429DB"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3141,12</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EB6859B"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26972,68</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B307D59"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11,65</w:t>
            </w:r>
          </w:p>
        </w:tc>
      </w:tr>
      <w:tr w:rsidR="00575C57" w:rsidRPr="00EC290B" w14:paraId="63F1849B"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1B2A064"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2022</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C016D5"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2823,59</w:t>
            </w:r>
          </w:p>
        </w:tc>
        <w:tc>
          <w:tcPr>
            <w:tcW w:w="2580" w:type="dxa"/>
            <w:tcBorders>
              <w:top w:val="single" w:sz="4" w:space="0" w:color="auto"/>
              <w:left w:val="single" w:sz="4" w:space="0" w:color="auto"/>
              <w:bottom w:val="single" w:sz="4" w:space="0" w:color="auto"/>
              <w:right w:val="single" w:sz="4" w:space="0" w:color="auto"/>
            </w:tcBorders>
            <w:vAlign w:val="center"/>
            <w:hideMark/>
          </w:tcPr>
          <w:p w14:paraId="2038E8FC"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22320,35</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24ECBE9"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12,65</w:t>
            </w:r>
          </w:p>
        </w:tc>
      </w:tr>
      <w:tr w:rsidR="00575C57" w:rsidRPr="00EC290B" w14:paraId="58C7AA66" w14:textId="77777777" w:rsidTr="00EC290B">
        <w:trPr>
          <w:trHeight w:val="325"/>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3791BC7"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2023</w:t>
            </w:r>
          </w:p>
        </w:tc>
        <w:tc>
          <w:tcPr>
            <w:tcW w:w="25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2B8999"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3114,72</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94A6010"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20047,27</w:t>
            </w:r>
          </w:p>
        </w:tc>
        <w:tc>
          <w:tcPr>
            <w:tcW w:w="2580" w:type="dxa"/>
            <w:tcBorders>
              <w:top w:val="single" w:sz="4" w:space="0" w:color="auto"/>
              <w:left w:val="single" w:sz="4" w:space="0" w:color="auto"/>
              <w:bottom w:val="single" w:sz="4" w:space="0" w:color="auto"/>
              <w:right w:val="single" w:sz="4" w:space="0" w:color="auto"/>
            </w:tcBorders>
            <w:vAlign w:val="center"/>
            <w:hideMark/>
          </w:tcPr>
          <w:p w14:paraId="15542978" w14:textId="77777777" w:rsidR="00575C57" w:rsidRPr="00EC290B" w:rsidRDefault="00575C57" w:rsidP="00575C57">
            <w:pPr>
              <w:widowControl/>
              <w:suppressAutoHyphens/>
              <w:autoSpaceDN w:val="0"/>
              <w:jc w:val="center"/>
              <w:rPr>
                <w:rFonts w:ascii="Arial" w:eastAsia="Lucida Sans Unicode" w:hAnsi="Arial" w:cs="Arial"/>
                <w:kern w:val="3"/>
                <w:lang w:eastAsia="en-US"/>
              </w:rPr>
            </w:pPr>
            <w:r w:rsidRPr="00EC290B">
              <w:rPr>
                <w:rFonts w:ascii="Arial" w:eastAsia="Lucida Sans Unicode" w:hAnsi="Arial" w:cs="Arial"/>
                <w:kern w:val="3"/>
                <w:lang w:eastAsia="en-US"/>
              </w:rPr>
              <w:t>15,54</w:t>
            </w:r>
          </w:p>
        </w:tc>
      </w:tr>
    </w:tbl>
    <w:p w14:paraId="7EE0E1AB" w14:textId="77777777" w:rsidR="00575C57" w:rsidRPr="00EC290B" w:rsidRDefault="00575C57" w:rsidP="00575C57">
      <w:pPr>
        <w:widowControl/>
        <w:rPr>
          <w:rFonts w:ascii="Arial" w:eastAsia="Calibri" w:hAnsi="Arial" w:cs="Arial"/>
          <w:highlight w:val="yellow"/>
          <w:lang w:eastAsia="en-US"/>
        </w:rPr>
      </w:pPr>
    </w:p>
    <w:p w14:paraId="143E5C6D" w14:textId="77777777" w:rsidR="00575C57" w:rsidRPr="00EC290B" w:rsidRDefault="00575C57" w:rsidP="00575C57">
      <w:pPr>
        <w:widowControl/>
        <w:spacing w:before="120" w:line="360" w:lineRule="auto"/>
        <w:rPr>
          <w:rFonts w:ascii="Arial" w:eastAsia="Calibri" w:hAnsi="Arial" w:cs="Arial"/>
          <w:i/>
          <w:lang w:eastAsia="en-US"/>
        </w:rPr>
      </w:pPr>
      <w:r w:rsidRPr="00EC290B">
        <w:rPr>
          <w:rFonts w:ascii="Arial" w:eastAsia="Calibri" w:hAnsi="Arial" w:cs="Arial"/>
          <w:i/>
          <w:lang w:eastAsia="en-US"/>
        </w:rPr>
        <w:t>Rys. 8. Wskaźniki „F” – WS</w:t>
      </w:r>
      <w:r w:rsidRPr="00EC290B">
        <w:rPr>
          <w:rFonts w:ascii="Arial" w:eastAsia="Calibri" w:hAnsi="Arial" w:cs="Arial"/>
          <w:i/>
          <w:vertAlign w:val="subscript"/>
          <w:lang w:eastAsia="en-US"/>
        </w:rPr>
        <w:t>Monit</w:t>
      </w:r>
      <w:r w:rsidRPr="00EC290B">
        <w:rPr>
          <w:rFonts w:ascii="Arial" w:eastAsia="Calibri" w:hAnsi="Arial" w:cs="Arial"/>
          <w:i/>
          <w:lang w:eastAsia="en-US"/>
        </w:rPr>
        <w:t xml:space="preserve"> i WSS</w:t>
      </w:r>
      <w:r w:rsidRPr="00EC290B">
        <w:rPr>
          <w:rFonts w:ascii="Arial" w:eastAsia="Calibri" w:hAnsi="Arial" w:cs="Arial"/>
          <w:i/>
          <w:vertAlign w:val="subscript"/>
          <w:lang w:eastAsia="en-US"/>
        </w:rPr>
        <w:t xml:space="preserve">Monit </w:t>
      </w:r>
      <w:r w:rsidRPr="00EC290B">
        <w:rPr>
          <w:rFonts w:ascii="Arial" w:eastAsia="Calibri" w:hAnsi="Arial" w:cs="Arial"/>
          <w:i/>
          <w:lang w:eastAsia="en-US"/>
        </w:rPr>
        <w:t>w latach 2015-2023</w:t>
      </w:r>
    </w:p>
    <w:p w14:paraId="376C8C74" w14:textId="05F27196" w:rsidR="00575C57" w:rsidRPr="00575C57" w:rsidRDefault="00575C57" w:rsidP="00575C57">
      <w:pPr>
        <w:widowControl/>
        <w:spacing w:line="360" w:lineRule="auto"/>
        <w:jc w:val="both"/>
        <w:rPr>
          <w:rFonts w:eastAsia="Calibri"/>
          <w:noProof/>
          <w:sz w:val="24"/>
          <w:szCs w:val="22"/>
          <w:highlight w:val="yellow"/>
        </w:rPr>
      </w:pPr>
      <w:r w:rsidRPr="00575C57">
        <w:rPr>
          <w:rFonts w:eastAsia="Calibri"/>
          <w:noProof/>
          <w:sz w:val="24"/>
          <w:szCs w:val="22"/>
        </w:rPr>
        <w:drawing>
          <wp:inline distT="0" distB="0" distL="0" distR="0" wp14:anchorId="49AE61E6" wp14:editId="606D5BA9">
            <wp:extent cx="5644967" cy="2478923"/>
            <wp:effectExtent l="0" t="0" r="13335" b="17145"/>
            <wp:docPr id="25"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424B7F2" w14:textId="77777777" w:rsidR="00EC290B" w:rsidRDefault="00EC290B"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p>
    <w:p w14:paraId="5A550339" w14:textId="1FCBAFD1" w:rsidR="00575C57" w:rsidRPr="00EC290B" w:rsidRDefault="00575C57"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EC290B">
        <w:rPr>
          <w:rFonts w:ascii="Arial" w:eastAsia="Calibri" w:hAnsi="Arial" w:cs="Arial"/>
          <w:lang w:eastAsia="en-US"/>
        </w:rPr>
        <w:lastRenderedPageBreak/>
        <w:t>Wskaźniki sprzedażowe z grupy „E” i „F” informują o udziale substancji priorytetowych w dziedzinie polityki wodnej i substancji wymagających programów monitorowania w sprzedaży sumarycznej (wskaźniki struktury sprzedaży WSS</w:t>
      </w:r>
      <w:r w:rsidRPr="00EC290B">
        <w:rPr>
          <w:rFonts w:ascii="Arial" w:eastAsia="Calibri" w:hAnsi="Arial" w:cs="Arial"/>
          <w:vertAlign w:val="subscript"/>
          <w:lang w:eastAsia="en-US"/>
        </w:rPr>
        <w:t>PW</w:t>
      </w:r>
      <w:r w:rsidRPr="00EC290B">
        <w:rPr>
          <w:rFonts w:ascii="Arial" w:eastAsia="Calibri" w:hAnsi="Arial" w:cs="Arial"/>
          <w:lang w:eastAsia="en-US"/>
        </w:rPr>
        <w:t xml:space="preserve"> i WSS</w:t>
      </w:r>
      <w:r w:rsidRPr="00EC290B">
        <w:rPr>
          <w:rFonts w:ascii="Arial" w:eastAsia="Calibri" w:hAnsi="Arial" w:cs="Arial"/>
          <w:vertAlign w:val="subscript"/>
          <w:lang w:eastAsia="en-US"/>
        </w:rPr>
        <w:t>Monit.</w:t>
      </w:r>
      <w:r w:rsidRPr="00EC290B">
        <w:rPr>
          <w:rFonts w:ascii="Arial" w:eastAsia="Calibri" w:hAnsi="Arial" w:cs="Arial"/>
          <w:lang w:eastAsia="en-US"/>
        </w:rPr>
        <w:t xml:space="preserve"> wyrażone w %), oraz o wielkości sprzedaży tych substancji (WS</w:t>
      </w:r>
      <w:r w:rsidRPr="00EC290B">
        <w:rPr>
          <w:rFonts w:ascii="Arial" w:eastAsia="Calibri" w:hAnsi="Arial" w:cs="Arial"/>
          <w:vertAlign w:val="subscript"/>
          <w:lang w:eastAsia="en-US"/>
        </w:rPr>
        <w:t>PW</w:t>
      </w:r>
      <w:r w:rsidRPr="00EC290B">
        <w:rPr>
          <w:rFonts w:ascii="Arial" w:eastAsia="Calibri" w:hAnsi="Arial" w:cs="Arial"/>
          <w:lang w:eastAsia="en-US"/>
        </w:rPr>
        <w:t xml:space="preserve"> i WS</w:t>
      </w:r>
      <w:r w:rsidRPr="00EC290B">
        <w:rPr>
          <w:rFonts w:ascii="Arial" w:eastAsia="Calibri" w:hAnsi="Arial" w:cs="Arial"/>
          <w:vertAlign w:val="subscript"/>
          <w:lang w:eastAsia="en-US"/>
        </w:rPr>
        <w:t>Monit.</w:t>
      </w:r>
      <w:r w:rsidRPr="00EC290B">
        <w:rPr>
          <w:rFonts w:ascii="Arial" w:eastAsia="Calibri" w:hAnsi="Arial" w:cs="Arial"/>
          <w:lang w:eastAsia="en-US"/>
        </w:rPr>
        <w:t xml:space="preserve"> wyrażone w Mg).</w:t>
      </w:r>
    </w:p>
    <w:p w14:paraId="0A698DAF" w14:textId="67CD6AC3" w:rsidR="00575C57" w:rsidRPr="00EC290B" w:rsidRDefault="00575C57"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EC290B">
        <w:rPr>
          <w:rFonts w:ascii="Arial" w:eastAsia="Calibri" w:hAnsi="Arial" w:cs="Arial"/>
          <w:lang w:eastAsia="en-US"/>
        </w:rPr>
        <w:t>Wskaźniki z grupy „E” wykazywały stałą tendencję spadkową w latach 2015-2018, po czym w 2019</w:t>
      </w:r>
      <w:r w:rsidR="00EC290B">
        <w:rPr>
          <w:rFonts w:ascii="Arial" w:eastAsia="Calibri" w:hAnsi="Arial" w:cs="Arial"/>
          <w:lang w:eastAsia="en-US"/>
        </w:rPr>
        <w:t xml:space="preserve"> r. </w:t>
      </w:r>
      <w:r w:rsidRPr="00EC290B">
        <w:rPr>
          <w:rFonts w:ascii="Arial" w:eastAsia="Calibri" w:hAnsi="Arial" w:cs="Arial"/>
          <w:lang w:eastAsia="en-US"/>
        </w:rPr>
        <w:t>nastąpił skokowy, około dwukrotny wzrost wskaźników struktury i wielkości sprzedaży. Przyczyną wzrostu wskaźników był wzrost sprzedaży w 2019</w:t>
      </w:r>
      <w:r w:rsidR="00EC290B">
        <w:rPr>
          <w:rFonts w:ascii="Arial" w:eastAsia="Calibri" w:hAnsi="Arial" w:cs="Arial"/>
          <w:lang w:eastAsia="en-US"/>
        </w:rPr>
        <w:t xml:space="preserve"> </w:t>
      </w:r>
      <w:r w:rsidRPr="00EC290B">
        <w:rPr>
          <w:rFonts w:ascii="Arial" w:eastAsia="Calibri" w:hAnsi="Arial" w:cs="Arial"/>
          <w:lang w:eastAsia="en-US"/>
        </w:rPr>
        <w:t>r. chloropiryfosu będącego jedną z substancji priorytetowych w dziedzinie polityki wodnej. W  2020</w:t>
      </w:r>
      <w:r w:rsidR="0038510E">
        <w:rPr>
          <w:rFonts w:ascii="Arial" w:eastAsia="Calibri" w:hAnsi="Arial" w:cs="Arial"/>
          <w:lang w:eastAsia="en-US"/>
        </w:rPr>
        <w:t xml:space="preserve"> r. </w:t>
      </w:r>
      <w:r w:rsidRPr="00EC290B">
        <w:rPr>
          <w:rFonts w:ascii="Arial" w:eastAsia="Calibri" w:hAnsi="Arial" w:cs="Arial"/>
          <w:lang w:eastAsia="en-US"/>
        </w:rPr>
        <w:t xml:space="preserve">po wycofaniu chloropyrifosu ze sprzedaży wartość wskaźnika spadła prawie 10-krotnie. W 2023 </w:t>
      </w:r>
      <w:r w:rsidR="0038510E">
        <w:rPr>
          <w:rFonts w:ascii="Arial" w:eastAsia="Calibri" w:hAnsi="Arial" w:cs="Arial"/>
          <w:lang w:eastAsia="en-US"/>
        </w:rPr>
        <w:t xml:space="preserve">r. </w:t>
      </w:r>
      <w:r w:rsidRPr="00EC290B">
        <w:rPr>
          <w:rFonts w:ascii="Arial" w:eastAsia="Calibri" w:hAnsi="Arial" w:cs="Arial"/>
          <w:lang w:eastAsia="en-US"/>
        </w:rPr>
        <w:t>sprzedaż substancji priorytetowych w</w:t>
      </w:r>
      <w:r w:rsidR="00EC290B">
        <w:rPr>
          <w:rFonts w:ascii="Arial" w:eastAsia="Calibri" w:hAnsi="Arial" w:cs="Arial"/>
          <w:lang w:eastAsia="en-US"/>
        </w:rPr>
        <w:t> </w:t>
      </w:r>
      <w:r w:rsidRPr="00EC290B">
        <w:rPr>
          <w:rFonts w:ascii="Arial" w:eastAsia="Calibri" w:hAnsi="Arial" w:cs="Arial"/>
          <w:lang w:eastAsia="en-US"/>
        </w:rPr>
        <w:t>dziedzinie polityki wodnej stanowiła 1,14% całości sprzedaży i była nieco wyższa niż w 2022</w:t>
      </w:r>
      <w:r w:rsidR="00EC290B">
        <w:rPr>
          <w:rFonts w:ascii="Arial" w:eastAsia="Calibri" w:hAnsi="Arial" w:cs="Arial"/>
          <w:lang w:eastAsia="en-US"/>
        </w:rPr>
        <w:t xml:space="preserve"> r.</w:t>
      </w:r>
    </w:p>
    <w:p w14:paraId="0E6D1C3D" w14:textId="65ED417E" w:rsidR="00575C57" w:rsidRPr="00EC290B" w:rsidRDefault="00575C57"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EC290B">
        <w:rPr>
          <w:rFonts w:ascii="Arial" w:eastAsia="Calibri" w:hAnsi="Arial" w:cs="Arial"/>
          <w:lang w:eastAsia="en-US"/>
        </w:rPr>
        <w:t>W grupie wskaźników „F” w 2023</w:t>
      </w:r>
      <w:r w:rsidR="00EC290B">
        <w:rPr>
          <w:rFonts w:ascii="Arial" w:eastAsia="Calibri" w:hAnsi="Arial" w:cs="Arial"/>
          <w:lang w:eastAsia="en-US"/>
        </w:rPr>
        <w:t> r.</w:t>
      </w:r>
      <w:r w:rsidRPr="00EC290B">
        <w:rPr>
          <w:rFonts w:ascii="Arial" w:eastAsia="Calibri" w:hAnsi="Arial" w:cs="Arial"/>
          <w:lang w:eastAsia="en-US"/>
        </w:rPr>
        <w:t xml:space="preserve"> nastąpił wzrost wielkości sprzedaży substancji czynnych wymagających programów monitorowania (3114,72 Mg). W połączeniu ze spadkiem sprzedaży wszystkich substancji powoduje to, że ich udział w całości jest największy z okresu badanych lat 2015-2023 (</w:t>
      </w:r>
      <w:r w:rsidRPr="00EC290B">
        <w:rPr>
          <w:rFonts w:ascii="Arial" w:hAnsi="Arial" w:cs="Arial"/>
          <w:bCs/>
        </w:rPr>
        <w:t>WSS</w:t>
      </w:r>
      <w:r w:rsidRPr="00EC290B">
        <w:rPr>
          <w:rFonts w:ascii="Arial" w:hAnsi="Arial" w:cs="Arial"/>
          <w:bCs/>
          <w:vertAlign w:val="subscript"/>
        </w:rPr>
        <w:t>Monit</w:t>
      </w:r>
      <w:r w:rsidRPr="00EC290B">
        <w:rPr>
          <w:rFonts w:ascii="Arial" w:eastAsia="Calibri" w:hAnsi="Arial" w:cs="Arial"/>
          <w:lang w:eastAsia="en-US"/>
        </w:rPr>
        <w:t xml:space="preserve"> = 15,54%). W ostatnim roku w sprzedaży znajdowało się 10 substancji wymagających programów monitorowania, z których największą wielkość sprzedaży miał kaptan (56% </w:t>
      </w:r>
      <w:r w:rsidRPr="00EC290B">
        <w:rPr>
          <w:rFonts w:ascii="Arial" w:hAnsi="Arial" w:cs="Arial"/>
          <w:bCs/>
        </w:rPr>
        <w:t>WS</w:t>
      </w:r>
      <w:r w:rsidRPr="00EC290B">
        <w:rPr>
          <w:rFonts w:ascii="Arial" w:hAnsi="Arial" w:cs="Arial"/>
          <w:bCs/>
          <w:vertAlign w:val="subscript"/>
        </w:rPr>
        <w:t>Monit.</w:t>
      </w:r>
      <w:r w:rsidRPr="00EC290B">
        <w:rPr>
          <w:rFonts w:ascii="Arial" w:eastAsia="Calibri" w:hAnsi="Arial" w:cs="Arial"/>
          <w:lang w:eastAsia="en-US"/>
        </w:rPr>
        <w:t xml:space="preserve">). </w:t>
      </w:r>
    </w:p>
    <w:p w14:paraId="0AE10357" w14:textId="77777777" w:rsidR="00575C57" w:rsidRPr="0049161C" w:rsidRDefault="00575C57" w:rsidP="00575C57">
      <w:pPr>
        <w:widowControl/>
        <w:spacing w:after="80" w:line="360" w:lineRule="auto"/>
        <w:jc w:val="both"/>
        <w:rPr>
          <w:rFonts w:ascii="Arial" w:eastAsia="Calibri" w:hAnsi="Arial" w:cs="Arial"/>
          <w:b/>
          <w:sz w:val="22"/>
          <w:szCs w:val="22"/>
          <w:lang w:eastAsia="en-US"/>
        </w:rPr>
      </w:pPr>
      <w:r w:rsidRPr="0049161C">
        <w:rPr>
          <w:rFonts w:ascii="Arial" w:eastAsia="Calibri" w:hAnsi="Arial" w:cs="Arial"/>
          <w:b/>
          <w:sz w:val="22"/>
          <w:szCs w:val="22"/>
          <w:lang w:eastAsia="en-US"/>
        </w:rPr>
        <w:t>5.1. Zharmonizowany wskaźnika ryzyka HRI nr 1 (HRI1) – lata 2011-2022</w:t>
      </w:r>
    </w:p>
    <w:p w14:paraId="7549D667" w14:textId="0736E033" w:rsidR="00575C57" w:rsidRPr="00EC290B" w:rsidRDefault="00575C57"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EC290B">
        <w:rPr>
          <w:rFonts w:ascii="Arial" w:eastAsia="Calibri" w:hAnsi="Arial" w:cs="Arial"/>
          <w:lang w:eastAsia="en-US"/>
        </w:rPr>
        <w:t>Zharmonizowany wskaźnik ryzyka pestycydowego HRI1 według swojej definicji ma pokazywać trend zmiany wielkości i struktury sprzedaży środków ochrony roślin w odniesieniu do okresu bazowego 2011-2013. W tabeli 9 i na rysunku 9 zaprezentowano opublikowane przez Komisję Europejską wyliczenia wskaźnika HRI1 według klasyfikacji substancji z roku 2022. Wartość wskaźnika dla Polski w 2022</w:t>
      </w:r>
      <w:r w:rsidR="001B7241">
        <w:rPr>
          <w:rFonts w:ascii="Arial" w:eastAsia="Calibri" w:hAnsi="Arial" w:cs="Arial"/>
          <w:lang w:eastAsia="en-US"/>
        </w:rPr>
        <w:t> r.</w:t>
      </w:r>
      <w:r w:rsidRPr="00EC290B">
        <w:rPr>
          <w:rFonts w:ascii="Arial" w:eastAsia="Calibri" w:hAnsi="Arial" w:cs="Arial"/>
          <w:lang w:eastAsia="en-US"/>
        </w:rPr>
        <w:t xml:space="preserve"> wyn</w:t>
      </w:r>
      <w:r w:rsidR="001B7241">
        <w:rPr>
          <w:rFonts w:ascii="Arial" w:eastAsia="Calibri" w:hAnsi="Arial" w:cs="Arial"/>
          <w:lang w:eastAsia="en-US"/>
        </w:rPr>
        <w:t>iosła</w:t>
      </w:r>
      <w:r w:rsidRPr="00EC290B">
        <w:rPr>
          <w:rFonts w:ascii="Arial" w:eastAsia="Calibri" w:hAnsi="Arial" w:cs="Arial"/>
          <w:lang w:eastAsia="en-US"/>
        </w:rPr>
        <w:t xml:space="preserve"> 52.</w:t>
      </w:r>
    </w:p>
    <w:p w14:paraId="2CB3174B" w14:textId="77777777" w:rsidR="00575C57" w:rsidRPr="00EC290B" w:rsidRDefault="00575C57" w:rsidP="00EC290B">
      <w:pPr>
        <w:widowControl/>
        <w:spacing w:before="120" w:after="120"/>
        <w:rPr>
          <w:rFonts w:ascii="Arial" w:eastAsia="Calibri" w:hAnsi="Arial" w:cs="Arial"/>
          <w:i/>
          <w:lang w:eastAsia="en-US"/>
        </w:rPr>
      </w:pPr>
      <w:r w:rsidRPr="00EC290B">
        <w:rPr>
          <w:rFonts w:ascii="Arial" w:eastAsia="Calibri" w:hAnsi="Arial" w:cs="Arial"/>
          <w:i/>
          <w:lang w:eastAsia="en-US"/>
        </w:rPr>
        <w:t>Tabela 9. Zharmonizowany wskaźnik ryzyka pestycydowego HRI1 – lata 2014-2022)</w:t>
      </w:r>
    </w:p>
    <w:tbl>
      <w:tblPr>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9"/>
        <w:gridCol w:w="708"/>
        <w:gridCol w:w="737"/>
        <w:gridCol w:w="737"/>
        <w:gridCol w:w="737"/>
        <w:gridCol w:w="737"/>
        <w:gridCol w:w="737"/>
        <w:gridCol w:w="737"/>
        <w:gridCol w:w="737"/>
        <w:gridCol w:w="737"/>
        <w:gridCol w:w="737"/>
      </w:tblGrid>
      <w:tr w:rsidR="00575C57" w:rsidRPr="00575C57" w14:paraId="60174DB5" w14:textId="77777777" w:rsidTr="00575C57">
        <w:trPr>
          <w:trHeight w:val="283"/>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6D91650C" w14:textId="77777777" w:rsidR="00575C57" w:rsidRPr="00575C57" w:rsidRDefault="00575C57" w:rsidP="00575C57">
            <w:pPr>
              <w:widowControl/>
              <w:spacing w:after="80" w:line="360" w:lineRule="auto"/>
              <w:rPr>
                <w:rFonts w:eastAsia="Calibri"/>
                <w:i/>
                <w:sz w:val="24"/>
                <w:szCs w:val="22"/>
                <w:lang w:eastAsia="en-US"/>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DDE5E2A" w14:textId="77777777" w:rsidR="00575C57" w:rsidRPr="00575C57" w:rsidRDefault="00575C57" w:rsidP="00575C57">
            <w:pPr>
              <w:widowControl/>
              <w:jc w:val="center"/>
              <w:rPr>
                <w:bCs/>
                <w:sz w:val="24"/>
                <w:szCs w:val="24"/>
              </w:rPr>
            </w:pPr>
            <w:r w:rsidRPr="00575C57">
              <w:rPr>
                <w:bCs/>
                <w:sz w:val="22"/>
                <w:szCs w:val="24"/>
              </w:rPr>
              <w:t>2011-2013</w:t>
            </w:r>
          </w:p>
        </w:tc>
        <w:tc>
          <w:tcPr>
            <w:tcW w:w="737" w:type="dxa"/>
            <w:tcBorders>
              <w:top w:val="single" w:sz="4" w:space="0" w:color="auto"/>
              <w:left w:val="single" w:sz="4" w:space="0" w:color="auto"/>
              <w:bottom w:val="single" w:sz="4" w:space="0" w:color="auto"/>
              <w:right w:val="single" w:sz="4" w:space="0" w:color="auto"/>
            </w:tcBorders>
            <w:vAlign w:val="center"/>
            <w:hideMark/>
          </w:tcPr>
          <w:p w14:paraId="56CF652C" w14:textId="77777777" w:rsidR="00575C57" w:rsidRPr="00575C57" w:rsidRDefault="00575C57" w:rsidP="00575C57">
            <w:pPr>
              <w:widowControl/>
              <w:jc w:val="center"/>
              <w:rPr>
                <w:bCs/>
                <w:sz w:val="24"/>
                <w:szCs w:val="24"/>
              </w:rPr>
            </w:pPr>
            <w:r w:rsidRPr="00575C57">
              <w:rPr>
                <w:bCs/>
                <w:sz w:val="22"/>
                <w:szCs w:val="24"/>
              </w:rPr>
              <w:t>2014</w:t>
            </w:r>
          </w:p>
        </w:tc>
        <w:tc>
          <w:tcPr>
            <w:tcW w:w="737" w:type="dxa"/>
            <w:tcBorders>
              <w:top w:val="single" w:sz="4" w:space="0" w:color="auto"/>
              <w:left w:val="single" w:sz="4" w:space="0" w:color="auto"/>
              <w:bottom w:val="single" w:sz="4" w:space="0" w:color="auto"/>
              <w:right w:val="single" w:sz="4" w:space="0" w:color="auto"/>
            </w:tcBorders>
            <w:vAlign w:val="center"/>
            <w:hideMark/>
          </w:tcPr>
          <w:p w14:paraId="6D6922D2" w14:textId="77777777" w:rsidR="00575C57" w:rsidRPr="00575C57" w:rsidRDefault="00575C57" w:rsidP="00575C57">
            <w:pPr>
              <w:widowControl/>
              <w:jc w:val="center"/>
              <w:rPr>
                <w:bCs/>
                <w:sz w:val="24"/>
                <w:szCs w:val="24"/>
              </w:rPr>
            </w:pPr>
            <w:r w:rsidRPr="00575C57">
              <w:rPr>
                <w:bCs/>
                <w:sz w:val="22"/>
                <w:szCs w:val="24"/>
              </w:rPr>
              <w:t>2015</w:t>
            </w:r>
          </w:p>
        </w:tc>
        <w:tc>
          <w:tcPr>
            <w:tcW w:w="737" w:type="dxa"/>
            <w:tcBorders>
              <w:top w:val="single" w:sz="4" w:space="0" w:color="auto"/>
              <w:left w:val="single" w:sz="4" w:space="0" w:color="auto"/>
              <w:bottom w:val="single" w:sz="4" w:space="0" w:color="auto"/>
              <w:right w:val="single" w:sz="4" w:space="0" w:color="auto"/>
            </w:tcBorders>
            <w:vAlign w:val="center"/>
            <w:hideMark/>
          </w:tcPr>
          <w:p w14:paraId="7569CA52" w14:textId="77777777" w:rsidR="00575C57" w:rsidRPr="00575C57" w:rsidRDefault="00575C57" w:rsidP="00575C57">
            <w:pPr>
              <w:widowControl/>
              <w:jc w:val="center"/>
              <w:rPr>
                <w:bCs/>
                <w:sz w:val="24"/>
                <w:szCs w:val="24"/>
              </w:rPr>
            </w:pPr>
            <w:r w:rsidRPr="00575C57">
              <w:rPr>
                <w:bCs/>
                <w:sz w:val="22"/>
                <w:szCs w:val="24"/>
              </w:rPr>
              <w:t>2016</w:t>
            </w:r>
          </w:p>
        </w:tc>
        <w:tc>
          <w:tcPr>
            <w:tcW w:w="737" w:type="dxa"/>
            <w:tcBorders>
              <w:top w:val="single" w:sz="4" w:space="0" w:color="auto"/>
              <w:left w:val="single" w:sz="4" w:space="0" w:color="auto"/>
              <w:bottom w:val="single" w:sz="4" w:space="0" w:color="auto"/>
              <w:right w:val="single" w:sz="4" w:space="0" w:color="auto"/>
            </w:tcBorders>
            <w:vAlign w:val="center"/>
            <w:hideMark/>
          </w:tcPr>
          <w:p w14:paraId="7683ABB0" w14:textId="77777777" w:rsidR="00575C57" w:rsidRPr="00575C57" w:rsidRDefault="00575C57" w:rsidP="00575C57">
            <w:pPr>
              <w:widowControl/>
              <w:jc w:val="center"/>
              <w:rPr>
                <w:bCs/>
                <w:sz w:val="24"/>
                <w:szCs w:val="24"/>
              </w:rPr>
            </w:pPr>
            <w:r w:rsidRPr="00575C57">
              <w:rPr>
                <w:bCs/>
                <w:sz w:val="22"/>
                <w:szCs w:val="24"/>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14:paraId="345E818A" w14:textId="77777777" w:rsidR="00575C57" w:rsidRPr="00575C57" w:rsidRDefault="00575C57" w:rsidP="00575C57">
            <w:pPr>
              <w:widowControl/>
              <w:jc w:val="center"/>
              <w:rPr>
                <w:bCs/>
                <w:sz w:val="24"/>
                <w:szCs w:val="24"/>
              </w:rPr>
            </w:pPr>
            <w:r w:rsidRPr="00575C57">
              <w:rPr>
                <w:bCs/>
                <w:sz w:val="22"/>
                <w:szCs w:val="24"/>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14:paraId="289C55B0" w14:textId="77777777" w:rsidR="00575C57" w:rsidRPr="00575C57" w:rsidRDefault="00575C57" w:rsidP="00575C57">
            <w:pPr>
              <w:widowControl/>
              <w:jc w:val="center"/>
              <w:rPr>
                <w:bCs/>
                <w:sz w:val="24"/>
                <w:szCs w:val="24"/>
              </w:rPr>
            </w:pPr>
            <w:r w:rsidRPr="00575C57">
              <w:rPr>
                <w:bCs/>
                <w:sz w:val="22"/>
                <w:szCs w:val="24"/>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14:paraId="10901084" w14:textId="77777777" w:rsidR="00575C57" w:rsidRPr="00575C57" w:rsidRDefault="00575C57" w:rsidP="00575C57">
            <w:pPr>
              <w:widowControl/>
              <w:jc w:val="center"/>
              <w:rPr>
                <w:bCs/>
                <w:sz w:val="24"/>
                <w:szCs w:val="24"/>
              </w:rPr>
            </w:pPr>
            <w:r w:rsidRPr="00575C57">
              <w:rPr>
                <w:bCs/>
                <w:sz w:val="22"/>
                <w:szCs w:val="24"/>
              </w:rPr>
              <w:t>2020</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01D647B0" w14:textId="77777777" w:rsidR="00575C57" w:rsidRPr="00575C57" w:rsidRDefault="00575C57" w:rsidP="00575C57">
            <w:pPr>
              <w:widowControl/>
              <w:jc w:val="center"/>
              <w:rPr>
                <w:bCs/>
                <w:sz w:val="24"/>
                <w:szCs w:val="24"/>
              </w:rPr>
            </w:pPr>
            <w:r w:rsidRPr="00575C57">
              <w:rPr>
                <w:bCs/>
                <w:sz w:val="22"/>
                <w:szCs w:val="24"/>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14:paraId="1488D31A" w14:textId="77777777" w:rsidR="00575C57" w:rsidRPr="00575C57" w:rsidRDefault="00575C57" w:rsidP="00575C57">
            <w:pPr>
              <w:widowControl/>
              <w:jc w:val="center"/>
              <w:rPr>
                <w:bCs/>
                <w:sz w:val="24"/>
                <w:szCs w:val="24"/>
              </w:rPr>
            </w:pPr>
            <w:r w:rsidRPr="00575C57">
              <w:rPr>
                <w:bCs/>
                <w:sz w:val="22"/>
                <w:szCs w:val="24"/>
              </w:rPr>
              <w:t>2022</w:t>
            </w:r>
          </w:p>
        </w:tc>
      </w:tr>
      <w:tr w:rsidR="00575C57" w:rsidRPr="00575C57" w14:paraId="09CE9BB2"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790D119C" w14:textId="77777777" w:rsidR="00575C57" w:rsidRPr="00575C57" w:rsidRDefault="00575C57" w:rsidP="00575C57">
            <w:pPr>
              <w:widowControl/>
              <w:rPr>
                <w:bCs/>
                <w:sz w:val="24"/>
                <w:szCs w:val="24"/>
              </w:rPr>
            </w:pPr>
            <w:r w:rsidRPr="00575C57">
              <w:rPr>
                <w:bCs/>
                <w:sz w:val="22"/>
                <w:szCs w:val="24"/>
              </w:rPr>
              <w:t>Unia Europejska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5698D5B"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3D607CF4" w14:textId="77777777" w:rsidR="00575C57" w:rsidRPr="00575C57" w:rsidRDefault="00575C57" w:rsidP="00575C57">
            <w:pPr>
              <w:widowControl/>
              <w:jc w:val="center"/>
              <w:rPr>
                <w:bCs/>
                <w:sz w:val="24"/>
                <w:szCs w:val="24"/>
              </w:rPr>
            </w:pPr>
            <w:r w:rsidRPr="00575C57">
              <w:rPr>
                <w:bCs/>
                <w:sz w:val="22"/>
                <w:szCs w:val="24"/>
              </w:rPr>
              <w:t>98</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A66C84" w14:textId="77777777" w:rsidR="00575C57" w:rsidRPr="00575C57" w:rsidRDefault="00575C57" w:rsidP="00575C57">
            <w:pPr>
              <w:widowControl/>
              <w:jc w:val="center"/>
              <w:rPr>
                <w:bCs/>
                <w:sz w:val="24"/>
                <w:szCs w:val="24"/>
              </w:rPr>
            </w:pPr>
            <w:r w:rsidRPr="00575C57">
              <w:rPr>
                <w:bCs/>
                <w:sz w:val="22"/>
                <w:szCs w:val="24"/>
              </w:rPr>
              <w:t>99</w:t>
            </w:r>
          </w:p>
        </w:tc>
        <w:tc>
          <w:tcPr>
            <w:tcW w:w="737" w:type="dxa"/>
            <w:tcBorders>
              <w:top w:val="single" w:sz="4" w:space="0" w:color="auto"/>
              <w:left w:val="single" w:sz="4" w:space="0" w:color="auto"/>
              <w:bottom w:val="single" w:sz="4" w:space="0" w:color="auto"/>
              <w:right w:val="single" w:sz="4" w:space="0" w:color="auto"/>
            </w:tcBorders>
            <w:vAlign w:val="center"/>
            <w:hideMark/>
          </w:tcPr>
          <w:p w14:paraId="409DCF8E" w14:textId="77777777" w:rsidR="00575C57" w:rsidRPr="00575C57" w:rsidRDefault="00575C57" w:rsidP="00575C57">
            <w:pPr>
              <w:widowControl/>
              <w:jc w:val="center"/>
              <w:rPr>
                <w:bCs/>
                <w:sz w:val="24"/>
                <w:szCs w:val="24"/>
              </w:rPr>
            </w:pPr>
            <w:r w:rsidRPr="00575C57">
              <w:rPr>
                <w:bCs/>
                <w:sz w:val="22"/>
                <w:szCs w:val="24"/>
              </w:rPr>
              <w:t>93</w:t>
            </w:r>
          </w:p>
        </w:tc>
        <w:tc>
          <w:tcPr>
            <w:tcW w:w="737" w:type="dxa"/>
            <w:tcBorders>
              <w:top w:val="single" w:sz="4" w:space="0" w:color="auto"/>
              <w:left w:val="single" w:sz="4" w:space="0" w:color="auto"/>
              <w:bottom w:val="single" w:sz="4" w:space="0" w:color="auto"/>
              <w:right w:val="single" w:sz="4" w:space="0" w:color="auto"/>
            </w:tcBorders>
            <w:vAlign w:val="center"/>
            <w:hideMark/>
          </w:tcPr>
          <w:p w14:paraId="01305EFE" w14:textId="77777777" w:rsidR="00575C57" w:rsidRPr="00575C57" w:rsidRDefault="00575C57" w:rsidP="00575C57">
            <w:pPr>
              <w:widowControl/>
              <w:jc w:val="center"/>
              <w:rPr>
                <w:bCs/>
                <w:sz w:val="24"/>
                <w:szCs w:val="24"/>
              </w:rPr>
            </w:pPr>
            <w:r w:rsidRPr="00575C57">
              <w:rPr>
                <w:bCs/>
                <w:sz w:val="22"/>
                <w:szCs w:val="24"/>
              </w:rPr>
              <w:t>86</w:t>
            </w:r>
          </w:p>
        </w:tc>
        <w:tc>
          <w:tcPr>
            <w:tcW w:w="737" w:type="dxa"/>
            <w:tcBorders>
              <w:top w:val="single" w:sz="4" w:space="0" w:color="auto"/>
              <w:left w:val="single" w:sz="4" w:space="0" w:color="auto"/>
              <w:bottom w:val="single" w:sz="4" w:space="0" w:color="auto"/>
              <w:right w:val="single" w:sz="4" w:space="0" w:color="auto"/>
            </w:tcBorders>
            <w:vAlign w:val="center"/>
            <w:hideMark/>
          </w:tcPr>
          <w:p w14:paraId="37B8F909" w14:textId="77777777" w:rsidR="00575C57" w:rsidRPr="00575C57" w:rsidRDefault="00575C57" w:rsidP="00575C57">
            <w:pPr>
              <w:widowControl/>
              <w:jc w:val="center"/>
              <w:rPr>
                <w:bCs/>
                <w:sz w:val="24"/>
                <w:szCs w:val="24"/>
              </w:rPr>
            </w:pPr>
            <w:r w:rsidRPr="00575C57">
              <w:rPr>
                <w:bCs/>
                <w:sz w:val="22"/>
                <w:szCs w:val="24"/>
              </w:rPr>
              <w:t>85</w:t>
            </w:r>
          </w:p>
        </w:tc>
        <w:tc>
          <w:tcPr>
            <w:tcW w:w="737" w:type="dxa"/>
            <w:tcBorders>
              <w:top w:val="single" w:sz="4" w:space="0" w:color="auto"/>
              <w:left w:val="single" w:sz="4" w:space="0" w:color="auto"/>
              <w:bottom w:val="single" w:sz="4" w:space="0" w:color="auto"/>
              <w:right w:val="single" w:sz="4" w:space="0" w:color="auto"/>
            </w:tcBorders>
            <w:vAlign w:val="center"/>
            <w:hideMark/>
          </w:tcPr>
          <w:p w14:paraId="4E36A20A" w14:textId="77777777" w:rsidR="00575C57" w:rsidRPr="00575C57" w:rsidRDefault="00575C57" w:rsidP="00575C57">
            <w:pPr>
              <w:widowControl/>
              <w:jc w:val="center"/>
              <w:rPr>
                <w:bCs/>
                <w:sz w:val="24"/>
                <w:szCs w:val="24"/>
              </w:rPr>
            </w:pPr>
            <w:r w:rsidRPr="00575C57">
              <w:rPr>
                <w:bCs/>
                <w:sz w:val="22"/>
                <w:szCs w:val="24"/>
              </w:rPr>
              <w:t>79</w:t>
            </w:r>
          </w:p>
        </w:tc>
        <w:tc>
          <w:tcPr>
            <w:tcW w:w="737" w:type="dxa"/>
            <w:tcBorders>
              <w:top w:val="single" w:sz="4" w:space="0" w:color="auto"/>
              <w:left w:val="single" w:sz="4" w:space="0" w:color="auto"/>
              <w:bottom w:val="single" w:sz="4" w:space="0" w:color="auto"/>
              <w:right w:val="single" w:sz="4" w:space="0" w:color="auto"/>
            </w:tcBorders>
            <w:vAlign w:val="center"/>
            <w:hideMark/>
          </w:tcPr>
          <w:p w14:paraId="20F341C9" w14:textId="77777777" w:rsidR="00575C57" w:rsidRPr="00575C57" w:rsidRDefault="00575C57" w:rsidP="00575C57">
            <w:pPr>
              <w:widowControl/>
              <w:jc w:val="center"/>
              <w:rPr>
                <w:bCs/>
                <w:sz w:val="24"/>
                <w:szCs w:val="24"/>
              </w:rPr>
            </w:pPr>
            <w:r w:rsidRPr="00575C57">
              <w:rPr>
                <w:bCs/>
                <w:sz w:val="22"/>
                <w:szCs w:val="24"/>
              </w:rPr>
              <w:t>68</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2F2F81EE" w14:textId="77777777" w:rsidR="00575C57" w:rsidRPr="00575C57" w:rsidRDefault="00575C57" w:rsidP="00575C57">
            <w:pPr>
              <w:widowControl/>
              <w:jc w:val="center"/>
              <w:rPr>
                <w:bCs/>
                <w:sz w:val="24"/>
                <w:szCs w:val="24"/>
              </w:rPr>
            </w:pPr>
            <w:r w:rsidRPr="00575C57">
              <w:rPr>
                <w:bCs/>
                <w:sz w:val="22"/>
                <w:szCs w:val="24"/>
              </w:rPr>
              <w:t>61</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984CFE" w14:textId="77777777" w:rsidR="00575C57" w:rsidRPr="00575C57" w:rsidRDefault="00575C57" w:rsidP="00575C57">
            <w:pPr>
              <w:widowControl/>
              <w:jc w:val="center"/>
              <w:rPr>
                <w:bCs/>
                <w:sz w:val="24"/>
                <w:szCs w:val="24"/>
              </w:rPr>
            </w:pPr>
            <w:r w:rsidRPr="00575C57">
              <w:rPr>
                <w:bCs/>
                <w:sz w:val="22"/>
                <w:szCs w:val="24"/>
              </w:rPr>
              <w:t>50</w:t>
            </w:r>
          </w:p>
        </w:tc>
      </w:tr>
      <w:tr w:rsidR="00575C57" w:rsidRPr="00575C57" w14:paraId="06D02FA9"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5637B2F6" w14:textId="77777777" w:rsidR="00575C57" w:rsidRPr="00575C57" w:rsidRDefault="00575C57" w:rsidP="00575C57">
            <w:pPr>
              <w:widowControl/>
              <w:rPr>
                <w:bCs/>
                <w:sz w:val="24"/>
                <w:szCs w:val="24"/>
              </w:rPr>
            </w:pPr>
            <w:r w:rsidRPr="00575C57">
              <w:rPr>
                <w:bCs/>
                <w:sz w:val="22"/>
                <w:szCs w:val="24"/>
              </w:rPr>
              <w:t>Austria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1D96328"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7BBDBC8F" w14:textId="77777777" w:rsidR="00575C57" w:rsidRPr="00575C57" w:rsidRDefault="00575C57" w:rsidP="00575C57">
            <w:pPr>
              <w:widowControl/>
              <w:jc w:val="center"/>
              <w:rPr>
                <w:bCs/>
                <w:sz w:val="24"/>
                <w:szCs w:val="24"/>
              </w:rPr>
            </w:pPr>
            <w:r w:rsidRPr="00575C57">
              <w:rPr>
                <w:bCs/>
                <w:sz w:val="22"/>
                <w:szCs w:val="24"/>
              </w:rPr>
              <w:t>97</w:t>
            </w:r>
          </w:p>
        </w:tc>
        <w:tc>
          <w:tcPr>
            <w:tcW w:w="737" w:type="dxa"/>
            <w:tcBorders>
              <w:top w:val="single" w:sz="4" w:space="0" w:color="auto"/>
              <w:left w:val="single" w:sz="4" w:space="0" w:color="auto"/>
              <w:bottom w:val="single" w:sz="4" w:space="0" w:color="auto"/>
              <w:right w:val="single" w:sz="4" w:space="0" w:color="auto"/>
            </w:tcBorders>
            <w:vAlign w:val="center"/>
            <w:hideMark/>
          </w:tcPr>
          <w:p w14:paraId="38F7C1A5" w14:textId="77777777" w:rsidR="00575C57" w:rsidRPr="00575C57" w:rsidRDefault="00575C57" w:rsidP="00575C57">
            <w:pPr>
              <w:widowControl/>
              <w:jc w:val="center"/>
              <w:rPr>
                <w:bCs/>
                <w:sz w:val="24"/>
                <w:szCs w:val="24"/>
              </w:rPr>
            </w:pPr>
            <w:r w:rsidRPr="00575C57">
              <w:rPr>
                <w:bCs/>
                <w:sz w:val="22"/>
                <w:szCs w:val="24"/>
              </w:rPr>
              <w:t>102</w:t>
            </w:r>
          </w:p>
        </w:tc>
        <w:tc>
          <w:tcPr>
            <w:tcW w:w="737" w:type="dxa"/>
            <w:tcBorders>
              <w:top w:val="single" w:sz="4" w:space="0" w:color="auto"/>
              <w:left w:val="single" w:sz="4" w:space="0" w:color="auto"/>
              <w:bottom w:val="single" w:sz="4" w:space="0" w:color="auto"/>
              <w:right w:val="single" w:sz="4" w:space="0" w:color="auto"/>
            </w:tcBorders>
            <w:vAlign w:val="center"/>
            <w:hideMark/>
          </w:tcPr>
          <w:p w14:paraId="13CCAEFC" w14:textId="77777777" w:rsidR="00575C57" w:rsidRPr="00575C57" w:rsidRDefault="00575C57" w:rsidP="00575C57">
            <w:pPr>
              <w:widowControl/>
              <w:jc w:val="center"/>
              <w:rPr>
                <w:bCs/>
                <w:sz w:val="24"/>
                <w:szCs w:val="24"/>
              </w:rPr>
            </w:pPr>
            <w:r w:rsidRPr="00575C57">
              <w:rPr>
                <w:bCs/>
                <w:sz w:val="22"/>
                <w:szCs w:val="24"/>
              </w:rPr>
              <w:t>111</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61BD6F" w14:textId="77777777" w:rsidR="00575C57" w:rsidRPr="00575C57" w:rsidRDefault="00575C57" w:rsidP="00575C57">
            <w:pPr>
              <w:widowControl/>
              <w:jc w:val="center"/>
              <w:rPr>
                <w:bCs/>
                <w:sz w:val="24"/>
                <w:szCs w:val="24"/>
              </w:rPr>
            </w:pPr>
            <w:r w:rsidRPr="00575C57">
              <w:rPr>
                <w:bCs/>
                <w:sz w:val="22"/>
                <w:szCs w:val="24"/>
              </w:rPr>
              <w:t>116</w:t>
            </w:r>
          </w:p>
        </w:tc>
        <w:tc>
          <w:tcPr>
            <w:tcW w:w="737" w:type="dxa"/>
            <w:tcBorders>
              <w:top w:val="single" w:sz="4" w:space="0" w:color="auto"/>
              <w:left w:val="single" w:sz="4" w:space="0" w:color="auto"/>
              <w:bottom w:val="single" w:sz="4" w:space="0" w:color="auto"/>
              <w:right w:val="single" w:sz="4" w:space="0" w:color="auto"/>
            </w:tcBorders>
            <w:vAlign w:val="center"/>
            <w:hideMark/>
          </w:tcPr>
          <w:p w14:paraId="76AD1487" w14:textId="77777777" w:rsidR="00575C57" w:rsidRPr="00575C57" w:rsidRDefault="00575C57" w:rsidP="00575C57">
            <w:pPr>
              <w:widowControl/>
              <w:jc w:val="center"/>
              <w:rPr>
                <w:bCs/>
                <w:sz w:val="24"/>
                <w:szCs w:val="24"/>
              </w:rPr>
            </w:pPr>
            <w:r w:rsidRPr="00575C57">
              <w:rPr>
                <w:bCs/>
                <w:sz w:val="22"/>
                <w:szCs w:val="24"/>
              </w:rPr>
              <w:t>123</w:t>
            </w:r>
          </w:p>
        </w:tc>
        <w:tc>
          <w:tcPr>
            <w:tcW w:w="737" w:type="dxa"/>
            <w:tcBorders>
              <w:top w:val="single" w:sz="4" w:space="0" w:color="auto"/>
              <w:left w:val="single" w:sz="4" w:space="0" w:color="auto"/>
              <w:bottom w:val="single" w:sz="4" w:space="0" w:color="auto"/>
              <w:right w:val="single" w:sz="4" w:space="0" w:color="auto"/>
            </w:tcBorders>
            <w:vAlign w:val="center"/>
            <w:hideMark/>
          </w:tcPr>
          <w:p w14:paraId="68F96AA3" w14:textId="77777777" w:rsidR="00575C57" w:rsidRPr="00575C57" w:rsidRDefault="00575C57" w:rsidP="00575C57">
            <w:pPr>
              <w:widowControl/>
              <w:jc w:val="center"/>
              <w:rPr>
                <w:bCs/>
                <w:sz w:val="24"/>
                <w:szCs w:val="24"/>
              </w:rPr>
            </w:pPr>
            <w:r w:rsidRPr="00575C57">
              <w:rPr>
                <w:bCs/>
                <w:sz w:val="22"/>
                <w:szCs w:val="24"/>
              </w:rPr>
              <w:t>116</w:t>
            </w:r>
          </w:p>
        </w:tc>
        <w:tc>
          <w:tcPr>
            <w:tcW w:w="737" w:type="dxa"/>
            <w:tcBorders>
              <w:top w:val="single" w:sz="4" w:space="0" w:color="auto"/>
              <w:left w:val="single" w:sz="4" w:space="0" w:color="auto"/>
              <w:bottom w:val="single" w:sz="4" w:space="0" w:color="auto"/>
              <w:right w:val="single" w:sz="4" w:space="0" w:color="auto"/>
            </w:tcBorders>
            <w:vAlign w:val="center"/>
            <w:hideMark/>
          </w:tcPr>
          <w:p w14:paraId="437CE920" w14:textId="77777777" w:rsidR="00575C57" w:rsidRPr="00575C57" w:rsidRDefault="00575C57" w:rsidP="00575C57">
            <w:pPr>
              <w:widowControl/>
              <w:jc w:val="center"/>
              <w:rPr>
                <w:bCs/>
                <w:sz w:val="24"/>
                <w:szCs w:val="24"/>
              </w:rPr>
            </w:pPr>
            <w:r w:rsidRPr="00575C57">
              <w:rPr>
                <w:bCs/>
                <w:sz w:val="22"/>
                <w:szCs w:val="24"/>
              </w:rPr>
              <w:t>112</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2A083868" w14:textId="77777777" w:rsidR="00575C57" w:rsidRPr="00575C57" w:rsidRDefault="00575C57" w:rsidP="00575C57">
            <w:pPr>
              <w:widowControl/>
              <w:jc w:val="center"/>
              <w:rPr>
                <w:bCs/>
                <w:sz w:val="24"/>
                <w:szCs w:val="24"/>
              </w:rPr>
            </w:pPr>
            <w:r w:rsidRPr="00575C57">
              <w:rPr>
                <w:bCs/>
                <w:sz w:val="22"/>
                <w:szCs w:val="24"/>
              </w:rPr>
              <w:t>117</w:t>
            </w:r>
          </w:p>
        </w:tc>
        <w:tc>
          <w:tcPr>
            <w:tcW w:w="737" w:type="dxa"/>
            <w:tcBorders>
              <w:top w:val="single" w:sz="4" w:space="0" w:color="auto"/>
              <w:left w:val="single" w:sz="4" w:space="0" w:color="auto"/>
              <w:bottom w:val="single" w:sz="4" w:space="0" w:color="auto"/>
              <w:right w:val="single" w:sz="4" w:space="0" w:color="auto"/>
            </w:tcBorders>
            <w:vAlign w:val="center"/>
            <w:hideMark/>
          </w:tcPr>
          <w:p w14:paraId="1868C813" w14:textId="77777777" w:rsidR="00575C57" w:rsidRPr="00575C57" w:rsidRDefault="00575C57" w:rsidP="00575C57">
            <w:pPr>
              <w:widowControl/>
              <w:jc w:val="center"/>
              <w:rPr>
                <w:bCs/>
                <w:sz w:val="24"/>
                <w:szCs w:val="24"/>
              </w:rPr>
            </w:pPr>
            <w:r w:rsidRPr="00575C57">
              <w:rPr>
                <w:bCs/>
                <w:sz w:val="22"/>
                <w:szCs w:val="24"/>
              </w:rPr>
              <w:t>119</w:t>
            </w:r>
          </w:p>
        </w:tc>
      </w:tr>
      <w:tr w:rsidR="00575C57" w:rsidRPr="00575C57" w14:paraId="23634EC7"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7BC1270E" w14:textId="77777777" w:rsidR="00575C57" w:rsidRPr="00575C57" w:rsidRDefault="00575C57" w:rsidP="00575C57">
            <w:pPr>
              <w:widowControl/>
              <w:rPr>
                <w:bCs/>
                <w:sz w:val="24"/>
                <w:szCs w:val="24"/>
              </w:rPr>
            </w:pPr>
            <w:r w:rsidRPr="00575C57">
              <w:rPr>
                <w:bCs/>
                <w:sz w:val="22"/>
                <w:szCs w:val="24"/>
              </w:rPr>
              <w:t>Belgia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C043AEC"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09554CE0" w14:textId="77777777" w:rsidR="00575C57" w:rsidRPr="00575C57" w:rsidRDefault="00575C57" w:rsidP="00575C57">
            <w:pPr>
              <w:widowControl/>
              <w:jc w:val="center"/>
              <w:rPr>
                <w:bCs/>
                <w:sz w:val="24"/>
                <w:szCs w:val="24"/>
              </w:rPr>
            </w:pPr>
            <w:r w:rsidRPr="00575C57">
              <w:rPr>
                <w:bCs/>
                <w:sz w:val="22"/>
                <w:szCs w:val="24"/>
              </w:rPr>
              <w:t>112</w:t>
            </w:r>
          </w:p>
        </w:tc>
        <w:tc>
          <w:tcPr>
            <w:tcW w:w="737" w:type="dxa"/>
            <w:tcBorders>
              <w:top w:val="single" w:sz="4" w:space="0" w:color="auto"/>
              <w:left w:val="single" w:sz="4" w:space="0" w:color="auto"/>
              <w:bottom w:val="single" w:sz="4" w:space="0" w:color="auto"/>
              <w:right w:val="single" w:sz="4" w:space="0" w:color="auto"/>
            </w:tcBorders>
            <w:vAlign w:val="center"/>
            <w:hideMark/>
          </w:tcPr>
          <w:p w14:paraId="2872D863" w14:textId="77777777" w:rsidR="00575C57" w:rsidRPr="00575C57" w:rsidRDefault="00575C57" w:rsidP="00575C57">
            <w:pPr>
              <w:widowControl/>
              <w:jc w:val="center"/>
              <w:rPr>
                <w:bCs/>
                <w:sz w:val="24"/>
                <w:szCs w:val="24"/>
              </w:rPr>
            </w:pPr>
            <w:r w:rsidRPr="00575C57">
              <w:rPr>
                <w:bCs/>
                <w:sz w:val="22"/>
                <w:szCs w:val="24"/>
              </w:rPr>
              <w:t>105</w:t>
            </w:r>
          </w:p>
        </w:tc>
        <w:tc>
          <w:tcPr>
            <w:tcW w:w="737" w:type="dxa"/>
            <w:tcBorders>
              <w:top w:val="single" w:sz="4" w:space="0" w:color="auto"/>
              <w:left w:val="single" w:sz="4" w:space="0" w:color="auto"/>
              <w:bottom w:val="single" w:sz="4" w:space="0" w:color="auto"/>
              <w:right w:val="single" w:sz="4" w:space="0" w:color="auto"/>
            </w:tcBorders>
            <w:vAlign w:val="center"/>
            <w:hideMark/>
          </w:tcPr>
          <w:p w14:paraId="58E40B7B" w14:textId="77777777" w:rsidR="00575C57" w:rsidRPr="00575C57" w:rsidRDefault="00575C57" w:rsidP="00575C57">
            <w:pPr>
              <w:widowControl/>
              <w:jc w:val="center"/>
              <w:rPr>
                <w:bCs/>
                <w:sz w:val="24"/>
                <w:szCs w:val="24"/>
              </w:rPr>
            </w:pPr>
            <w:r w:rsidRPr="00575C57">
              <w:rPr>
                <w:bCs/>
                <w:sz w:val="22"/>
                <w:szCs w:val="24"/>
              </w:rPr>
              <w:t>101</w:t>
            </w:r>
          </w:p>
        </w:tc>
        <w:tc>
          <w:tcPr>
            <w:tcW w:w="737" w:type="dxa"/>
            <w:tcBorders>
              <w:top w:val="single" w:sz="4" w:space="0" w:color="auto"/>
              <w:left w:val="single" w:sz="4" w:space="0" w:color="auto"/>
              <w:bottom w:val="single" w:sz="4" w:space="0" w:color="auto"/>
              <w:right w:val="single" w:sz="4" w:space="0" w:color="auto"/>
            </w:tcBorders>
            <w:vAlign w:val="center"/>
            <w:hideMark/>
          </w:tcPr>
          <w:p w14:paraId="3F994C65" w14:textId="77777777" w:rsidR="00575C57" w:rsidRPr="00575C57" w:rsidRDefault="00575C57" w:rsidP="00575C57">
            <w:pPr>
              <w:widowControl/>
              <w:jc w:val="center"/>
              <w:rPr>
                <w:bCs/>
                <w:sz w:val="24"/>
                <w:szCs w:val="24"/>
              </w:rPr>
            </w:pPr>
            <w:r w:rsidRPr="00575C57">
              <w:rPr>
                <w:bCs/>
                <w:sz w:val="22"/>
                <w:szCs w:val="24"/>
              </w:rPr>
              <w:t>84</w:t>
            </w:r>
          </w:p>
        </w:tc>
        <w:tc>
          <w:tcPr>
            <w:tcW w:w="737" w:type="dxa"/>
            <w:tcBorders>
              <w:top w:val="single" w:sz="4" w:space="0" w:color="auto"/>
              <w:left w:val="single" w:sz="4" w:space="0" w:color="auto"/>
              <w:bottom w:val="single" w:sz="4" w:space="0" w:color="auto"/>
              <w:right w:val="single" w:sz="4" w:space="0" w:color="auto"/>
            </w:tcBorders>
            <w:vAlign w:val="center"/>
            <w:hideMark/>
          </w:tcPr>
          <w:p w14:paraId="771488F1" w14:textId="77777777" w:rsidR="00575C57" w:rsidRPr="00575C57" w:rsidRDefault="00575C57" w:rsidP="00575C57">
            <w:pPr>
              <w:widowControl/>
              <w:jc w:val="center"/>
              <w:rPr>
                <w:bCs/>
                <w:sz w:val="24"/>
                <w:szCs w:val="24"/>
              </w:rPr>
            </w:pPr>
            <w:r w:rsidRPr="00575C57">
              <w:rPr>
                <w:bCs/>
                <w:sz w:val="22"/>
                <w:szCs w:val="24"/>
              </w:rPr>
              <w:t>85</w:t>
            </w:r>
          </w:p>
        </w:tc>
        <w:tc>
          <w:tcPr>
            <w:tcW w:w="737" w:type="dxa"/>
            <w:tcBorders>
              <w:top w:val="single" w:sz="4" w:space="0" w:color="auto"/>
              <w:left w:val="single" w:sz="4" w:space="0" w:color="auto"/>
              <w:bottom w:val="single" w:sz="4" w:space="0" w:color="auto"/>
              <w:right w:val="single" w:sz="4" w:space="0" w:color="auto"/>
            </w:tcBorders>
            <w:vAlign w:val="center"/>
            <w:hideMark/>
          </w:tcPr>
          <w:p w14:paraId="69D685FA" w14:textId="77777777" w:rsidR="00575C57" w:rsidRPr="00575C57" w:rsidRDefault="00575C57" w:rsidP="00575C57">
            <w:pPr>
              <w:widowControl/>
              <w:jc w:val="center"/>
              <w:rPr>
                <w:bCs/>
                <w:sz w:val="24"/>
                <w:szCs w:val="24"/>
              </w:rPr>
            </w:pPr>
            <w:r w:rsidRPr="00575C57">
              <w:rPr>
                <w:bCs/>
                <w:sz w:val="22"/>
                <w:szCs w:val="24"/>
              </w:rPr>
              <w:t>66</w:t>
            </w:r>
          </w:p>
        </w:tc>
        <w:tc>
          <w:tcPr>
            <w:tcW w:w="737" w:type="dxa"/>
            <w:tcBorders>
              <w:top w:val="single" w:sz="4" w:space="0" w:color="auto"/>
              <w:left w:val="single" w:sz="4" w:space="0" w:color="auto"/>
              <w:bottom w:val="single" w:sz="4" w:space="0" w:color="auto"/>
              <w:right w:val="single" w:sz="4" w:space="0" w:color="auto"/>
            </w:tcBorders>
            <w:vAlign w:val="center"/>
            <w:hideMark/>
          </w:tcPr>
          <w:p w14:paraId="65DEAE8C" w14:textId="77777777" w:rsidR="00575C57" w:rsidRPr="00575C57" w:rsidRDefault="00575C57" w:rsidP="00575C57">
            <w:pPr>
              <w:widowControl/>
              <w:jc w:val="center"/>
              <w:rPr>
                <w:bCs/>
                <w:sz w:val="24"/>
                <w:szCs w:val="24"/>
              </w:rPr>
            </w:pPr>
            <w:r w:rsidRPr="00575C57">
              <w:rPr>
                <w:bCs/>
                <w:sz w:val="22"/>
                <w:szCs w:val="24"/>
              </w:rPr>
              <w:t>49</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2ADB0BD3" w14:textId="77777777" w:rsidR="00575C57" w:rsidRPr="00575C57" w:rsidRDefault="00575C57" w:rsidP="00575C57">
            <w:pPr>
              <w:widowControl/>
              <w:jc w:val="center"/>
              <w:rPr>
                <w:bCs/>
                <w:sz w:val="24"/>
                <w:szCs w:val="24"/>
              </w:rPr>
            </w:pPr>
            <w:r w:rsidRPr="00575C57">
              <w:rPr>
                <w:bCs/>
                <w:sz w:val="22"/>
                <w:szCs w:val="24"/>
              </w:rPr>
              <w:t>46</w:t>
            </w:r>
          </w:p>
        </w:tc>
        <w:tc>
          <w:tcPr>
            <w:tcW w:w="737" w:type="dxa"/>
            <w:tcBorders>
              <w:top w:val="single" w:sz="4" w:space="0" w:color="auto"/>
              <w:left w:val="single" w:sz="4" w:space="0" w:color="auto"/>
              <w:bottom w:val="single" w:sz="4" w:space="0" w:color="auto"/>
              <w:right w:val="single" w:sz="4" w:space="0" w:color="auto"/>
            </w:tcBorders>
            <w:vAlign w:val="center"/>
            <w:hideMark/>
          </w:tcPr>
          <w:p w14:paraId="306164C3" w14:textId="77777777" w:rsidR="00575C57" w:rsidRPr="00575C57" w:rsidRDefault="00575C57" w:rsidP="00575C57">
            <w:pPr>
              <w:widowControl/>
              <w:jc w:val="center"/>
              <w:rPr>
                <w:bCs/>
                <w:sz w:val="24"/>
                <w:szCs w:val="24"/>
              </w:rPr>
            </w:pPr>
            <w:r w:rsidRPr="00575C57">
              <w:rPr>
                <w:bCs/>
                <w:sz w:val="22"/>
                <w:szCs w:val="24"/>
              </w:rPr>
              <w:t>41</w:t>
            </w:r>
          </w:p>
        </w:tc>
      </w:tr>
      <w:tr w:rsidR="00575C57" w:rsidRPr="00575C57" w14:paraId="638B68A5"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33D1FC24" w14:textId="77777777" w:rsidR="00575C57" w:rsidRPr="00575C57" w:rsidRDefault="00575C57" w:rsidP="00575C57">
            <w:pPr>
              <w:widowControl/>
              <w:rPr>
                <w:bCs/>
                <w:sz w:val="24"/>
                <w:szCs w:val="24"/>
              </w:rPr>
            </w:pPr>
            <w:r w:rsidRPr="00575C57">
              <w:rPr>
                <w:bCs/>
                <w:sz w:val="22"/>
                <w:szCs w:val="24"/>
              </w:rPr>
              <w:t>Bułgaria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19C2AE5F"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5CA83C51" w14:textId="77777777" w:rsidR="00575C57" w:rsidRPr="00575C57" w:rsidRDefault="00575C57" w:rsidP="00575C57">
            <w:pPr>
              <w:widowControl/>
              <w:jc w:val="center"/>
              <w:rPr>
                <w:bCs/>
                <w:sz w:val="24"/>
                <w:szCs w:val="24"/>
              </w:rPr>
            </w:pPr>
            <w:r w:rsidRPr="00575C57">
              <w:rPr>
                <w:bCs/>
                <w:sz w:val="22"/>
                <w:szCs w:val="24"/>
              </w:rPr>
              <w:t>23</w:t>
            </w:r>
          </w:p>
        </w:tc>
        <w:tc>
          <w:tcPr>
            <w:tcW w:w="737" w:type="dxa"/>
            <w:tcBorders>
              <w:top w:val="single" w:sz="4" w:space="0" w:color="auto"/>
              <w:left w:val="single" w:sz="4" w:space="0" w:color="auto"/>
              <w:bottom w:val="single" w:sz="4" w:space="0" w:color="auto"/>
              <w:right w:val="single" w:sz="4" w:space="0" w:color="auto"/>
            </w:tcBorders>
            <w:vAlign w:val="center"/>
            <w:hideMark/>
          </w:tcPr>
          <w:p w14:paraId="3D1EC60B" w14:textId="77777777" w:rsidR="00575C57" w:rsidRPr="00575C57" w:rsidRDefault="00575C57" w:rsidP="00575C57">
            <w:pPr>
              <w:widowControl/>
              <w:jc w:val="center"/>
              <w:rPr>
                <w:bCs/>
                <w:sz w:val="24"/>
                <w:szCs w:val="24"/>
              </w:rPr>
            </w:pPr>
            <w:r w:rsidRPr="00575C57">
              <w:rPr>
                <w:bCs/>
                <w:sz w:val="22"/>
                <w:szCs w:val="24"/>
              </w:rPr>
              <w:t>47</w:t>
            </w:r>
          </w:p>
        </w:tc>
        <w:tc>
          <w:tcPr>
            <w:tcW w:w="737" w:type="dxa"/>
            <w:tcBorders>
              <w:top w:val="single" w:sz="4" w:space="0" w:color="auto"/>
              <w:left w:val="single" w:sz="4" w:space="0" w:color="auto"/>
              <w:bottom w:val="single" w:sz="4" w:space="0" w:color="auto"/>
              <w:right w:val="single" w:sz="4" w:space="0" w:color="auto"/>
            </w:tcBorders>
            <w:vAlign w:val="center"/>
            <w:hideMark/>
          </w:tcPr>
          <w:p w14:paraId="60A06CEF" w14:textId="77777777" w:rsidR="00575C57" w:rsidRPr="00575C57" w:rsidRDefault="00575C57" w:rsidP="00575C57">
            <w:pPr>
              <w:widowControl/>
              <w:jc w:val="center"/>
              <w:rPr>
                <w:bCs/>
                <w:sz w:val="24"/>
                <w:szCs w:val="24"/>
              </w:rPr>
            </w:pPr>
            <w:r w:rsidRPr="00575C57">
              <w:rPr>
                <w:bCs/>
                <w:sz w:val="22"/>
                <w:szCs w:val="24"/>
              </w:rPr>
              <w:t>109</w:t>
            </w:r>
          </w:p>
        </w:tc>
        <w:tc>
          <w:tcPr>
            <w:tcW w:w="737" w:type="dxa"/>
            <w:tcBorders>
              <w:top w:val="single" w:sz="4" w:space="0" w:color="auto"/>
              <w:left w:val="single" w:sz="4" w:space="0" w:color="auto"/>
              <w:bottom w:val="single" w:sz="4" w:space="0" w:color="auto"/>
              <w:right w:val="single" w:sz="4" w:space="0" w:color="auto"/>
            </w:tcBorders>
            <w:vAlign w:val="center"/>
            <w:hideMark/>
          </w:tcPr>
          <w:p w14:paraId="057FFDF8" w14:textId="77777777" w:rsidR="00575C57" w:rsidRPr="00575C57" w:rsidRDefault="00575C57" w:rsidP="00575C57">
            <w:pPr>
              <w:widowControl/>
              <w:jc w:val="center"/>
              <w:rPr>
                <w:bCs/>
                <w:sz w:val="24"/>
                <w:szCs w:val="24"/>
              </w:rPr>
            </w:pPr>
            <w:r w:rsidRPr="00575C57">
              <w:rPr>
                <w:bCs/>
                <w:sz w:val="22"/>
                <w:szCs w:val="24"/>
              </w:rPr>
              <w:t>90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A3ED136" w14:textId="77777777" w:rsidR="00575C57" w:rsidRPr="00575C57" w:rsidRDefault="00575C57" w:rsidP="00575C57">
            <w:pPr>
              <w:widowControl/>
              <w:jc w:val="center"/>
              <w:rPr>
                <w:bCs/>
                <w:sz w:val="24"/>
                <w:szCs w:val="24"/>
              </w:rPr>
            </w:pPr>
            <w:r w:rsidRPr="00575C57">
              <w:rPr>
                <w:bCs/>
                <w:sz w:val="22"/>
                <w:szCs w:val="24"/>
              </w:rPr>
              <w:t>154</w:t>
            </w:r>
          </w:p>
        </w:tc>
        <w:tc>
          <w:tcPr>
            <w:tcW w:w="737" w:type="dxa"/>
            <w:tcBorders>
              <w:top w:val="single" w:sz="4" w:space="0" w:color="auto"/>
              <w:left w:val="single" w:sz="4" w:space="0" w:color="auto"/>
              <w:bottom w:val="single" w:sz="4" w:space="0" w:color="auto"/>
              <w:right w:val="single" w:sz="4" w:space="0" w:color="auto"/>
            </w:tcBorders>
            <w:vAlign w:val="center"/>
            <w:hideMark/>
          </w:tcPr>
          <w:p w14:paraId="76ECCE58" w14:textId="77777777" w:rsidR="00575C57" w:rsidRPr="00575C57" w:rsidRDefault="00575C57" w:rsidP="00575C57">
            <w:pPr>
              <w:widowControl/>
              <w:jc w:val="center"/>
              <w:rPr>
                <w:bCs/>
                <w:sz w:val="24"/>
                <w:szCs w:val="24"/>
              </w:rPr>
            </w:pPr>
            <w:r w:rsidRPr="00575C57">
              <w:rPr>
                <w:bCs/>
                <w:sz w:val="22"/>
                <w:szCs w:val="24"/>
              </w:rPr>
              <w:t>164</w:t>
            </w:r>
          </w:p>
        </w:tc>
        <w:tc>
          <w:tcPr>
            <w:tcW w:w="737" w:type="dxa"/>
            <w:tcBorders>
              <w:top w:val="single" w:sz="4" w:space="0" w:color="auto"/>
              <w:left w:val="single" w:sz="4" w:space="0" w:color="auto"/>
              <w:bottom w:val="single" w:sz="4" w:space="0" w:color="auto"/>
              <w:right w:val="single" w:sz="4" w:space="0" w:color="auto"/>
            </w:tcBorders>
            <w:vAlign w:val="center"/>
            <w:hideMark/>
          </w:tcPr>
          <w:p w14:paraId="75B4FBFA" w14:textId="77777777" w:rsidR="00575C57" w:rsidRPr="00575C57" w:rsidRDefault="00575C57" w:rsidP="00575C57">
            <w:pPr>
              <w:widowControl/>
              <w:jc w:val="center"/>
              <w:rPr>
                <w:bCs/>
                <w:sz w:val="24"/>
                <w:szCs w:val="24"/>
              </w:rPr>
            </w:pPr>
            <w:r w:rsidRPr="00575C57">
              <w:rPr>
                <w:bCs/>
                <w:sz w:val="22"/>
                <w:szCs w:val="24"/>
              </w:rPr>
              <w:t>106</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3B33A952" w14:textId="77777777" w:rsidR="00575C57" w:rsidRPr="00575C57" w:rsidRDefault="00575C57" w:rsidP="00575C57">
            <w:pPr>
              <w:widowControl/>
              <w:jc w:val="center"/>
              <w:rPr>
                <w:bCs/>
                <w:sz w:val="24"/>
                <w:szCs w:val="24"/>
              </w:rPr>
            </w:pPr>
            <w:r w:rsidRPr="00575C57">
              <w:rPr>
                <w:bCs/>
                <w:sz w:val="22"/>
                <w:szCs w:val="24"/>
              </w:rPr>
              <w:t>80</w:t>
            </w:r>
          </w:p>
        </w:tc>
        <w:tc>
          <w:tcPr>
            <w:tcW w:w="737" w:type="dxa"/>
            <w:tcBorders>
              <w:top w:val="single" w:sz="4" w:space="0" w:color="auto"/>
              <w:left w:val="single" w:sz="4" w:space="0" w:color="auto"/>
              <w:bottom w:val="single" w:sz="4" w:space="0" w:color="auto"/>
              <w:right w:val="single" w:sz="4" w:space="0" w:color="auto"/>
            </w:tcBorders>
            <w:vAlign w:val="center"/>
            <w:hideMark/>
          </w:tcPr>
          <w:p w14:paraId="47F3803C" w14:textId="77777777" w:rsidR="00575C57" w:rsidRPr="00575C57" w:rsidRDefault="00575C57" w:rsidP="00575C57">
            <w:pPr>
              <w:widowControl/>
              <w:jc w:val="center"/>
              <w:rPr>
                <w:bCs/>
                <w:sz w:val="24"/>
                <w:szCs w:val="24"/>
              </w:rPr>
            </w:pPr>
            <w:r w:rsidRPr="00575C57">
              <w:rPr>
                <w:bCs/>
                <w:sz w:val="22"/>
                <w:szCs w:val="24"/>
              </w:rPr>
              <w:t>64</w:t>
            </w:r>
          </w:p>
        </w:tc>
      </w:tr>
      <w:tr w:rsidR="00575C57" w:rsidRPr="00575C57" w14:paraId="63BC6703"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763A5C87" w14:textId="77777777" w:rsidR="00575C57" w:rsidRPr="00575C57" w:rsidRDefault="00575C57" w:rsidP="00575C57">
            <w:pPr>
              <w:widowControl/>
              <w:rPr>
                <w:bCs/>
                <w:sz w:val="24"/>
                <w:szCs w:val="24"/>
              </w:rPr>
            </w:pPr>
            <w:r w:rsidRPr="00575C57">
              <w:rPr>
                <w:bCs/>
                <w:sz w:val="22"/>
                <w:szCs w:val="24"/>
              </w:rPr>
              <w:t>Chorwacja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7FC9809"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706167CF" w14:textId="77777777" w:rsidR="00575C57" w:rsidRPr="00575C57" w:rsidRDefault="00575C57" w:rsidP="00575C57">
            <w:pPr>
              <w:widowControl/>
              <w:jc w:val="center"/>
              <w:rPr>
                <w:bCs/>
                <w:sz w:val="24"/>
                <w:szCs w:val="24"/>
              </w:rPr>
            </w:pPr>
            <w:r w:rsidRPr="00575C57">
              <w:rPr>
                <w:bCs/>
                <w:sz w:val="22"/>
                <w:szCs w:val="24"/>
              </w:rPr>
              <w:t>98</w:t>
            </w:r>
          </w:p>
        </w:tc>
        <w:tc>
          <w:tcPr>
            <w:tcW w:w="737" w:type="dxa"/>
            <w:tcBorders>
              <w:top w:val="single" w:sz="4" w:space="0" w:color="auto"/>
              <w:left w:val="single" w:sz="4" w:space="0" w:color="auto"/>
              <w:bottom w:val="single" w:sz="4" w:space="0" w:color="auto"/>
              <w:right w:val="single" w:sz="4" w:space="0" w:color="auto"/>
            </w:tcBorders>
            <w:vAlign w:val="center"/>
            <w:hideMark/>
          </w:tcPr>
          <w:p w14:paraId="63D86888" w14:textId="77777777" w:rsidR="00575C57" w:rsidRPr="00575C57" w:rsidRDefault="00575C57" w:rsidP="00575C57">
            <w:pPr>
              <w:widowControl/>
              <w:jc w:val="center"/>
              <w:rPr>
                <w:bCs/>
                <w:sz w:val="24"/>
                <w:szCs w:val="24"/>
              </w:rPr>
            </w:pPr>
            <w:r w:rsidRPr="00575C57">
              <w:rPr>
                <w:bCs/>
                <w:sz w:val="22"/>
                <w:szCs w:val="24"/>
              </w:rPr>
              <w:t>87</w:t>
            </w:r>
          </w:p>
        </w:tc>
        <w:tc>
          <w:tcPr>
            <w:tcW w:w="737" w:type="dxa"/>
            <w:tcBorders>
              <w:top w:val="single" w:sz="4" w:space="0" w:color="auto"/>
              <w:left w:val="single" w:sz="4" w:space="0" w:color="auto"/>
              <w:bottom w:val="single" w:sz="4" w:space="0" w:color="auto"/>
              <w:right w:val="single" w:sz="4" w:space="0" w:color="auto"/>
            </w:tcBorders>
            <w:vAlign w:val="center"/>
            <w:hideMark/>
          </w:tcPr>
          <w:p w14:paraId="002F1ED3" w14:textId="77777777" w:rsidR="00575C57" w:rsidRPr="00575C57" w:rsidRDefault="00575C57" w:rsidP="00575C57">
            <w:pPr>
              <w:widowControl/>
              <w:jc w:val="center"/>
              <w:rPr>
                <w:bCs/>
                <w:sz w:val="24"/>
                <w:szCs w:val="24"/>
              </w:rPr>
            </w:pPr>
            <w:r w:rsidRPr="00575C57">
              <w:rPr>
                <w:bCs/>
                <w:sz w:val="22"/>
                <w:szCs w:val="24"/>
              </w:rPr>
              <w:t>74</w:t>
            </w:r>
          </w:p>
        </w:tc>
        <w:tc>
          <w:tcPr>
            <w:tcW w:w="737" w:type="dxa"/>
            <w:tcBorders>
              <w:top w:val="single" w:sz="4" w:space="0" w:color="auto"/>
              <w:left w:val="single" w:sz="4" w:space="0" w:color="auto"/>
              <w:bottom w:val="single" w:sz="4" w:space="0" w:color="auto"/>
              <w:right w:val="single" w:sz="4" w:space="0" w:color="auto"/>
            </w:tcBorders>
            <w:vAlign w:val="center"/>
            <w:hideMark/>
          </w:tcPr>
          <w:p w14:paraId="2ABE29F8" w14:textId="77777777" w:rsidR="00575C57" w:rsidRPr="00575C57" w:rsidRDefault="00575C57" w:rsidP="00575C57">
            <w:pPr>
              <w:widowControl/>
              <w:jc w:val="center"/>
              <w:rPr>
                <w:bCs/>
                <w:sz w:val="24"/>
                <w:szCs w:val="24"/>
              </w:rPr>
            </w:pPr>
            <w:r w:rsidRPr="00575C57">
              <w:rPr>
                <w:bCs/>
                <w:sz w:val="22"/>
                <w:szCs w:val="24"/>
              </w:rPr>
              <w:t>64</w:t>
            </w:r>
          </w:p>
        </w:tc>
        <w:tc>
          <w:tcPr>
            <w:tcW w:w="737" w:type="dxa"/>
            <w:tcBorders>
              <w:top w:val="single" w:sz="4" w:space="0" w:color="auto"/>
              <w:left w:val="single" w:sz="4" w:space="0" w:color="auto"/>
              <w:bottom w:val="single" w:sz="4" w:space="0" w:color="auto"/>
              <w:right w:val="single" w:sz="4" w:space="0" w:color="auto"/>
            </w:tcBorders>
            <w:vAlign w:val="center"/>
            <w:hideMark/>
          </w:tcPr>
          <w:p w14:paraId="5C5CD41A" w14:textId="77777777" w:rsidR="00575C57" w:rsidRPr="00575C57" w:rsidRDefault="00575C57" w:rsidP="00575C57">
            <w:pPr>
              <w:widowControl/>
              <w:jc w:val="center"/>
              <w:rPr>
                <w:bCs/>
                <w:sz w:val="24"/>
                <w:szCs w:val="24"/>
              </w:rPr>
            </w:pPr>
            <w:r w:rsidRPr="00575C57">
              <w:rPr>
                <w:bCs/>
                <w:sz w:val="22"/>
                <w:szCs w:val="24"/>
              </w:rPr>
              <w:t>67</w:t>
            </w:r>
          </w:p>
        </w:tc>
        <w:tc>
          <w:tcPr>
            <w:tcW w:w="737" w:type="dxa"/>
            <w:tcBorders>
              <w:top w:val="single" w:sz="4" w:space="0" w:color="auto"/>
              <w:left w:val="single" w:sz="4" w:space="0" w:color="auto"/>
              <w:bottom w:val="single" w:sz="4" w:space="0" w:color="auto"/>
              <w:right w:val="single" w:sz="4" w:space="0" w:color="auto"/>
            </w:tcBorders>
            <w:vAlign w:val="center"/>
            <w:hideMark/>
          </w:tcPr>
          <w:p w14:paraId="7041DCD5" w14:textId="77777777" w:rsidR="00575C57" w:rsidRPr="00575C57" w:rsidRDefault="00575C57" w:rsidP="00575C57">
            <w:pPr>
              <w:widowControl/>
              <w:jc w:val="center"/>
              <w:rPr>
                <w:bCs/>
                <w:sz w:val="24"/>
                <w:szCs w:val="24"/>
              </w:rPr>
            </w:pPr>
            <w:r w:rsidRPr="00575C57">
              <w:rPr>
                <w:bCs/>
                <w:sz w:val="22"/>
                <w:szCs w:val="24"/>
              </w:rPr>
              <w:t>61</w:t>
            </w:r>
          </w:p>
        </w:tc>
        <w:tc>
          <w:tcPr>
            <w:tcW w:w="737" w:type="dxa"/>
            <w:tcBorders>
              <w:top w:val="single" w:sz="4" w:space="0" w:color="auto"/>
              <w:left w:val="single" w:sz="4" w:space="0" w:color="auto"/>
              <w:bottom w:val="single" w:sz="4" w:space="0" w:color="auto"/>
              <w:right w:val="single" w:sz="4" w:space="0" w:color="auto"/>
            </w:tcBorders>
            <w:vAlign w:val="center"/>
            <w:hideMark/>
          </w:tcPr>
          <w:p w14:paraId="29C1CD18" w14:textId="77777777" w:rsidR="00575C57" w:rsidRPr="00575C57" w:rsidRDefault="00575C57" w:rsidP="00575C57">
            <w:pPr>
              <w:widowControl/>
              <w:jc w:val="center"/>
              <w:rPr>
                <w:bCs/>
                <w:sz w:val="24"/>
                <w:szCs w:val="24"/>
              </w:rPr>
            </w:pPr>
            <w:r w:rsidRPr="00575C57">
              <w:rPr>
                <w:bCs/>
                <w:sz w:val="22"/>
                <w:szCs w:val="24"/>
              </w:rPr>
              <w:t>56</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0AE5D2FC" w14:textId="77777777" w:rsidR="00575C57" w:rsidRPr="00575C57" w:rsidRDefault="00575C57" w:rsidP="00575C57">
            <w:pPr>
              <w:widowControl/>
              <w:jc w:val="center"/>
              <w:rPr>
                <w:bCs/>
                <w:sz w:val="24"/>
                <w:szCs w:val="24"/>
              </w:rPr>
            </w:pPr>
            <w:r w:rsidRPr="00575C57">
              <w:rPr>
                <w:bCs/>
                <w:sz w:val="22"/>
                <w:szCs w:val="24"/>
              </w:rPr>
              <w:t>42</w:t>
            </w:r>
          </w:p>
        </w:tc>
        <w:tc>
          <w:tcPr>
            <w:tcW w:w="737" w:type="dxa"/>
            <w:tcBorders>
              <w:top w:val="single" w:sz="4" w:space="0" w:color="auto"/>
              <w:left w:val="single" w:sz="4" w:space="0" w:color="auto"/>
              <w:bottom w:val="single" w:sz="4" w:space="0" w:color="auto"/>
              <w:right w:val="single" w:sz="4" w:space="0" w:color="auto"/>
            </w:tcBorders>
            <w:vAlign w:val="center"/>
            <w:hideMark/>
          </w:tcPr>
          <w:p w14:paraId="2DDBC90B" w14:textId="77777777" w:rsidR="00575C57" w:rsidRPr="00575C57" w:rsidRDefault="00575C57" w:rsidP="00575C57">
            <w:pPr>
              <w:widowControl/>
              <w:jc w:val="center"/>
              <w:rPr>
                <w:bCs/>
                <w:sz w:val="24"/>
                <w:szCs w:val="24"/>
              </w:rPr>
            </w:pPr>
            <w:r w:rsidRPr="00575C57">
              <w:rPr>
                <w:bCs/>
                <w:sz w:val="22"/>
                <w:szCs w:val="24"/>
              </w:rPr>
              <w:t>44</w:t>
            </w:r>
          </w:p>
        </w:tc>
      </w:tr>
      <w:tr w:rsidR="00575C57" w:rsidRPr="00575C57" w14:paraId="4F6FE6D5"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4DC8CAE3" w14:textId="77777777" w:rsidR="00575C57" w:rsidRPr="00575C57" w:rsidRDefault="00575C57" w:rsidP="00575C57">
            <w:pPr>
              <w:widowControl/>
              <w:rPr>
                <w:bCs/>
                <w:sz w:val="24"/>
                <w:szCs w:val="24"/>
              </w:rPr>
            </w:pPr>
            <w:r w:rsidRPr="00575C57">
              <w:rPr>
                <w:bCs/>
                <w:sz w:val="22"/>
                <w:szCs w:val="24"/>
              </w:rPr>
              <w:t>Cypr</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B1C366A"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74605313" w14:textId="77777777" w:rsidR="00575C57" w:rsidRPr="00575C57" w:rsidRDefault="00575C57" w:rsidP="00575C57">
            <w:pPr>
              <w:widowControl/>
              <w:jc w:val="center"/>
              <w:rPr>
                <w:bCs/>
                <w:sz w:val="24"/>
                <w:szCs w:val="24"/>
              </w:rPr>
            </w:pPr>
            <w:r w:rsidRPr="00575C57">
              <w:rPr>
                <w:bCs/>
                <w:sz w:val="22"/>
                <w:szCs w:val="24"/>
              </w:rPr>
              <w:t>91</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60068D" w14:textId="77777777" w:rsidR="00575C57" w:rsidRPr="00575C57" w:rsidRDefault="00575C57" w:rsidP="00575C57">
            <w:pPr>
              <w:widowControl/>
              <w:jc w:val="center"/>
              <w:rPr>
                <w:bCs/>
                <w:sz w:val="24"/>
                <w:szCs w:val="24"/>
              </w:rPr>
            </w:pPr>
            <w:r w:rsidRPr="00575C57">
              <w:rPr>
                <w:bCs/>
                <w:sz w:val="22"/>
                <w:szCs w:val="24"/>
              </w:rPr>
              <w:t>91</w:t>
            </w:r>
          </w:p>
        </w:tc>
        <w:tc>
          <w:tcPr>
            <w:tcW w:w="737" w:type="dxa"/>
            <w:tcBorders>
              <w:top w:val="single" w:sz="4" w:space="0" w:color="auto"/>
              <w:left w:val="single" w:sz="4" w:space="0" w:color="auto"/>
              <w:bottom w:val="single" w:sz="4" w:space="0" w:color="auto"/>
              <w:right w:val="single" w:sz="4" w:space="0" w:color="auto"/>
            </w:tcBorders>
            <w:vAlign w:val="center"/>
            <w:hideMark/>
          </w:tcPr>
          <w:p w14:paraId="34E8126F" w14:textId="77777777" w:rsidR="00575C57" w:rsidRPr="00575C57" w:rsidRDefault="00575C57" w:rsidP="00575C57">
            <w:pPr>
              <w:widowControl/>
              <w:jc w:val="center"/>
              <w:rPr>
                <w:bCs/>
                <w:sz w:val="24"/>
                <w:szCs w:val="24"/>
              </w:rPr>
            </w:pPr>
            <w:r w:rsidRPr="00575C57">
              <w:rPr>
                <w:bCs/>
                <w:sz w:val="22"/>
                <w:szCs w:val="24"/>
              </w:rPr>
              <w:t>92</w:t>
            </w:r>
          </w:p>
        </w:tc>
        <w:tc>
          <w:tcPr>
            <w:tcW w:w="737" w:type="dxa"/>
            <w:tcBorders>
              <w:top w:val="single" w:sz="4" w:space="0" w:color="auto"/>
              <w:left w:val="single" w:sz="4" w:space="0" w:color="auto"/>
              <w:bottom w:val="single" w:sz="4" w:space="0" w:color="auto"/>
              <w:right w:val="single" w:sz="4" w:space="0" w:color="auto"/>
            </w:tcBorders>
            <w:vAlign w:val="center"/>
            <w:hideMark/>
          </w:tcPr>
          <w:p w14:paraId="4618038A" w14:textId="77777777" w:rsidR="00575C57" w:rsidRPr="00575C57" w:rsidRDefault="00575C57" w:rsidP="00575C57">
            <w:pPr>
              <w:widowControl/>
              <w:jc w:val="center"/>
              <w:rPr>
                <w:bCs/>
                <w:sz w:val="24"/>
                <w:szCs w:val="24"/>
              </w:rPr>
            </w:pPr>
            <w:r w:rsidRPr="00575C57">
              <w:rPr>
                <w:bCs/>
                <w:sz w:val="22"/>
                <w:szCs w:val="24"/>
              </w:rPr>
              <w:t>92</w:t>
            </w:r>
          </w:p>
        </w:tc>
        <w:tc>
          <w:tcPr>
            <w:tcW w:w="737" w:type="dxa"/>
            <w:tcBorders>
              <w:top w:val="single" w:sz="4" w:space="0" w:color="auto"/>
              <w:left w:val="single" w:sz="4" w:space="0" w:color="auto"/>
              <w:bottom w:val="single" w:sz="4" w:space="0" w:color="auto"/>
              <w:right w:val="single" w:sz="4" w:space="0" w:color="auto"/>
            </w:tcBorders>
            <w:vAlign w:val="center"/>
            <w:hideMark/>
          </w:tcPr>
          <w:p w14:paraId="224CAF75" w14:textId="77777777" w:rsidR="00575C57" w:rsidRPr="00575C57" w:rsidRDefault="00575C57" w:rsidP="00575C57">
            <w:pPr>
              <w:widowControl/>
              <w:jc w:val="center"/>
              <w:rPr>
                <w:bCs/>
                <w:sz w:val="24"/>
                <w:szCs w:val="24"/>
              </w:rPr>
            </w:pPr>
            <w:r w:rsidRPr="00575C57">
              <w:rPr>
                <w:bCs/>
                <w:sz w:val="22"/>
                <w:szCs w:val="24"/>
              </w:rPr>
              <w:t>89</w:t>
            </w:r>
          </w:p>
        </w:tc>
        <w:tc>
          <w:tcPr>
            <w:tcW w:w="737" w:type="dxa"/>
            <w:tcBorders>
              <w:top w:val="single" w:sz="4" w:space="0" w:color="auto"/>
              <w:left w:val="single" w:sz="4" w:space="0" w:color="auto"/>
              <w:bottom w:val="single" w:sz="4" w:space="0" w:color="auto"/>
              <w:right w:val="single" w:sz="4" w:space="0" w:color="auto"/>
            </w:tcBorders>
            <w:vAlign w:val="center"/>
            <w:hideMark/>
          </w:tcPr>
          <w:p w14:paraId="72F3EBAD" w14:textId="77777777" w:rsidR="00575C57" w:rsidRPr="00575C57" w:rsidRDefault="00575C57" w:rsidP="00575C57">
            <w:pPr>
              <w:widowControl/>
              <w:jc w:val="center"/>
              <w:rPr>
                <w:bCs/>
                <w:sz w:val="24"/>
                <w:szCs w:val="24"/>
              </w:rPr>
            </w:pPr>
            <w:r w:rsidRPr="00575C57">
              <w:rPr>
                <w:bCs/>
                <w:sz w:val="22"/>
                <w:szCs w:val="24"/>
              </w:rPr>
              <w:t>92</w:t>
            </w:r>
          </w:p>
        </w:tc>
        <w:tc>
          <w:tcPr>
            <w:tcW w:w="737" w:type="dxa"/>
            <w:tcBorders>
              <w:top w:val="single" w:sz="4" w:space="0" w:color="auto"/>
              <w:left w:val="single" w:sz="4" w:space="0" w:color="auto"/>
              <w:bottom w:val="single" w:sz="4" w:space="0" w:color="auto"/>
              <w:right w:val="single" w:sz="4" w:space="0" w:color="auto"/>
            </w:tcBorders>
            <w:vAlign w:val="center"/>
            <w:hideMark/>
          </w:tcPr>
          <w:p w14:paraId="12A53354" w14:textId="77777777" w:rsidR="00575C57" w:rsidRPr="00575C57" w:rsidRDefault="00575C57" w:rsidP="00575C57">
            <w:pPr>
              <w:widowControl/>
              <w:jc w:val="center"/>
              <w:rPr>
                <w:bCs/>
                <w:sz w:val="24"/>
                <w:szCs w:val="24"/>
              </w:rPr>
            </w:pPr>
            <w:r w:rsidRPr="00575C57">
              <w:rPr>
                <w:bCs/>
                <w:sz w:val="22"/>
                <w:szCs w:val="24"/>
              </w:rPr>
              <w:t>79</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66AECB25" w14:textId="77777777" w:rsidR="00575C57" w:rsidRPr="00575C57" w:rsidRDefault="00575C57" w:rsidP="00575C57">
            <w:pPr>
              <w:widowControl/>
              <w:jc w:val="center"/>
              <w:rPr>
                <w:bCs/>
                <w:sz w:val="24"/>
                <w:szCs w:val="24"/>
              </w:rPr>
            </w:pPr>
            <w:r w:rsidRPr="00575C57">
              <w:rPr>
                <w:bCs/>
                <w:sz w:val="22"/>
                <w:szCs w:val="24"/>
              </w:rPr>
              <w:t>71</w:t>
            </w:r>
          </w:p>
        </w:tc>
        <w:tc>
          <w:tcPr>
            <w:tcW w:w="737" w:type="dxa"/>
            <w:tcBorders>
              <w:top w:val="single" w:sz="4" w:space="0" w:color="auto"/>
              <w:left w:val="single" w:sz="4" w:space="0" w:color="auto"/>
              <w:bottom w:val="single" w:sz="4" w:space="0" w:color="auto"/>
              <w:right w:val="single" w:sz="4" w:space="0" w:color="auto"/>
            </w:tcBorders>
            <w:vAlign w:val="center"/>
            <w:hideMark/>
          </w:tcPr>
          <w:p w14:paraId="5AB43C08" w14:textId="77777777" w:rsidR="00575C57" w:rsidRPr="00575C57" w:rsidRDefault="00575C57" w:rsidP="00575C57">
            <w:pPr>
              <w:widowControl/>
              <w:jc w:val="center"/>
              <w:rPr>
                <w:bCs/>
                <w:sz w:val="24"/>
                <w:szCs w:val="24"/>
              </w:rPr>
            </w:pPr>
            <w:r w:rsidRPr="00575C57">
              <w:rPr>
                <w:bCs/>
                <w:sz w:val="22"/>
                <w:szCs w:val="24"/>
              </w:rPr>
              <w:t>62</w:t>
            </w:r>
          </w:p>
        </w:tc>
      </w:tr>
      <w:tr w:rsidR="00575C57" w:rsidRPr="00575C57" w14:paraId="541C3E1C"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12F750C0" w14:textId="77777777" w:rsidR="00575C57" w:rsidRPr="00575C57" w:rsidRDefault="00575C57" w:rsidP="00575C57">
            <w:pPr>
              <w:widowControl/>
              <w:rPr>
                <w:bCs/>
                <w:sz w:val="24"/>
                <w:szCs w:val="24"/>
              </w:rPr>
            </w:pPr>
            <w:r w:rsidRPr="00575C57">
              <w:rPr>
                <w:bCs/>
                <w:sz w:val="22"/>
                <w:szCs w:val="24"/>
              </w:rPr>
              <w:t>Czechy</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4E18149"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4A299573" w14:textId="77777777" w:rsidR="00575C57" w:rsidRPr="00575C57" w:rsidRDefault="00575C57" w:rsidP="00575C57">
            <w:pPr>
              <w:widowControl/>
              <w:jc w:val="center"/>
              <w:rPr>
                <w:bCs/>
                <w:sz w:val="24"/>
                <w:szCs w:val="24"/>
              </w:rPr>
            </w:pPr>
            <w:r w:rsidRPr="00575C57">
              <w:rPr>
                <w:bCs/>
                <w:sz w:val="22"/>
                <w:szCs w:val="24"/>
              </w:rPr>
              <w:t>85</w:t>
            </w:r>
          </w:p>
        </w:tc>
        <w:tc>
          <w:tcPr>
            <w:tcW w:w="737" w:type="dxa"/>
            <w:tcBorders>
              <w:top w:val="single" w:sz="4" w:space="0" w:color="auto"/>
              <w:left w:val="single" w:sz="4" w:space="0" w:color="auto"/>
              <w:bottom w:val="single" w:sz="4" w:space="0" w:color="auto"/>
              <w:right w:val="single" w:sz="4" w:space="0" w:color="auto"/>
            </w:tcBorders>
            <w:vAlign w:val="center"/>
            <w:hideMark/>
          </w:tcPr>
          <w:p w14:paraId="38574501" w14:textId="77777777" w:rsidR="00575C57" w:rsidRPr="00575C57" w:rsidRDefault="00575C57" w:rsidP="00575C57">
            <w:pPr>
              <w:widowControl/>
              <w:jc w:val="center"/>
              <w:rPr>
                <w:bCs/>
                <w:sz w:val="24"/>
                <w:szCs w:val="24"/>
              </w:rPr>
            </w:pPr>
            <w:r w:rsidRPr="00575C57">
              <w:rPr>
                <w:bCs/>
                <w:sz w:val="22"/>
                <w:szCs w:val="24"/>
              </w:rPr>
              <w:t>93</w:t>
            </w:r>
          </w:p>
        </w:tc>
        <w:tc>
          <w:tcPr>
            <w:tcW w:w="737" w:type="dxa"/>
            <w:tcBorders>
              <w:top w:val="single" w:sz="4" w:space="0" w:color="auto"/>
              <w:left w:val="single" w:sz="4" w:space="0" w:color="auto"/>
              <w:bottom w:val="single" w:sz="4" w:space="0" w:color="auto"/>
              <w:right w:val="single" w:sz="4" w:space="0" w:color="auto"/>
            </w:tcBorders>
            <w:vAlign w:val="center"/>
            <w:hideMark/>
          </w:tcPr>
          <w:p w14:paraId="06FF043E" w14:textId="77777777" w:rsidR="00575C57" w:rsidRPr="00575C57" w:rsidRDefault="00575C57" w:rsidP="00575C57">
            <w:pPr>
              <w:widowControl/>
              <w:jc w:val="center"/>
              <w:rPr>
                <w:bCs/>
                <w:sz w:val="24"/>
                <w:szCs w:val="24"/>
              </w:rPr>
            </w:pPr>
            <w:r w:rsidRPr="00575C57">
              <w:rPr>
                <w:bCs/>
                <w:sz w:val="22"/>
                <w:szCs w:val="24"/>
              </w:rPr>
              <w:t>84</w:t>
            </w:r>
          </w:p>
        </w:tc>
        <w:tc>
          <w:tcPr>
            <w:tcW w:w="737" w:type="dxa"/>
            <w:tcBorders>
              <w:top w:val="single" w:sz="4" w:space="0" w:color="auto"/>
              <w:left w:val="single" w:sz="4" w:space="0" w:color="auto"/>
              <w:bottom w:val="single" w:sz="4" w:space="0" w:color="auto"/>
              <w:right w:val="single" w:sz="4" w:space="0" w:color="auto"/>
            </w:tcBorders>
            <w:vAlign w:val="center"/>
            <w:hideMark/>
          </w:tcPr>
          <w:p w14:paraId="00527FF1" w14:textId="77777777" w:rsidR="00575C57" w:rsidRPr="00575C57" w:rsidRDefault="00575C57" w:rsidP="00575C57">
            <w:pPr>
              <w:widowControl/>
              <w:jc w:val="center"/>
              <w:rPr>
                <w:bCs/>
                <w:sz w:val="24"/>
                <w:szCs w:val="24"/>
              </w:rPr>
            </w:pPr>
            <w:r w:rsidRPr="00575C57">
              <w:rPr>
                <w:bCs/>
                <w:sz w:val="22"/>
                <w:szCs w:val="24"/>
              </w:rPr>
              <w:t>71</w:t>
            </w:r>
          </w:p>
        </w:tc>
        <w:tc>
          <w:tcPr>
            <w:tcW w:w="737" w:type="dxa"/>
            <w:tcBorders>
              <w:top w:val="single" w:sz="4" w:space="0" w:color="auto"/>
              <w:left w:val="single" w:sz="4" w:space="0" w:color="auto"/>
              <w:bottom w:val="single" w:sz="4" w:space="0" w:color="auto"/>
              <w:right w:val="single" w:sz="4" w:space="0" w:color="auto"/>
            </w:tcBorders>
            <w:vAlign w:val="center"/>
            <w:hideMark/>
          </w:tcPr>
          <w:p w14:paraId="7802E39D" w14:textId="77777777" w:rsidR="00575C57" w:rsidRPr="00575C57" w:rsidRDefault="00575C57" w:rsidP="00575C57">
            <w:pPr>
              <w:widowControl/>
              <w:jc w:val="center"/>
              <w:rPr>
                <w:bCs/>
                <w:sz w:val="24"/>
                <w:szCs w:val="24"/>
              </w:rPr>
            </w:pPr>
            <w:r w:rsidRPr="00575C57">
              <w:rPr>
                <w:bCs/>
                <w:sz w:val="22"/>
                <w:szCs w:val="24"/>
              </w:rPr>
              <w:t>73</w:t>
            </w:r>
          </w:p>
        </w:tc>
        <w:tc>
          <w:tcPr>
            <w:tcW w:w="737" w:type="dxa"/>
            <w:tcBorders>
              <w:top w:val="single" w:sz="4" w:space="0" w:color="auto"/>
              <w:left w:val="single" w:sz="4" w:space="0" w:color="auto"/>
              <w:bottom w:val="single" w:sz="4" w:space="0" w:color="auto"/>
              <w:right w:val="single" w:sz="4" w:space="0" w:color="auto"/>
            </w:tcBorders>
            <w:vAlign w:val="center"/>
            <w:hideMark/>
          </w:tcPr>
          <w:p w14:paraId="21E2FE8A" w14:textId="77777777" w:rsidR="00575C57" w:rsidRPr="00575C57" w:rsidRDefault="00575C57" w:rsidP="00575C57">
            <w:pPr>
              <w:widowControl/>
              <w:jc w:val="center"/>
              <w:rPr>
                <w:bCs/>
                <w:sz w:val="24"/>
                <w:szCs w:val="24"/>
              </w:rPr>
            </w:pPr>
            <w:r w:rsidRPr="00575C57">
              <w:rPr>
                <w:bCs/>
                <w:sz w:val="22"/>
                <w:szCs w:val="24"/>
              </w:rPr>
              <w:t>65</w:t>
            </w:r>
          </w:p>
        </w:tc>
        <w:tc>
          <w:tcPr>
            <w:tcW w:w="737" w:type="dxa"/>
            <w:tcBorders>
              <w:top w:val="single" w:sz="4" w:space="0" w:color="auto"/>
              <w:left w:val="single" w:sz="4" w:space="0" w:color="auto"/>
              <w:bottom w:val="single" w:sz="4" w:space="0" w:color="auto"/>
              <w:right w:val="single" w:sz="4" w:space="0" w:color="auto"/>
            </w:tcBorders>
            <w:vAlign w:val="center"/>
            <w:hideMark/>
          </w:tcPr>
          <w:p w14:paraId="1C4BC9C7" w14:textId="77777777" w:rsidR="00575C57" w:rsidRPr="00575C57" w:rsidRDefault="00575C57" w:rsidP="00575C57">
            <w:pPr>
              <w:widowControl/>
              <w:jc w:val="center"/>
              <w:rPr>
                <w:bCs/>
                <w:sz w:val="24"/>
                <w:szCs w:val="24"/>
              </w:rPr>
            </w:pPr>
            <w:r w:rsidRPr="00575C57">
              <w:rPr>
                <w:bCs/>
                <w:sz w:val="22"/>
                <w:szCs w:val="24"/>
              </w:rPr>
              <w:t>45</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2288A260" w14:textId="77777777" w:rsidR="00575C57" w:rsidRPr="00575C57" w:rsidRDefault="00575C57" w:rsidP="00575C57">
            <w:pPr>
              <w:widowControl/>
              <w:jc w:val="center"/>
              <w:rPr>
                <w:bCs/>
                <w:sz w:val="24"/>
                <w:szCs w:val="24"/>
              </w:rPr>
            </w:pPr>
            <w:r w:rsidRPr="00575C57">
              <w:rPr>
                <w:bCs/>
                <w:sz w:val="22"/>
                <w:szCs w:val="24"/>
              </w:rPr>
              <w:t>35</w:t>
            </w:r>
          </w:p>
        </w:tc>
        <w:tc>
          <w:tcPr>
            <w:tcW w:w="737" w:type="dxa"/>
            <w:tcBorders>
              <w:top w:val="single" w:sz="4" w:space="0" w:color="auto"/>
              <w:left w:val="single" w:sz="4" w:space="0" w:color="auto"/>
              <w:bottom w:val="single" w:sz="4" w:space="0" w:color="auto"/>
              <w:right w:val="single" w:sz="4" w:space="0" w:color="auto"/>
            </w:tcBorders>
            <w:vAlign w:val="center"/>
            <w:hideMark/>
          </w:tcPr>
          <w:p w14:paraId="6EC9F080" w14:textId="77777777" w:rsidR="00575C57" w:rsidRPr="00575C57" w:rsidRDefault="00575C57" w:rsidP="00575C57">
            <w:pPr>
              <w:widowControl/>
              <w:jc w:val="center"/>
              <w:rPr>
                <w:bCs/>
                <w:sz w:val="24"/>
                <w:szCs w:val="24"/>
              </w:rPr>
            </w:pPr>
            <w:r w:rsidRPr="00575C57">
              <w:rPr>
                <w:bCs/>
                <w:sz w:val="22"/>
                <w:szCs w:val="24"/>
              </w:rPr>
              <w:t>42</w:t>
            </w:r>
          </w:p>
        </w:tc>
      </w:tr>
      <w:tr w:rsidR="00575C57" w:rsidRPr="00575C57" w14:paraId="221B5A43"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5A878951" w14:textId="77777777" w:rsidR="00575C57" w:rsidRPr="00575C57" w:rsidRDefault="00575C57" w:rsidP="00575C57">
            <w:pPr>
              <w:widowControl/>
              <w:rPr>
                <w:bCs/>
                <w:sz w:val="24"/>
                <w:szCs w:val="24"/>
              </w:rPr>
            </w:pPr>
            <w:r w:rsidRPr="00575C57">
              <w:rPr>
                <w:bCs/>
                <w:sz w:val="22"/>
                <w:szCs w:val="24"/>
              </w:rPr>
              <w:t>Dania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1CABDDC4"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08676CEB" w14:textId="77777777" w:rsidR="00575C57" w:rsidRPr="00575C57" w:rsidRDefault="00575C57" w:rsidP="00575C57">
            <w:pPr>
              <w:widowControl/>
              <w:jc w:val="center"/>
              <w:rPr>
                <w:bCs/>
                <w:sz w:val="24"/>
                <w:szCs w:val="24"/>
              </w:rPr>
            </w:pPr>
            <w:r w:rsidRPr="00575C57">
              <w:rPr>
                <w:bCs/>
                <w:sz w:val="22"/>
                <w:szCs w:val="24"/>
              </w:rPr>
              <w:t>42</w:t>
            </w:r>
          </w:p>
        </w:tc>
        <w:tc>
          <w:tcPr>
            <w:tcW w:w="737" w:type="dxa"/>
            <w:tcBorders>
              <w:top w:val="single" w:sz="4" w:space="0" w:color="auto"/>
              <w:left w:val="single" w:sz="4" w:space="0" w:color="auto"/>
              <w:bottom w:val="single" w:sz="4" w:space="0" w:color="auto"/>
              <w:right w:val="single" w:sz="4" w:space="0" w:color="auto"/>
            </w:tcBorders>
            <w:vAlign w:val="center"/>
            <w:hideMark/>
          </w:tcPr>
          <w:p w14:paraId="02CA1624" w14:textId="77777777" w:rsidR="00575C57" w:rsidRPr="00575C57" w:rsidRDefault="00575C57" w:rsidP="00575C57">
            <w:pPr>
              <w:widowControl/>
              <w:jc w:val="center"/>
              <w:rPr>
                <w:bCs/>
                <w:sz w:val="24"/>
                <w:szCs w:val="24"/>
              </w:rPr>
            </w:pPr>
            <w:r w:rsidRPr="00575C57">
              <w:rPr>
                <w:bCs/>
                <w:sz w:val="22"/>
                <w:szCs w:val="24"/>
              </w:rPr>
              <w:t>52</w:t>
            </w:r>
          </w:p>
        </w:tc>
        <w:tc>
          <w:tcPr>
            <w:tcW w:w="737" w:type="dxa"/>
            <w:tcBorders>
              <w:top w:val="single" w:sz="4" w:space="0" w:color="auto"/>
              <w:left w:val="single" w:sz="4" w:space="0" w:color="auto"/>
              <w:bottom w:val="single" w:sz="4" w:space="0" w:color="auto"/>
              <w:right w:val="single" w:sz="4" w:space="0" w:color="auto"/>
            </w:tcBorders>
            <w:vAlign w:val="center"/>
            <w:hideMark/>
          </w:tcPr>
          <w:p w14:paraId="1DC02159" w14:textId="77777777" w:rsidR="00575C57" w:rsidRPr="00575C57" w:rsidRDefault="00575C57" w:rsidP="00575C57">
            <w:pPr>
              <w:widowControl/>
              <w:jc w:val="center"/>
              <w:rPr>
                <w:bCs/>
                <w:sz w:val="24"/>
                <w:szCs w:val="24"/>
              </w:rPr>
            </w:pPr>
            <w:r w:rsidRPr="00575C57">
              <w:rPr>
                <w:bCs/>
                <w:sz w:val="22"/>
                <w:szCs w:val="24"/>
              </w:rPr>
              <w:t>51</w:t>
            </w:r>
          </w:p>
        </w:tc>
        <w:tc>
          <w:tcPr>
            <w:tcW w:w="737" w:type="dxa"/>
            <w:tcBorders>
              <w:top w:val="single" w:sz="4" w:space="0" w:color="auto"/>
              <w:left w:val="single" w:sz="4" w:space="0" w:color="auto"/>
              <w:bottom w:val="single" w:sz="4" w:space="0" w:color="auto"/>
              <w:right w:val="single" w:sz="4" w:space="0" w:color="auto"/>
            </w:tcBorders>
            <w:vAlign w:val="center"/>
            <w:hideMark/>
          </w:tcPr>
          <w:p w14:paraId="6ECC04A2" w14:textId="77777777" w:rsidR="00575C57" w:rsidRPr="00575C57" w:rsidRDefault="00575C57" w:rsidP="00575C57">
            <w:pPr>
              <w:widowControl/>
              <w:jc w:val="center"/>
              <w:rPr>
                <w:bCs/>
                <w:sz w:val="24"/>
                <w:szCs w:val="24"/>
              </w:rPr>
            </w:pPr>
            <w:r w:rsidRPr="00575C57">
              <w:rPr>
                <w:bCs/>
                <w:sz w:val="22"/>
                <w:szCs w:val="24"/>
              </w:rPr>
              <w:t>54</w:t>
            </w:r>
          </w:p>
        </w:tc>
        <w:tc>
          <w:tcPr>
            <w:tcW w:w="737" w:type="dxa"/>
            <w:tcBorders>
              <w:top w:val="single" w:sz="4" w:space="0" w:color="auto"/>
              <w:left w:val="single" w:sz="4" w:space="0" w:color="auto"/>
              <w:bottom w:val="single" w:sz="4" w:space="0" w:color="auto"/>
              <w:right w:val="single" w:sz="4" w:space="0" w:color="auto"/>
            </w:tcBorders>
            <w:vAlign w:val="center"/>
            <w:hideMark/>
          </w:tcPr>
          <w:p w14:paraId="23DABFA0" w14:textId="77777777" w:rsidR="00575C57" w:rsidRPr="00575C57" w:rsidRDefault="00575C57" w:rsidP="00575C57">
            <w:pPr>
              <w:widowControl/>
              <w:jc w:val="center"/>
              <w:rPr>
                <w:bCs/>
                <w:sz w:val="24"/>
                <w:szCs w:val="24"/>
              </w:rPr>
            </w:pPr>
            <w:r w:rsidRPr="00575C57">
              <w:rPr>
                <w:bCs/>
                <w:sz w:val="22"/>
                <w:szCs w:val="24"/>
              </w:rPr>
              <w:t>53</w:t>
            </w:r>
          </w:p>
        </w:tc>
        <w:tc>
          <w:tcPr>
            <w:tcW w:w="737" w:type="dxa"/>
            <w:tcBorders>
              <w:top w:val="single" w:sz="4" w:space="0" w:color="auto"/>
              <w:left w:val="single" w:sz="4" w:space="0" w:color="auto"/>
              <w:bottom w:val="single" w:sz="4" w:space="0" w:color="auto"/>
              <w:right w:val="single" w:sz="4" w:space="0" w:color="auto"/>
            </w:tcBorders>
            <w:vAlign w:val="center"/>
            <w:hideMark/>
          </w:tcPr>
          <w:p w14:paraId="19F631DF" w14:textId="77777777" w:rsidR="00575C57" w:rsidRPr="00575C57" w:rsidRDefault="00575C57" w:rsidP="00575C57">
            <w:pPr>
              <w:widowControl/>
              <w:jc w:val="center"/>
              <w:rPr>
                <w:bCs/>
                <w:sz w:val="24"/>
                <w:szCs w:val="24"/>
              </w:rPr>
            </w:pPr>
            <w:r w:rsidRPr="00575C57">
              <w:rPr>
                <w:bCs/>
                <w:sz w:val="22"/>
                <w:szCs w:val="24"/>
              </w:rPr>
              <w:t>53</w:t>
            </w:r>
          </w:p>
        </w:tc>
        <w:tc>
          <w:tcPr>
            <w:tcW w:w="737" w:type="dxa"/>
            <w:tcBorders>
              <w:top w:val="single" w:sz="4" w:space="0" w:color="auto"/>
              <w:left w:val="single" w:sz="4" w:space="0" w:color="auto"/>
              <w:bottom w:val="single" w:sz="4" w:space="0" w:color="auto"/>
              <w:right w:val="single" w:sz="4" w:space="0" w:color="auto"/>
            </w:tcBorders>
            <w:vAlign w:val="center"/>
            <w:hideMark/>
          </w:tcPr>
          <w:p w14:paraId="14E3FC33" w14:textId="77777777" w:rsidR="00575C57" w:rsidRPr="00575C57" w:rsidRDefault="00575C57" w:rsidP="00575C57">
            <w:pPr>
              <w:widowControl/>
              <w:jc w:val="center"/>
              <w:rPr>
                <w:bCs/>
                <w:sz w:val="24"/>
                <w:szCs w:val="24"/>
              </w:rPr>
            </w:pPr>
            <w:r w:rsidRPr="00575C57">
              <w:rPr>
                <w:bCs/>
                <w:sz w:val="22"/>
                <w:szCs w:val="24"/>
              </w:rPr>
              <w:t>53</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094EEF3F" w14:textId="77777777" w:rsidR="00575C57" w:rsidRPr="00575C57" w:rsidRDefault="00575C57" w:rsidP="00575C57">
            <w:pPr>
              <w:widowControl/>
              <w:jc w:val="center"/>
              <w:rPr>
                <w:bCs/>
                <w:sz w:val="24"/>
                <w:szCs w:val="24"/>
              </w:rPr>
            </w:pPr>
            <w:r w:rsidRPr="00575C57">
              <w:rPr>
                <w:bCs/>
                <w:sz w:val="22"/>
                <w:szCs w:val="24"/>
              </w:rPr>
              <w:t>50</w:t>
            </w:r>
          </w:p>
        </w:tc>
        <w:tc>
          <w:tcPr>
            <w:tcW w:w="737" w:type="dxa"/>
            <w:tcBorders>
              <w:top w:val="single" w:sz="4" w:space="0" w:color="auto"/>
              <w:left w:val="single" w:sz="4" w:space="0" w:color="auto"/>
              <w:bottom w:val="single" w:sz="4" w:space="0" w:color="auto"/>
              <w:right w:val="single" w:sz="4" w:space="0" w:color="auto"/>
            </w:tcBorders>
            <w:vAlign w:val="center"/>
            <w:hideMark/>
          </w:tcPr>
          <w:p w14:paraId="343CF8A3" w14:textId="77777777" w:rsidR="00575C57" w:rsidRPr="00575C57" w:rsidRDefault="00575C57" w:rsidP="00575C57">
            <w:pPr>
              <w:widowControl/>
              <w:jc w:val="center"/>
              <w:rPr>
                <w:bCs/>
                <w:sz w:val="24"/>
                <w:szCs w:val="24"/>
              </w:rPr>
            </w:pPr>
            <w:r w:rsidRPr="00575C57">
              <w:rPr>
                <w:bCs/>
                <w:sz w:val="22"/>
                <w:szCs w:val="24"/>
              </w:rPr>
              <w:t>57</w:t>
            </w:r>
          </w:p>
        </w:tc>
      </w:tr>
      <w:tr w:rsidR="00575C57" w:rsidRPr="00575C57" w14:paraId="50B0BB37"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0E62760A" w14:textId="77777777" w:rsidR="00575C57" w:rsidRPr="00575C57" w:rsidRDefault="00575C57" w:rsidP="00575C57">
            <w:pPr>
              <w:widowControl/>
              <w:rPr>
                <w:bCs/>
                <w:sz w:val="24"/>
                <w:szCs w:val="24"/>
              </w:rPr>
            </w:pPr>
            <w:r w:rsidRPr="00575C57">
              <w:rPr>
                <w:bCs/>
                <w:sz w:val="22"/>
                <w:szCs w:val="24"/>
              </w:rPr>
              <w:t>Estonia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2570BDC"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06EF9E6" w14:textId="77777777" w:rsidR="00575C57" w:rsidRPr="00575C57" w:rsidRDefault="00575C57" w:rsidP="00575C57">
            <w:pPr>
              <w:widowControl/>
              <w:jc w:val="center"/>
              <w:rPr>
                <w:bCs/>
                <w:sz w:val="24"/>
                <w:szCs w:val="24"/>
              </w:rPr>
            </w:pPr>
            <w:r w:rsidRPr="00575C57">
              <w:rPr>
                <w:bCs/>
                <w:sz w:val="22"/>
                <w:szCs w:val="24"/>
              </w:rPr>
              <w:t>122</w:t>
            </w:r>
          </w:p>
        </w:tc>
        <w:tc>
          <w:tcPr>
            <w:tcW w:w="737" w:type="dxa"/>
            <w:tcBorders>
              <w:top w:val="single" w:sz="4" w:space="0" w:color="auto"/>
              <w:left w:val="single" w:sz="4" w:space="0" w:color="auto"/>
              <w:bottom w:val="single" w:sz="4" w:space="0" w:color="auto"/>
              <w:right w:val="single" w:sz="4" w:space="0" w:color="auto"/>
            </w:tcBorders>
            <w:vAlign w:val="center"/>
            <w:hideMark/>
          </w:tcPr>
          <w:p w14:paraId="0C75B384" w14:textId="77777777" w:rsidR="00575C57" w:rsidRPr="00575C57" w:rsidRDefault="00575C57" w:rsidP="00575C57">
            <w:pPr>
              <w:widowControl/>
              <w:jc w:val="center"/>
              <w:rPr>
                <w:bCs/>
                <w:sz w:val="24"/>
                <w:szCs w:val="24"/>
              </w:rPr>
            </w:pPr>
            <w:r w:rsidRPr="00575C57">
              <w:rPr>
                <w:bCs/>
                <w:sz w:val="22"/>
                <w:szCs w:val="24"/>
              </w:rPr>
              <w:t>143</w:t>
            </w:r>
          </w:p>
        </w:tc>
        <w:tc>
          <w:tcPr>
            <w:tcW w:w="737" w:type="dxa"/>
            <w:tcBorders>
              <w:top w:val="single" w:sz="4" w:space="0" w:color="auto"/>
              <w:left w:val="single" w:sz="4" w:space="0" w:color="auto"/>
              <w:bottom w:val="single" w:sz="4" w:space="0" w:color="auto"/>
              <w:right w:val="single" w:sz="4" w:space="0" w:color="auto"/>
            </w:tcBorders>
            <w:vAlign w:val="center"/>
            <w:hideMark/>
          </w:tcPr>
          <w:p w14:paraId="1A7482F5" w14:textId="77777777" w:rsidR="00575C57" w:rsidRPr="00575C57" w:rsidRDefault="00575C57" w:rsidP="00575C57">
            <w:pPr>
              <w:widowControl/>
              <w:jc w:val="center"/>
              <w:rPr>
                <w:bCs/>
                <w:sz w:val="24"/>
                <w:szCs w:val="24"/>
              </w:rPr>
            </w:pPr>
            <w:r w:rsidRPr="00575C57">
              <w:rPr>
                <w:bCs/>
                <w:sz w:val="22"/>
                <w:szCs w:val="24"/>
              </w:rPr>
              <w:t>177</w:t>
            </w:r>
          </w:p>
        </w:tc>
        <w:tc>
          <w:tcPr>
            <w:tcW w:w="737" w:type="dxa"/>
            <w:tcBorders>
              <w:top w:val="single" w:sz="4" w:space="0" w:color="auto"/>
              <w:left w:val="single" w:sz="4" w:space="0" w:color="auto"/>
              <w:bottom w:val="single" w:sz="4" w:space="0" w:color="auto"/>
              <w:right w:val="single" w:sz="4" w:space="0" w:color="auto"/>
            </w:tcBorders>
            <w:vAlign w:val="center"/>
            <w:hideMark/>
          </w:tcPr>
          <w:p w14:paraId="02D0A6BB" w14:textId="77777777" w:rsidR="00575C57" w:rsidRPr="00575C57" w:rsidRDefault="00575C57" w:rsidP="00575C57">
            <w:pPr>
              <w:widowControl/>
              <w:jc w:val="center"/>
              <w:rPr>
                <w:bCs/>
                <w:sz w:val="24"/>
                <w:szCs w:val="24"/>
              </w:rPr>
            </w:pPr>
            <w:r w:rsidRPr="00575C57">
              <w:rPr>
                <w:bCs/>
                <w:sz w:val="22"/>
                <w:szCs w:val="24"/>
              </w:rPr>
              <w:t>162</w:t>
            </w:r>
          </w:p>
        </w:tc>
        <w:tc>
          <w:tcPr>
            <w:tcW w:w="737" w:type="dxa"/>
            <w:tcBorders>
              <w:top w:val="single" w:sz="4" w:space="0" w:color="auto"/>
              <w:left w:val="single" w:sz="4" w:space="0" w:color="auto"/>
              <w:bottom w:val="single" w:sz="4" w:space="0" w:color="auto"/>
              <w:right w:val="single" w:sz="4" w:space="0" w:color="auto"/>
            </w:tcBorders>
            <w:vAlign w:val="center"/>
            <w:hideMark/>
          </w:tcPr>
          <w:p w14:paraId="1999107A" w14:textId="77777777" w:rsidR="00575C57" w:rsidRPr="00575C57" w:rsidRDefault="00575C57" w:rsidP="00575C57">
            <w:pPr>
              <w:widowControl/>
              <w:jc w:val="center"/>
              <w:rPr>
                <w:bCs/>
                <w:sz w:val="24"/>
                <w:szCs w:val="24"/>
              </w:rPr>
            </w:pPr>
            <w:r w:rsidRPr="00575C57">
              <w:rPr>
                <w:bCs/>
                <w:sz w:val="22"/>
                <w:szCs w:val="24"/>
              </w:rPr>
              <w:t>141</w:t>
            </w:r>
          </w:p>
        </w:tc>
        <w:tc>
          <w:tcPr>
            <w:tcW w:w="737" w:type="dxa"/>
            <w:tcBorders>
              <w:top w:val="single" w:sz="4" w:space="0" w:color="auto"/>
              <w:left w:val="single" w:sz="4" w:space="0" w:color="auto"/>
              <w:bottom w:val="single" w:sz="4" w:space="0" w:color="auto"/>
              <w:right w:val="single" w:sz="4" w:space="0" w:color="auto"/>
            </w:tcBorders>
            <w:vAlign w:val="center"/>
            <w:hideMark/>
          </w:tcPr>
          <w:p w14:paraId="2019E92C" w14:textId="77777777" w:rsidR="00575C57" w:rsidRPr="00575C57" w:rsidRDefault="00575C57" w:rsidP="00575C57">
            <w:pPr>
              <w:widowControl/>
              <w:jc w:val="center"/>
              <w:rPr>
                <w:bCs/>
                <w:sz w:val="24"/>
                <w:szCs w:val="24"/>
              </w:rPr>
            </w:pPr>
            <w:r w:rsidRPr="00575C57">
              <w:rPr>
                <w:bCs/>
                <w:sz w:val="22"/>
                <w:szCs w:val="24"/>
              </w:rPr>
              <w:t>160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D130717" w14:textId="77777777" w:rsidR="00575C57" w:rsidRPr="00575C57" w:rsidRDefault="00575C57" w:rsidP="00575C57">
            <w:pPr>
              <w:widowControl/>
              <w:jc w:val="center"/>
              <w:rPr>
                <w:bCs/>
                <w:sz w:val="24"/>
                <w:szCs w:val="24"/>
              </w:rPr>
            </w:pPr>
            <w:r w:rsidRPr="00575C57">
              <w:rPr>
                <w:bCs/>
                <w:sz w:val="22"/>
                <w:szCs w:val="24"/>
              </w:rPr>
              <w:t>152</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7E03C97B" w14:textId="77777777" w:rsidR="00575C57" w:rsidRPr="00575C57" w:rsidRDefault="00575C57" w:rsidP="00575C57">
            <w:pPr>
              <w:widowControl/>
              <w:jc w:val="center"/>
              <w:rPr>
                <w:bCs/>
                <w:sz w:val="24"/>
                <w:szCs w:val="24"/>
              </w:rPr>
            </w:pPr>
            <w:r w:rsidRPr="00575C57">
              <w:rPr>
                <w:bCs/>
                <w:sz w:val="22"/>
                <w:szCs w:val="24"/>
              </w:rPr>
              <w:t>132</w:t>
            </w:r>
          </w:p>
        </w:tc>
        <w:tc>
          <w:tcPr>
            <w:tcW w:w="737" w:type="dxa"/>
            <w:tcBorders>
              <w:top w:val="single" w:sz="4" w:space="0" w:color="auto"/>
              <w:left w:val="single" w:sz="4" w:space="0" w:color="auto"/>
              <w:bottom w:val="single" w:sz="4" w:space="0" w:color="auto"/>
              <w:right w:val="single" w:sz="4" w:space="0" w:color="auto"/>
            </w:tcBorders>
            <w:vAlign w:val="center"/>
            <w:hideMark/>
          </w:tcPr>
          <w:p w14:paraId="72556280" w14:textId="77777777" w:rsidR="00575C57" w:rsidRPr="00575C57" w:rsidRDefault="00575C57" w:rsidP="00575C57">
            <w:pPr>
              <w:widowControl/>
              <w:jc w:val="center"/>
              <w:rPr>
                <w:bCs/>
                <w:sz w:val="24"/>
                <w:szCs w:val="24"/>
              </w:rPr>
            </w:pPr>
            <w:r w:rsidRPr="00575C57">
              <w:rPr>
                <w:bCs/>
                <w:sz w:val="22"/>
                <w:szCs w:val="24"/>
              </w:rPr>
              <w:t>114</w:t>
            </w:r>
          </w:p>
        </w:tc>
      </w:tr>
      <w:tr w:rsidR="00575C57" w:rsidRPr="00575C57" w14:paraId="7C2317B9"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270B0A6B" w14:textId="77777777" w:rsidR="00575C57" w:rsidRPr="00575C57" w:rsidRDefault="00575C57" w:rsidP="00575C57">
            <w:pPr>
              <w:widowControl/>
              <w:rPr>
                <w:bCs/>
                <w:sz w:val="24"/>
                <w:szCs w:val="24"/>
              </w:rPr>
            </w:pPr>
            <w:r w:rsidRPr="00575C57">
              <w:rPr>
                <w:bCs/>
                <w:sz w:val="22"/>
                <w:szCs w:val="24"/>
              </w:rPr>
              <w:t>Finlandia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D9B71C0"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7F67CC81" w14:textId="77777777" w:rsidR="00575C57" w:rsidRPr="00575C57" w:rsidRDefault="00575C57" w:rsidP="00575C57">
            <w:pPr>
              <w:widowControl/>
              <w:jc w:val="center"/>
              <w:rPr>
                <w:bCs/>
                <w:sz w:val="24"/>
                <w:szCs w:val="24"/>
              </w:rPr>
            </w:pPr>
            <w:r w:rsidRPr="00575C57">
              <w:rPr>
                <w:bCs/>
                <w:sz w:val="22"/>
                <w:szCs w:val="24"/>
              </w:rPr>
              <w:t>107</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1D7782" w14:textId="77777777" w:rsidR="00575C57" w:rsidRPr="00575C57" w:rsidRDefault="00575C57" w:rsidP="00575C57">
            <w:pPr>
              <w:widowControl/>
              <w:jc w:val="center"/>
              <w:rPr>
                <w:bCs/>
                <w:sz w:val="24"/>
                <w:szCs w:val="24"/>
              </w:rPr>
            </w:pPr>
            <w:r w:rsidRPr="00575C57">
              <w:rPr>
                <w:bCs/>
                <w:sz w:val="22"/>
                <w:szCs w:val="24"/>
              </w:rPr>
              <w:t>121</w:t>
            </w:r>
          </w:p>
        </w:tc>
        <w:tc>
          <w:tcPr>
            <w:tcW w:w="737" w:type="dxa"/>
            <w:tcBorders>
              <w:top w:val="single" w:sz="4" w:space="0" w:color="auto"/>
              <w:left w:val="single" w:sz="4" w:space="0" w:color="auto"/>
              <w:bottom w:val="single" w:sz="4" w:space="0" w:color="auto"/>
              <w:right w:val="single" w:sz="4" w:space="0" w:color="auto"/>
            </w:tcBorders>
            <w:vAlign w:val="center"/>
            <w:hideMark/>
          </w:tcPr>
          <w:p w14:paraId="217E9FCD" w14:textId="77777777" w:rsidR="00575C57" w:rsidRPr="00575C57" w:rsidRDefault="00575C57" w:rsidP="00575C57">
            <w:pPr>
              <w:widowControl/>
              <w:jc w:val="center"/>
              <w:rPr>
                <w:bCs/>
                <w:sz w:val="24"/>
                <w:szCs w:val="24"/>
              </w:rPr>
            </w:pPr>
            <w:r w:rsidRPr="00575C57">
              <w:rPr>
                <w:bCs/>
                <w:sz w:val="22"/>
                <w:szCs w:val="24"/>
              </w:rPr>
              <w:t>130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1C552B1" w14:textId="77777777" w:rsidR="00575C57" w:rsidRPr="00575C57" w:rsidRDefault="00575C57" w:rsidP="00575C57">
            <w:pPr>
              <w:widowControl/>
              <w:jc w:val="center"/>
              <w:rPr>
                <w:bCs/>
                <w:sz w:val="24"/>
                <w:szCs w:val="24"/>
              </w:rPr>
            </w:pPr>
            <w:r w:rsidRPr="00575C57">
              <w:rPr>
                <w:bCs/>
                <w:sz w:val="22"/>
                <w:szCs w:val="24"/>
              </w:rPr>
              <w:t>125</w:t>
            </w:r>
          </w:p>
        </w:tc>
        <w:tc>
          <w:tcPr>
            <w:tcW w:w="737" w:type="dxa"/>
            <w:tcBorders>
              <w:top w:val="single" w:sz="4" w:space="0" w:color="auto"/>
              <w:left w:val="single" w:sz="4" w:space="0" w:color="auto"/>
              <w:bottom w:val="single" w:sz="4" w:space="0" w:color="auto"/>
              <w:right w:val="single" w:sz="4" w:space="0" w:color="auto"/>
            </w:tcBorders>
            <w:vAlign w:val="center"/>
            <w:hideMark/>
          </w:tcPr>
          <w:p w14:paraId="5A021442" w14:textId="77777777" w:rsidR="00575C57" w:rsidRPr="00575C57" w:rsidRDefault="00575C57" w:rsidP="00575C57">
            <w:pPr>
              <w:widowControl/>
              <w:jc w:val="center"/>
              <w:rPr>
                <w:bCs/>
                <w:sz w:val="24"/>
                <w:szCs w:val="24"/>
              </w:rPr>
            </w:pPr>
            <w:r w:rsidRPr="00575C57">
              <w:rPr>
                <w:bCs/>
                <w:sz w:val="22"/>
                <w:szCs w:val="24"/>
              </w:rPr>
              <w:t>136</w:t>
            </w:r>
          </w:p>
        </w:tc>
        <w:tc>
          <w:tcPr>
            <w:tcW w:w="737" w:type="dxa"/>
            <w:tcBorders>
              <w:top w:val="single" w:sz="4" w:space="0" w:color="auto"/>
              <w:left w:val="single" w:sz="4" w:space="0" w:color="auto"/>
              <w:bottom w:val="single" w:sz="4" w:space="0" w:color="auto"/>
              <w:right w:val="single" w:sz="4" w:space="0" w:color="auto"/>
            </w:tcBorders>
            <w:vAlign w:val="center"/>
            <w:hideMark/>
          </w:tcPr>
          <w:p w14:paraId="1CD01E84" w14:textId="77777777" w:rsidR="00575C57" w:rsidRPr="00575C57" w:rsidRDefault="00575C57" w:rsidP="00575C57">
            <w:pPr>
              <w:widowControl/>
              <w:jc w:val="center"/>
              <w:rPr>
                <w:bCs/>
                <w:sz w:val="24"/>
                <w:szCs w:val="24"/>
              </w:rPr>
            </w:pPr>
            <w:r w:rsidRPr="00575C57">
              <w:rPr>
                <w:bCs/>
                <w:sz w:val="22"/>
                <w:szCs w:val="24"/>
              </w:rPr>
              <w:t>111</w:t>
            </w:r>
          </w:p>
        </w:tc>
        <w:tc>
          <w:tcPr>
            <w:tcW w:w="737" w:type="dxa"/>
            <w:tcBorders>
              <w:top w:val="single" w:sz="4" w:space="0" w:color="auto"/>
              <w:left w:val="single" w:sz="4" w:space="0" w:color="auto"/>
              <w:bottom w:val="single" w:sz="4" w:space="0" w:color="auto"/>
              <w:right w:val="single" w:sz="4" w:space="0" w:color="auto"/>
            </w:tcBorders>
            <w:vAlign w:val="center"/>
            <w:hideMark/>
          </w:tcPr>
          <w:p w14:paraId="772F6F10" w14:textId="77777777" w:rsidR="00575C57" w:rsidRPr="00575C57" w:rsidRDefault="00575C57" w:rsidP="00575C57">
            <w:pPr>
              <w:widowControl/>
              <w:jc w:val="center"/>
              <w:rPr>
                <w:bCs/>
                <w:sz w:val="24"/>
                <w:szCs w:val="24"/>
              </w:rPr>
            </w:pPr>
            <w:r w:rsidRPr="00575C57">
              <w:rPr>
                <w:bCs/>
                <w:sz w:val="22"/>
                <w:szCs w:val="24"/>
              </w:rPr>
              <w:t>130</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71C4B318" w14:textId="77777777" w:rsidR="00575C57" w:rsidRPr="00575C57" w:rsidRDefault="00575C57" w:rsidP="00575C57">
            <w:pPr>
              <w:widowControl/>
              <w:jc w:val="center"/>
              <w:rPr>
                <w:bCs/>
                <w:sz w:val="24"/>
                <w:szCs w:val="24"/>
              </w:rPr>
            </w:pPr>
            <w:r w:rsidRPr="00575C57">
              <w:rPr>
                <w:bCs/>
                <w:sz w:val="22"/>
                <w:szCs w:val="24"/>
              </w:rPr>
              <w:t>109</w:t>
            </w:r>
          </w:p>
        </w:tc>
        <w:tc>
          <w:tcPr>
            <w:tcW w:w="737" w:type="dxa"/>
            <w:tcBorders>
              <w:top w:val="single" w:sz="4" w:space="0" w:color="auto"/>
              <w:left w:val="single" w:sz="4" w:space="0" w:color="auto"/>
              <w:bottom w:val="single" w:sz="4" w:space="0" w:color="auto"/>
              <w:right w:val="single" w:sz="4" w:space="0" w:color="auto"/>
            </w:tcBorders>
            <w:vAlign w:val="center"/>
            <w:hideMark/>
          </w:tcPr>
          <w:p w14:paraId="22178A58" w14:textId="77777777" w:rsidR="00575C57" w:rsidRPr="00575C57" w:rsidRDefault="00575C57" w:rsidP="00575C57">
            <w:pPr>
              <w:widowControl/>
              <w:jc w:val="center"/>
              <w:rPr>
                <w:bCs/>
                <w:sz w:val="24"/>
                <w:szCs w:val="24"/>
              </w:rPr>
            </w:pPr>
            <w:r w:rsidRPr="00575C57">
              <w:rPr>
                <w:bCs/>
                <w:sz w:val="22"/>
                <w:szCs w:val="24"/>
              </w:rPr>
              <w:t>88</w:t>
            </w:r>
          </w:p>
        </w:tc>
      </w:tr>
      <w:tr w:rsidR="00575C57" w:rsidRPr="00575C57" w14:paraId="692AA614"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69521887" w14:textId="77777777" w:rsidR="00575C57" w:rsidRPr="00575C57" w:rsidRDefault="00575C57" w:rsidP="00575C57">
            <w:pPr>
              <w:widowControl/>
              <w:rPr>
                <w:bCs/>
                <w:sz w:val="24"/>
                <w:szCs w:val="24"/>
              </w:rPr>
            </w:pPr>
            <w:r w:rsidRPr="00575C57">
              <w:rPr>
                <w:bCs/>
                <w:sz w:val="22"/>
                <w:szCs w:val="24"/>
              </w:rPr>
              <w:t>Francja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D83EADB"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8D5980C" w14:textId="77777777" w:rsidR="00575C57" w:rsidRPr="00575C57" w:rsidRDefault="00575C57" w:rsidP="00575C57">
            <w:pPr>
              <w:widowControl/>
              <w:jc w:val="center"/>
              <w:rPr>
                <w:bCs/>
                <w:sz w:val="24"/>
                <w:szCs w:val="24"/>
              </w:rPr>
            </w:pPr>
            <w:r w:rsidRPr="00575C57">
              <w:rPr>
                <w:bCs/>
                <w:sz w:val="22"/>
                <w:szCs w:val="24"/>
              </w:rPr>
              <w:t>110</w:t>
            </w:r>
          </w:p>
        </w:tc>
        <w:tc>
          <w:tcPr>
            <w:tcW w:w="737" w:type="dxa"/>
            <w:tcBorders>
              <w:top w:val="single" w:sz="4" w:space="0" w:color="auto"/>
              <w:left w:val="single" w:sz="4" w:space="0" w:color="auto"/>
              <w:bottom w:val="single" w:sz="4" w:space="0" w:color="auto"/>
              <w:right w:val="single" w:sz="4" w:space="0" w:color="auto"/>
            </w:tcBorders>
            <w:vAlign w:val="center"/>
            <w:hideMark/>
          </w:tcPr>
          <w:p w14:paraId="5536B895" w14:textId="77777777" w:rsidR="00575C57" w:rsidRPr="00575C57" w:rsidRDefault="00575C57" w:rsidP="00575C57">
            <w:pPr>
              <w:widowControl/>
              <w:jc w:val="center"/>
              <w:rPr>
                <w:bCs/>
                <w:sz w:val="24"/>
                <w:szCs w:val="24"/>
              </w:rPr>
            </w:pPr>
            <w:r w:rsidRPr="00575C57">
              <w:rPr>
                <w:bCs/>
                <w:sz w:val="22"/>
                <w:szCs w:val="24"/>
              </w:rPr>
              <w:t>103</w:t>
            </w:r>
          </w:p>
        </w:tc>
        <w:tc>
          <w:tcPr>
            <w:tcW w:w="737" w:type="dxa"/>
            <w:tcBorders>
              <w:top w:val="single" w:sz="4" w:space="0" w:color="auto"/>
              <w:left w:val="single" w:sz="4" w:space="0" w:color="auto"/>
              <w:bottom w:val="single" w:sz="4" w:space="0" w:color="auto"/>
              <w:right w:val="single" w:sz="4" w:space="0" w:color="auto"/>
            </w:tcBorders>
            <w:vAlign w:val="center"/>
            <w:hideMark/>
          </w:tcPr>
          <w:p w14:paraId="2F541D1F" w14:textId="77777777" w:rsidR="00575C57" w:rsidRPr="00575C57" w:rsidRDefault="00575C57" w:rsidP="00575C57">
            <w:pPr>
              <w:widowControl/>
              <w:jc w:val="center"/>
              <w:rPr>
                <w:bCs/>
                <w:sz w:val="24"/>
                <w:szCs w:val="24"/>
              </w:rPr>
            </w:pPr>
            <w:r w:rsidRPr="00575C57">
              <w:rPr>
                <w:bCs/>
                <w:sz w:val="22"/>
                <w:szCs w:val="24"/>
              </w:rPr>
              <w:t>102</w:t>
            </w:r>
          </w:p>
        </w:tc>
        <w:tc>
          <w:tcPr>
            <w:tcW w:w="737" w:type="dxa"/>
            <w:tcBorders>
              <w:top w:val="single" w:sz="4" w:space="0" w:color="auto"/>
              <w:left w:val="single" w:sz="4" w:space="0" w:color="auto"/>
              <w:bottom w:val="single" w:sz="4" w:space="0" w:color="auto"/>
              <w:right w:val="single" w:sz="4" w:space="0" w:color="auto"/>
            </w:tcBorders>
            <w:vAlign w:val="center"/>
            <w:hideMark/>
          </w:tcPr>
          <w:p w14:paraId="48EE04CE" w14:textId="77777777" w:rsidR="00575C57" w:rsidRPr="00575C57" w:rsidRDefault="00575C57" w:rsidP="00575C57">
            <w:pPr>
              <w:widowControl/>
              <w:jc w:val="center"/>
              <w:rPr>
                <w:bCs/>
                <w:sz w:val="24"/>
                <w:szCs w:val="24"/>
              </w:rPr>
            </w:pPr>
            <w:r w:rsidRPr="00575C57">
              <w:rPr>
                <w:bCs/>
                <w:sz w:val="22"/>
                <w:szCs w:val="24"/>
              </w:rPr>
              <w:t>92</w:t>
            </w:r>
          </w:p>
        </w:tc>
        <w:tc>
          <w:tcPr>
            <w:tcW w:w="737" w:type="dxa"/>
            <w:tcBorders>
              <w:top w:val="single" w:sz="4" w:space="0" w:color="auto"/>
              <w:left w:val="single" w:sz="4" w:space="0" w:color="auto"/>
              <w:bottom w:val="single" w:sz="4" w:space="0" w:color="auto"/>
              <w:right w:val="single" w:sz="4" w:space="0" w:color="auto"/>
            </w:tcBorders>
            <w:vAlign w:val="center"/>
            <w:hideMark/>
          </w:tcPr>
          <w:p w14:paraId="6E3B24CE" w14:textId="77777777" w:rsidR="00575C57" w:rsidRPr="00575C57" w:rsidRDefault="00575C57" w:rsidP="00575C57">
            <w:pPr>
              <w:widowControl/>
              <w:jc w:val="center"/>
              <w:rPr>
                <w:bCs/>
                <w:sz w:val="24"/>
                <w:szCs w:val="24"/>
              </w:rPr>
            </w:pPr>
            <w:r w:rsidRPr="00575C57">
              <w:rPr>
                <w:bCs/>
                <w:sz w:val="22"/>
                <w:szCs w:val="24"/>
              </w:rPr>
              <w:t>105</w:t>
            </w:r>
          </w:p>
        </w:tc>
        <w:tc>
          <w:tcPr>
            <w:tcW w:w="737" w:type="dxa"/>
            <w:tcBorders>
              <w:top w:val="single" w:sz="4" w:space="0" w:color="auto"/>
              <w:left w:val="single" w:sz="4" w:space="0" w:color="auto"/>
              <w:bottom w:val="single" w:sz="4" w:space="0" w:color="auto"/>
              <w:right w:val="single" w:sz="4" w:space="0" w:color="auto"/>
            </w:tcBorders>
            <w:vAlign w:val="center"/>
            <w:hideMark/>
          </w:tcPr>
          <w:p w14:paraId="6DFFE819" w14:textId="77777777" w:rsidR="00575C57" w:rsidRPr="00575C57" w:rsidRDefault="00575C57" w:rsidP="00575C57">
            <w:pPr>
              <w:widowControl/>
              <w:jc w:val="center"/>
              <w:rPr>
                <w:bCs/>
                <w:sz w:val="24"/>
                <w:szCs w:val="24"/>
              </w:rPr>
            </w:pPr>
            <w:r w:rsidRPr="00575C57">
              <w:rPr>
                <w:bCs/>
                <w:sz w:val="22"/>
                <w:szCs w:val="24"/>
              </w:rPr>
              <w:t>60</w:t>
            </w:r>
          </w:p>
        </w:tc>
        <w:tc>
          <w:tcPr>
            <w:tcW w:w="737" w:type="dxa"/>
            <w:tcBorders>
              <w:top w:val="single" w:sz="4" w:space="0" w:color="auto"/>
              <w:left w:val="single" w:sz="4" w:space="0" w:color="auto"/>
              <w:bottom w:val="single" w:sz="4" w:space="0" w:color="auto"/>
              <w:right w:val="single" w:sz="4" w:space="0" w:color="auto"/>
            </w:tcBorders>
            <w:vAlign w:val="center"/>
            <w:hideMark/>
          </w:tcPr>
          <w:p w14:paraId="0D77EB44" w14:textId="77777777" w:rsidR="00575C57" w:rsidRPr="00575C57" w:rsidRDefault="00575C57" w:rsidP="00575C57">
            <w:pPr>
              <w:widowControl/>
              <w:jc w:val="center"/>
              <w:rPr>
                <w:bCs/>
                <w:sz w:val="24"/>
                <w:szCs w:val="24"/>
              </w:rPr>
            </w:pPr>
            <w:r w:rsidRPr="00575C57">
              <w:rPr>
                <w:bCs/>
                <w:sz w:val="22"/>
                <w:szCs w:val="24"/>
              </w:rPr>
              <w:t>65</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4C893DA2" w14:textId="77777777" w:rsidR="00575C57" w:rsidRPr="00575C57" w:rsidRDefault="00575C57" w:rsidP="00575C57">
            <w:pPr>
              <w:widowControl/>
              <w:jc w:val="center"/>
              <w:rPr>
                <w:bCs/>
                <w:sz w:val="24"/>
                <w:szCs w:val="24"/>
              </w:rPr>
            </w:pPr>
            <w:r w:rsidRPr="00575C57">
              <w:rPr>
                <w:bCs/>
                <w:sz w:val="22"/>
                <w:szCs w:val="24"/>
              </w:rPr>
              <w:t>66</w:t>
            </w:r>
          </w:p>
        </w:tc>
        <w:tc>
          <w:tcPr>
            <w:tcW w:w="737" w:type="dxa"/>
            <w:tcBorders>
              <w:top w:val="single" w:sz="4" w:space="0" w:color="auto"/>
              <w:left w:val="single" w:sz="4" w:space="0" w:color="auto"/>
              <w:bottom w:val="single" w:sz="4" w:space="0" w:color="auto"/>
              <w:right w:val="single" w:sz="4" w:space="0" w:color="auto"/>
            </w:tcBorders>
            <w:vAlign w:val="center"/>
            <w:hideMark/>
          </w:tcPr>
          <w:p w14:paraId="480E56F4" w14:textId="77777777" w:rsidR="00575C57" w:rsidRPr="00575C57" w:rsidRDefault="00575C57" w:rsidP="00575C57">
            <w:pPr>
              <w:widowControl/>
              <w:jc w:val="center"/>
              <w:rPr>
                <w:bCs/>
                <w:sz w:val="24"/>
                <w:szCs w:val="24"/>
              </w:rPr>
            </w:pPr>
            <w:r w:rsidRPr="00575C57">
              <w:rPr>
                <w:bCs/>
                <w:sz w:val="22"/>
                <w:szCs w:val="24"/>
              </w:rPr>
              <w:t>64</w:t>
            </w:r>
          </w:p>
        </w:tc>
      </w:tr>
      <w:tr w:rsidR="00575C57" w:rsidRPr="00575C57" w14:paraId="012E2363"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24324C7F" w14:textId="77777777" w:rsidR="00575C57" w:rsidRPr="00575C57" w:rsidRDefault="00575C57" w:rsidP="00575C57">
            <w:pPr>
              <w:widowControl/>
              <w:rPr>
                <w:bCs/>
                <w:sz w:val="24"/>
                <w:szCs w:val="24"/>
              </w:rPr>
            </w:pPr>
            <w:r w:rsidRPr="00575C57">
              <w:rPr>
                <w:bCs/>
                <w:sz w:val="22"/>
                <w:szCs w:val="24"/>
              </w:rPr>
              <w:t>Grecja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8AD67F3"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6F799783" w14:textId="77777777" w:rsidR="00575C57" w:rsidRPr="00575C57" w:rsidRDefault="00575C57" w:rsidP="00575C57">
            <w:pPr>
              <w:widowControl/>
              <w:jc w:val="center"/>
              <w:rPr>
                <w:bCs/>
                <w:sz w:val="24"/>
                <w:szCs w:val="24"/>
              </w:rPr>
            </w:pPr>
            <w:r w:rsidRPr="00575C57">
              <w:rPr>
                <w:bCs/>
                <w:sz w:val="22"/>
                <w:szCs w:val="24"/>
              </w:rPr>
              <w:t>54</w:t>
            </w:r>
          </w:p>
        </w:tc>
        <w:tc>
          <w:tcPr>
            <w:tcW w:w="737" w:type="dxa"/>
            <w:tcBorders>
              <w:top w:val="single" w:sz="4" w:space="0" w:color="auto"/>
              <w:left w:val="single" w:sz="4" w:space="0" w:color="auto"/>
              <w:bottom w:val="single" w:sz="4" w:space="0" w:color="auto"/>
              <w:right w:val="single" w:sz="4" w:space="0" w:color="auto"/>
            </w:tcBorders>
            <w:vAlign w:val="center"/>
            <w:hideMark/>
          </w:tcPr>
          <w:p w14:paraId="26B66C4F" w14:textId="77777777" w:rsidR="00575C57" w:rsidRPr="00575C57" w:rsidRDefault="00575C57" w:rsidP="00575C57">
            <w:pPr>
              <w:widowControl/>
              <w:jc w:val="center"/>
              <w:rPr>
                <w:bCs/>
                <w:sz w:val="24"/>
                <w:szCs w:val="24"/>
              </w:rPr>
            </w:pPr>
            <w:r w:rsidRPr="00575C57">
              <w:rPr>
                <w:bCs/>
                <w:sz w:val="22"/>
                <w:szCs w:val="24"/>
              </w:rPr>
              <w:t>58</w:t>
            </w:r>
          </w:p>
        </w:tc>
        <w:tc>
          <w:tcPr>
            <w:tcW w:w="737" w:type="dxa"/>
            <w:tcBorders>
              <w:top w:val="single" w:sz="4" w:space="0" w:color="auto"/>
              <w:left w:val="single" w:sz="4" w:space="0" w:color="auto"/>
              <w:bottom w:val="single" w:sz="4" w:space="0" w:color="auto"/>
              <w:right w:val="single" w:sz="4" w:space="0" w:color="auto"/>
            </w:tcBorders>
            <w:vAlign w:val="center"/>
            <w:hideMark/>
          </w:tcPr>
          <w:p w14:paraId="3F65E5F2" w14:textId="77777777" w:rsidR="00575C57" w:rsidRPr="00575C57" w:rsidRDefault="00575C57" w:rsidP="00575C57">
            <w:pPr>
              <w:widowControl/>
              <w:jc w:val="center"/>
              <w:rPr>
                <w:bCs/>
                <w:sz w:val="24"/>
                <w:szCs w:val="24"/>
              </w:rPr>
            </w:pPr>
            <w:r w:rsidRPr="00575C57">
              <w:rPr>
                <w:bCs/>
                <w:sz w:val="22"/>
                <w:szCs w:val="24"/>
              </w:rPr>
              <w:t>61</w:t>
            </w:r>
          </w:p>
        </w:tc>
        <w:tc>
          <w:tcPr>
            <w:tcW w:w="737" w:type="dxa"/>
            <w:tcBorders>
              <w:top w:val="single" w:sz="4" w:space="0" w:color="auto"/>
              <w:left w:val="single" w:sz="4" w:space="0" w:color="auto"/>
              <w:bottom w:val="single" w:sz="4" w:space="0" w:color="auto"/>
              <w:right w:val="single" w:sz="4" w:space="0" w:color="auto"/>
            </w:tcBorders>
            <w:vAlign w:val="center"/>
            <w:hideMark/>
          </w:tcPr>
          <w:p w14:paraId="4333472F" w14:textId="77777777" w:rsidR="00575C57" w:rsidRPr="00575C57" w:rsidRDefault="00575C57" w:rsidP="00575C57">
            <w:pPr>
              <w:widowControl/>
              <w:jc w:val="center"/>
              <w:rPr>
                <w:bCs/>
                <w:sz w:val="24"/>
                <w:szCs w:val="24"/>
              </w:rPr>
            </w:pPr>
            <w:r w:rsidRPr="00575C57">
              <w:rPr>
                <w:bCs/>
                <w:sz w:val="22"/>
                <w:szCs w:val="24"/>
              </w:rPr>
              <w:t>61</w:t>
            </w:r>
          </w:p>
        </w:tc>
        <w:tc>
          <w:tcPr>
            <w:tcW w:w="737" w:type="dxa"/>
            <w:tcBorders>
              <w:top w:val="single" w:sz="4" w:space="0" w:color="auto"/>
              <w:left w:val="single" w:sz="4" w:space="0" w:color="auto"/>
              <w:bottom w:val="single" w:sz="4" w:space="0" w:color="auto"/>
              <w:right w:val="single" w:sz="4" w:space="0" w:color="auto"/>
            </w:tcBorders>
            <w:vAlign w:val="center"/>
            <w:hideMark/>
          </w:tcPr>
          <w:p w14:paraId="213EC0D9" w14:textId="77777777" w:rsidR="00575C57" w:rsidRPr="00575C57" w:rsidRDefault="00575C57" w:rsidP="00575C57">
            <w:pPr>
              <w:widowControl/>
              <w:jc w:val="center"/>
              <w:rPr>
                <w:bCs/>
                <w:sz w:val="24"/>
                <w:szCs w:val="24"/>
              </w:rPr>
            </w:pPr>
            <w:r w:rsidRPr="00575C57">
              <w:rPr>
                <w:bCs/>
                <w:sz w:val="22"/>
                <w:szCs w:val="24"/>
              </w:rPr>
              <w:t>63</w:t>
            </w:r>
          </w:p>
        </w:tc>
        <w:tc>
          <w:tcPr>
            <w:tcW w:w="737" w:type="dxa"/>
            <w:tcBorders>
              <w:top w:val="single" w:sz="4" w:space="0" w:color="auto"/>
              <w:left w:val="single" w:sz="4" w:space="0" w:color="auto"/>
              <w:bottom w:val="single" w:sz="4" w:space="0" w:color="auto"/>
              <w:right w:val="single" w:sz="4" w:space="0" w:color="auto"/>
            </w:tcBorders>
            <w:vAlign w:val="center"/>
            <w:hideMark/>
          </w:tcPr>
          <w:p w14:paraId="7F791873" w14:textId="77777777" w:rsidR="00575C57" w:rsidRPr="00575C57" w:rsidRDefault="00575C57" w:rsidP="00575C57">
            <w:pPr>
              <w:widowControl/>
              <w:jc w:val="center"/>
              <w:rPr>
                <w:bCs/>
                <w:sz w:val="24"/>
                <w:szCs w:val="24"/>
              </w:rPr>
            </w:pPr>
            <w:r w:rsidRPr="00575C57">
              <w:rPr>
                <w:bCs/>
                <w:sz w:val="22"/>
                <w:szCs w:val="24"/>
              </w:rPr>
              <w:t>60</w:t>
            </w:r>
          </w:p>
        </w:tc>
        <w:tc>
          <w:tcPr>
            <w:tcW w:w="737" w:type="dxa"/>
            <w:tcBorders>
              <w:top w:val="single" w:sz="4" w:space="0" w:color="auto"/>
              <w:left w:val="single" w:sz="4" w:space="0" w:color="auto"/>
              <w:bottom w:val="single" w:sz="4" w:space="0" w:color="auto"/>
              <w:right w:val="single" w:sz="4" w:space="0" w:color="auto"/>
            </w:tcBorders>
            <w:vAlign w:val="center"/>
            <w:hideMark/>
          </w:tcPr>
          <w:p w14:paraId="63ABE8E3" w14:textId="77777777" w:rsidR="00575C57" w:rsidRPr="00575C57" w:rsidRDefault="00575C57" w:rsidP="00575C57">
            <w:pPr>
              <w:widowControl/>
              <w:jc w:val="center"/>
              <w:rPr>
                <w:bCs/>
                <w:sz w:val="24"/>
                <w:szCs w:val="24"/>
              </w:rPr>
            </w:pPr>
            <w:r w:rsidRPr="00575C57">
              <w:rPr>
                <w:bCs/>
                <w:sz w:val="22"/>
                <w:szCs w:val="24"/>
              </w:rPr>
              <w:t>51</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55124912" w14:textId="77777777" w:rsidR="00575C57" w:rsidRPr="00575C57" w:rsidRDefault="00575C57" w:rsidP="00575C57">
            <w:pPr>
              <w:widowControl/>
              <w:jc w:val="center"/>
              <w:rPr>
                <w:bCs/>
                <w:sz w:val="24"/>
                <w:szCs w:val="24"/>
              </w:rPr>
            </w:pPr>
            <w:r w:rsidRPr="00575C57">
              <w:rPr>
                <w:bCs/>
                <w:sz w:val="22"/>
                <w:szCs w:val="24"/>
              </w:rPr>
              <w:t>43</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8A1400" w14:textId="77777777" w:rsidR="00575C57" w:rsidRPr="00575C57" w:rsidRDefault="00575C57" w:rsidP="00575C57">
            <w:pPr>
              <w:widowControl/>
              <w:jc w:val="center"/>
              <w:rPr>
                <w:bCs/>
                <w:sz w:val="24"/>
                <w:szCs w:val="24"/>
              </w:rPr>
            </w:pPr>
            <w:r w:rsidRPr="00575C57">
              <w:rPr>
                <w:bCs/>
                <w:sz w:val="22"/>
                <w:szCs w:val="24"/>
              </w:rPr>
              <w:t>37</w:t>
            </w:r>
          </w:p>
        </w:tc>
      </w:tr>
      <w:tr w:rsidR="00575C57" w:rsidRPr="00575C57" w14:paraId="10C8158B"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62104935" w14:textId="77777777" w:rsidR="00575C57" w:rsidRPr="00575C57" w:rsidRDefault="00575C57" w:rsidP="00575C57">
            <w:pPr>
              <w:widowControl/>
              <w:rPr>
                <w:bCs/>
                <w:sz w:val="24"/>
                <w:szCs w:val="24"/>
              </w:rPr>
            </w:pPr>
            <w:r w:rsidRPr="00575C57">
              <w:rPr>
                <w:bCs/>
                <w:sz w:val="22"/>
                <w:szCs w:val="24"/>
              </w:rPr>
              <w:t>Hiszpania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5D55198"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03A80346" w14:textId="77777777" w:rsidR="00575C57" w:rsidRPr="00575C57" w:rsidRDefault="00575C57" w:rsidP="00575C57">
            <w:pPr>
              <w:widowControl/>
              <w:jc w:val="center"/>
              <w:rPr>
                <w:bCs/>
                <w:sz w:val="24"/>
                <w:szCs w:val="24"/>
              </w:rPr>
            </w:pPr>
            <w:r w:rsidRPr="00575C57">
              <w:rPr>
                <w:bCs/>
                <w:sz w:val="22"/>
                <w:szCs w:val="24"/>
              </w:rPr>
              <w:t>106</w:t>
            </w:r>
          </w:p>
        </w:tc>
        <w:tc>
          <w:tcPr>
            <w:tcW w:w="737" w:type="dxa"/>
            <w:tcBorders>
              <w:top w:val="single" w:sz="4" w:space="0" w:color="auto"/>
              <w:left w:val="single" w:sz="4" w:space="0" w:color="auto"/>
              <w:bottom w:val="single" w:sz="4" w:space="0" w:color="auto"/>
              <w:right w:val="single" w:sz="4" w:space="0" w:color="auto"/>
            </w:tcBorders>
            <w:vAlign w:val="center"/>
            <w:hideMark/>
          </w:tcPr>
          <w:p w14:paraId="5F9239BE" w14:textId="77777777" w:rsidR="00575C57" w:rsidRPr="00575C57" w:rsidRDefault="00575C57" w:rsidP="00575C57">
            <w:pPr>
              <w:widowControl/>
              <w:jc w:val="center"/>
              <w:rPr>
                <w:bCs/>
                <w:sz w:val="24"/>
                <w:szCs w:val="24"/>
              </w:rPr>
            </w:pPr>
            <w:r w:rsidRPr="00575C57">
              <w:rPr>
                <w:bCs/>
                <w:sz w:val="22"/>
                <w:szCs w:val="24"/>
              </w:rPr>
              <w:t>105</w:t>
            </w:r>
          </w:p>
        </w:tc>
        <w:tc>
          <w:tcPr>
            <w:tcW w:w="737" w:type="dxa"/>
            <w:tcBorders>
              <w:top w:val="single" w:sz="4" w:space="0" w:color="auto"/>
              <w:left w:val="single" w:sz="4" w:space="0" w:color="auto"/>
              <w:bottom w:val="single" w:sz="4" w:space="0" w:color="auto"/>
              <w:right w:val="single" w:sz="4" w:space="0" w:color="auto"/>
            </w:tcBorders>
            <w:vAlign w:val="center"/>
            <w:hideMark/>
          </w:tcPr>
          <w:p w14:paraId="07BE1966" w14:textId="77777777" w:rsidR="00575C57" w:rsidRPr="00575C57" w:rsidRDefault="00575C57" w:rsidP="00575C57">
            <w:pPr>
              <w:widowControl/>
              <w:jc w:val="center"/>
              <w:rPr>
                <w:bCs/>
                <w:sz w:val="24"/>
                <w:szCs w:val="24"/>
              </w:rPr>
            </w:pPr>
            <w:r w:rsidRPr="00575C57">
              <w:rPr>
                <w:bCs/>
                <w:sz w:val="22"/>
                <w:szCs w:val="24"/>
              </w:rPr>
              <w:t>89</w:t>
            </w:r>
          </w:p>
        </w:tc>
        <w:tc>
          <w:tcPr>
            <w:tcW w:w="737" w:type="dxa"/>
            <w:tcBorders>
              <w:top w:val="single" w:sz="4" w:space="0" w:color="auto"/>
              <w:left w:val="single" w:sz="4" w:space="0" w:color="auto"/>
              <w:bottom w:val="single" w:sz="4" w:space="0" w:color="auto"/>
              <w:right w:val="single" w:sz="4" w:space="0" w:color="auto"/>
            </w:tcBorders>
            <w:vAlign w:val="center"/>
            <w:hideMark/>
          </w:tcPr>
          <w:p w14:paraId="22E11CB2" w14:textId="77777777" w:rsidR="00575C57" w:rsidRPr="00575C57" w:rsidRDefault="00575C57" w:rsidP="00575C57">
            <w:pPr>
              <w:widowControl/>
              <w:jc w:val="center"/>
              <w:rPr>
                <w:bCs/>
                <w:sz w:val="24"/>
                <w:szCs w:val="24"/>
              </w:rPr>
            </w:pPr>
            <w:r w:rsidRPr="00575C57">
              <w:rPr>
                <w:bCs/>
                <w:sz w:val="22"/>
                <w:szCs w:val="24"/>
              </w:rPr>
              <w:t>70</w:t>
            </w:r>
          </w:p>
        </w:tc>
        <w:tc>
          <w:tcPr>
            <w:tcW w:w="737" w:type="dxa"/>
            <w:tcBorders>
              <w:top w:val="single" w:sz="4" w:space="0" w:color="auto"/>
              <w:left w:val="single" w:sz="4" w:space="0" w:color="auto"/>
              <w:bottom w:val="single" w:sz="4" w:space="0" w:color="auto"/>
              <w:right w:val="single" w:sz="4" w:space="0" w:color="auto"/>
            </w:tcBorders>
            <w:vAlign w:val="center"/>
            <w:hideMark/>
          </w:tcPr>
          <w:p w14:paraId="3116ACCF" w14:textId="77777777" w:rsidR="00575C57" w:rsidRPr="00575C57" w:rsidRDefault="00575C57" w:rsidP="00575C57">
            <w:pPr>
              <w:widowControl/>
              <w:jc w:val="center"/>
              <w:rPr>
                <w:bCs/>
                <w:sz w:val="24"/>
                <w:szCs w:val="24"/>
              </w:rPr>
            </w:pPr>
            <w:r w:rsidRPr="00575C57">
              <w:rPr>
                <w:bCs/>
                <w:sz w:val="22"/>
                <w:szCs w:val="24"/>
              </w:rPr>
              <w:t>75</w:t>
            </w:r>
          </w:p>
        </w:tc>
        <w:tc>
          <w:tcPr>
            <w:tcW w:w="737" w:type="dxa"/>
            <w:tcBorders>
              <w:top w:val="single" w:sz="4" w:space="0" w:color="auto"/>
              <w:left w:val="single" w:sz="4" w:space="0" w:color="auto"/>
              <w:bottom w:val="single" w:sz="4" w:space="0" w:color="auto"/>
              <w:right w:val="single" w:sz="4" w:space="0" w:color="auto"/>
            </w:tcBorders>
            <w:vAlign w:val="center"/>
            <w:hideMark/>
          </w:tcPr>
          <w:p w14:paraId="4DF05A5D" w14:textId="77777777" w:rsidR="00575C57" w:rsidRPr="00575C57" w:rsidRDefault="00575C57" w:rsidP="00575C57">
            <w:pPr>
              <w:widowControl/>
              <w:jc w:val="center"/>
              <w:rPr>
                <w:bCs/>
                <w:sz w:val="24"/>
                <w:szCs w:val="24"/>
              </w:rPr>
            </w:pPr>
            <w:r w:rsidRPr="00575C57">
              <w:rPr>
                <w:bCs/>
                <w:sz w:val="22"/>
                <w:szCs w:val="24"/>
              </w:rPr>
              <w:t>85</w:t>
            </w:r>
          </w:p>
        </w:tc>
        <w:tc>
          <w:tcPr>
            <w:tcW w:w="737" w:type="dxa"/>
            <w:tcBorders>
              <w:top w:val="single" w:sz="4" w:space="0" w:color="auto"/>
              <w:left w:val="single" w:sz="4" w:space="0" w:color="auto"/>
              <w:bottom w:val="single" w:sz="4" w:space="0" w:color="auto"/>
              <w:right w:val="single" w:sz="4" w:space="0" w:color="auto"/>
            </w:tcBorders>
            <w:vAlign w:val="center"/>
            <w:hideMark/>
          </w:tcPr>
          <w:p w14:paraId="18C78179" w14:textId="77777777" w:rsidR="00575C57" w:rsidRPr="00575C57" w:rsidRDefault="00575C57" w:rsidP="00575C57">
            <w:pPr>
              <w:widowControl/>
              <w:jc w:val="center"/>
              <w:rPr>
                <w:bCs/>
                <w:sz w:val="24"/>
                <w:szCs w:val="24"/>
              </w:rPr>
            </w:pPr>
            <w:r w:rsidRPr="00575C57">
              <w:rPr>
                <w:bCs/>
                <w:sz w:val="22"/>
                <w:szCs w:val="24"/>
              </w:rPr>
              <w:t>77</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38BEB0B6" w14:textId="77777777" w:rsidR="00575C57" w:rsidRPr="00575C57" w:rsidRDefault="00575C57" w:rsidP="00575C57">
            <w:pPr>
              <w:widowControl/>
              <w:jc w:val="center"/>
              <w:rPr>
                <w:bCs/>
                <w:sz w:val="24"/>
                <w:szCs w:val="24"/>
              </w:rPr>
            </w:pPr>
            <w:r w:rsidRPr="00575C57">
              <w:rPr>
                <w:bCs/>
                <w:sz w:val="22"/>
                <w:szCs w:val="24"/>
              </w:rPr>
              <w:t>65</w:t>
            </w:r>
          </w:p>
        </w:tc>
        <w:tc>
          <w:tcPr>
            <w:tcW w:w="737" w:type="dxa"/>
            <w:tcBorders>
              <w:top w:val="single" w:sz="4" w:space="0" w:color="auto"/>
              <w:left w:val="single" w:sz="4" w:space="0" w:color="auto"/>
              <w:bottom w:val="single" w:sz="4" w:space="0" w:color="auto"/>
              <w:right w:val="single" w:sz="4" w:space="0" w:color="auto"/>
            </w:tcBorders>
            <w:vAlign w:val="center"/>
            <w:hideMark/>
          </w:tcPr>
          <w:p w14:paraId="068E00F9" w14:textId="77777777" w:rsidR="00575C57" w:rsidRPr="00575C57" w:rsidRDefault="00575C57" w:rsidP="00575C57">
            <w:pPr>
              <w:widowControl/>
              <w:jc w:val="center"/>
              <w:rPr>
                <w:bCs/>
                <w:sz w:val="24"/>
                <w:szCs w:val="24"/>
              </w:rPr>
            </w:pPr>
            <w:r w:rsidRPr="00575C57">
              <w:rPr>
                <w:bCs/>
                <w:sz w:val="22"/>
                <w:szCs w:val="24"/>
              </w:rPr>
              <w:t>35</w:t>
            </w:r>
          </w:p>
        </w:tc>
      </w:tr>
      <w:tr w:rsidR="00575C57" w:rsidRPr="00575C57" w14:paraId="2DE86883"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66EF3B1A" w14:textId="77777777" w:rsidR="00575C57" w:rsidRPr="00575C57" w:rsidRDefault="00575C57" w:rsidP="00575C57">
            <w:pPr>
              <w:widowControl/>
              <w:rPr>
                <w:bCs/>
                <w:sz w:val="24"/>
                <w:szCs w:val="24"/>
              </w:rPr>
            </w:pPr>
            <w:r w:rsidRPr="00575C57">
              <w:rPr>
                <w:bCs/>
                <w:sz w:val="22"/>
                <w:szCs w:val="24"/>
              </w:rPr>
              <w:t>Holandia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2BB4AD6"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6632A6EB" w14:textId="77777777" w:rsidR="00575C57" w:rsidRPr="00575C57" w:rsidRDefault="00575C57" w:rsidP="00575C57">
            <w:pPr>
              <w:widowControl/>
              <w:jc w:val="center"/>
              <w:rPr>
                <w:bCs/>
                <w:sz w:val="24"/>
                <w:szCs w:val="24"/>
              </w:rPr>
            </w:pPr>
            <w:r w:rsidRPr="00575C57">
              <w:rPr>
                <w:bCs/>
                <w:sz w:val="22"/>
                <w:szCs w:val="24"/>
              </w:rPr>
              <w:t>90</w:t>
            </w:r>
          </w:p>
        </w:tc>
        <w:tc>
          <w:tcPr>
            <w:tcW w:w="737" w:type="dxa"/>
            <w:tcBorders>
              <w:top w:val="single" w:sz="4" w:space="0" w:color="auto"/>
              <w:left w:val="single" w:sz="4" w:space="0" w:color="auto"/>
              <w:bottom w:val="single" w:sz="4" w:space="0" w:color="auto"/>
              <w:right w:val="single" w:sz="4" w:space="0" w:color="auto"/>
            </w:tcBorders>
            <w:vAlign w:val="center"/>
            <w:hideMark/>
          </w:tcPr>
          <w:p w14:paraId="403A6189" w14:textId="77777777" w:rsidR="00575C57" w:rsidRPr="00575C57" w:rsidRDefault="00575C57" w:rsidP="00575C57">
            <w:pPr>
              <w:widowControl/>
              <w:jc w:val="center"/>
              <w:rPr>
                <w:bCs/>
                <w:sz w:val="24"/>
                <w:szCs w:val="24"/>
              </w:rPr>
            </w:pPr>
            <w:r w:rsidRPr="00575C57">
              <w:rPr>
                <w:bCs/>
                <w:sz w:val="22"/>
                <w:szCs w:val="24"/>
              </w:rPr>
              <w:t>83</w:t>
            </w:r>
          </w:p>
        </w:tc>
        <w:tc>
          <w:tcPr>
            <w:tcW w:w="737" w:type="dxa"/>
            <w:tcBorders>
              <w:top w:val="single" w:sz="4" w:space="0" w:color="auto"/>
              <w:left w:val="single" w:sz="4" w:space="0" w:color="auto"/>
              <w:bottom w:val="single" w:sz="4" w:space="0" w:color="auto"/>
              <w:right w:val="single" w:sz="4" w:space="0" w:color="auto"/>
            </w:tcBorders>
            <w:vAlign w:val="center"/>
            <w:hideMark/>
          </w:tcPr>
          <w:p w14:paraId="1ABC9F49" w14:textId="77777777" w:rsidR="00575C57" w:rsidRPr="00575C57" w:rsidRDefault="00575C57" w:rsidP="00575C57">
            <w:pPr>
              <w:widowControl/>
              <w:jc w:val="center"/>
              <w:rPr>
                <w:bCs/>
                <w:sz w:val="24"/>
                <w:szCs w:val="24"/>
              </w:rPr>
            </w:pPr>
            <w:r w:rsidRPr="00575C57">
              <w:rPr>
                <w:bCs/>
                <w:sz w:val="22"/>
                <w:szCs w:val="24"/>
              </w:rPr>
              <w:t>89</w:t>
            </w:r>
          </w:p>
        </w:tc>
        <w:tc>
          <w:tcPr>
            <w:tcW w:w="737" w:type="dxa"/>
            <w:tcBorders>
              <w:top w:val="single" w:sz="4" w:space="0" w:color="auto"/>
              <w:left w:val="single" w:sz="4" w:space="0" w:color="auto"/>
              <w:bottom w:val="single" w:sz="4" w:space="0" w:color="auto"/>
              <w:right w:val="single" w:sz="4" w:space="0" w:color="auto"/>
            </w:tcBorders>
            <w:vAlign w:val="center"/>
            <w:hideMark/>
          </w:tcPr>
          <w:p w14:paraId="5137772E" w14:textId="77777777" w:rsidR="00575C57" w:rsidRPr="00575C57" w:rsidRDefault="00575C57" w:rsidP="00575C57">
            <w:pPr>
              <w:widowControl/>
              <w:jc w:val="center"/>
              <w:rPr>
                <w:bCs/>
                <w:sz w:val="24"/>
                <w:szCs w:val="24"/>
              </w:rPr>
            </w:pPr>
            <w:r w:rsidRPr="00575C57">
              <w:rPr>
                <w:bCs/>
                <w:sz w:val="22"/>
                <w:szCs w:val="24"/>
              </w:rPr>
              <w:t>83</w:t>
            </w:r>
          </w:p>
        </w:tc>
        <w:tc>
          <w:tcPr>
            <w:tcW w:w="737" w:type="dxa"/>
            <w:tcBorders>
              <w:top w:val="single" w:sz="4" w:space="0" w:color="auto"/>
              <w:left w:val="single" w:sz="4" w:space="0" w:color="auto"/>
              <w:bottom w:val="single" w:sz="4" w:space="0" w:color="auto"/>
              <w:right w:val="single" w:sz="4" w:space="0" w:color="auto"/>
            </w:tcBorders>
            <w:vAlign w:val="center"/>
            <w:hideMark/>
          </w:tcPr>
          <w:p w14:paraId="57E3FA5F" w14:textId="77777777" w:rsidR="00575C57" w:rsidRPr="00575C57" w:rsidRDefault="00575C57" w:rsidP="00575C57">
            <w:pPr>
              <w:widowControl/>
              <w:jc w:val="center"/>
              <w:rPr>
                <w:bCs/>
                <w:sz w:val="24"/>
                <w:szCs w:val="24"/>
              </w:rPr>
            </w:pPr>
            <w:r w:rsidRPr="00575C57">
              <w:rPr>
                <w:bCs/>
                <w:sz w:val="22"/>
                <w:szCs w:val="24"/>
              </w:rPr>
              <w:t>76</w:t>
            </w:r>
          </w:p>
        </w:tc>
        <w:tc>
          <w:tcPr>
            <w:tcW w:w="737" w:type="dxa"/>
            <w:tcBorders>
              <w:top w:val="single" w:sz="4" w:space="0" w:color="auto"/>
              <w:left w:val="single" w:sz="4" w:space="0" w:color="auto"/>
              <w:bottom w:val="single" w:sz="4" w:space="0" w:color="auto"/>
              <w:right w:val="single" w:sz="4" w:space="0" w:color="auto"/>
            </w:tcBorders>
            <w:vAlign w:val="center"/>
            <w:hideMark/>
          </w:tcPr>
          <w:p w14:paraId="60090678" w14:textId="77777777" w:rsidR="00575C57" w:rsidRPr="00575C57" w:rsidRDefault="00575C57" w:rsidP="00575C57">
            <w:pPr>
              <w:widowControl/>
              <w:jc w:val="center"/>
              <w:rPr>
                <w:bCs/>
                <w:sz w:val="24"/>
                <w:szCs w:val="24"/>
              </w:rPr>
            </w:pPr>
            <w:r w:rsidRPr="00575C57">
              <w:rPr>
                <w:bCs/>
                <w:sz w:val="22"/>
                <w:szCs w:val="24"/>
              </w:rPr>
              <w:t>70</w:t>
            </w:r>
          </w:p>
        </w:tc>
        <w:tc>
          <w:tcPr>
            <w:tcW w:w="737" w:type="dxa"/>
            <w:tcBorders>
              <w:top w:val="single" w:sz="4" w:space="0" w:color="auto"/>
              <w:left w:val="single" w:sz="4" w:space="0" w:color="auto"/>
              <w:bottom w:val="single" w:sz="4" w:space="0" w:color="auto"/>
              <w:right w:val="single" w:sz="4" w:space="0" w:color="auto"/>
            </w:tcBorders>
            <w:vAlign w:val="center"/>
            <w:hideMark/>
          </w:tcPr>
          <w:p w14:paraId="554A2261" w14:textId="77777777" w:rsidR="00575C57" w:rsidRPr="00575C57" w:rsidRDefault="00575C57" w:rsidP="00575C57">
            <w:pPr>
              <w:widowControl/>
              <w:jc w:val="center"/>
              <w:rPr>
                <w:bCs/>
                <w:sz w:val="24"/>
                <w:szCs w:val="24"/>
              </w:rPr>
            </w:pPr>
            <w:r w:rsidRPr="00575C57">
              <w:rPr>
                <w:bCs/>
                <w:sz w:val="22"/>
                <w:szCs w:val="24"/>
              </w:rPr>
              <w:t>61</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1815B596" w14:textId="77777777" w:rsidR="00575C57" w:rsidRPr="00575C57" w:rsidRDefault="00575C57" w:rsidP="00575C57">
            <w:pPr>
              <w:widowControl/>
              <w:jc w:val="center"/>
              <w:rPr>
                <w:bCs/>
                <w:sz w:val="24"/>
                <w:szCs w:val="24"/>
              </w:rPr>
            </w:pPr>
            <w:r w:rsidRPr="00575C57">
              <w:rPr>
                <w:bCs/>
                <w:sz w:val="22"/>
                <w:szCs w:val="24"/>
              </w:rPr>
              <w:t>54</w:t>
            </w:r>
          </w:p>
        </w:tc>
        <w:tc>
          <w:tcPr>
            <w:tcW w:w="737" w:type="dxa"/>
            <w:tcBorders>
              <w:top w:val="single" w:sz="4" w:space="0" w:color="auto"/>
              <w:left w:val="single" w:sz="4" w:space="0" w:color="auto"/>
              <w:bottom w:val="single" w:sz="4" w:space="0" w:color="auto"/>
              <w:right w:val="single" w:sz="4" w:space="0" w:color="auto"/>
            </w:tcBorders>
            <w:vAlign w:val="center"/>
            <w:hideMark/>
          </w:tcPr>
          <w:p w14:paraId="13E406E0" w14:textId="77777777" w:rsidR="00575C57" w:rsidRPr="00575C57" w:rsidRDefault="00575C57" w:rsidP="00575C57">
            <w:pPr>
              <w:widowControl/>
              <w:jc w:val="center"/>
              <w:rPr>
                <w:bCs/>
                <w:sz w:val="24"/>
                <w:szCs w:val="24"/>
              </w:rPr>
            </w:pPr>
            <w:r w:rsidRPr="00575C57">
              <w:rPr>
                <w:bCs/>
                <w:sz w:val="22"/>
                <w:szCs w:val="24"/>
              </w:rPr>
              <w:t>48</w:t>
            </w:r>
          </w:p>
        </w:tc>
      </w:tr>
      <w:tr w:rsidR="00575C57" w:rsidRPr="00575C57" w14:paraId="4BF38594"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47FE38B7" w14:textId="77777777" w:rsidR="00575C57" w:rsidRPr="00575C57" w:rsidRDefault="00575C57" w:rsidP="00575C57">
            <w:pPr>
              <w:widowControl/>
              <w:rPr>
                <w:bCs/>
                <w:sz w:val="24"/>
                <w:szCs w:val="24"/>
              </w:rPr>
            </w:pPr>
            <w:r w:rsidRPr="00575C57">
              <w:rPr>
                <w:bCs/>
                <w:sz w:val="22"/>
                <w:szCs w:val="24"/>
              </w:rPr>
              <w:t>Irlandia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ED2971F"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6FFC8DE0" w14:textId="77777777" w:rsidR="00575C57" w:rsidRPr="00575C57" w:rsidRDefault="00575C57" w:rsidP="00575C57">
            <w:pPr>
              <w:widowControl/>
              <w:jc w:val="center"/>
              <w:rPr>
                <w:bCs/>
                <w:sz w:val="24"/>
                <w:szCs w:val="24"/>
              </w:rPr>
            </w:pPr>
            <w:r w:rsidRPr="00575C57">
              <w:rPr>
                <w:bCs/>
                <w:sz w:val="22"/>
                <w:szCs w:val="24"/>
              </w:rPr>
              <w:t>110</w:t>
            </w:r>
          </w:p>
        </w:tc>
        <w:tc>
          <w:tcPr>
            <w:tcW w:w="737" w:type="dxa"/>
            <w:tcBorders>
              <w:top w:val="single" w:sz="4" w:space="0" w:color="auto"/>
              <w:left w:val="single" w:sz="4" w:space="0" w:color="auto"/>
              <w:bottom w:val="single" w:sz="4" w:space="0" w:color="auto"/>
              <w:right w:val="single" w:sz="4" w:space="0" w:color="auto"/>
            </w:tcBorders>
            <w:vAlign w:val="center"/>
            <w:hideMark/>
          </w:tcPr>
          <w:p w14:paraId="46DBAFE7" w14:textId="77777777" w:rsidR="00575C57" w:rsidRPr="00575C57" w:rsidRDefault="00575C57" w:rsidP="00575C57">
            <w:pPr>
              <w:widowControl/>
              <w:jc w:val="center"/>
              <w:rPr>
                <w:bCs/>
                <w:sz w:val="24"/>
                <w:szCs w:val="24"/>
              </w:rPr>
            </w:pPr>
            <w:r w:rsidRPr="00575C57">
              <w:rPr>
                <w:bCs/>
                <w:sz w:val="22"/>
                <w:szCs w:val="24"/>
              </w:rPr>
              <w:t>114</w:t>
            </w:r>
          </w:p>
        </w:tc>
        <w:tc>
          <w:tcPr>
            <w:tcW w:w="737" w:type="dxa"/>
            <w:tcBorders>
              <w:top w:val="single" w:sz="4" w:space="0" w:color="auto"/>
              <w:left w:val="single" w:sz="4" w:space="0" w:color="auto"/>
              <w:bottom w:val="single" w:sz="4" w:space="0" w:color="auto"/>
              <w:right w:val="single" w:sz="4" w:space="0" w:color="auto"/>
            </w:tcBorders>
            <w:vAlign w:val="center"/>
            <w:hideMark/>
          </w:tcPr>
          <w:p w14:paraId="74F80F8D" w14:textId="77777777" w:rsidR="00575C57" w:rsidRPr="00575C57" w:rsidRDefault="00575C57" w:rsidP="00575C57">
            <w:pPr>
              <w:widowControl/>
              <w:jc w:val="center"/>
              <w:rPr>
                <w:bCs/>
                <w:sz w:val="24"/>
                <w:szCs w:val="24"/>
              </w:rPr>
            </w:pPr>
            <w:r w:rsidRPr="00575C57">
              <w:rPr>
                <w:bCs/>
                <w:sz w:val="22"/>
                <w:szCs w:val="24"/>
              </w:rPr>
              <w:t>102</w:t>
            </w:r>
          </w:p>
        </w:tc>
        <w:tc>
          <w:tcPr>
            <w:tcW w:w="737" w:type="dxa"/>
            <w:tcBorders>
              <w:top w:val="single" w:sz="4" w:space="0" w:color="auto"/>
              <w:left w:val="single" w:sz="4" w:space="0" w:color="auto"/>
              <w:bottom w:val="single" w:sz="4" w:space="0" w:color="auto"/>
              <w:right w:val="single" w:sz="4" w:space="0" w:color="auto"/>
            </w:tcBorders>
            <w:vAlign w:val="center"/>
            <w:hideMark/>
          </w:tcPr>
          <w:p w14:paraId="6B797DDF" w14:textId="77777777" w:rsidR="00575C57" w:rsidRPr="00575C57" w:rsidRDefault="00575C57" w:rsidP="00575C57">
            <w:pPr>
              <w:widowControl/>
              <w:jc w:val="center"/>
              <w:rPr>
                <w:bCs/>
                <w:sz w:val="24"/>
                <w:szCs w:val="24"/>
              </w:rPr>
            </w:pPr>
            <w:r w:rsidRPr="00575C57">
              <w:rPr>
                <w:bCs/>
                <w:sz w:val="22"/>
                <w:szCs w:val="24"/>
              </w:rPr>
              <w:t>90</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DEB259" w14:textId="77777777" w:rsidR="00575C57" w:rsidRPr="00575C57" w:rsidRDefault="00575C57" w:rsidP="00575C57">
            <w:pPr>
              <w:widowControl/>
              <w:jc w:val="center"/>
              <w:rPr>
                <w:bCs/>
                <w:sz w:val="24"/>
                <w:szCs w:val="24"/>
              </w:rPr>
            </w:pPr>
            <w:r w:rsidRPr="00575C57">
              <w:rPr>
                <w:bCs/>
                <w:sz w:val="22"/>
                <w:szCs w:val="24"/>
              </w:rPr>
              <w:t>82</w:t>
            </w:r>
          </w:p>
        </w:tc>
        <w:tc>
          <w:tcPr>
            <w:tcW w:w="737" w:type="dxa"/>
            <w:tcBorders>
              <w:top w:val="single" w:sz="4" w:space="0" w:color="auto"/>
              <w:left w:val="single" w:sz="4" w:space="0" w:color="auto"/>
              <w:bottom w:val="single" w:sz="4" w:space="0" w:color="auto"/>
              <w:right w:val="single" w:sz="4" w:space="0" w:color="auto"/>
            </w:tcBorders>
            <w:vAlign w:val="center"/>
            <w:hideMark/>
          </w:tcPr>
          <w:p w14:paraId="306CCE2F" w14:textId="77777777" w:rsidR="00575C57" w:rsidRPr="00575C57" w:rsidRDefault="00575C57" w:rsidP="00575C57">
            <w:pPr>
              <w:widowControl/>
              <w:jc w:val="center"/>
              <w:rPr>
                <w:bCs/>
                <w:sz w:val="24"/>
                <w:szCs w:val="24"/>
              </w:rPr>
            </w:pPr>
            <w:r w:rsidRPr="00575C57">
              <w:rPr>
                <w:bCs/>
                <w:sz w:val="22"/>
                <w:szCs w:val="24"/>
              </w:rPr>
              <w:t>123</w:t>
            </w:r>
          </w:p>
        </w:tc>
        <w:tc>
          <w:tcPr>
            <w:tcW w:w="737" w:type="dxa"/>
            <w:tcBorders>
              <w:top w:val="single" w:sz="4" w:space="0" w:color="auto"/>
              <w:left w:val="single" w:sz="4" w:space="0" w:color="auto"/>
              <w:bottom w:val="single" w:sz="4" w:space="0" w:color="auto"/>
              <w:right w:val="single" w:sz="4" w:space="0" w:color="auto"/>
            </w:tcBorders>
            <w:vAlign w:val="center"/>
            <w:hideMark/>
          </w:tcPr>
          <w:p w14:paraId="592EB059" w14:textId="77777777" w:rsidR="00575C57" w:rsidRPr="00575C57" w:rsidRDefault="00575C57" w:rsidP="00575C57">
            <w:pPr>
              <w:widowControl/>
              <w:jc w:val="center"/>
              <w:rPr>
                <w:bCs/>
                <w:sz w:val="24"/>
                <w:szCs w:val="24"/>
              </w:rPr>
            </w:pPr>
            <w:r w:rsidRPr="00575C57">
              <w:rPr>
                <w:bCs/>
                <w:sz w:val="22"/>
                <w:szCs w:val="24"/>
              </w:rPr>
              <w:t>50</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6F3026E9" w14:textId="77777777" w:rsidR="00575C57" w:rsidRPr="00575C57" w:rsidRDefault="00575C57" w:rsidP="00575C57">
            <w:pPr>
              <w:widowControl/>
              <w:jc w:val="center"/>
              <w:rPr>
                <w:bCs/>
                <w:sz w:val="24"/>
                <w:szCs w:val="24"/>
              </w:rPr>
            </w:pPr>
            <w:r w:rsidRPr="00575C57">
              <w:rPr>
                <w:bCs/>
                <w:sz w:val="22"/>
                <w:szCs w:val="24"/>
              </w:rPr>
              <w:t>51</w:t>
            </w:r>
          </w:p>
        </w:tc>
        <w:tc>
          <w:tcPr>
            <w:tcW w:w="737" w:type="dxa"/>
            <w:tcBorders>
              <w:top w:val="single" w:sz="4" w:space="0" w:color="auto"/>
              <w:left w:val="single" w:sz="4" w:space="0" w:color="auto"/>
              <w:bottom w:val="single" w:sz="4" w:space="0" w:color="auto"/>
              <w:right w:val="single" w:sz="4" w:space="0" w:color="auto"/>
            </w:tcBorders>
            <w:vAlign w:val="center"/>
            <w:hideMark/>
          </w:tcPr>
          <w:p w14:paraId="2551BE05" w14:textId="77777777" w:rsidR="00575C57" w:rsidRPr="00575C57" w:rsidRDefault="00575C57" w:rsidP="00575C57">
            <w:pPr>
              <w:widowControl/>
              <w:jc w:val="center"/>
              <w:rPr>
                <w:bCs/>
                <w:sz w:val="24"/>
                <w:szCs w:val="24"/>
              </w:rPr>
            </w:pPr>
            <w:r w:rsidRPr="00575C57">
              <w:rPr>
                <w:bCs/>
                <w:sz w:val="22"/>
                <w:szCs w:val="24"/>
              </w:rPr>
              <w:t>45</w:t>
            </w:r>
          </w:p>
        </w:tc>
      </w:tr>
      <w:tr w:rsidR="00575C57" w:rsidRPr="00575C57" w14:paraId="1FF4A171"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58586EB5" w14:textId="77777777" w:rsidR="00575C57" w:rsidRPr="00575C57" w:rsidRDefault="00575C57" w:rsidP="00575C57">
            <w:pPr>
              <w:widowControl/>
              <w:rPr>
                <w:bCs/>
                <w:sz w:val="24"/>
                <w:szCs w:val="24"/>
              </w:rPr>
            </w:pPr>
            <w:r w:rsidRPr="00575C57">
              <w:rPr>
                <w:bCs/>
                <w:sz w:val="22"/>
                <w:szCs w:val="24"/>
              </w:rPr>
              <w:lastRenderedPageBreak/>
              <w:t>Litwa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39BFDD4"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22659352" w14:textId="77777777" w:rsidR="00575C57" w:rsidRPr="00575C57" w:rsidRDefault="00575C57" w:rsidP="00575C57">
            <w:pPr>
              <w:widowControl/>
              <w:jc w:val="center"/>
              <w:rPr>
                <w:bCs/>
                <w:sz w:val="24"/>
                <w:szCs w:val="24"/>
              </w:rPr>
            </w:pPr>
            <w:r w:rsidRPr="00575C57">
              <w:rPr>
                <w:bCs/>
                <w:sz w:val="22"/>
                <w:szCs w:val="24"/>
              </w:rPr>
              <w:t>108</w:t>
            </w:r>
          </w:p>
        </w:tc>
        <w:tc>
          <w:tcPr>
            <w:tcW w:w="737" w:type="dxa"/>
            <w:tcBorders>
              <w:top w:val="single" w:sz="4" w:space="0" w:color="auto"/>
              <w:left w:val="single" w:sz="4" w:space="0" w:color="auto"/>
              <w:bottom w:val="single" w:sz="4" w:space="0" w:color="auto"/>
              <w:right w:val="single" w:sz="4" w:space="0" w:color="auto"/>
            </w:tcBorders>
            <w:vAlign w:val="center"/>
            <w:hideMark/>
          </w:tcPr>
          <w:p w14:paraId="2DD17A72" w14:textId="77777777" w:rsidR="00575C57" w:rsidRPr="00575C57" w:rsidRDefault="00575C57" w:rsidP="00575C57">
            <w:pPr>
              <w:widowControl/>
              <w:jc w:val="center"/>
              <w:rPr>
                <w:bCs/>
                <w:sz w:val="24"/>
                <w:szCs w:val="24"/>
              </w:rPr>
            </w:pPr>
            <w:r w:rsidRPr="00575C57">
              <w:rPr>
                <w:bCs/>
                <w:sz w:val="22"/>
                <w:szCs w:val="24"/>
              </w:rPr>
              <w:t>118</w:t>
            </w:r>
          </w:p>
        </w:tc>
        <w:tc>
          <w:tcPr>
            <w:tcW w:w="737" w:type="dxa"/>
            <w:tcBorders>
              <w:top w:val="single" w:sz="4" w:space="0" w:color="auto"/>
              <w:left w:val="single" w:sz="4" w:space="0" w:color="auto"/>
              <w:bottom w:val="single" w:sz="4" w:space="0" w:color="auto"/>
              <w:right w:val="single" w:sz="4" w:space="0" w:color="auto"/>
            </w:tcBorders>
            <w:vAlign w:val="center"/>
            <w:hideMark/>
          </w:tcPr>
          <w:p w14:paraId="58533018" w14:textId="77777777" w:rsidR="00575C57" w:rsidRPr="00575C57" w:rsidRDefault="00575C57" w:rsidP="00575C57">
            <w:pPr>
              <w:widowControl/>
              <w:jc w:val="center"/>
              <w:rPr>
                <w:bCs/>
                <w:sz w:val="24"/>
                <w:szCs w:val="24"/>
              </w:rPr>
            </w:pPr>
            <w:r w:rsidRPr="00575C57">
              <w:rPr>
                <w:bCs/>
                <w:sz w:val="22"/>
                <w:szCs w:val="24"/>
              </w:rPr>
              <w:t>142</w:t>
            </w:r>
          </w:p>
        </w:tc>
        <w:tc>
          <w:tcPr>
            <w:tcW w:w="737" w:type="dxa"/>
            <w:tcBorders>
              <w:top w:val="single" w:sz="4" w:space="0" w:color="auto"/>
              <w:left w:val="single" w:sz="4" w:space="0" w:color="auto"/>
              <w:bottom w:val="single" w:sz="4" w:space="0" w:color="auto"/>
              <w:right w:val="single" w:sz="4" w:space="0" w:color="auto"/>
            </w:tcBorders>
            <w:vAlign w:val="center"/>
            <w:hideMark/>
          </w:tcPr>
          <w:p w14:paraId="0A68E9E8" w14:textId="77777777" w:rsidR="00575C57" w:rsidRPr="00575C57" w:rsidRDefault="00575C57" w:rsidP="00575C57">
            <w:pPr>
              <w:widowControl/>
              <w:jc w:val="center"/>
              <w:rPr>
                <w:bCs/>
                <w:sz w:val="24"/>
                <w:szCs w:val="24"/>
              </w:rPr>
            </w:pPr>
            <w:r w:rsidRPr="00575C57">
              <w:rPr>
                <w:bCs/>
                <w:sz w:val="22"/>
                <w:szCs w:val="24"/>
              </w:rPr>
              <w:t>134</w:t>
            </w:r>
          </w:p>
        </w:tc>
        <w:tc>
          <w:tcPr>
            <w:tcW w:w="737" w:type="dxa"/>
            <w:tcBorders>
              <w:top w:val="single" w:sz="4" w:space="0" w:color="auto"/>
              <w:left w:val="single" w:sz="4" w:space="0" w:color="auto"/>
              <w:bottom w:val="single" w:sz="4" w:space="0" w:color="auto"/>
              <w:right w:val="single" w:sz="4" w:space="0" w:color="auto"/>
            </w:tcBorders>
            <w:vAlign w:val="center"/>
            <w:hideMark/>
          </w:tcPr>
          <w:p w14:paraId="75E20CF2" w14:textId="77777777" w:rsidR="00575C57" w:rsidRPr="00575C57" w:rsidRDefault="00575C57" w:rsidP="00575C57">
            <w:pPr>
              <w:widowControl/>
              <w:jc w:val="center"/>
              <w:rPr>
                <w:bCs/>
                <w:sz w:val="24"/>
                <w:szCs w:val="24"/>
              </w:rPr>
            </w:pPr>
            <w:r w:rsidRPr="00575C57">
              <w:rPr>
                <w:bCs/>
                <w:sz w:val="22"/>
                <w:szCs w:val="24"/>
              </w:rPr>
              <w:t>102</w:t>
            </w:r>
          </w:p>
        </w:tc>
        <w:tc>
          <w:tcPr>
            <w:tcW w:w="737" w:type="dxa"/>
            <w:tcBorders>
              <w:top w:val="single" w:sz="4" w:space="0" w:color="auto"/>
              <w:left w:val="single" w:sz="4" w:space="0" w:color="auto"/>
              <w:bottom w:val="single" w:sz="4" w:space="0" w:color="auto"/>
              <w:right w:val="single" w:sz="4" w:space="0" w:color="auto"/>
            </w:tcBorders>
            <w:vAlign w:val="center"/>
            <w:hideMark/>
          </w:tcPr>
          <w:p w14:paraId="7C178B6F" w14:textId="77777777" w:rsidR="00575C57" w:rsidRPr="00575C57" w:rsidRDefault="00575C57" w:rsidP="00575C57">
            <w:pPr>
              <w:widowControl/>
              <w:jc w:val="center"/>
              <w:rPr>
                <w:bCs/>
                <w:sz w:val="24"/>
                <w:szCs w:val="24"/>
              </w:rPr>
            </w:pPr>
            <w:r w:rsidRPr="00575C57">
              <w:rPr>
                <w:bCs/>
                <w:sz w:val="22"/>
                <w:szCs w:val="24"/>
              </w:rPr>
              <w:t>109</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4D1457" w14:textId="77777777" w:rsidR="00575C57" w:rsidRPr="00575C57" w:rsidRDefault="00575C57" w:rsidP="00575C57">
            <w:pPr>
              <w:widowControl/>
              <w:jc w:val="center"/>
              <w:rPr>
                <w:bCs/>
                <w:sz w:val="24"/>
                <w:szCs w:val="24"/>
              </w:rPr>
            </w:pPr>
            <w:r w:rsidRPr="00575C57">
              <w:rPr>
                <w:bCs/>
                <w:sz w:val="22"/>
                <w:szCs w:val="24"/>
              </w:rPr>
              <w:t>95</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5E12208D" w14:textId="77777777" w:rsidR="00575C57" w:rsidRPr="00575C57" w:rsidRDefault="00575C57" w:rsidP="00575C57">
            <w:pPr>
              <w:widowControl/>
              <w:jc w:val="center"/>
              <w:rPr>
                <w:bCs/>
                <w:sz w:val="24"/>
                <w:szCs w:val="24"/>
              </w:rPr>
            </w:pPr>
            <w:r w:rsidRPr="00575C57">
              <w:rPr>
                <w:bCs/>
                <w:sz w:val="22"/>
                <w:szCs w:val="24"/>
              </w:rPr>
              <w:t>83</w:t>
            </w:r>
          </w:p>
        </w:tc>
        <w:tc>
          <w:tcPr>
            <w:tcW w:w="737" w:type="dxa"/>
            <w:tcBorders>
              <w:top w:val="single" w:sz="4" w:space="0" w:color="auto"/>
              <w:left w:val="single" w:sz="4" w:space="0" w:color="auto"/>
              <w:bottom w:val="single" w:sz="4" w:space="0" w:color="auto"/>
              <w:right w:val="single" w:sz="4" w:space="0" w:color="auto"/>
            </w:tcBorders>
            <w:vAlign w:val="center"/>
            <w:hideMark/>
          </w:tcPr>
          <w:p w14:paraId="78779DFB" w14:textId="77777777" w:rsidR="00575C57" w:rsidRPr="00575C57" w:rsidRDefault="00575C57" w:rsidP="00575C57">
            <w:pPr>
              <w:widowControl/>
              <w:jc w:val="center"/>
              <w:rPr>
                <w:bCs/>
                <w:sz w:val="24"/>
                <w:szCs w:val="24"/>
              </w:rPr>
            </w:pPr>
            <w:r w:rsidRPr="00575C57">
              <w:rPr>
                <w:bCs/>
                <w:sz w:val="22"/>
                <w:szCs w:val="24"/>
              </w:rPr>
              <w:t>113</w:t>
            </w:r>
          </w:p>
        </w:tc>
      </w:tr>
      <w:tr w:rsidR="00575C57" w:rsidRPr="00575C57" w14:paraId="7077A054"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06E23E40" w14:textId="77777777" w:rsidR="00575C57" w:rsidRPr="00575C57" w:rsidRDefault="00575C57" w:rsidP="00575C57">
            <w:pPr>
              <w:widowControl/>
              <w:rPr>
                <w:bCs/>
                <w:sz w:val="24"/>
                <w:szCs w:val="24"/>
              </w:rPr>
            </w:pPr>
            <w:r w:rsidRPr="00575C57">
              <w:rPr>
                <w:bCs/>
                <w:sz w:val="22"/>
                <w:szCs w:val="24"/>
              </w:rPr>
              <w:t>Luksemburg</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07ADAB1"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7424900A" w14:textId="77777777" w:rsidR="00575C57" w:rsidRPr="00575C57" w:rsidRDefault="00575C57" w:rsidP="00575C57">
            <w:pPr>
              <w:widowControl/>
              <w:jc w:val="center"/>
              <w:rPr>
                <w:bCs/>
                <w:sz w:val="24"/>
                <w:szCs w:val="24"/>
              </w:rPr>
            </w:pPr>
            <w:r w:rsidRPr="00575C57">
              <w:rPr>
                <w:bCs/>
                <w:sz w:val="22"/>
                <w:szCs w:val="24"/>
              </w:rPr>
              <w:t>106</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B6C45F" w14:textId="77777777" w:rsidR="00575C57" w:rsidRPr="00575C57" w:rsidRDefault="00575C57" w:rsidP="00575C57">
            <w:pPr>
              <w:widowControl/>
              <w:jc w:val="center"/>
              <w:rPr>
                <w:bCs/>
                <w:sz w:val="24"/>
                <w:szCs w:val="24"/>
              </w:rPr>
            </w:pPr>
            <w:r w:rsidRPr="00575C57">
              <w:rPr>
                <w:bCs/>
                <w:sz w:val="22"/>
                <w:szCs w:val="24"/>
              </w:rPr>
              <w:t>104</w:t>
            </w:r>
          </w:p>
        </w:tc>
        <w:tc>
          <w:tcPr>
            <w:tcW w:w="737" w:type="dxa"/>
            <w:tcBorders>
              <w:top w:val="single" w:sz="4" w:space="0" w:color="auto"/>
              <w:left w:val="single" w:sz="4" w:space="0" w:color="auto"/>
              <w:bottom w:val="single" w:sz="4" w:space="0" w:color="auto"/>
              <w:right w:val="single" w:sz="4" w:space="0" w:color="auto"/>
            </w:tcBorders>
            <w:vAlign w:val="center"/>
            <w:hideMark/>
          </w:tcPr>
          <w:p w14:paraId="33984A5A" w14:textId="77777777" w:rsidR="00575C57" w:rsidRPr="00575C57" w:rsidRDefault="00575C57" w:rsidP="00575C57">
            <w:pPr>
              <w:widowControl/>
              <w:jc w:val="center"/>
              <w:rPr>
                <w:bCs/>
                <w:sz w:val="24"/>
                <w:szCs w:val="24"/>
              </w:rPr>
            </w:pPr>
            <w:r w:rsidRPr="00575C57">
              <w:rPr>
                <w:bCs/>
                <w:sz w:val="22"/>
                <w:szCs w:val="24"/>
              </w:rPr>
              <w:t>77</w:t>
            </w:r>
          </w:p>
        </w:tc>
        <w:tc>
          <w:tcPr>
            <w:tcW w:w="737" w:type="dxa"/>
            <w:tcBorders>
              <w:top w:val="single" w:sz="4" w:space="0" w:color="auto"/>
              <w:left w:val="single" w:sz="4" w:space="0" w:color="auto"/>
              <w:bottom w:val="single" w:sz="4" w:space="0" w:color="auto"/>
              <w:right w:val="single" w:sz="4" w:space="0" w:color="auto"/>
            </w:tcBorders>
            <w:vAlign w:val="center"/>
            <w:hideMark/>
          </w:tcPr>
          <w:p w14:paraId="7469305D" w14:textId="77777777" w:rsidR="00575C57" w:rsidRPr="00575C57" w:rsidRDefault="00575C57" w:rsidP="00575C57">
            <w:pPr>
              <w:widowControl/>
              <w:jc w:val="center"/>
              <w:rPr>
                <w:bCs/>
                <w:sz w:val="24"/>
                <w:szCs w:val="24"/>
              </w:rPr>
            </w:pPr>
            <w:r w:rsidRPr="00575C57">
              <w:rPr>
                <w:bCs/>
                <w:sz w:val="22"/>
                <w:szCs w:val="24"/>
              </w:rPr>
              <w:t>69</w:t>
            </w:r>
          </w:p>
        </w:tc>
        <w:tc>
          <w:tcPr>
            <w:tcW w:w="737" w:type="dxa"/>
            <w:tcBorders>
              <w:top w:val="single" w:sz="4" w:space="0" w:color="auto"/>
              <w:left w:val="single" w:sz="4" w:space="0" w:color="auto"/>
              <w:bottom w:val="single" w:sz="4" w:space="0" w:color="auto"/>
              <w:right w:val="single" w:sz="4" w:space="0" w:color="auto"/>
            </w:tcBorders>
            <w:vAlign w:val="center"/>
            <w:hideMark/>
          </w:tcPr>
          <w:p w14:paraId="02715F8B" w14:textId="77777777" w:rsidR="00575C57" w:rsidRPr="00575C57" w:rsidRDefault="00575C57" w:rsidP="00575C57">
            <w:pPr>
              <w:widowControl/>
              <w:jc w:val="center"/>
              <w:rPr>
                <w:bCs/>
                <w:sz w:val="24"/>
                <w:szCs w:val="24"/>
              </w:rPr>
            </w:pPr>
            <w:r w:rsidRPr="00575C57">
              <w:rPr>
                <w:bCs/>
                <w:sz w:val="22"/>
                <w:szCs w:val="24"/>
              </w:rPr>
              <w:t>62</w:t>
            </w:r>
          </w:p>
        </w:tc>
        <w:tc>
          <w:tcPr>
            <w:tcW w:w="737" w:type="dxa"/>
            <w:tcBorders>
              <w:top w:val="single" w:sz="4" w:space="0" w:color="auto"/>
              <w:left w:val="single" w:sz="4" w:space="0" w:color="auto"/>
              <w:bottom w:val="single" w:sz="4" w:space="0" w:color="auto"/>
              <w:right w:val="single" w:sz="4" w:space="0" w:color="auto"/>
            </w:tcBorders>
            <w:vAlign w:val="center"/>
            <w:hideMark/>
          </w:tcPr>
          <w:p w14:paraId="526AFF6F" w14:textId="77777777" w:rsidR="00575C57" w:rsidRPr="00575C57" w:rsidRDefault="00575C57" w:rsidP="00575C57">
            <w:pPr>
              <w:widowControl/>
              <w:jc w:val="center"/>
              <w:rPr>
                <w:bCs/>
                <w:sz w:val="24"/>
                <w:szCs w:val="24"/>
              </w:rPr>
            </w:pPr>
            <w:r w:rsidRPr="00575C57">
              <w:rPr>
                <w:bCs/>
                <w:sz w:val="22"/>
                <w:szCs w:val="24"/>
              </w:rPr>
              <w:t>52</w:t>
            </w:r>
          </w:p>
        </w:tc>
        <w:tc>
          <w:tcPr>
            <w:tcW w:w="737" w:type="dxa"/>
            <w:tcBorders>
              <w:top w:val="single" w:sz="4" w:space="0" w:color="auto"/>
              <w:left w:val="single" w:sz="4" w:space="0" w:color="auto"/>
              <w:bottom w:val="single" w:sz="4" w:space="0" w:color="auto"/>
              <w:right w:val="single" w:sz="4" w:space="0" w:color="auto"/>
            </w:tcBorders>
            <w:vAlign w:val="center"/>
            <w:hideMark/>
          </w:tcPr>
          <w:p w14:paraId="6DD6180C" w14:textId="77777777" w:rsidR="00575C57" w:rsidRPr="00575C57" w:rsidRDefault="00575C57" w:rsidP="00575C57">
            <w:pPr>
              <w:widowControl/>
              <w:jc w:val="center"/>
              <w:rPr>
                <w:bCs/>
                <w:sz w:val="24"/>
                <w:szCs w:val="24"/>
              </w:rPr>
            </w:pPr>
            <w:r w:rsidRPr="00575C57">
              <w:rPr>
                <w:bCs/>
                <w:sz w:val="22"/>
                <w:szCs w:val="24"/>
              </w:rPr>
              <w:t>45</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49656338" w14:textId="77777777" w:rsidR="00575C57" w:rsidRPr="00575C57" w:rsidRDefault="00575C57" w:rsidP="00575C57">
            <w:pPr>
              <w:widowControl/>
              <w:jc w:val="center"/>
              <w:rPr>
                <w:bCs/>
                <w:sz w:val="24"/>
                <w:szCs w:val="24"/>
              </w:rPr>
            </w:pPr>
            <w:r w:rsidRPr="00575C57">
              <w:rPr>
                <w:bCs/>
                <w:sz w:val="22"/>
                <w:szCs w:val="24"/>
              </w:rPr>
              <w:t>35</w:t>
            </w:r>
          </w:p>
        </w:tc>
        <w:tc>
          <w:tcPr>
            <w:tcW w:w="737" w:type="dxa"/>
            <w:tcBorders>
              <w:top w:val="single" w:sz="4" w:space="0" w:color="auto"/>
              <w:left w:val="single" w:sz="4" w:space="0" w:color="auto"/>
              <w:bottom w:val="single" w:sz="4" w:space="0" w:color="auto"/>
              <w:right w:val="single" w:sz="4" w:space="0" w:color="auto"/>
            </w:tcBorders>
            <w:vAlign w:val="center"/>
            <w:hideMark/>
          </w:tcPr>
          <w:p w14:paraId="519C33AF" w14:textId="77777777" w:rsidR="00575C57" w:rsidRPr="00575C57" w:rsidRDefault="00575C57" w:rsidP="00575C57">
            <w:pPr>
              <w:widowControl/>
              <w:jc w:val="center"/>
              <w:rPr>
                <w:bCs/>
                <w:sz w:val="24"/>
                <w:szCs w:val="24"/>
              </w:rPr>
            </w:pPr>
            <w:r w:rsidRPr="00575C57">
              <w:rPr>
                <w:bCs/>
                <w:sz w:val="22"/>
                <w:szCs w:val="24"/>
              </w:rPr>
              <w:t>32</w:t>
            </w:r>
          </w:p>
        </w:tc>
      </w:tr>
      <w:tr w:rsidR="00575C57" w:rsidRPr="00575C57" w14:paraId="6CE1F977"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384EBBF7" w14:textId="77777777" w:rsidR="00575C57" w:rsidRPr="00575C57" w:rsidRDefault="00575C57" w:rsidP="00575C57">
            <w:pPr>
              <w:widowControl/>
              <w:rPr>
                <w:bCs/>
                <w:sz w:val="24"/>
                <w:szCs w:val="24"/>
              </w:rPr>
            </w:pPr>
            <w:r w:rsidRPr="00575C57">
              <w:rPr>
                <w:bCs/>
                <w:sz w:val="22"/>
                <w:szCs w:val="24"/>
              </w:rPr>
              <w:t>Łotwa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F8DB98A"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3B13AF8F" w14:textId="77777777" w:rsidR="00575C57" w:rsidRPr="00575C57" w:rsidRDefault="00575C57" w:rsidP="00575C57">
            <w:pPr>
              <w:widowControl/>
              <w:jc w:val="center"/>
              <w:rPr>
                <w:bCs/>
                <w:sz w:val="24"/>
                <w:szCs w:val="24"/>
              </w:rPr>
            </w:pPr>
            <w:r w:rsidRPr="00575C57">
              <w:rPr>
                <w:bCs/>
                <w:sz w:val="22"/>
                <w:szCs w:val="24"/>
              </w:rPr>
              <w:t>123</w:t>
            </w:r>
          </w:p>
        </w:tc>
        <w:tc>
          <w:tcPr>
            <w:tcW w:w="737" w:type="dxa"/>
            <w:tcBorders>
              <w:top w:val="single" w:sz="4" w:space="0" w:color="auto"/>
              <w:left w:val="single" w:sz="4" w:space="0" w:color="auto"/>
              <w:bottom w:val="single" w:sz="4" w:space="0" w:color="auto"/>
              <w:right w:val="single" w:sz="4" w:space="0" w:color="auto"/>
            </w:tcBorders>
            <w:vAlign w:val="center"/>
            <w:hideMark/>
          </w:tcPr>
          <w:p w14:paraId="7D42E546" w14:textId="77777777" w:rsidR="00575C57" w:rsidRPr="00575C57" w:rsidRDefault="00575C57" w:rsidP="00575C57">
            <w:pPr>
              <w:widowControl/>
              <w:jc w:val="center"/>
              <w:rPr>
                <w:bCs/>
                <w:sz w:val="24"/>
                <w:szCs w:val="24"/>
              </w:rPr>
            </w:pPr>
            <w:r w:rsidRPr="00575C57">
              <w:rPr>
                <w:bCs/>
                <w:sz w:val="22"/>
                <w:szCs w:val="24"/>
              </w:rPr>
              <w:t>121</w:t>
            </w:r>
          </w:p>
        </w:tc>
        <w:tc>
          <w:tcPr>
            <w:tcW w:w="737" w:type="dxa"/>
            <w:tcBorders>
              <w:top w:val="single" w:sz="4" w:space="0" w:color="auto"/>
              <w:left w:val="single" w:sz="4" w:space="0" w:color="auto"/>
              <w:bottom w:val="single" w:sz="4" w:space="0" w:color="auto"/>
              <w:right w:val="single" w:sz="4" w:space="0" w:color="auto"/>
            </w:tcBorders>
            <w:vAlign w:val="center"/>
            <w:hideMark/>
          </w:tcPr>
          <w:p w14:paraId="0A62B6F4" w14:textId="77777777" w:rsidR="00575C57" w:rsidRPr="00575C57" w:rsidRDefault="00575C57" w:rsidP="00575C57">
            <w:pPr>
              <w:widowControl/>
              <w:jc w:val="center"/>
              <w:rPr>
                <w:bCs/>
                <w:sz w:val="24"/>
                <w:szCs w:val="24"/>
              </w:rPr>
            </w:pPr>
            <w:r w:rsidRPr="00575C57">
              <w:rPr>
                <w:bCs/>
                <w:sz w:val="22"/>
                <w:szCs w:val="24"/>
              </w:rPr>
              <w:t>135</w:t>
            </w:r>
          </w:p>
        </w:tc>
        <w:tc>
          <w:tcPr>
            <w:tcW w:w="737" w:type="dxa"/>
            <w:tcBorders>
              <w:top w:val="single" w:sz="4" w:space="0" w:color="auto"/>
              <w:left w:val="single" w:sz="4" w:space="0" w:color="auto"/>
              <w:bottom w:val="single" w:sz="4" w:space="0" w:color="auto"/>
              <w:right w:val="single" w:sz="4" w:space="0" w:color="auto"/>
            </w:tcBorders>
            <w:vAlign w:val="center"/>
            <w:hideMark/>
          </w:tcPr>
          <w:p w14:paraId="08116052" w14:textId="77777777" w:rsidR="00575C57" w:rsidRPr="00575C57" w:rsidRDefault="00575C57" w:rsidP="00575C57">
            <w:pPr>
              <w:widowControl/>
              <w:jc w:val="center"/>
              <w:rPr>
                <w:bCs/>
                <w:sz w:val="24"/>
                <w:szCs w:val="24"/>
              </w:rPr>
            </w:pPr>
            <w:r w:rsidRPr="00575C57">
              <w:rPr>
                <w:bCs/>
                <w:sz w:val="22"/>
                <w:szCs w:val="24"/>
              </w:rPr>
              <w:t>120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DA8EDAD" w14:textId="77777777" w:rsidR="00575C57" w:rsidRPr="00575C57" w:rsidRDefault="00575C57" w:rsidP="00575C57">
            <w:pPr>
              <w:widowControl/>
              <w:jc w:val="center"/>
              <w:rPr>
                <w:bCs/>
                <w:sz w:val="24"/>
                <w:szCs w:val="24"/>
              </w:rPr>
            </w:pPr>
            <w:r w:rsidRPr="00575C57">
              <w:rPr>
                <w:bCs/>
                <w:sz w:val="22"/>
                <w:szCs w:val="24"/>
              </w:rPr>
              <w:t>126</w:t>
            </w:r>
          </w:p>
        </w:tc>
        <w:tc>
          <w:tcPr>
            <w:tcW w:w="737" w:type="dxa"/>
            <w:tcBorders>
              <w:top w:val="single" w:sz="4" w:space="0" w:color="auto"/>
              <w:left w:val="single" w:sz="4" w:space="0" w:color="auto"/>
              <w:bottom w:val="single" w:sz="4" w:space="0" w:color="auto"/>
              <w:right w:val="single" w:sz="4" w:space="0" w:color="auto"/>
            </w:tcBorders>
            <w:vAlign w:val="center"/>
            <w:hideMark/>
          </w:tcPr>
          <w:p w14:paraId="74B2CF0D" w14:textId="77777777" w:rsidR="00575C57" w:rsidRPr="00575C57" w:rsidRDefault="00575C57" w:rsidP="00575C57">
            <w:pPr>
              <w:widowControl/>
              <w:jc w:val="center"/>
              <w:rPr>
                <w:bCs/>
                <w:sz w:val="24"/>
                <w:szCs w:val="24"/>
              </w:rPr>
            </w:pPr>
            <w:r w:rsidRPr="00575C57">
              <w:rPr>
                <w:bCs/>
                <w:sz w:val="22"/>
                <w:szCs w:val="24"/>
              </w:rPr>
              <w:t>140</w:t>
            </w:r>
          </w:p>
        </w:tc>
        <w:tc>
          <w:tcPr>
            <w:tcW w:w="737" w:type="dxa"/>
            <w:tcBorders>
              <w:top w:val="single" w:sz="4" w:space="0" w:color="auto"/>
              <w:left w:val="single" w:sz="4" w:space="0" w:color="auto"/>
              <w:bottom w:val="single" w:sz="4" w:space="0" w:color="auto"/>
              <w:right w:val="single" w:sz="4" w:space="0" w:color="auto"/>
            </w:tcBorders>
            <w:vAlign w:val="center"/>
            <w:hideMark/>
          </w:tcPr>
          <w:p w14:paraId="0ABE1153" w14:textId="77777777" w:rsidR="00575C57" w:rsidRPr="00575C57" w:rsidRDefault="00575C57" w:rsidP="00575C57">
            <w:pPr>
              <w:widowControl/>
              <w:jc w:val="center"/>
              <w:rPr>
                <w:bCs/>
                <w:sz w:val="24"/>
                <w:szCs w:val="24"/>
              </w:rPr>
            </w:pPr>
            <w:r w:rsidRPr="00575C57">
              <w:rPr>
                <w:bCs/>
                <w:sz w:val="22"/>
                <w:szCs w:val="24"/>
              </w:rPr>
              <w:t>130</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38AB4A56" w14:textId="77777777" w:rsidR="00575C57" w:rsidRPr="00575C57" w:rsidRDefault="00575C57" w:rsidP="00575C57">
            <w:pPr>
              <w:widowControl/>
              <w:jc w:val="center"/>
              <w:rPr>
                <w:bCs/>
                <w:sz w:val="24"/>
                <w:szCs w:val="24"/>
              </w:rPr>
            </w:pPr>
            <w:r w:rsidRPr="00575C57">
              <w:rPr>
                <w:bCs/>
                <w:sz w:val="22"/>
                <w:szCs w:val="24"/>
              </w:rPr>
              <w:t>116</w:t>
            </w:r>
          </w:p>
        </w:tc>
        <w:tc>
          <w:tcPr>
            <w:tcW w:w="737" w:type="dxa"/>
            <w:tcBorders>
              <w:top w:val="single" w:sz="4" w:space="0" w:color="auto"/>
              <w:left w:val="single" w:sz="4" w:space="0" w:color="auto"/>
              <w:bottom w:val="single" w:sz="4" w:space="0" w:color="auto"/>
              <w:right w:val="single" w:sz="4" w:space="0" w:color="auto"/>
            </w:tcBorders>
            <w:vAlign w:val="center"/>
            <w:hideMark/>
          </w:tcPr>
          <w:p w14:paraId="1E4F8D07" w14:textId="77777777" w:rsidR="00575C57" w:rsidRPr="00575C57" w:rsidRDefault="00575C57" w:rsidP="00575C57">
            <w:pPr>
              <w:widowControl/>
              <w:jc w:val="center"/>
              <w:rPr>
                <w:bCs/>
                <w:sz w:val="24"/>
                <w:szCs w:val="24"/>
              </w:rPr>
            </w:pPr>
            <w:r w:rsidRPr="00575C57">
              <w:rPr>
                <w:bCs/>
                <w:sz w:val="22"/>
                <w:szCs w:val="24"/>
              </w:rPr>
              <w:t>107</w:t>
            </w:r>
          </w:p>
        </w:tc>
      </w:tr>
      <w:tr w:rsidR="00575C57" w:rsidRPr="00575C57" w14:paraId="2F6AFF47"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342C45B7" w14:textId="77777777" w:rsidR="00575C57" w:rsidRPr="00575C57" w:rsidRDefault="00575C57" w:rsidP="00575C57">
            <w:pPr>
              <w:widowControl/>
              <w:rPr>
                <w:bCs/>
                <w:sz w:val="24"/>
                <w:szCs w:val="24"/>
              </w:rPr>
            </w:pPr>
            <w:r w:rsidRPr="00575C57">
              <w:rPr>
                <w:bCs/>
                <w:sz w:val="22"/>
                <w:szCs w:val="24"/>
              </w:rPr>
              <w:t>Malta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17B3E25"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00BE1EB" w14:textId="77777777" w:rsidR="00575C57" w:rsidRPr="00575C57" w:rsidRDefault="00575C57" w:rsidP="00575C57">
            <w:pPr>
              <w:widowControl/>
              <w:jc w:val="center"/>
              <w:rPr>
                <w:bCs/>
                <w:sz w:val="24"/>
                <w:szCs w:val="24"/>
              </w:rPr>
            </w:pPr>
            <w:r w:rsidRPr="00575C57">
              <w:rPr>
                <w:bCs/>
                <w:sz w:val="22"/>
                <w:szCs w:val="24"/>
              </w:rPr>
              <w:t>94</w:t>
            </w:r>
          </w:p>
        </w:tc>
        <w:tc>
          <w:tcPr>
            <w:tcW w:w="737" w:type="dxa"/>
            <w:tcBorders>
              <w:top w:val="single" w:sz="4" w:space="0" w:color="auto"/>
              <w:left w:val="single" w:sz="4" w:space="0" w:color="auto"/>
              <w:bottom w:val="single" w:sz="4" w:space="0" w:color="auto"/>
              <w:right w:val="single" w:sz="4" w:space="0" w:color="auto"/>
            </w:tcBorders>
            <w:vAlign w:val="center"/>
            <w:hideMark/>
          </w:tcPr>
          <w:p w14:paraId="32E6AAFF" w14:textId="77777777" w:rsidR="00575C57" w:rsidRPr="00575C57" w:rsidRDefault="00575C57" w:rsidP="00575C57">
            <w:pPr>
              <w:widowControl/>
              <w:jc w:val="center"/>
              <w:rPr>
                <w:bCs/>
                <w:sz w:val="24"/>
                <w:szCs w:val="24"/>
              </w:rPr>
            </w:pPr>
            <w:r w:rsidRPr="00575C57">
              <w:rPr>
                <w:bCs/>
                <w:sz w:val="22"/>
                <w:szCs w:val="24"/>
              </w:rPr>
              <w:t>115</w:t>
            </w:r>
          </w:p>
        </w:tc>
        <w:tc>
          <w:tcPr>
            <w:tcW w:w="737" w:type="dxa"/>
            <w:tcBorders>
              <w:top w:val="single" w:sz="4" w:space="0" w:color="auto"/>
              <w:left w:val="single" w:sz="4" w:space="0" w:color="auto"/>
              <w:bottom w:val="single" w:sz="4" w:space="0" w:color="auto"/>
              <w:right w:val="single" w:sz="4" w:space="0" w:color="auto"/>
            </w:tcBorders>
            <w:vAlign w:val="center"/>
            <w:hideMark/>
          </w:tcPr>
          <w:p w14:paraId="563ABC12" w14:textId="77777777" w:rsidR="00575C57" w:rsidRPr="00575C57" w:rsidRDefault="00575C57" w:rsidP="00575C57">
            <w:pPr>
              <w:widowControl/>
              <w:jc w:val="center"/>
              <w:rPr>
                <w:bCs/>
                <w:sz w:val="24"/>
                <w:szCs w:val="24"/>
              </w:rPr>
            </w:pPr>
            <w:r w:rsidRPr="00575C57">
              <w:rPr>
                <w:bCs/>
                <w:sz w:val="22"/>
                <w:szCs w:val="24"/>
              </w:rPr>
              <w:t>77</w:t>
            </w:r>
          </w:p>
        </w:tc>
        <w:tc>
          <w:tcPr>
            <w:tcW w:w="737" w:type="dxa"/>
            <w:tcBorders>
              <w:top w:val="single" w:sz="4" w:space="0" w:color="auto"/>
              <w:left w:val="single" w:sz="4" w:space="0" w:color="auto"/>
              <w:bottom w:val="single" w:sz="4" w:space="0" w:color="auto"/>
              <w:right w:val="single" w:sz="4" w:space="0" w:color="auto"/>
            </w:tcBorders>
            <w:vAlign w:val="center"/>
            <w:hideMark/>
          </w:tcPr>
          <w:p w14:paraId="264DEAAA" w14:textId="77777777" w:rsidR="00575C57" w:rsidRPr="00575C57" w:rsidRDefault="00575C57" w:rsidP="00575C57">
            <w:pPr>
              <w:widowControl/>
              <w:jc w:val="center"/>
              <w:rPr>
                <w:bCs/>
                <w:sz w:val="24"/>
                <w:szCs w:val="24"/>
              </w:rPr>
            </w:pPr>
            <w:r w:rsidRPr="00575C57">
              <w:rPr>
                <w:bCs/>
                <w:sz w:val="22"/>
                <w:szCs w:val="24"/>
              </w:rPr>
              <w:t>87</w:t>
            </w:r>
          </w:p>
        </w:tc>
        <w:tc>
          <w:tcPr>
            <w:tcW w:w="737" w:type="dxa"/>
            <w:tcBorders>
              <w:top w:val="single" w:sz="4" w:space="0" w:color="auto"/>
              <w:left w:val="single" w:sz="4" w:space="0" w:color="auto"/>
              <w:bottom w:val="single" w:sz="4" w:space="0" w:color="auto"/>
              <w:right w:val="single" w:sz="4" w:space="0" w:color="auto"/>
            </w:tcBorders>
            <w:vAlign w:val="center"/>
            <w:hideMark/>
          </w:tcPr>
          <w:p w14:paraId="1630335C" w14:textId="77777777" w:rsidR="00575C57" w:rsidRPr="00575C57" w:rsidRDefault="00575C57" w:rsidP="00575C57">
            <w:pPr>
              <w:widowControl/>
              <w:jc w:val="center"/>
              <w:rPr>
                <w:bCs/>
                <w:sz w:val="24"/>
                <w:szCs w:val="24"/>
              </w:rPr>
            </w:pPr>
            <w:r w:rsidRPr="00575C57">
              <w:rPr>
                <w:bCs/>
                <w:sz w:val="22"/>
                <w:szCs w:val="24"/>
              </w:rPr>
              <w:t>78</w:t>
            </w:r>
          </w:p>
        </w:tc>
        <w:tc>
          <w:tcPr>
            <w:tcW w:w="737" w:type="dxa"/>
            <w:tcBorders>
              <w:top w:val="single" w:sz="4" w:space="0" w:color="auto"/>
              <w:left w:val="single" w:sz="4" w:space="0" w:color="auto"/>
              <w:bottom w:val="single" w:sz="4" w:space="0" w:color="auto"/>
              <w:right w:val="single" w:sz="4" w:space="0" w:color="auto"/>
            </w:tcBorders>
            <w:vAlign w:val="center"/>
            <w:hideMark/>
          </w:tcPr>
          <w:p w14:paraId="522EFB5B" w14:textId="77777777" w:rsidR="00575C57" w:rsidRPr="00575C57" w:rsidRDefault="00575C57" w:rsidP="00575C57">
            <w:pPr>
              <w:widowControl/>
              <w:jc w:val="center"/>
              <w:rPr>
                <w:bCs/>
                <w:sz w:val="24"/>
                <w:szCs w:val="24"/>
              </w:rPr>
            </w:pPr>
            <w:r w:rsidRPr="00575C57">
              <w:rPr>
                <w:bCs/>
                <w:sz w:val="22"/>
                <w:szCs w:val="24"/>
              </w:rPr>
              <w:t>68</w:t>
            </w:r>
          </w:p>
        </w:tc>
        <w:tc>
          <w:tcPr>
            <w:tcW w:w="737" w:type="dxa"/>
            <w:tcBorders>
              <w:top w:val="single" w:sz="4" w:space="0" w:color="auto"/>
              <w:left w:val="single" w:sz="4" w:space="0" w:color="auto"/>
              <w:bottom w:val="single" w:sz="4" w:space="0" w:color="auto"/>
              <w:right w:val="single" w:sz="4" w:space="0" w:color="auto"/>
            </w:tcBorders>
            <w:vAlign w:val="center"/>
            <w:hideMark/>
          </w:tcPr>
          <w:p w14:paraId="6F6DAEF8" w14:textId="77777777" w:rsidR="00575C57" w:rsidRPr="00575C57" w:rsidRDefault="00575C57" w:rsidP="00575C57">
            <w:pPr>
              <w:widowControl/>
              <w:jc w:val="center"/>
              <w:rPr>
                <w:bCs/>
                <w:sz w:val="24"/>
                <w:szCs w:val="24"/>
              </w:rPr>
            </w:pPr>
            <w:r w:rsidRPr="00575C57">
              <w:rPr>
                <w:bCs/>
                <w:sz w:val="22"/>
                <w:szCs w:val="24"/>
              </w:rPr>
              <w:t>78</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5DDE42EC" w14:textId="77777777" w:rsidR="00575C57" w:rsidRPr="00575C57" w:rsidRDefault="00575C57" w:rsidP="00575C57">
            <w:pPr>
              <w:widowControl/>
              <w:jc w:val="center"/>
              <w:rPr>
                <w:bCs/>
                <w:sz w:val="24"/>
                <w:szCs w:val="24"/>
              </w:rPr>
            </w:pPr>
            <w:r w:rsidRPr="00575C57">
              <w:rPr>
                <w:bCs/>
                <w:sz w:val="22"/>
                <w:szCs w:val="24"/>
              </w:rPr>
              <w:t>68</w:t>
            </w:r>
          </w:p>
        </w:tc>
        <w:tc>
          <w:tcPr>
            <w:tcW w:w="737" w:type="dxa"/>
            <w:tcBorders>
              <w:top w:val="single" w:sz="4" w:space="0" w:color="auto"/>
              <w:left w:val="single" w:sz="4" w:space="0" w:color="auto"/>
              <w:bottom w:val="single" w:sz="4" w:space="0" w:color="auto"/>
              <w:right w:val="single" w:sz="4" w:space="0" w:color="auto"/>
            </w:tcBorders>
            <w:vAlign w:val="center"/>
            <w:hideMark/>
          </w:tcPr>
          <w:p w14:paraId="32BA480E" w14:textId="77777777" w:rsidR="00575C57" w:rsidRPr="00575C57" w:rsidRDefault="00575C57" w:rsidP="00575C57">
            <w:pPr>
              <w:widowControl/>
              <w:jc w:val="center"/>
              <w:rPr>
                <w:bCs/>
                <w:sz w:val="24"/>
                <w:szCs w:val="24"/>
              </w:rPr>
            </w:pPr>
            <w:r w:rsidRPr="00575C57">
              <w:rPr>
                <w:bCs/>
                <w:sz w:val="22"/>
                <w:szCs w:val="24"/>
              </w:rPr>
              <w:t>63</w:t>
            </w:r>
          </w:p>
        </w:tc>
      </w:tr>
      <w:tr w:rsidR="00575C57" w:rsidRPr="00575C57" w14:paraId="68352A01"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36D0177E" w14:textId="77777777" w:rsidR="00575C57" w:rsidRPr="00575C57" w:rsidRDefault="00575C57" w:rsidP="00575C57">
            <w:pPr>
              <w:widowControl/>
              <w:rPr>
                <w:bCs/>
                <w:sz w:val="24"/>
                <w:szCs w:val="24"/>
              </w:rPr>
            </w:pPr>
            <w:r w:rsidRPr="00575C57">
              <w:rPr>
                <w:bCs/>
                <w:sz w:val="22"/>
                <w:szCs w:val="24"/>
              </w:rPr>
              <w:t>Niemcy</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822084D"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7CA54F68" w14:textId="77777777" w:rsidR="00575C57" w:rsidRPr="00575C57" w:rsidRDefault="00575C57" w:rsidP="00575C57">
            <w:pPr>
              <w:widowControl/>
              <w:jc w:val="center"/>
              <w:rPr>
                <w:bCs/>
                <w:sz w:val="24"/>
                <w:szCs w:val="24"/>
              </w:rPr>
            </w:pPr>
            <w:r w:rsidRPr="00575C57">
              <w:rPr>
                <w:bCs/>
                <w:sz w:val="22"/>
                <w:szCs w:val="24"/>
              </w:rPr>
              <w:t>105</w:t>
            </w:r>
          </w:p>
        </w:tc>
        <w:tc>
          <w:tcPr>
            <w:tcW w:w="737" w:type="dxa"/>
            <w:tcBorders>
              <w:top w:val="single" w:sz="4" w:space="0" w:color="auto"/>
              <w:left w:val="single" w:sz="4" w:space="0" w:color="auto"/>
              <w:bottom w:val="single" w:sz="4" w:space="0" w:color="auto"/>
              <w:right w:val="single" w:sz="4" w:space="0" w:color="auto"/>
            </w:tcBorders>
            <w:vAlign w:val="center"/>
            <w:hideMark/>
          </w:tcPr>
          <w:p w14:paraId="6CE43606" w14:textId="77777777" w:rsidR="00575C57" w:rsidRPr="00575C57" w:rsidRDefault="00575C57" w:rsidP="00575C57">
            <w:pPr>
              <w:widowControl/>
              <w:jc w:val="center"/>
              <w:rPr>
                <w:bCs/>
                <w:sz w:val="24"/>
                <w:szCs w:val="24"/>
              </w:rPr>
            </w:pPr>
            <w:r w:rsidRPr="00575C57">
              <w:rPr>
                <w:bCs/>
                <w:sz w:val="22"/>
                <w:szCs w:val="24"/>
              </w:rPr>
              <w:t>103</w:t>
            </w:r>
          </w:p>
        </w:tc>
        <w:tc>
          <w:tcPr>
            <w:tcW w:w="737" w:type="dxa"/>
            <w:tcBorders>
              <w:top w:val="single" w:sz="4" w:space="0" w:color="auto"/>
              <w:left w:val="single" w:sz="4" w:space="0" w:color="auto"/>
              <w:bottom w:val="single" w:sz="4" w:space="0" w:color="auto"/>
              <w:right w:val="single" w:sz="4" w:space="0" w:color="auto"/>
            </w:tcBorders>
            <w:vAlign w:val="center"/>
            <w:hideMark/>
          </w:tcPr>
          <w:p w14:paraId="09F97E17" w14:textId="77777777" w:rsidR="00575C57" w:rsidRPr="00575C57" w:rsidRDefault="00575C57" w:rsidP="00575C57">
            <w:pPr>
              <w:widowControl/>
              <w:jc w:val="center"/>
              <w:rPr>
                <w:bCs/>
                <w:sz w:val="24"/>
                <w:szCs w:val="24"/>
              </w:rPr>
            </w:pPr>
            <w:r w:rsidRPr="00575C57">
              <w:rPr>
                <w:bCs/>
                <w:sz w:val="22"/>
                <w:szCs w:val="24"/>
              </w:rPr>
              <w:t>96</w:t>
            </w:r>
          </w:p>
        </w:tc>
        <w:tc>
          <w:tcPr>
            <w:tcW w:w="737" w:type="dxa"/>
            <w:tcBorders>
              <w:top w:val="single" w:sz="4" w:space="0" w:color="auto"/>
              <w:left w:val="single" w:sz="4" w:space="0" w:color="auto"/>
              <w:bottom w:val="single" w:sz="4" w:space="0" w:color="auto"/>
              <w:right w:val="single" w:sz="4" w:space="0" w:color="auto"/>
            </w:tcBorders>
            <w:vAlign w:val="center"/>
            <w:hideMark/>
          </w:tcPr>
          <w:p w14:paraId="43670036" w14:textId="77777777" w:rsidR="00575C57" w:rsidRPr="00575C57" w:rsidRDefault="00575C57" w:rsidP="00575C57">
            <w:pPr>
              <w:widowControl/>
              <w:jc w:val="center"/>
              <w:rPr>
                <w:bCs/>
                <w:sz w:val="24"/>
                <w:szCs w:val="24"/>
              </w:rPr>
            </w:pPr>
            <w:r w:rsidRPr="00575C57">
              <w:rPr>
                <w:bCs/>
                <w:sz w:val="22"/>
                <w:szCs w:val="24"/>
              </w:rPr>
              <w:t>97</w:t>
            </w:r>
          </w:p>
        </w:tc>
        <w:tc>
          <w:tcPr>
            <w:tcW w:w="737" w:type="dxa"/>
            <w:tcBorders>
              <w:top w:val="single" w:sz="4" w:space="0" w:color="auto"/>
              <w:left w:val="single" w:sz="4" w:space="0" w:color="auto"/>
              <w:bottom w:val="single" w:sz="4" w:space="0" w:color="auto"/>
              <w:right w:val="single" w:sz="4" w:space="0" w:color="auto"/>
            </w:tcBorders>
            <w:vAlign w:val="center"/>
            <w:hideMark/>
          </w:tcPr>
          <w:p w14:paraId="617FF8DF" w14:textId="77777777" w:rsidR="00575C57" w:rsidRPr="00575C57" w:rsidRDefault="00575C57" w:rsidP="00575C57">
            <w:pPr>
              <w:widowControl/>
              <w:jc w:val="center"/>
              <w:rPr>
                <w:bCs/>
                <w:sz w:val="24"/>
                <w:szCs w:val="24"/>
              </w:rPr>
            </w:pPr>
            <w:r w:rsidRPr="00575C57">
              <w:rPr>
                <w:bCs/>
                <w:sz w:val="22"/>
                <w:szCs w:val="24"/>
              </w:rPr>
              <w:t>84</w:t>
            </w:r>
          </w:p>
        </w:tc>
        <w:tc>
          <w:tcPr>
            <w:tcW w:w="737" w:type="dxa"/>
            <w:tcBorders>
              <w:top w:val="single" w:sz="4" w:space="0" w:color="auto"/>
              <w:left w:val="single" w:sz="4" w:space="0" w:color="auto"/>
              <w:bottom w:val="single" w:sz="4" w:space="0" w:color="auto"/>
              <w:right w:val="single" w:sz="4" w:space="0" w:color="auto"/>
            </w:tcBorders>
            <w:vAlign w:val="center"/>
            <w:hideMark/>
          </w:tcPr>
          <w:p w14:paraId="057B7A60" w14:textId="77777777" w:rsidR="00575C57" w:rsidRPr="00575C57" w:rsidRDefault="00575C57" w:rsidP="00575C57">
            <w:pPr>
              <w:widowControl/>
              <w:jc w:val="center"/>
              <w:rPr>
                <w:bCs/>
                <w:sz w:val="24"/>
                <w:szCs w:val="24"/>
              </w:rPr>
            </w:pPr>
            <w:r w:rsidRPr="00575C57">
              <w:rPr>
                <w:bCs/>
                <w:sz w:val="22"/>
                <w:szCs w:val="24"/>
              </w:rPr>
              <w:t>82</w:t>
            </w:r>
          </w:p>
        </w:tc>
        <w:tc>
          <w:tcPr>
            <w:tcW w:w="737" w:type="dxa"/>
            <w:tcBorders>
              <w:top w:val="single" w:sz="4" w:space="0" w:color="auto"/>
              <w:left w:val="single" w:sz="4" w:space="0" w:color="auto"/>
              <w:bottom w:val="single" w:sz="4" w:space="0" w:color="auto"/>
              <w:right w:val="single" w:sz="4" w:space="0" w:color="auto"/>
            </w:tcBorders>
            <w:vAlign w:val="center"/>
            <w:hideMark/>
          </w:tcPr>
          <w:p w14:paraId="6D1275E9" w14:textId="77777777" w:rsidR="00575C57" w:rsidRPr="00575C57" w:rsidRDefault="00575C57" w:rsidP="00575C57">
            <w:pPr>
              <w:widowControl/>
              <w:jc w:val="center"/>
              <w:rPr>
                <w:bCs/>
                <w:sz w:val="24"/>
                <w:szCs w:val="24"/>
              </w:rPr>
            </w:pPr>
            <w:r w:rsidRPr="00575C57">
              <w:rPr>
                <w:bCs/>
                <w:sz w:val="22"/>
                <w:szCs w:val="24"/>
              </w:rPr>
              <w:t>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78425EF5" w14:textId="77777777" w:rsidR="00575C57" w:rsidRPr="00575C57" w:rsidRDefault="00575C57" w:rsidP="00575C57">
            <w:pPr>
              <w:widowControl/>
              <w:jc w:val="center"/>
              <w:rPr>
                <w:bCs/>
                <w:sz w:val="24"/>
                <w:szCs w:val="24"/>
              </w:rPr>
            </w:pPr>
            <w:r w:rsidRPr="00575C57">
              <w:rPr>
                <w:bCs/>
                <w:sz w:val="22"/>
                <w:szCs w:val="24"/>
              </w:rPr>
              <w:t>68</w:t>
            </w:r>
          </w:p>
        </w:tc>
        <w:tc>
          <w:tcPr>
            <w:tcW w:w="737" w:type="dxa"/>
            <w:tcBorders>
              <w:top w:val="single" w:sz="4" w:space="0" w:color="auto"/>
              <w:left w:val="single" w:sz="4" w:space="0" w:color="auto"/>
              <w:bottom w:val="single" w:sz="4" w:space="0" w:color="auto"/>
              <w:right w:val="single" w:sz="4" w:space="0" w:color="auto"/>
            </w:tcBorders>
            <w:vAlign w:val="center"/>
            <w:hideMark/>
          </w:tcPr>
          <w:p w14:paraId="2541CBD3" w14:textId="77777777" w:rsidR="00575C57" w:rsidRPr="00575C57" w:rsidRDefault="00575C57" w:rsidP="00575C57">
            <w:pPr>
              <w:widowControl/>
              <w:jc w:val="center"/>
              <w:rPr>
                <w:bCs/>
                <w:sz w:val="24"/>
                <w:szCs w:val="24"/>
              </w:rPr>
            </w:pPr>
            <w:r w:rsidRPr="00575C57">
              <w:rPr>
                <w:bCs/>
                <w:sz w:val="22"/>
                <w:szCs w:val="24"/>
              </w:rPr>
              <w:t>68</w:t>
            </w:r>
          </w:p>
        </w:tc>
      </w:tr>
      <w:tr w:rsidR="00575C57" w:rsidRPr="00575C57" w14:paraId="29B37F4B"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5A9945B9" w14:textId="77777777" w:rsidR="00575C57" w:rsidRPr="00575C57" w:rsidRDefault="00575C57" w:rsidP="00575C57">
            <w:pPr>
              <w:widowControl/>
              <w:rPr>
                <w:b/>
                <w:bCs/>
                <w:sz w:val="24"/>
                <w:szCs w:val="24"/>
              </w:rPr>
            </w:pPr>
            <w:r w:rsidRPr="00575C57">
              <w:rPr>
                <w:b/>
                <w:bCs/>
                <w:sz w:val="22"/>
                <w:szCs w:val="24"/>
              </w:rPr>
              <w:t>Polska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514B07C" w14:textId="77777777" w:rsidR="00575C57" w:rsidRPr="00575C57" w:rsidRDefault="00575C57" w:rsidP="00575C57">
            <w:pPr>
              <w:widowControl/>
              <w:jc w:val="center"/>
              <w:rPr>
                <w:b/>
                <w:bCs/>
                <w:sz w:val="24"/>
                <w:szCs w:val="24"/>
              </w:rPr>
            </w:pPr>
            <w:r w:rsidRPr="00575C57">
              <w:rPr>
                <w:b/>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45C35C90" w14:textId="77777777" w:rsidR="00575C57" w:rsidRPr="00575C57" w:rsidRDefault="00575C57" w:rsidP="00575C57">
            <w:pPr>
              <w:widowControl/>
              <w:jc w:val="center"/>
              <w:rPr>
                <w:b/>
                <w:bCs/>
                <w:sz w:val="24"/>
                <w:szCs w:val="24"/>
              </w:rPr>
            </w:pPr>
            <w:r w:rsidRPr="00575C57">
              <w:rPr>
                <w:b/>
                <w:bCs/>
                <w:sz w:val="22"/>
                <w:szCs w:val="24"/>
              </w:rPr>
              <w:t>103</w:t>
            </w:r>
          </w:p>
        </w:tc>
        <w:tc>
          <w:tcPr>
            <w:tcW w:w="737" w:type="dxa"/>
            <w:tcBorders>
              <w:top w:val="single" w:sz="4" w:space="0" w:color="auto"/>
              <w:left w:val="single" w:sz="4" w:space="0" w:color="auto"/>
              <w:bottom w:val="single" w:sz="4" w:space="0" w:color="auto"/>
              <w:right w:val="single" w:sz="4" w:space="0" w:color="auto"/>
            </w:tcBorders>
            <w:vAlign w:val="center"/>
            <w:hideMark/>
          </w:tcPr>
          <w:p w14:paraId="72C2E025" w14:textId="77777777" w:rsidR="00575C57" w:rsidRPr="00575C57" w:rsidRDefault="00575C57" w:rsidP="00575C57">
            <w:pPr>
              <w:widowControl/>
              <w:jc w:val="center"/>
              <w:rPr>
                <w:b/>
                <w:bCs/>
                <w:sz w:val="24"/>
                <w:szCs w:val="24"/>
              </w:rPr>
            </w:pPr>
            <w:r w:rsidRPr="00575C57">
              <w:rPr>
                <w:b/>
                <w:bCs/>
                <w:sz w:val="22"/>
                <w:szCs w:val="24"/>
              </w:rPr>
              <w:t>108</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1DD17F" w14:textId="77777777" w:rsidR="00575C57" w:rsidRPr="00575C57" w:rsidRDefault="00575C57" w:rsidP="00575C57">
            <w:pPr>
              <w:widowControl/>
              <w:jc w:val="center"/>
              <w:rPr>
                <w:b/>
                <w:bCs/>
                <w:sz w:val="24"/>
                <w:szCs w:val="24"/>
              </w:rPr>
            </w:pPr>
            <w:r w:rsidRPr="00575C57">
              <w:rPr>
                <w:b/>
                <w:bCs/>
                <w:sz w:val="22"/>
                <w:szCs w:val="24"/>
              </w:rPr>
              <w:t>105</w:t>
            </w:r>
          </w:p>
        </w:tc>
        <w:tc>
          <w:tcPr>
            <w:tcW w:w="737" w:type="dxa"/>
            <w:tcBorders>
              <w:top w:val="single" w:sz="4" w:space="0" w:color="auto"/>
              <w:left w:val="single" w:sz="4" w:space="0" w:color="auto"/>
              <w:bottom w:val="single" w:sz="4" w:space="0" w:color="auto"/>
              <w:right w:val="single" w:sz="4" w:space="0" w:color="auto"/>
            </w:tcBorders>
            <w:vAlign w:val="center"/>
            <w:hideMark/>
          </w:tcPr>
          <w:p w14:paraId="47FAB7E6" w14:textId="77777777" w:rsidR="00575C57" w:rsidRPr="00575C57" w:rsidRDefault="00575C57" w:rsidP="00575C57">
            <w:pPr>
              <w:widowControl/>
              <w:jc w:val="center"/>
              <w:rPr>
                <w:b/>
                <w:bCs/>
                <w:sz w:val="24"/>
                <w:szCs w:val="24"/>
              </w:rPr>
            </w:pPr>
            <w:r w:rsidRPr="00575C57">
              <w:rPr>
                <w:b/>
                <w:bCs/>
                <w:sz w:val="22"/>
                <w:szCs w:val="24"/>
              </w:rPr>
              <w:t>101</w:t>
            </w:r>
          </w:p>
        </w:tc>
        <w:tc>
          <w:tcPr>
            <w:tcW w:w="737" w:type="dxa"/>
            <w:tcBorders>
              <w:top w:val="single" w:sz="4" w:space="0" w:color="auto"/>
              <w:left w:val="single" w:sz="4" w:space="0" w:color="auto"/>
              <w:bottom w:val="single" w:sz="4" w:space="0" w:color="auto"/>
              <w:right w:val="single" w:sz="4" w:space="0" w:color="auto"/>
            </w:tcBorders>
            <w:vAlign w:val="center"/>
            <w:hideMark/>
          </w:tcPr>
          <w:p w14:paraId="786DC652" w14:textId="77777777" w:rsidR="00575C57" w:rsidRPr="00575C57" w:rsidRDefault="00575C57" w:rsidP="00575C57">
            <w:pPr>
              <w:widowControl/>
              <w:jc w:val="center"/>
              <w:rPr>
                <w:b/>
                <w:bCs/>
                <w:sz w:val="24"/>
                <w:szCs w:val="24"/>
              </w:rPr>
            </w:pPr>
            <w:r w:rsidRPr="00575C57">
              <w:rPr>
                <w:b/>
                <w:bCs/>
                <w:sz w:val="22"/>
                <w:szCs w:val="24"/>
              </w:rPr>
              <w:t>93</w:t>
            </w:r>
          </w:p>
        </w:tc>
        <w:tc>
          <w:tcPr>
            <w:tcW w:w="737" w:type="dxa"/>
            <w:tcBorders>
              <w:top w:val="single" w:sz="4" w:space="0" w:color="auto"/>
              <w:left w:val="single" w:sz="4" w:space="0" w:color="auto"/>
              <w:bottom w:val="single" w:sz="4" w:space="0" w:color="auto"/>
              <w:right w:val="single" w:sz="4" w:space="0" w:color="auto"/>
            </w:tcBorders>
            <w:vAlign w:val="center"/>
            <w:hideMark/>
          </w:tcPr>
          <w:p w14:paraId="265E3AD7" w14:textId="77777777" w:rsidR="00575C57" w:rsidRPr="00575C57" w:rsidRDefault="00575C57" w:rsidP="00575C57">
            <w:pPr>
              <w:widowControl/>
              <w:jc w:val="center"/>
              <w:rPr>
                <w:b/>
                <w:bCs/>
                <w:sz w:val="24"/>
                <w:szCs w:val="24"/>
              </w:rPr>
            </w:pPr>
            <w:r w:rsidRPr="00575C57">
              <w:rPr>
                <w:b/>
                <w:bCs/>
                <w:sz w:val="22"/>
                <w:szCs w:val="24"/>
              </w:rPr>
              <w:t>107</w:t>
            </w:r>
          </w:p>
        </w:tc>
        <w:tc>
          <w:tcPr>
            <w:tcW w:w="737" w:type="dxa"/>
            <w:tcBorders>
              <w:top w:val="single" w:sz="4" w:space="0" w:color="auto"/>
              <w:left w:val="single" w:sz="4" w:space="0" w:color="auto"/>
              <w:bottom w:val="single" w:sz="4" w:space="0" w:color="auto"/>
              <w:right w:val="single" w:sz="4" w:space="0" w:color="auto"/>
            </w:tcBorders>
            <w:vAlign w:val="center"/>
            <w:hideMark/>
          </w:tcPr>
          <w:p w14:paraId="0804181C" w14:textId="77777777" w:rsidR="00575C57" w:rsidRPr="00575C57" w:rsidRDefault="00575C57" w:rsidP="00575C57">
            <w:pPr>
              <w:widowControl/>
              <w:jc w:val="center"/>
              <w:rPr>
                <w:b/>
                <w:bCs/>
                <w:sz w:val="24"/>
                <w:szCs w:val="24"/>
              </w:rPr>
            </w:pPr>
            <w:r w:rsidRPr="00575C57">
              <w:rPr>
                <w:b/>
                <w:bCs/>
                <w:sz w:val="22"/>
                <w:szCs w:val="24"/>
              </w:rPr>
              <w:t>71</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201DA106" w14:textId="77777777" w:rsidR="00575C57" w:rsidRPr="00575C57" w:rsidRDefault="00575C57" w:rsidP="00575C57">
            <w:pPr>
              <w:widowControl/>
              <w:jc w:val="center"/>
              <w:rPr>
                <w:b/>
                <w:bCs/>
                <w:sz w:val="24"/>
                <w:szCs w:val="24"/>
              </w:rPr>
            </w:pPr>
            <w:r w:rsidRPr="00575C57">
              <w:rPr>
                <w:b/>
                <w:bCs/>
                <w:sz w:val="22"/>
                <w:szCs w:val="24"/>
              </w:rPr>
              <w:t>64</w:t>
            </w:r>
          </w:p>
        </w:tc>
        <w:tc>
          <w:tcPr>
            <w:tcW w:w="737" w:type="dxa"/>
            <w:tcBorders>
              <w:top w:val="single" w:sz="4" w:space="0" w:color="auto"/>
              <w:left w:val="single" w:sz="4" w:space="0" w:color="auto"/>
              <w:bottom w:val="single" w:sz="4" w:space="0" w:color="auto"/>
              <w:right w:val="single" w:sz="4" w:space="0" w:color="auto"/>
            </w:tcBorders>
            <w:vAlign w:val="center"/>
            <w:hideMark/>
          </w:tcPr>
          <w:p w14:paraId="2BB71529" w14:textId="77777777" w:rsidR="00575C57" w:rsidRPr="00575C57" w:rsidRDefault="00575C57" w:rsidP="00575C57">
            <w:pPr>
              <w:widowControl/>
              <w:jc w:val="center"/>
              <w:rPr>
                <w:b/>
                <w:bCs/>
                <w:sz w:val="24"/>
                <w:szCs w:val="24"/>
              </w:rPr>
            </w:pPr>
            <w:r w:rsidRPr="00575C57">
              <w:rPr>
                <w:b/>
                <w:bCs/>
                <w:sz w:val="22"/>
                <w:szCs w:val="24"/>
              </w:rPr>
              <w:t>52</w:t>
            </w:r>
          </w:p>
        </w:tc>
      </w:tr>
      <w:tr w:rsidR="00575C57" w:rsidRPr="00575C57" w14:paraId="0993944D"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662718F7" w14:textId="77777777" w:rsidR="00575C57" w:rsidRPr="00575C57" w:rsidRDefault="00575C57" w:rsidP="00575C57">
            <w:pPr>
              <w:widowControl/>
              <w:rPr>
                <w:bCs/>
                <w:sz w:val="24"/>
                <w:szCs w:val="24"/>
              </w:rPr>
            </w:pPr>
            <w:r w:rsidRPr="00575C57">
              <w:rPr>
                <w:bCs/>
                <w:sz w:val="22"/>
                <w:szCs w:val="24"/>
              </w:rPr>
              <w:t>Portugalia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4F5A8D4"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5F5A9279" w14:textId="77777777" w:rsidR="00575C57" w:rsidRPr="00575C57" w:rsidRDefault="00575C57" w:rsidP="00575C57">
            <w:pPr>
              <w:widowControl/>
              <w:jc w:val="center"/>
              <w:rPr>
                <w:bCs/>
                <w:sz w:val="24"/>
                <w:szCs w:val="24"/>
              </w:rPr>
            </w:pPr>
            <w:r w:rsidRPr="00575C57">
              <w:rPr>
                <w:bCs/>
                <w:sz w:val="22"/>
                <w:szCs w:val="24"/>
              </w:rPr>
              <w:t>107</w:t>
            </w:r>
          </w:p>
        </w:tc>
        <w:tc>
          <w:tcPr>
            <w:tcW w:w="737" w:type="dxa"/>
            <w:tcBorders>
              <w:top w:val="single" w:sz="4" w:space="0" w:color="auto"/>
              <w:left w:val="single" w:sz="4" w:space="0" w:color="auto"/>
              <w:bottom w:val="single" w:sz="4" w:space="0" w:color="auto"/>
              <w:right w:val="single" w:sz="4" w:space="0" w:color="auto"/>
            </w:tcBorders>
            <w:vAlign w:val="center"/>
            <w:hideMark/>
          </w:tcPr>
          <w:p w14:paraId="30B21469" w14:textId="77777777" w:rsidR="00575C57" w:rsidRPr="00575C57" w:rsidRDefault="00575C57" w:rsidP="00575C57">
            <w:pPr>
              <w:widowControl/>
              <w:jc w:val="center"/>
              <w:rPr>
                <w:bCs/>
                <w:sz w:val="24"/>
                <w:szCs w:val="24"/>
              </w:rPr>
            </w:pPr>
            <w:r w:rsidRPr="00575C57">
              <w:rPr>
                <w:bCs/>
                <w:sz w:val="22"/>
                <w:szCs w:val="24"/>
              </w:rPr>
              <w:t>89</w:t>
            </w:r>
          </w:p>
        </w:tc>
        <w:tc>
          <w:tcPr>
            <w:tcW w:w="737" w:type="dxa"/>
            <w:tcBorders>
              <w:top w:val="single" w:sz="4" w:space="0" w:color="auto"/>
              <w:left w:val="single" w:sz="4" w:space="0" w:color="auto"/>
              <w:bottom w:val="single" w:sz="4" w:space="0" w:color="auto"/>
              <w:right w:val="single" w:sz="4" w:space="0" w:color="auto"/>
            </w:tcBorders>
            <w:vAlign w:val="center"/>
            <w:hideMark/>
          </w:tcPr>
          <w:p w14:paraId="3AC5BB90" w14:textId="77777777" w:rsidR="00575C57" w:rsidRPr="00575C57" w:rsidRDefault="00575C57" w:rsidP="00575C57">
            <w:pPr>
              <w:widowControl/>
              <w:jc w:val="center"/>
              <w:rPr>
                <w:bCs/>
                <w:sz w:val="24"/>
                <w:szCs w:val="24"/>
              </w:rPr>
            </w:pPr>
            <w:r w:rsidRPr="00575C57">
              <w:rPr>
                <w:bCs/>
                <w:sz w:val="22"/>
                <w:szCs w:val="24"/>
              </w:rPr>
              <w:t>102</w:t>
            </w:r>
          </w:p>
        </w:tc>
        <w:tc>
          <w:tcPr>
            <w:tcW w:w="737" w:type="dxa"/>
            <w:tcBorders>
              <w:top w:val="single" w:sz="4" w:space="0" w:color="auto"/>
              <w:left w:val="single" w:sz="4" w:space="0" w:color="auto"/>
              <w:bottom w:val="single" w:sz="4" w:space="0" w:color="auto"/>
              <w:right w:val="single" w:sz="4" w:space="0" w:color="auto"/>
            </w:tcBorders>
            <w:vAlign w:val="center"/>
            <w:hideMark/>
          </w:tcPr>
          <w:p w14:paraId="4EB95EB9" w14:textId="77777777" w:rsidR="00575C57" w:rsidRPr="00575C57" w:rsidRDefault="00575C57" w:rsidP="00575C57">
            <w:pPr>
              <w:widowControl/>
              <w:jc w:val="center"/>
              <w:rPr>
                <w:bCs/>
                <w:sz w:val="24"/>
                <w:szCs w:val="24"/>
              </w:rPr>
            </w:pPr>
            <w:r w:rsidRPr="00575C57">
              <w:rPr>
                <w:bCs/>
                <w:sz w:val="22"/>
                <w:szCs w:val="24"/>
              </w:rPr>
              <w:t>80</w:t>
            </w:r>
          </w:p>
        </w:tc>
        <w:tc>
          <w:tcPr>
            <w:tcW w:w="737" w:type="dxa"/>
            <w:tcBorders>
              <w:top w:val="single" w:sz="4" w:space="0" w:color="auto"/>
              <w:left w:val="single" w:sz="4" w:space="0" w:color="auto"/>
              <w:bottom w:val="single" w:sz="4" w:space="0" w:color="auto"/>
              <w:right w:val="single" w:sz="4" w:space="0" w:color="auto"/>
            </w:tcBorders>
            <w:vAlign w:val="center"/>
            <w:hideMark/>
          </w:tcPr>
          <w:p w14:paraId="3873D020" w14:textId="77777777" w:rsidR="00575C57" w:rsidRPr="00575C57" w:rsidRDefault="00575C57" w:rsidP="00575C57">
            <w:pPr>
              <w:widowControl/>
              <w:jc w:val="center"/>
              <w:rPr>
                <w:bCs/>
                <w:sz w:val="24"/>
                <w:szCs w:val="24"/>
              </w:rPr>
            </w:pPr>
            <w:r w:rsidRPr="00575C57">
              <w:rPr>
                <w:bCs/>
                <w:sz w:val="22"/>
                <w:szCs w:val="24"/>
              </w:rPr>
              <w:t>67</w:t>
            </w:r>
          </w:p>
        </w:tc>
        <w:tc>
          <w:tcPr>
            <w:tcW w:w="737" w:type="dxa"/>
            <w:tcBorders>
              <w:top w:val="single" w:sz="4" w:space="0" w:color="auto"/>
              <w:left w:val="single" w:sz="4" w:space="0" w:color="auto"/>
              <w:bottom w:val="single" w:sz="4" w:space="0" w:color="auto"/>
              <w:right w:val="single" w:sz="4" w:space="0" w:color="auto"/>
            </w:tcBorders>
            <w:vAlign w:val="center"/>
            <w:hideMark/>
          </w:tcPr>
          <w:p w14:paraId="4E042B33" w14:textId="77777777" w:rsidR="00575C57" w:rsidRPr="00575C57" w:rsidRDefault="00575C57" w:rsidP="00575C57">
            <w:pPr>
              <w:widowControl/>
              <w:jc w:val="center"/>
              <w:rPr>
                <w:bCs/>
                <w:sz w:val="24"/>
                <w:szCs w:val="24"/>
              </w:rPr>
            </w:pPr>
            <w:r w:rsidRPr="00575C57">
              <w:rPr>
                <w:bCs/>
                <w:sz w:val="22"/>
                <w:szCs w:val="24"/>
              </w:rPr>
              <w:t>71</w:t>
            </w:r>
          </w:p>
        </w:tc>
        <w:tc>
          <w:tcPr>
            <w:tcW w:w="737" w:type="dxa"/>
            <w:tcBorders>
              <w:top w:val="single" w:sz="4" w:space="0" w:color="auto"/>
              <w:left w:val="single" w:sz="4" w:space="0" w:color="auto"/>
              <w:bottom w:val="single" w:sz="4" w:space="0" w:color="auto"/>
              <w:right w:val="single" w:sz="4" w:space="0" w:color="auto"/>
            </w:tcBorders>
            <w:vAlign w:val="center"/>
            <w:hideMark/>
          </w:tcPr>
          <w:p w14:paraId="10FA19A0" w14:textId="77777777" w:rsidR="00575C57" w:rsidRPr="00575C57" w:rsidRDefault="00575C57" w:rsidP="00575C57">
            <w:pPr>
              <w:widowControl/>
              <w:jc w:val="center"/>
              <w:rPr>
                <w:bCs/>
                <w:sz w:val="24"/>
                <w:szCs w:val="24"/>
              </w:rPr>
            </w:pPr>
            <w:r w:rsidRPr="00575C57">
              <w:rPr>
                <w:bCs/>
                <w:sz w:val="22"/>
                <w:szCs w:val="24"/>
              </w:rPr>
              <w:t>61</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65B5B749" w14:textId="77777777" w:rsidR="00575C57" w:rsidRPr="00575C57" w:rsidRDefault="00575C57" w:rsidP="00575C57">
            <w:pPr>
              <w:widowControl/>
              <w:jc w:val="center"/>
              <w:rPr>
                <w:bCs/>
                <w:sz w:val="24"/>
                <w:szCs w:val="24"/>
              </w:rPr>
            </w:pPr>
            <w:r w:rsidRPr="00575C57">
              <w:rPr>
                <w:bCs/>
                <w:sz w:val="22"/>
                <w:szCs w:val="24"/>
              </w:rPr>
              <w:t>60</w:t>
            </w:r>
          </w:p>
        </w:tc>
        <w:tc>
          <w:tcPr>
            <w:tcW w:w="737" w:type="dxa"/>
            <w:tcBorders>
              <w:top w:val="single" w:sz="4" w:space="0" w:color="auto"/>
              <w:left w:val="single" w:sz="4" w:space="0" w:color="auto"/>
              <w:bottom w:val="single" w:sz="4" w:space="0" w:color="auto"/>
              <w:right w:val="single" w:sz="4" w:space="0" w:color="auto"/>
            </w:tcBorders>
            <w:vAlign w:val="center"/>
            <w:hideMark/>
          </w:tcPr>
          <w:p w14:paraId="07455326" w14:textId="77777777" w:rsidR="00575C57" w:rsidRPr="00575C57" w:rsidRDefault="00575C57" w:rsidP="00575C57">
            <w:pPr>
              <w:widowControl/>
              <w:jc w:val="center"/>
              <w:rPr>
                <w:bCs/>
                <w:sz w:val="24"/>
                <w:szCs w:val="24"/>
              </w:rPr>
            </w:pPr>
            <w:r w:rsidRPr="00575C57">
              <w:rPr>
                <w:bCs/>
                <w:sz w:val="22"/>
                <w:szCs w:val="24"/>
              </w:rPr>
              <w:t>54</w:t>
            </w:r>
          </w:p>
        </w:tc>
      </w:tr>
      <w:tr w:rsidR="00575C57" w:rsidRPr="00575C57" w14:paraId="4D688083"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7DAD09FD" w14:textId="77777777" w:rsidR="00575C57" w:rsidRPr="00575C57" w:rsidRDefault="00575C57" w:rsidP="00575C57">
            <w:pPr>
              <w:widowControl/>
              <w:rPr>
                <w:bCs/>
                <w:sz w:val="24"/>
                <w:szCs w:val="24"/>
              </w:rPr>
            </w:pPr>
            <w:r w:rsidRPr="00575C57">
              <w:rPr>
                <w:bCs/>
                <w:sz w:val="22"/>
                <w:szCs w:val="24"/>
              </w:rPr>
              <w:t>Rumunia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2651BB4"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2BE4BEB4" w14:textId="77777777" w:rsidR="00575C57" w:rsidRPr="00575C57" w:rsidRDefault="00575C57" w:rsidP="00575C57">
            <w:pPr>
              <w:widowControl/>
              <w:jc w:val="center"/>
              <w:rPr>
                <w:bCs/>
                <w:sz w:val="24"/>
                <w:szCs w:val="24"/>
              </w:rPr>
            </w:pPr>
            <w:r w:rsidRPr="00575C57">
              <w:rPr>
                <w:bCs/>
                <w:sz w:val="22"/>
                <w:szCs w:val="24"/>
              </w:rPr>
              <w:t>60</w:t>
            </w:r>
          </w:p>
        </w:tc>
        <w:tc>
          <w:tcPr>
            <w:tcW w:w="737" w:type="dxa"/>
            <w:tcBorders>
              <w:top w:val="single" w:sz="4" w:space="0" w:color="auto"/>
              <w:left w:val="single" w:sz="4" w:space="0" w:color="auto"/>
              <w:bottom w:val="single" w:sz="4" w:space="0" w:color="auto"/>
              <w:right w:val="single" w:sz="4" w:space="0" w:color="auto"/>
            </w:tcBorders>
            <w:vAlign w:val="center"/>
            <w:hideMark/>
          </w:tcPr>
          <w:p w14:paraId="0174D20A" w14:textId="77777777" w:rsidR="00575C57" w:rsidRPr="00575C57" w:rsidRDefault="00575C57" w:rsidP="00575C57">
            <w:pPr>
              <w:widowControl/>
              <w:jc w:val="center"/>
              <w:rPr>
                <w:bCs/>
                <w:sz w:val="24"/>
                <w:szCs w:val="24"/>
              </w:rPr>
            </w:pPr>
            <w:r w:rsidRPr="00575C57">
              <w:rPr>
                <w:bCs/>
                <w:sz w:val="22"/>
                <w:szCs w:val="24"/>
              </w:rPr>
              <w:t>60</w:t>
            </w:r>
          </w:p>
        </w:tc>
        <w:tc>
          <w:tcPr>
            <w:tcW w:w="737" w:type="dxa"/>
            <w:tcBorders>
              <w:top w:val="single" w:sz="4" w:space="0" w:color="auto"/>
              <w:left w:val="single" w:sz="4" w:space="0" w:color="auto"/>
              <w:bottom w:val="single" w:sz="4" w:space="0" w:color="auto"/>
              <w:right w:val="single" w:sz="4" w:space="0" w:color="auto"/>
            </w:tcBorders>
            <w:vAlign w:val="center"/>
            <w:hideMark/>
          </w:tcPr>
          <w:p w14:paraId="79AA8A84" w14:textId="77777777" w:rsidR="00575C57" w:rsidRPr="00575C57" w:rsidRDefault="00575C57" w:rsidP="00575C57">
            <w:pPr>
              <w:widowControl/>
              <w:jc w:val="center"/>
              <w:rPr>
                <w:bCs/>
                <w:sz w:val="24"/>
                <w:szCs w:val="24"/>
              </w:rPr>
            </w:pPr>
            <w:r w:rsidRPr="00575C57">
              <w:rPr>
                <w:bCs/>
                <w:sz w:val="22"/>
                <w:szCs w:val="24"/>
              </w:rPr>
              <w:t>58</w:t>
            </w:r>
          </w:p>
        </w:tc>
        <w:tc>
          <w:tcPr>
            <w:tcW w:w="737" w:type="dxa"/>
            <w:tcBorders>
              <w:top w:val="single" w:sz="4" w:space="0" w:color="auto"/>
              <w:left w:val="single" w:sz="4" w:space="0" w:color="auto"/>
              <w:bottom w:val="single" w:sz="4" w:space="0" w:color="auto"/>
              <w:right w:val="single" w:sz="4" w:space="0" w:color="auto"/>
            </w:tcBorders>
            <w:vAlign w:val="center"/>
            <w:hideMark/>
          </w:tcPr>
          <w:p w14:paraId="1E90F5B3" w14:textId="77777777" w:rsidR="00575C57" w:rsidRPr="00575C57" w:rsidRDefault="00575C57" w:rsidP="00575C57">
            <w:pPr>
              <w:widowControl/>
              <w:jc w:val="center"/>
              <w:rPr>
                <w:bCs/>
                <w:sz w:val="24"/>
                <w:szCs w:val="24"/>
              </w:rPr>
            </w:pPr>
            <w:r w:rsidRPr="00575C57">
              <w:rPr>
                <w:bCs/>
                <w:sz w:val="22"/>
                <w:szCs w:val="24"/>
              </w:rPr>
              <w:t>62</w:t>
            </w:r>
          </w:p>
        </w:tc>
        <w:tc>
          <w:tcPr>
            <w:tcW w:w="737" w:type="dxa"/>
            <w:tcBorders>
              <w:top w:val="single" w:sz="4" w:space="0" w:color="auto"/>
              <w:left w:val="single" w:sz="4" w:space="0" w:color="auto"/>
              <w:bottom w:val="single" w:sz="4" w:space="0" w:color="auto"/>
              <w:right w:val="single" w:sz="4" w:space="0" w:color="auto"/>
            </w:tcBorders>
            <w:vAlign w:val="center"/>
            <w:hideMark/>
          </w:tcPr>
          <w:p w14:paraId="3A2E89E7" w14:textId="77777777" w:rsidR="00575C57" w:rsidRPr="00575C57" w:rsidRDefault="00575C57" w:rsidP="00575C57">
            <w:pPr>
              <w:widowControl/>
              <w:jc w:val="center"/>
              <w:rPr>
                <w:bCs/>
                <w:sz w:val="24"/>
                <w:szCs w:val="24"/>
              </w:rPr>
            </w:pPr>
            <w:r w:rsidRPr="00575C57">
              <w:rPr>
                <w:bCs/>
                <w:sz w:val="22"/>
                <w:szCs w:val="24"/>
              </w:rPr>
              <w:t>63</w:t>
            </w:r>
          </w:p>
        </w:tc>
        <w:tc>
          <w:tcPr>
            <w:tcW w:w="737" w:type="dxa"/>
            <w:tcBorders>
              <w:top w:val="single" w:sz="4" w:space="0" w:color="auto"/>
              <w:left w:val="single" w:sz="4" w:space="0" w:color="auto"/>
              <w:bottom w:val="single" w:sz="4" w:space="0" w:color="auto"/>
              <w:right w:val="single" w:sz="4" w:space="0" w:color="auto"/>
            </w:tcBorders>
            <w:vAlign w:val="center"/>
            <w:hideMark/>
          </w:tcPr>
          <w:p w14:paraId="266D2D66" w14:textId="77777777" w:rsidR="00575C57" w:rsidRPr="00575C57" w:rsidRDefault="00575C57" w:rsidP="00575C57">
            <w:pPr>
              <w:widowControl/>
              <w:jc w:val="center"/>
              <w:rPr>
                <w:bCs/>
                <w:sz w:val="24"/>
                <w:szCs w:val="24"/>
              </w:rPr>
            </w:pPr>
            <w:r w:rsidRPr="00575C57">
              <w:rPr>
                <w:bCs/>
                <w:sz w:val="22"/>
                <w:szCs w:val="24"/>
              </w:rPr>
              <w:t>51</w:t>
            </w:r>
          </w:p>
        </w:tc>
        <w:tc>
          <w:tcPr>
            <w:tcW w:w="737" w:type="dxa"/>
            <w:tcBorders>
              <w:top w:val="single" w:sz="4" w:space="0" w:color="auto"/>
              <w:left w:val="single" w:sz="4" w:space="0" w:color="auto"/>
              <w:bottom w:val="single" w:sz="4" w:space="0" w:color="auto"/>
              <w:right w:val="single" w:sz="4" w:space="0" w:color="auto"/>
            </w:tcBorders>
            <w:vAlign w:val="center"/>
            <w:hideMark/>
          </w:tcPr>
          <w:p w14:paraId="45736AA9" w14:textId="77777777" w:rsidR="00575C57" w:rsidRPr="00575C57" w:rsidRDefault="00575C57" w:rsidP="00575C57">
            <w:pPr>
              <w:widowControl/>
              <w:jc w:val="center"/>
              <w:rPr>
                <w:bCs/>
                <w:sz w:val="24"/>
                <w:szCs w:val="24"/>
              </w:rPr>
            </w:pPr>
            <w:r w:rsidRPr="00575C57">
              <w:rPr>
                <w:bCs/>
                <w:sz w:val="22"/>
                <w:szCs w:val="24"/>
              </w:rPr>
              <w:t>42</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77CFAF9B" w14:textId="77777777" w:rsidR="00575C57" w:rsidRPr="00575C57" w:rsidRDefault="00575C57" w:rsidP="00575C57">
            <w:pPr>
              <w:widowControl/>
              <w:jc w:val="center"/>
              <w:rPr>
                <w:bCs/>
                <w:sz w:val="24"/>
                <w:szCs w:val="24"/>
              </w:rPr>
            </w:pPr>
            <w:r w:rsidRPr="00575C57">
              <w:rPr>
                <w:bCs/>
                <w:sz w:val="22"/>
                <w:szCs w:val="24"/>
              </w:rPr>
              <w:t>34</w:t>
            </w:r>
          </w:p>
        </w:tc>
        <w:tc>
          <w:tcPr>
            <w:tcW w:w="737" w:type="dxa"/>
            <w:tcBorders>
              <w:top w:val="single" w:sz="4" w:space="0" w:color="auto"/>
              <w:left w:val="single" w:sz="4" w:space="0" w:color="auto"/>
              <w:bottom w:val="single" w:sz="4" w:space="0" w:color="auto"/>
              <w:right w:val="single" w:sz="4" w:space="0" w:color="auto"/>
            </w:tcBorders>
            <w:vAlign w:val="center"/>
            <w:hideMark/>
          </w:tcPr>
          <w:p w14:paraId="7590C1D2" w14:textId="77777777" w:rsidR="00575C57" w:rsidRPr="00575C57" w:rsidRDefault="00575C57" w:rsidP="00575C57">
            <w:pPr>
              <w:widowControl/>
              <w:jc w:val="center"/>
              <w:rPr>
                <w:bCs/>
                <w:sz w:val="24"/>
                <w:szCs w:val="24"/>
              </w:rPr>
            </w:pPr>
            <w:r w:rsidRPr="00575C57">
              <w:rPr>
                <w:bCs/>
                <w:sz w:val="22"/>
                <w:szCs w:val="24"/>
              </w:rPr>
              <w:t>27</w:t>
            </w:r>
          </w:p>
        </w:tc>
      </w:tr>
      <w:tr w:rsidR="00575C57" w:rsidRPr="00575C57" w14:paraId="36B3DC33"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3D16F8BB" w14:textId="77777777" w:rsidR="00575C57" w:rsidRPr="00575C57" w:rsidRDefault="00575C57" w:rsidP="00575C57">
            <w:pPr>
              <w:widowControl/>
              <w:rPr>
                <w:bCs/>
                <w:sz w:val="24"/>
                <w:szCs w:val="24"/>
              </w:rPr>
            </w:pPr>
            <w:r w:rsidRPr="00575C57">
              <w:rPr>
                <w:bCs/>
                <w:sz w:val="22"/>
                <w:szCs w:val="24"/>
              </w:rPr>
              <w:t>Słowacja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551014A"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7FAB482C" w14:textId="77777777" w:rsidR="00575C57" w:rsidRPr="00575C57" w:rsidRDefault="00575C57" w:rsidP="00575C57">
            <w:pPr>
              <w:widowControl/>
              <w:jc w:val="center"/>
              <w:rPr>
                <w:bCs/>
                <w:sz w:val="24"/>
                <w:szCs w:val="24"/>
              </w:rPr>
            </w:pPr>
            <w:r w:rsidRPr="00575C57">
              <w:rPr>
                <w:bCs/>
                <w:sz w:val="22"/>
                <w:szCs w:val="24"/>
              </w:rPr>
              <w:t>92</w:t>
            </w:r>
          </w:p>
        </w:tc>
        <w:tc>
          <w:tcPr>
            <w:tcW w:w="737" w:type="dxa"/>
            <w:tcBorders>
              <w:top w:val="single" w:sz="4" w:space="0" w:color="auto"/>
              <w:left w:val="single" w:sz="4" w:space="0" w:color="auto"/>
              <w:bottom w:val="single" w:sz="4" w:space="0" w:color="auto"/>
              <w:right w:val="single" w:sz="4" w:space="0" w:color="auto"/>
            </w:tcBorders>
            <w:vAlign w:val="center"/>
            <w:hideMark/>
          </w:tcPr>
          <w:p w14:paraId="68FCCD72" w14:textId="77777777" w:rsidR="00575C57" w:rsidRPr="00575C57" w:rsidRDefault="00575C57" w:rsidP="00575C57">
            <w:pPr>
              <w:widowControl/>
              <w:jc w:val="center"/>
              <w:rPr>
                <w:bCs/>
                <w:sz w:val="24"/>
                <w:szCs w:val="24"/>
              </w:rPr>
            </w:pPr>
            <w:r w:rsidRPr="00575C57">
              <w:rPr>
                <w:bCs/>
                <w:sz w:val="22"/>
                <w:szCs w:val="24"/>
              </w:rPr>
              <w:t>95</w:t>
            </w:r>
          </w:p>
        </w:tc>
        <w:tc>
          <w:tcPr>
            <w:tcW w:w="737" w:type="dxa"/>
            <w:tcBorders>
              <w:top w:val="single" w:sz="4" w:space="0" w:color="auto"/>
              <w:left w:val="single" w:sz="4" w:space="0" w:color="auto"/>
              <w:bottom w:val="single" w:sz="4" w:space="0" w:color="auto"/>
              <w:right w:val="single" w:sz="4" w:space="0" w:color="auto"/>
            </w:tcBorders>
            <w:vAlign w:val="center"/>
            <w:hideMark/>
          </w:tcPr>
          <w:p w14:paraId="45628C38" w14:textId="77777777" w:rsidR="00575C57" w:rsidRPr="00575C57" w:rsidRDefault="00575C57" w:rsidP="00575C57">
            <w:pPr>
              <w:widowControl/>
              <w:jc w:val="center"/>
              <w:rPr>
                <w:bCs/>
                <w:sz w:val="24"/>
                <w:szCs w:val="24"/>
              </w:rPr>
            </w:pPr>
            <w:r w:rsidRPr="00575C57">
              <w:rPr>
                <w:bCs/>
                <w:sz w:val="22"/>
                <w:szCs w:val="24"/>
              </w:rPr>
              <w:t>95</w:t>
            </w:r>
          </w:p>
        </w:tc>
        <w:tc>
          <w:tcPr>
            <w:tcW w:w="737" w:type="dxa"/>
            <w:tcBorders>
              <w:top w:val="single" w:sz="4" w:space="0" w:color="auto"/>
              <w:left w:val="single" w:sz="4" w:space="0" w:color="auto"/>
              <w:bottom w:val="single" w:sz="4" w:space="0" w:color="auto"/>
              <w:right w:val="single" w:sz="4" w:space="0" w:color="auto"/>
            </w:tcBorders>
            <w:vAlign w:val="center"/>
            <w:hideMark/>
          </w:tcPr>
          <w:p w14:paraId="70AA1935" w14:textId="77777777" w:rsidR="00575C57" w:rsidRPr="00575C57" w:rsidRDefault="00575C57" w:rsidP="00575C57">
            <w:pPr>
              <w:widowControl/>
              <w:jc w:val="center"/>
              <w:rPr>
                <w:bCs/>
                <w:sz w:val="24"/>
                <w:szCs w:val="24"/>
              </w:rPr>
            </w:pPr>
            <w:r w:rsidRPr="00575C57">
              <w:rPr>
                <w:bCs/>
                <w:sz w:val="22"/>
                <w:szCs w:val="24"/>
              </w:rPr>
              <w:t>99</w:t>
            </w:r>
          </w:p>
        </w:tc>
        <w:tc>
          <w:tcPr>
            <w:tcW w:w="737" w:type="dxa"/>
            <w:tcBorders>
              <w:top w:val="single" w:sz="4" w:space="0" w:color="auto"/>
              <w:left w:val="single" w:sz="4" w:space="0" w:color="auto"/>
              <w:bottom w:val="single" w:sz="4" w:space="0" w:color="auto"/>
              <w:right w:val="single" w:sz="4" w:space="0" w:color="auto"/>
            </w:tcBorders>
            <w:vAlign w:val="center"/>
            <w:hideMark/>
          </w:tcPr>
          <w:p w14:paraId="4895F06D" w14:textId="77777777" w:rsidR="00575C57" w:rsidRPr="00575C57" w:rsidRDefault="00575C57" w:rsidP="00575C57">
            <w:pPr>
              <w:widowControl/>
              <w:jc w:val="center"/>
              <w:rPr>
                <w:bCs/>
                <w:sz w:val="24"/>
                <w:szCs w:val="24"/>
              </w:rPr>
            </w:pPr>
            <w:r w:rsidRPr="00575C57">
              <w:rPr>
                <w:bCs/>
                <w:sz w:val="22"/>
                <w:szCs w:val="24"/>
              </w:rPr>
              <w:t>105</w:t>
            </w:r>
          </w:p>
        </w:tc>
        <w:tc>
          <w:tcPr>
            <w:tcW w:w="737" w:type="dxa"/>
            <w:tcBorders>
              <w:top w:val="single" w:sz="4" w:space="0" w:color="auto"/>
              <w:left w:val="single" w:sz="4" w:space="0" w:color="auto"/>
              <w:bottom w:val="single" w:sz="4" w:space="0" w:color="auto"/>
              <w:right w:val="single" w:sz="4" w:space="0" w:color="auto"/>
            </w:tcBorders>
            <w:vAlign w:val="center"/>
            <w:hideMark/>
          </w:tcPr>
          <w:p w14:paraId="3B356E46" w14:textId="77777777" w:rsidR="00575C57" w:rsidRPr="00575C57" w:rsidRDefault="00575C57" w:rsidP="00575C57">
            <w:pPr>
              <w:widowControl/>
              <w:jc w:val="center"/>
              <w:rPr>
                <w:bCs/>
                <w:sz w:val="24"/>
                <w:szCs w:val="24"/>
              </w:rPr>
            </w:pPr>
            <w:r w:rsidRPr="00575C57">
              <w:rPr>
                <w:bCs/>
                <w:sz w:val="22"/>
                <w:szCs w:val="24"/>
              </w:rPr>
              <w:t>99</w:t>
            </w:r>
          </w:p>
        </w:tc>
        <w:tc>
          <w:tcPr>
            <w:tcW w:w="737" w:type="dxa"/>
            <w:tcBorders>
              <w:top w:val="single" w:sz="4" w:space="0" w:color="auto"/>
              <w:left w:val="single" w:sz="4" w:space="0" w:color="auto"/>
              <w:bottom w:val="single" w:sz="4" w:space="0" w:color="auto"/>
              <w:right w:val="single" w:sz="4" w:space="0" w:color="auto"/>
            </w:tcBorders>
            <w:vAlign w:val="center"/>
            <w:hideMark/>
          </w:tcPr>
          <w:p w14:paraId="0BD443C2" w14:textId="77777777" w:rsidR="00575C57" w:rsidRPr="00575C57" w:rsidRDefault="00575C57" w:rsidP="00575C57">
            <w:pPr>
              <w:widowControl/>
              <w:jc w:val="center"/>
              <w:rPr>
                <w:bCs/>
                <w:sz w:val="24"/>
                <w:szCs w:val="24"/>
              </w:rPr>
            </w:pPr>
            <w:r w:rsidRPr="00575C57">
              <w:rPr>
                <w:bCs/>
                <w:sz w:val="22"/>
                <w:szCs w:val="24"/>
              </w:rPr>
              <w:t>82</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69381229" w14:textId="77777777" w:rsidR="00575C57" w:rsidRPr="00575C57" w:rsidRDefault="00575C57" w:rsidP="00575C57">
            <w:pPr>
              <w:widowControl/>
              <w:jc w:val="center"/>
              <w:rPr>
                <w:bCs/>
                <w:sz w:val="24"/>
                <w:szCs w:val="24"/>
              </w:rPr>
            </w:pPr>
            <w:r w:rsidRPr="00575C57">
              <w:rPr>
                <w:bCs/>
                <w:sz w:val="22"/>
                <w:szCs w:val="24"/>
              </w:rPr>
              <w:t>59</w:t>
            </w:r>
          </w:p>
        </w:tc>
        <w:tc>
          <w:tcPr>
            <w:tcW w:w="737" w:type="dxa"/>
            <w:tcBorders>
              <w:top w:val="single" w:sz="4" w:space="0" w:color="auto"/>
              <w:left w:val="single" w:sz="4" w:space="0" w:color="auto"/>
              <w:bottom w:val="single" w:sz="4" w:space="0" w:color="auto"/>
              <w:right w:val="single" w:sz="4" w:space="0" w:color="auto"/>
            </w:tcBorders>
            <w:vAlign w:val="center"/>
            <w:hideMark/>
          </w:tcPr>
          <w:p w14:paraId="271DA0F0" w14:textId="77777777" w:rsidR="00575C57" w:rsidRPr="00575C57" w:rsidRDefault="00575C57" w:rsidP="00575C57">
            <w:pPr>
              <w:widowControl/>
              <w:jc w:val="center"/>
              <w:rPr>
                <w:bCs/>
                <w:sz w:val="24"/>
                <w:szCs w:val="24"/>
              </w:rPr>
            </w:pPr>
            <w:r w:rsidRPr="00575C57">
              <w:rPr>
                <w:bCs/>
                <w:sz w:val="22"/>
                <w:szCs w:val="24"/>
              </w:rPr>
              <w:t>48</w:t>
            </w:r>
          </w:p>
        </w:tc>
      </w:tr>
      <w:tr w:rsidR="00575C57" w:rsidRPr="00575C57" w14:paraId="7C038EF8"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2D134F2B" w14:textId="77777777" w:rsidR="00575C57" w:rsidRPr="00575C57" w:rsidRDefault="00575C57" w:rsidP="00575C57">
            <w:pPr>
              <w:widowControl/>
              <w:rPr>
                <w:bCs/>
                <w:sz w:val="24"/>
                <w:szCs w:val="24"/>
              </w:rPr>
            </w:pPr>
            <w:r w:rsidRPr="00575C57">
              <w:rPr>
                <w:bCs/>
                <w:sz w:val="22"/>
                <w:szCs w:val="24"/>
              </w:rPr>
              <w:t>Słowenia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8D0F8C4"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63E4505E" w14:textId="77777777" w:rsidR="00575C57" w:rsidRPr="00575C57" w:rsidRDefault="00575C57" w:rsidP="00575C57">
            <w:pPr>
              <w:widowControl/>
              <w:jc w:val="center"/>
              <w:rPr>
                <w:bCs/>
                <w:sz w:val="24"/>
                <w:szCs w:val="24"/>
              </w:rPr>
            </w:pPr>
            <w:r w:rsidRPr="00575C57">
              <w:rPr>
                <w:bCs/>
                <w:sz w:val="22"/>
                <w:szCs w:val="24"/>
              </w:rPr>
              <w:t>95</w:t>
            </w:r>
          </w:p>
        </w:tc>
        <w:tc>
          <w:tcPr>
            <w:tcW w:w="737" w:type="dxa"/>
            <w:tcBorders>
              <w:top w:val="single" w:sz="4" w:space="0" w:color="auto"/>
              <w:left w:val="single" w:sz="4" w:space="0" w:color="auto"/>
              <w:bottom w:val="single" w:sz="4" w:space="0" w:color="auto"/>
              <w:right w:val="single" w:sz="4" w:space="0" w:color="auto"/>
            </w:tcBorders>
            <w:vAlign w:val="center"/>
            <w:hideMark/>
          </w:tcPr>
          <w:p w14:paraId="48EC05D5" w14:textId="77777777" w:rsidR="00575C57" w:rsidRPr="00575C57" w:rsidRDefault="00575C57" w:rsidP="00575C57">
            <w:pPr>
              <w:widowControl/>
              <w:jc w:val="center"/>
              <w:rPr>
                <w:bCs/>
                <w:sz w:val="24"/>
                <w:szCs w:val="24"/>
              </w:rPr>
            </w:pPr>
            <w:r w:rsidRPr="00575C57">
              <w:rPr>
                <w:bCs/>
                <w:sz w:val="22"/>
                <w:szCs w:val="24"/>
              </w:rPr>
              <w:t>97</w:t>
            </w:r>
          </w:p>
        </w:tc>
        <w:tc>
          <w:tcPr>
            <w:tcW w:w="737" w:type="dxa"/>
            <w:tcBorders>
              <w:top w:val="single" w:sz="4" w:space="0" w:color="auto"/>
              <w:left w:val="single" w:sz="4" w:space="0" w:color="auto"/>
              <w:bottom w:val="single" w:sz="4" w:space="0" w:color="auto"/>
              <w:right w:val="single" w:sz="4" w:space="0" w:color="auto"/>
            </w:tcBorders>
            <w:vAlign w:val="center"/>
            <w:hideMark/>
          </w:tcPr>
          <w:p w14:paraId="21A8947F" w14:textId="77777777" w:rsidR="00575C57" w:rsidRPr="00575C57" w:rsidRDefault="00575C57" w:rsidP="00575C57">
            <w:pPr>
              <w:widowControl/>
              <w:jc w:val="center"/>
              <w:rPr>
                <w:bCs/>
                <w:sz w:val="24"/>
                <w:szCs w:val="24"/>
              </w:rPr>
            </w:pPr>
            <w:r w:rsidRPr="00575C57">
              <w:rPr>
                <w:bCs/>
                <w:sz w:val="22"/>
                <w:szCs w:val="24"/>
              </w:rPr>
              <w:t>103</w:t>
            </w:r>
          </w:p>
        </w:tc>
        <w:tc>
          <w:tcPr>
            <w:tcW w:w="737" w:type="dxa"/>
            <w:tcBorders>
              <w:top w:val="single" w:sz="4" w:space="0" w:color="auto"/>
              <w:left w:val="single" w:sz="4" w:space="0" w:color="auto"/>
              <w:bottom w:val="single" w:sz="4" w:space="0" w:color="auto"/>
              <w:right w:val="single" w:sz="4" w:space="0" w:color="auto"/>
            </w:tcBorders>
            <w:vAlign w:val="center"/>
            <w:hideMark/>
          </w:tcPr>
          <w:p w14:paraId="5B5596FD" w14:textId="77777777" w:rsidR="00575C57" w:rsidRPr="00575C57" w:rsidRDefault="00575C57" w:rsidP="00575C57">
            <w:pPr>
              <w:widowControl/>
              <w:jc w:val="center"/>
              <w:rPr>
                <w:bCs/>
                <w:sz w:val="24"/>
                <w:szCs w:val="24"/>
              </w:rPr>
            </w:pPr>
            <w:r w:rsidRPr="00575C57">
              <w:rPr>
                <w:bCs/>
                <w:sz w:val="22"/>
                <w:szCs w:val="24"/>
              </w:rPr>
              <w:t>94</w:t>
            </w:r>
          </w:p>
        </w:tc>
        <w:tc>
          <w:tcPr>
            <w:tcW w:w="737" w:type="dxa"/>
            <w:tcBorders>
              <w:top w:val="single" w:sz="4" w:space="0" w:color="auto"/>
              <w:left w:val="single" w:sz="4" w:space="0" w:color="auto"/>
              <w:bottom w:val="single" w:sz="4" w:space="0" w:color="auto"/>
              <w:right w:val="single" w:sz="4" w:space="0" w:color="auto"/>
            </w:tcBorders>
            <w:vAlign w:val="center"/>
            <w:hideMark/>
          </w:tcPr>
          <w:p w14:paraId="7D8E535B" w14:textId="77777777" w:rsidR="00575C57" w:rsidRPr="00575C57" w:rsidRDefault="00575C57" w:rsidP="00575C57">
            <w:pPr>
              <w:widowControl/>
              <w:jc w:val="center"/>
              <w:rPr>
                <w:bCs/>
                <w:sz w:val="24"/>
                <w:szCs w:val="24"/>
              </w:rPr>
            </w:pPr>
            <w:r w:rsidRPr="00575C57">
              <w:rPr>
                <w:bCs/>
                <w:sz w:val="22"/>
                <w:szCs w:val="24"/>
              </w:rPr>
              <w:t>99</w:t>
            </w:r>
          </w:p>
        </w:tc>
        <w:tc>
          <w:tcPr>
            <w:tcW w:w="737" w:type="dxa"/>
            <w:tcBorders>
              <w:top w:val="single" w:sz="4" w:space="0" w:color="auto"/>
              <w:left w:val="single" w:sz="4" w:space="0" w:color="auto"/>
              <w:bottom w:val="single" w:sz="4" w:space="0" w:color="auto"/>
              <w:right w:val="single" w:sz="4" w:space="0" w:color="auto"/>
            </w:tcBorders>
            <w:vAlign w:val="center"/>
            <w:hideMark/>
          </w:tcPr>
          <w:p w14:paraId="5820B607" w14:textId="77777777" w:rsidR="00575C57" w:rsidRPr="00575C57" w:rsidRDefault="00575C57" w:rsidP="00575C57">
            <w:pPr>
              <w:widowControl/>
              <w:jc w:val="center"/>
              <w:rPr>
                <w:bCs/>
                <w:sz w:val="24"/>
                <w:szCs w:val="24"/>
              </w:rPr>
            </w:pPr>
            <w:r w:rsidRPr="00575C57">
              <w:rPr>
                <w:bCs/>
                <w:sz w:val="22"/>
                <w:szCs w:val="24"/>
              </w:rPr>
              <w:t>73</w:t>
            </w:r>
          </w:p>
        </w:tc>
        <w:tc>
          <w:tcPr>
            <w:tcW w:w="737" w:type="dxa"/>
            <w:tcBorders>
              <w:top w:val="single" w:sz="4" w:space="0" w:color="auto"/>
              <w:left w:val="single" w:sz="4" w:space="0" w:color="auto"/>
              <w:bottom w:val="single" w:sz="4" w:space="0" w:color="auto"/>
              <w:right w:val="single" w:sz="4" w:space="0" w:color="auto"/>
            </w:tcBorders>
            <w:vAlign w:val="center"/>
            <w:hideMark/>
          </w:tcPr>
          <w:p w14:paraId="79F42100" w14:textId="77777777" w:rsidR="00575C57" w:rsidRPr="00575C57" w:rsidRDefault="00575C57" w:rsidP="00575C57">
            <w:pPr>
              <w:widowControl/>
              <w:jc w:val="center"/>
              <w:rPr>
                <w:bCs/>
                <w:sz w:val="24"/>
                <w:szCs w:val="24"/>
              </w:rPr>
            </w:pPr>
            <w:r w:rsidRPr="00575C57">
              <w:rPr>
                <w:bCs/>
                <w:sz w:val="22"/>
                <w:szCs w:val="24"/>
              </w:rPr>
              <w:t>68</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25A303DF" w14:textId="77777777" w:rsidR="00575C57" w:rsidRPr="00575C57" w:rsidRDefault="00575C57" w:rsidP="00575C57">
            <w:pPr>
              <w:widowControl/>
              <w:jc w:val="center"/>
              <w:rPr>
                <w:bCs/>
                <w:sz w:val="24"/>
                <w:szCs w:val="24"/>
              </w:rPr>
            </w:pPr>
            <w:r w:rsidRPr="00575C57">
              <w:rPr>
                <w:bCs/>
                <w:sz w:val="22"/>
                <w:szCs w:val="24"/>
              </w:rPr>
              <w:t>64</w:t>
            </w:r>
          </w:p>
        </w:tc>
        <w:tc>
          <w:tcPr>
            <w:tcW w:w="737" w:type="dxa"/>
            <w:tcBorders>
              <w:top w:val="single" w:sz="4" w:space="0" w:color="auto"/>
              <w:left w:val="single" w:sz="4" w:space="0" w:color="auto"/>
              <w:bottom w:val="single" w:sz="4" w:space="0" w:color="auto"/>
              <w:right w:val="single" w:sz="4" w:space="0" w:color="auto"/>
            </w:tcBorders>
            <w:vAlign w:val="center"/>
            <w:hideMark/>
          </w:tcPr>
          <w:p w14:paraId="79D85A0D" w14:textId="77777777" w:rsidR="00575C57" w:rsidRPr="00575C57" w:rsidRDefault="00575C57" w:rsidP="00575C57">
            <w:pPr>
              <w:widowControl/>
              <w:jc w:val="center"/>
              <w:rPr>
                <w:bCs/>
                <w:sz w:val="24"/>
                <w:szCs w:val="24"/>
              </w:rPr>
            </w:pPr>
            <w:r w:rsidRPr="00575C57">
              <w:rPr>
                <w:bCs/>
                <w:sz w:val="22"/>
                <w:szCs w:val="24"/>
              </w:rPr>
              <w:t>58</w:t>
            </w:r>
          </w:p>
        </w:tc>
      </w:tr>
      <w:tr w:rsidR="00575C57" w:rsidRPr="00575C57" w14:paraId="20EC247B"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2F90AFD0" w14:textId="77777777" w:rsidR="00575C57" w:rsidRPr="00575C57" w:rsidRDefault="00575C57" w:rsidP="00575C57">
            <w:pPr>
              <w:widowControl/>
              <w:rPr>
                <w:bCs/>
                <w:sz w:val="24"/>
                <w:szCs w:val="24"/>
              </w:rPr>
            </w:pPr>
            <w:r w:rsidRPr="00575C57">
              <w:rPr>
                <w:bCs/>
                <w:sz w:val="22"/>
                <w:szCs w:val="24"/>
              </w:rPr>
              <w:t>Szwecja</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CB591CE"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3CA78479" w14:textId="77777777" w:rsidR="00575C57" w:rsidRPr="00575C57" w:rsidRDefault="00575C57" w:rsidP="00575C57">
            <w:pPr>
              <w:widowControl/>
              <w:jc w:val="center"/>
              <w:rPr>
                <w:bCs/>
                <w:sz w:val="24"/>
                <w:szCs w:val="24"/>
              </w:rPr>
            </w:pPr>
            <w:r w:rsidRPr="00575C57">
              <w:rPr>
                <w:bCs/>
                <w:sz w:val="22"/>
                <w:szCs w:val="24"/>
              </w:rPr>
              <w:t>86</w:t>
            </w:r>
          </w:p>
        </w:tc>
        <w:tc>
          <w:tcPr>
            <w:tcW w:w="737" w:type="dxa"/>
            <w:tcBorders>
              <w:top w:val="single" w:sz="4" w:space="0" w:color="auto"/>
              <w:left w:val="single" w:sz="4" w:space="0" w:color="auto"/>
              <w:bottom w:val="single" w:sz="4" w:space="0" w:color="auto"/>
              <w:right w:val="single" w:sz="4" w:space="0" w:color="auto"/>
            </w:tcBorders>
            <w:vAlign w:val="center"/>
            <w:hideMark/>
          </w:tcPr>
          <w:p w14:paraId="0191DA5F" w14:textId="77777777" w:rsidR="00575C57" w:rsidRPr="00575C57" w:rsidRDefault="00575C57" w:rsidP="00575C57">
            <w:pPr>
              <w:widowControl/>
              <w:jc w:val="center"/>
              <w:rPr>
                <w:bCs/>
                <w:sz w:val="24"/>
                <w:szCs w:val="24"/>
              </w:rPr>
            </w:pPr>
            <w:r w:rsidRPr="00575C57">
              <w:rPr>
                <w:bCs/>
                <w:sz w:val="22"/>
                <w:szCs w:val="24"/>
              </w:rPr>
              <w:t>82</w:t>
            </w:r>
          </w:p>
        </w:tc>
        <w:tc>
          <w:tcPr>
            <w:tcW w:w="737" w:type="dxa"/>
            <w:tcBorders>
              <w:top w:val="single" w:sz="4" w:space="0" w:color="auto"/>
              <w:left w:val="single" w:sz="4" w:space="0" w:color="auto"/>
              <w:bottom w:val="single" w:sz="4" w:space="0" w:color="auto"/>
              <w:right w:val="single" w:sz="4" w:space="0" w:color="auto"/>
            </w:tcBorders>
            <w:vAlign w:val="center"/>
            <w:hideMark/>
          </w:tcPr>
          <w:p w14:paraId="53731BC4" w14:textId="77777777" w:rsidR="00575C57" w:rsidRPr="00575C57" w:rsidRDefault="00575C57" w:rsidP="00575C57">
            <w:pPr>
              <w:widowControl/>
              <w:jc w:val="center"/>
              <w:rPr>
                <w:bCs/>
                <w:sz w:val="24"/>
                <w:szCs w:val="24"/>
              </w:rPr>
            </w:pPr>
            <w:r w:rsidRPr="00575C57">
              <w:rPr>
                <w:bCs/>
                <w:sz w:val="22"/>
                <w:szCs w:val="24"/>
              </w:rPr>
              <w:t>67</w:t>
            </w:r>
          </w:p>
        </w:tc>
        <w:tc>
          <w:tcPr>
            <w:tcW w:w="737" w:type="dxa"/>
            <w:tcBorders>
              <w:top w:val="single" w:sz="4" w:space="0" w:color="auto"/>
              <w:left w:val="single" w:sz="4" w:space="0" w:color="auto"/>
              <w:bottom w:val="single" w:sz="4" w:space="0" w:color="auto"/>
              <w:right w:val="single" w:sz="4" w:space="0" w:color="auto"/>
            </w:tcBorders>
            <w:vAlign w:val="center"/>
            <w:hideMark/>
          </w:tcPr>
          <w:p w14:paraId="01FD2352" w14:textId="77777777" w:rsidR="00575C57" w:rsidRPr="00575C57" w:rsidRDefault="00575C57" w:rsidP="00575C57">
            <w:pPr>
              <w:widowControl/>
              <w:jc w:val="center"/>
              <w:rPr>
                <w:bCs/>
                <w:sz w:val="24"/>
                <w:szCs w:val="24"/>
              </w:rPr>
            </w:pPr>
            <w:r w:rsidRPr="00575C57">
              <w:rPr>
                <w:bCs/>
                <w:sz w:val="22"/>
                <w:szCs w:val="24"/>
              </w:rPr>
              <w:t>70</w:t>
            </w:r>
          </w:p>
        </w:tc>
        <w:tc>
          <w:tcPr>
            <w:tcW w:w="737" w:type="dxa"/>
            <w:tcBorders>
              <w:top w:val="single" w:sz="4" w:space="0" w:color="auto"/>
              <w:left w:val="single" w:sz="4" w:space="0" w:color="auto"/>
              <w:bottom w:val="single" w:sz="4" w:space="0" w:color="auto"/>
              <w:right w:val="single" w:sz="4" w:space="0" w:color="auto"/>
            </w:tcBorders>
            <w:vAlign w:val="center"/>
            <w:hideMark/>
          </w:tcPr>
          <w:p w14:paraId="6740BC0E" w14:textId="77777777" w:rsidR="00575C57" w:rsidRPr="00575C57" w:rsidRDefault="00575C57" w:rsidP="00575C57">
            <w:pPr>
              <w:widowControl/>
              <w:jc w:val="center"/>
              <w:rPr>
                <w:bCs/>
                <w:sz w:val="24"/>
                <w:szCs w:val="24"/>
              </w:rPr>
            </w:pPr>
            <w:r w:rsidRPr="00575C57">
              <w:rPr>
                <w:bCs/>
                <w:sz w:val="22"/>
                <w:szCs w:val="24"/>
              </w:rPr>
              <w:t>60</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7B58EE" w14:textId="77777777" w:rsidR="00575C57" w:rsidRPr="00575C57" w:rsidRDefault="00575C57" w:rsidP="00575C57">
            <w:pPr>
              <w:widowControl/>
              <w:jc w:val="center"/>
              <w:rPr>
                <w:bCs/>
                <w:sz w:val="24"/>
                <w:szCs w:val="24"/>
              </w:rPr>
            </w:pPr>
            <w:r w:rsidRPr="00575C57">
              <w:rPr>
                <w:bCs/>
                <w:sz w:val="22"/>
                <w:szCs w:val="24"/>
              </w:rPr>
              <w:t>57</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0F65E5" w14:textId="77777777" w:rsidR="00575C57" w:rsidRPr="00575C57" w:rsidRDefault="00575C57" w:rsidP="00575C57">
            <w:pPr>
              <w:widowControl/>
              <w:jc w:val="center"/>
              <w:rPr>
                <w:bCs/>
                <w:sz w:val="24"/>
                <w:szCs w:val="24"/>
              </w:rPr>
            </w:pPr>
            <w:r w:rsidRPr="00575C57">
              <w:rPr>
                <w:bCs/>
                <w:sz w:val="22"/>
                <w:szCs w:val="24"/>
              </w:rPr>
              <w:t>58</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05C4EE51" w14:textId="77777777" w:rsidR="00575C57" w:rsidRPr="00575C57" w:rsidRDefault="00575C57" w:rsidP="00575C57">
            <w:pPr>
              <w:widowControl/>
              <w:jc w:val="center"/>
              <w:rPr>
                <w:bCs/>
                <w:sz w:val="24"/>
                <w:szCs w:val="24"/>
              </w:rPr>
            </w:pPr>
            <w:r w:rsidRPr="00575C57">
              <w:rPr>
                <w:bCs/>
                <w:sz w:val="22"/>
                <w:szCs w:val="24"/>
              </w:rPr>
              <w:t>60</w:t>
            </w:r>
          </w:p>
        </w:tc>
        <w:tc>
          <w:tcPr>
            <w:tcW w:w="737" w:type="dxa"/>
            <w:tcBorders>
              <w:top w:val="single" w:sz="4" w:space="0" w:color="auto"/>
              <w:left w:val="single" w:sz="4" w:space="0" w:color="auto"/>
              <w:bottom w:val="single" w:sz="4" w:space="0" w:color="auto"/>
              <w:right w:val="single" w:sz="4" w:space="0" w:color="auto"/>
            </w:tcBorders>
            <w:vAlign w:val="center"/>
            <w:hideMark/>
          </w:tcPr>
          <w:p w14:paraId="6EF75105" w14:textId="77777777" w:rsidR="00575C57" w:rsidRPr="00575C57" w:rsidRDefault="00575C57" w:rsidP="00575C57">
            <w:pPr>
              <w:widowControl/>
              <w:jc w:val="center"/>
              <w:rPr>
                <w:bCs/>
                <w:sz w:val="24"/>
                <w:szCs w:val="24"/>
              </w:rPr>
            </w:pPr>
            <w:r w:rsidRPr="00575C57">
              <w:rPr>
                <w:bCs/>
                <w:sz w:val="22"/>
                <w:szCs w:val="24"/>
              </w:rPr>
              <w:t>66</w:t>
            </w:r>
          </w:p>
        </w:tc>
      </w:tr>
      <w:tr w:rsidR="00575C57" w:rsidRPr="00575C57" w14:paraId="5A40F99A"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1E40394F" w14:textId="77777777" w:rsidR="00575C57" w:rsidRPr="00575C57" w:rsidRDefault="00575C57" w:rsidP="00575C57">
            <w:pPr>
              <w:widowControl/>
              <w:rPr>
                <w:bCs/>
                <w:sz w:val="24"/>
                <w:szCs w:val="24"/>
              </w:rPr>
            </w:pPr>
            <w:r w:rsidRPr="00575C57">
              <w:rPr>
                <w:bCs/>
                <w:sz w:val="22"/>
                <w:szCs w:val="24"/>
              </w:rPr>
              <w:t>Węgry</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0E34F23"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4B5FB779" w14:textId="77777777" w:rsidR="00575C57" w:rsidRPr="00575C57" w:rsidRDefault="00575C57" w:rsidP="00575C57">
            <w:pPr>
              <w:widowControl/>
              <w:jc w:val="center"/>
              <w:rPr>
                <w:bCs/>
                <w:sz w:val="24"/>
                <w:szCs w:val="24"/>
              </w:rPr>
            </w:pPr>
            <w:r w:rsidRPr="00575C57">
              <w:rPr>
                <w:bCs/>
                <w:sz w:val="22"/>
                <w:szCs w:val="24"/>
              </w:rPr>
              <w:t>114</w:t>
            </w:r>
          </w:p>
        </w:tc>
        <w:tc>
          <w:tcPr>
            <w:tcW w:w="737" w:type="dxa"/>
            <w:tcBorders>
              <w:top w:val="single" w:sz="4" w:space="0" w:color="auto"/>
              <w:left w:val="single" w:sz="4" w:space="0" w:color="auto"/>
              <w:bottom w:val="single" w:sz="4" w:space="0" w:color="auto"/>
              <w:right w:val="single" w:sz="4" w:space="0" w:color="auto"/>
            </w:tcBorders>
            <w:vAlign w:val="center"/>
            <w:hideMark/>
          </w:tcPr>
          <w:p w14:paraId="320E7AEB" w14:textId="77777777" w:rsidR="00575C57" w:rsidRPr="00575C57" w:rsidRDefault="00575C57" w:rsidP="00575C57">
            <w:pPr>
              <w:widowControl/>
              <w:jc w:val="center"/>
              <w:rPr>
                <w:bCs/>
                <w:sz w:val="24"/>
                <w:szCs w:val="24"/>
              </w:rPr>
            </w:pPr>
            <w:r w:rsidRPr="00575C57">
              <w:rPr>
                <w:bCs/>
                <w:sz w:val="22"/>
                <w:szCs w:val="24"/>
              </w:rPr>
              <w:t>118</w:t>
            </w:r>
          </w:p>
        </w:tc>
        <w:tc>
          <w:tcPr>
            <w:tcW w:w="737" w:type="dxa"/>
            <w:tcBorders>
              <w:top w:val="single" w:sz="4" w:space="0" w:color="auto"/>
              <w:left w:val="single" w:sz="4" w:space="0" w:color="auto"/>
              <w:bottom w:val="single" w:sz="4" w:space="0" w:color="auto"/>
              <w:right w:val="single" w:sz="4" w:space="0" w:color="auto"/>
            </w:tcBorders>
            <w:vAlign w:val="center"/>
            <w:hideMark/>
          </w:tcPr>
          <w:p w14:paraId="708E5AAA" w14:textId="77777777" w:rsidR="00575C57" w:rsidRPr="00575C57" w:rsidRDefault="00575C57" w:rsidP="00575C57">
            <w:pPr>
              <w:widowControl/>
              <w:jc w:val="center"/>
              <w:rPr>
                <w:bCs/>
                <w:sz w:val="24"/>
                <w:szCs w:val="24"/>
              </w:rPr>
            </w:pPr>
            <w:r w:rsidRPr="00575C57">
              <w:rPr>
                <w:bCs/>
                <w:sz w:val="22"/>
                <w:szCs w:val="24"/>
              </w:rPr>
              <w:t>116</w:t>
            </w:r>
          </w:p>
        </w:tc>
        <w:tc>
          <w:tcPr>
            <w:tcW w:w="737" w:type="dxa"/>
            <w:tcBorders>
              <w:top w:val="single" w:sz="4" w:space="0" w:color="auto"/>
              <w:left w:val="single" w:sz="4" w:space="0" w:color="auto"/>
              <w:bottom w:val="single" w:sz="4" w:space="0" w:color="auto"/>
              <w:right w:val="single" w:sz="4" w:space="0" w:color="auto"/>
            </w:tcBorders>
            <w:vAlign w:val="center"/>
            <w:hideMark/>
          </w:tcPr>
          <w:p w14:paraId="20392F09" w14:textId="77777777" w:rsidR="00575C57" w:rsidRPr="00575C57" w:rsidRDefault="00575C57" w:rsidP="00575C57">
            <w:pPr>
              <w:widowControl/>
              <w:jc w:val="center"/>
              <w:rPr>
                <w:bCs/>
                <w:sz w:val="24"/>
                <w:szCs w:val="24"/>
              </w:rPr>
            </w:pPr>
            <w:r w:rsidRPr="00575C57">
              <w:rPr>
                <w:bCs/>
                <w:sz w:val="22"/>
                <w:szCs w:val="24"/>
              </w:rPr>
              <w:t>113</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CE28BC" w14:textId="77777777" w:rsidR="00575C57" w:rsidRPr="00575C57" w:rsidRDefault="00575C57" w:rsidP="00575C57">
            <w:pPr>
              <w:widowControl/>
              <w:jc w:val="center"/>
              <w:rPr>
                <w:bCs/>
                <w:sz w:val="24"/>
                <w:szCs w:val="24"/>
              </w:rPr>
            </w:pPr>
            <w:r w:rsidRPr="00575C57">
              <w:rPr>
                <w:bCs/>
                <w:sz w:val="22"/>
                <w:szCs w:val="24"/>
              </w:rPr>
              <w:t>99</w:t>
            </w:r>
          </w:p>
        </w:tc>
        <w:tc>
          <w:tcPr>
            <w:tcW w:w="737" w:type="dxa"/>
            <w:tcBorders>
              <w:top w:val="single" w:sz="4" w:space="0" w:color="auto"/>
              <w:left w:val="single" w:sz="4" w:space="0" w:color="auto"/>
              <w:bottom w:val="single" w:sz="4" w:space="0" w:color="auto"/>
              <w:right w:val="single" w:sz="4" w:space="0" w:color="auto"/>
            </w:tcBorders>
            <w:vAlign w:val="center"/>
            <w:hideMark/>
          </w:tcPr>
          <w:p w14:paraId="1BFDA48B" w14:textId="77777777" w:rsidR="00575C57" w:rsidRPr="00575C57" w:rsidRDefault="00575C57" w:rsidP="00575C57">
            <w:pPr>
              <w:widowControl/>
              <w:jc w:val="center"/>
              <w:rPr>
                <w:bCs/>
                <w:sz w:val="24"/>
                <w:szCs w:val="24"/>
              </w:rPr>
            </w:pPr>
            <w:r w:rsidRPr="00575C57">
              <w:rPr>
                <w:bCs/>
                <w:sz w:val="22"/>
                <w:szCs w:val="24"/>
              </w:rPr>
              <w:t>84</w:t>
            </w:r>
          </w:p>
        </w:tc>
        <w:tc>
          <w:tcPr>
            <w:tcW w:w="737" w:type="dxa"/>
            <w:tcBorders>
              <w:top w:val="single" w:sz="4" w:space="0" w:color="auto"/>
              <w:left w:val="single" w:sz="4" w:space="0" w:color="auto"/>
              <w:bottom w:val="single" w:sz="4" w:space="0" w:color="auto"/>
              <w:right w:val="single" w:sz="4" w:space="0" w:color="auto"/>
            </w:tcBorders>
            <w:vAlign w:val="center"/>
            <w:hideMark/>
          </w:tcPr>
          <w:p w14:paraId="6C9E1FB7" w14:textId="77777777" w:rsidR="00575C57" w:rsidRPr="00575C57" w:rsidRDefault="00575C57" w:rsidP="00575C57">
            <w:pPr>
              <w:widowControl/>
              <w:jc w:val="center"/>
              <w:rPr>
                <w:bCs/>
                <w:sz w:val="24"/>
                <w:szCs w:val="24"/>
              </w:rPr>
            </w:pPr>
            <w:r w:rsidRPr="00575C57">
              <w:rPr>
                <w:bCs/>
                <w:sz w:val="22"/>
                <w:szCs w:val="24"/>
              </w:rPr>
              <w:t>79</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0933AAAB" w14:textId="77777777" w:rsidR="00575C57" w:rsidRPr="00575C57" w:rsidRDefault="00575C57" w:rsidP="00575C57">
            <w:pPr>
              <w:widowControl/>
              <w:jc w:val="center"/>
              <w:rPr>
                <w:bCs/>
                <w:sz w:val="24"/>
                <w:szCs w:val="24"/>
              </w:rPr>
            </w:pPr>
            <w:r w:rsidRPr="00575C57">
              <w:rPr>
                <w:bCs/>
                <w:sz w:val="22"/>
                <w:szCs w:val="24"/>
              </w:rPr>
              <w:t>70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E2706EA" w14:textId="77777777" w:rsidR="00575C57" w:rsidRPr="00575C57" w:rsidRDefault="00575C57" w:rsidP="00575C57">
            <w:pPr>
              <w:widowControl/>
              <w:jc w:val="center"/>
              <w:rPr>
                <w:bCs/>
                <w:sz w:val="24"/>
                <w:szCs w:val="24"/>
              </w:rPr>
            </w:pPr>
            <w:r w:rsidRPr="00575C57">
              <w:rPr>
                <w:bCs/>
                <w:sz w:val="22"/>
                <w:szCs w:val="24"/>
              </w:rPr>
              <w:t>63</w:t>
            </w:r>
          </w:p>
        </w:tc>
      </w:tr>
      <w:tr w:rsidR="00575C57" w:rsidRPr="00575C57" w14:paraId="44820962" w14:textId="77777777" w:rsidTr="00575C57">
        <w:trPr>
          <w:trHeight w:val="340"/>
        </w:trPr>
        <w:tc>
          <w:tcPr>
            <w:tcW w:w="1630" w:type="dxa"/>
            <w:tcBorders>
              <w:top w:val="single" w:sz="4" w:space="0" w:color="auto"/>
              <w:left w:val="single" w:sz="4" w:space="0" w:color="auto"/>
              <w:bottom w:val="single" w:sz="4" w:space="0" w:color="auto"/>
              <w:right w:val="single" w:sz="4" w:space="0" w:color="auto"/>
            </w:tcBorders>
            <w:noWrap/>
            <w:vAlign w:val="center"/>
            <w:hideMark/>
          </w:tcPr>
          <w:p w14:paraId="09B46470" w14:textId="77777777" w:rsidR="00575C57" w:rsidRPr="00575C57" w:rsidRDefault="00575C57" w:rsidP="00575C57">
            <w:pPr>
              <w:widowControl/>
              <w:rPr>
                <w:bCs/>
                <w:sz w:val="24"/>
                <w:szCs w:val="24"/>
              </w:rPr>
            </w:pPr>
            <w:r w:rsidRPr="00575C57">
              <w:rPr>
                <w:bCs/>
                <w:sz w:val="22"/>
                <w:szCs w:val="24"/>
              </w:rPr>
              <w:t>Włochy</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87DC7D8" w14:textId="77777777" w:rsidR="00575C57" w:rsidRPr="00575C57" w:rsidRDefault="00575C57" w:rsidP="00575C57">
            <w:pPr>
              <w:widowControl/>
              <w:jc w:val="center"/>
              <w:rPr>
                <w:bCs/>
                <w:sz w:val="24"/>
                <w:szCs w:val="24"/>
              </w:rPr>
            </w:pPr>
            <w:r w:rsidRPr="00575C57">
              <w:rPr>
                <w:bCs/>
                <w:sz w:val="22"/>
                <w:szCs w:val="24"/>
              </w:rPr>
              <w:t>100</w:t>
            </w:r>
          </w:p>
        </w:tc>
        <w:tc>
          <w:tcPr>
            <w:tcW w:w="737" w:type="dxa"/>
            <w:tcBorders>
              <w:top w:val="single" w:sz="4" w:space="0" w:color="auto"/>
              <w:left w:val="single" w:sz="4" w:space="0" w:color="auto"/>
              <w:bottom w:val="single" w:sz="4" w:space="0" w:color="auto"/>
              <w:right w:val="single" w:sz="4" w:space="0" w:color="auto"/>
            </w:tcBorders>
            <w:vAlign w:val="center"/>
            <w:hideMark/>
          </w:tcPr>
          <w:p w14:paraId="3C689B49" w14:textId="77777777" w:rsidR="00575C57" w:rsidRPr="00575C57" w:rsidRDefault="00575C57" w:rsidP="00575C57">
            <w:pPr>
              <w:widowControl/>
              <w:jc w:val="center"/>
              <w:rPr>
                <w:bCs/>
                <w:sz w:val="24"/>
                <w:szCs w:val="24"/>
              </w:rPr>
            </w:pPr>
            <w:r w:rsidRPr="00575C57">
              <w:rPr>
                <w:bCs/>
                <w:sz w:val="22"/>
                <w:szCs w:val="24"/>
              </w:rPr>
              <w:t>90</w:t>
            </w:r>
          </w:p>
        </w:tc>
        <w:tc>
          <w:tcPr>
            <w:tcW w:w="737" w:type="dxa"/>
            <w:tcBorders>
              <w:top w:val="single" w:sz="4" w:space="0" w:color="auto"/>
              <w:left w:val="single" w:sz="4" w:space="0" w:color="auto"/>
              <w:bottom w:val="single" w:sz="4" w:space="0" w:color="auto"/>
              <w:right w:val="single" w:sz="4" w:space="0" w:color="auto"/>
            </w:tcBorders>
            <w:vAlign w:val="center"/>
            <w:hideMark/>
          </w:tcPr>
          <w:p w14:paraId="141A15FD" w14:textId="77777777" w:rsidR="00575C57" w:rsidRPr="00575C57" w:rsidRDefault="00575C57" w:rsidP="00575C57">
            <w:pPr>
              <w:widowControl/>
              <w:jc w:val="center"/>
              <w:rPr>
                <w:bCs/>
                <w:sz w:val="24"/>
                <w:szCs w:val="24"/>
              </w:rPr>
            </w:pPr>
            <w:r w:rsidRPr="00575C57">
              <w:rPr>
                <w:bCs/>
                <w:sz w:val="22"/>
                <w:szCs w:val="24"/>
              </w:rPr>
              <w:t>101</w:t>
            </w:r>
          </w:p>
        </w:tc>
        <w:tc>
          <w:tcPr>
            <w:tcW w:w="737" w:type="dxa"/>
            <w:tcBorders>
              <w:top w:val="single" w:sz="4" w:space="0" w:color="auto"/>
              <w:left w:val="single" w:sz="4" w:space="0" w:color="auto"/>
              <w:bottom w:val="single" w:sz="4" w:space="0" w:color="auto"/>
              <w:right w:val="single" w:sz="4" w:space="0" w:color="auto"/>
            </w:tcBorders>
            <w:vAlign w:val="center"/>
            <w:hideMark/>
          </w:tcPr>
          <w:p w14:paraId="47CA55EA" w14:textId="77777777" w:rsidR="00575C57" w:rsidRPr="00575C57" w:rsidRDefault="00575C57" w:rsidP="00575C57">
            <w:pPr>
              <w:widowControl/>
              <w:jc w:val="center"/>
              <w:rPr>
                <w:bCs/>
                <w:sz w:val="24"/>
                <w:szCs w:val="24"/>
              </w:rPr>
            </w:pPr>
            <w:r w:rsidRPr="00575C57">
              <w:rPr>
                <w:bCs/>
                <w:sz w:val="22"/>
                <w:szCs w:val="24"/>
              </w:rPr>
              <w:t>98</w:t>
            </w:r>
          </w:p>
        </w:tc>
        <w:tc>
          <w:tcPr>
            <w:tcW w:w="737" w:type="dxa"/>
            <w:tcBorders>
              <w:top w:val="single" w:sz="4" w:space="0" w:color="auto"/>
              <w:left w:val="single" w:sz="4" w:space="0" w:color="auto"/>
              <w:bottom w:val="single" w:sz="4" w:space="0" w:color="auto"/>
              <w:right w:val="single" w:sz="4" w:space="0" w:color="auto"/>
            </w:tcBorders>
            <w:vAlign w:val="center"/>
            <w:hideMark/>
          </w:tcPr>
          <w:p w14:paraId="384EC507" w14:textId="77777777" w:rsidR="00575C57" w:rsidRPr="00575C57" w:rsidRDefault="00575C57" w:rsidP="00575C57">
            <w:pPr>
              <w:widowControl/>
              <w:jc w:val="center"/>
              <w:rPr>
                <w:bCs/>
                <w:sz w:val="24"/>
                <w:szCs w:val="24"/>
              </w:rPr>
            </w:pPr>
            <w:r w:rsidRPr="00575C57">
              <w:rPr>
                <w:bCs/>
                <w:sz w:val="22"/>
                <w:szCs w:val="24"/>
              </w:rPr>
              <w:t>95</w:t>
            </w:r>
          </w:p>
        </w:tc>
        <w:tc>
          <w:tcPr>
            <w:tcW w:w="737" w:type="dxa"/>
            <w:tcBorders>
              <w:top w:val="single" w:sz="4" w:space="0" w:color="auto"/>
              <w:left w:val="single" w:sz="4" w:space="0" w:color="auto"/>
              <w:bottom w:val="single" w:sz="4" w:space="0" w:color="auto"/>
              <w:right w:val="single" w:sz="4" w:space="0" w:color="auto"/>
            </w:tcBorders>
            <w:vAlign w:val="center"/>
            <w:hideMark/>
          </w:tcPr>
          <w:p w14:paraId="40E98146" w14:textId="77777777" w:rsidR="00575C57" w:rsidRPr="00575C57" w:rsidRDefault="00575C57" w:rsidP="00575C57">
            <w:pPr>
              <w:widowControl/>
              <w:jc w:val="center"/>
              <w:rPr>
                <w:bCs/>
                <w:sz w:val="24"/>
                <w:szCs w:val="24"/>
              </w:rPr>
            </w:pPr>
            <w:r w:rsidRPr="00575C57">
              <w:rPr>
                <w:bCs/>
                <w:sz w:val="22"/>
                <w:szCs w:val="24"/>
              </w:rPr>
              <w:t>89</w:t>
            </w:r>
          </w:p>
        </w:tc>
        <w:tc>
          <w:tcPr>
            <w:tcW w:w="737" w:type="dxa"/>
            <w:tcBorders>
              <w:top w:val="single" w:sz="4" w:space="0" w:color="auto"/>
              <w:left w:val="single" w:sz="4" w:space="0" w:color="auto"/>
              <w:bottom w:val="single" w:sz="4" w:space="0" w:color="auto"/>
              <w:right w:val="single" w:sz="4" w:space="0" w:color="auto"/>
            </w:tcBorders>
            <w:vAlign w:val="center"/>
            <w:hideMark/>
          </w:tcPr>
          <w:p w14:paraId="59112B34" w14:textId="77777777" w:rsidR="00575C57" w:rsidRPr="00575C57" w:rsidRDefault="00575C57" w:rsidP="00575C57">
            <w:pPr>
              <w:widowControl/>
              <w:jc w:val="center"/>
              <w:rPr>
                <w:bCs/>
                <w:sz w:val="24"/>
                <w:szCs w:val="24"/>
              </w:rPr>
            </w:pPr>
            <w:r w:rsidRPr="00575C57">
              <w:rPr>
                <w:bCs/>
                <w:sz w:val="22"/>
                <w:szCs w:val="24"/>
              </w:rPr>
              <w:t>82</w:t>
            </w:r>
          </w:p>
        </w:tc>
        <w:tc>
          <w:tcPr>
            <w:tcW w:w="737" w:type="dxa"/>
            <w:tcBorders>
              <w:top w:val="single" w:sz="4" w:space="0" w:color="auto"/>
              <w:left w:val="single" w:sz="4" w:space="0" w:color="auto"/>
              <w:bottom w:val="single" w:sz="4" w:space="0" w:color="auto"/>
              <w:right w:val="single" w:sz="4" w:space="0" w:color="auto"/>
            </w:tcBorders>
            <w:vAlign w:val="center"/>
            <w:hideMark/>
          </w:tcPr>
          <w:p w14:paraId="02B33C64" w14:textId="77777777" w:rsidR="00575C57" w:rsidRPr="00575C57" w:rsidRDefault="00575C57" w:rsidP="00575C57">
            <w:pPr>
              <w:widowControl/>
              <w:jc w:val="center"/>
              <w:rPr>
                <w:bCs/>
                <w:sz w:val="24"/>
                <w:szCs w:val="24"/>
              </w:rPr>
            </w:pPr>
            <w:r w:rsidRPr="00575C57">
              <w:rPr>
                <w:bCs/>
                <w:sz w:val="22"/>
                <w:szCs w:val="24"/>
              </w:rPr>
              <w:t>66</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31207B48" w14:textId="77777777" w:rsidR="00575C57" w:rsidRPr="00575C57" w:rsidRDefault="00575C57" w:rsidP="00575C57">
            <w:pPr>
              <w:widowControl/>
              <w:jc w:val="center"/>
              <w:rPr>
                <w:bCs/>
                <w:sz w:val="24"/>
                <w:szCs w:val="24"/>
              </w:rPr>
            </w:pPr>
            <w:r w:rsidRPr="00575C57">
              <w:rPr>
                <w:bCs/>
                <w:sz w:val="22"/>
                <w:szCs w:val="24"/>
              </w:rPr>
              <w:t>56</w:t>
            </w:r>
          </w:p>
        </w:tc>
        <w:tc>
          <w:tcPr>
            <w:tcW w:w="737" w:type="dxa"/>
            <w:tcBorders>
              <w:top w:val="single" w:sz="4" w:space="0" w:color="auto"/>
              <w:left w:val="single" w:sz="4" w:space="0" w:color="auto"/>
              <w:bottom w:val="single" w:sz="4" w:space="0" w:color="auto"/>
              <w:right w:val="single" w:sz="4" w:space="0" w:color="auto"/>
            </w:tcBorders>
            <w:vAlign w:val="center"/>
            <w:hideMark/>
          </w:tcPr>
          <w:p w14:paraId="4626406A" w14:textId="77777777" w:rsidR="00575C57" w:rsidRPr="00575C57" w:rsidRDefault="00575C57" w:rsidP="00575C57">
            <w:pPr>
              <w:widowControl/>
              <w:jc w:val="center"/>
              <w:rPr>
                <w:bCs/>
                <w:sz w:val="24"/>
                <w:szCs w:val="24"/>
              </w:rPr>
            </w:pPr>
            <w:r w:rsidRPr="00575C57">
              <w:rPr>
                <w:bCs/>
                <w:sz w:val="22"/>
                <w:szCs w:val="24"/>
              </w:rPr>
              <w:t>46</w:t>
            </w:r>
          </w:p>
        </w:tc>
      </w:tr>
    </w:tbl>
    <w:p w14:paraId="4BAEDD80" w14:textId="77777777" w:rsidR="00575C57" w:rsidRPr="00575C57" w:rsidRDefault="00575C57" w:rsidP="00575C57">
      <w:pPr>
        <w:widowControl/>
        <w:spacing w:after="80" w:line="360" w:lineRule="auto"/>
        <w:jc w:val="both"/>
        <w:rPr>
          <w:rFonts w:eastAsia="Calibri"/>
          <w:i/>
          <w:szCs w:val="22"/>
          <w:u w:val="single"/>
          <w:lang w:eastAsia="en-US"/>
        </w:rPr>
      </w:pPr>
      <w:r w:rsidRPr="00575C57">
        <w:rPr>
          <w:rFonts w:eastAsia="Calibri"/>
          <w:i/>
          <w:szCs w:val="24"/>
          <w:lang w:eastAsia="en-US"/>
        </w:rPr>
        <w:t xml:space="preserve">Źródło: </w:t>
      </w:r>
      <w:hyperlink w:history="1">
        <w:r w:rsidRPr="00575C57">
          <w:rPr>
            <w:rFonts w:eastAsia="Calibri"/>
            <w:i/>
            <w:color w:val="0000FF"/>
            <w:szCs w:val="24"/>
            <w:u w:val="single"/>
            <w:lang w:eastAsia="en-US"/>
          </w:rPr>
          <w:t>https://ec.europa.eu/eurostat/databrowser/view/aei_hri/default/bar?lang=en</w:t>
        </w:r>
      </w:hyperlink>
    </w:p>
    <w:p w14:paraId="2116349F" w14:textId="77777777" w:rsidR="00575C57" w:rsidRPr="00EC290B" w:rsidRDefault="00575C57" w:rsidP="00EC290B">
      <w:pPr>
        <w:widowControl/>
        <w:spacing w:before="120" w:after="120"/>
        <w:rPr>
          <w:rFonts w:ascii="Arial" w:eastAsia="Calibri" w:hAnsi="Arial" w:cs="Arial"/>
          <w:lang w:eastAsia="en-US"/>
        </w:rPr>
      </w:pPr>
      <w:r w:rsidRPr="00EC290B">
        <w:rPr>
          <w:rFonts w:ascii="Arial" w:eastAsia="Calibri" w:hAnsi="Arial" w:cs="Arial"/>
          <w:i/>
          <w:lang w:eastAsia="en-US"/>
        </w:rPr>
        <w:t>Rys. 9. Wartość wskaźnika HRI1 w roku 2022 w krajach Unii Europejskiej</w:t>
      </w:r>
    </w:p>
    <w:p w14:paraId="6BED8490" w14:textId="73315176" w:rsidR="00575C57" w:rsidRPr="00575C57" w:rsidRDefault="00575C57" w:rsidP="00575C57">
      <w:pPr>
        <w:widowControl/>
        <w:spacing w:after="120"/>
        <w:rPr>
          <w:rFonts w:eastAsia="Calibri"/>
          <w:i/>
          <w:sz w:val="24"/>
          <w:szCs w:val="22"/>
          <w:highlight w:val="yellow"/>
          <w:lang w:eastAsia="en-US"/>
        </w:rPr>
      </w:pPr>
      <w:r w:rsidRPr="00575C57">
        <w:rPr>
          <w:rFonts w:eastAsia="Calibri"/>
          <w:noProof/>
          <w:sz w:val="24"/>
          <w:szCs w:val="22"/>
        </w:rPr>
        <w:drawing>
          <wp:inline distT="0" distB="0" distL="0" distR="0" wp14:anchorId="783B45F7" wp14:editId="51C4EEFB">
            <wp:extent cx="5142840" cy="5475829"/>
            <wp:effectExtent l="0" t="0" r="1270" b="0"/>
            <wp:docPr id="26" name="Wykres 10" descr="Obraz zawierający tekst, zrzut ekranu, linia, Równolegle&#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Wykres 10" descr="Obraz zawierający tekst, zrzut ekranu, linia, Równolegle&#10;&#10;Opis wygenerowany automatycznie"/>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57204" cy="5491123"/>
                    </a:xfrm>
                    <a:prstGeom prst="rect">
                      <a:avLst/>
                    </a:prstGeom>
                    <a:noFill/>
                    <a:ln>
                      <a:noFill/>
                    </a:ln>
                  </pic:spPr>
                </pic:pic>
              </a:graphicData>
            </a:graphic>
          </wp:inline>
        </w:drawing>
      </w:r>
    </w:p>
    <w:p w14:paraId="2E47A39A" w14:textId="074FC2E2" w:rsidR="00EC290B" w:rsidRPr="00EC290B" w:rsidRDefault="00575C57"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EC290B">
        <w:rPr>
          <w:rFonts w:ascii="Arial" w:eastAsia="Calibri" w:hAnsi="Arial" w:cs="Arial"/>
          <w:lang w:eastAsia="en-US"/>
        </w:rPr>
        <w:lastRenderedPageBreak/>
        <w:t>Zmiany wartości wskaźnika dla Polski w latach 2011-2022 są zbliżone do zmian wartości dla średniej ze wszystkich krajów UE – co zostało zaprezentowane na rysunku 10.</w:t>
      </w:r>
    </w:p>
    <w:p w14:paraId="636265A8" w14:textId="77777777" w:rsidR="00575C57" w:rsidRPr="00EC290B" w:rsidRDefault="00575C57" w:rsidP="00575C57">
      <w:pPr>
        <w:widowControl/>
        <w:spacing w:before="120" w:after="120"/>
        <w:rPr>
          <w:rFonts w:ascii="Arial" w:eastAsia="Calibri" w:hAnsi="Arial" w:cs="Arial"/>
          <w:i/>
          <w:lang w:eastAsia="en-US"/>
        </w:rPr>
      </w:pPr>
      <w:r w:rsidRPr="00EC290B">
        <w:rPr>
          <w:rFonts w:ascii="Arial" w:eastAsia="Calibri" w:hAnsi="Arial" w:cs="Arial"/>
          <w:i/>
          <w:lang w:eastAsia="en-US"/>
        </w:rPr>
        <w:t>Rys. 10. Wskaźnik HRI1 – porównanie wartości dla UE i Polski w latach 2011-2022</w:t>
      </w:r>
    </w:p>
    <w:p w14:paraId="50E2D192" w14:textId="4F4881C3" w:rsidR="00575C57" w:rsidRPr="00575C57" w:rsidRDefault="00575C57" w:rsidP="00575C57">
      <w:pPr>
        <w:widowControl/>
        <w:spacing w:before="120" w:after="120"/>
        <w:rPr>
          <w:rFonts w:eastAsia="Calibri"/>
          <w:i/>
          <w:sz w:val="24"/>
          <w:szCs w:val="22"/>
          <w:lang w:eastAsia="en-US"/>
        </w:rPr>
      </w:pPr>
      <w:r w:rsidRPr="00575C57">
        <w:rPr>
          <w:rFonts w:eastAsia="Calibri"/>
          <w:noProof/>
          <w:sz w:val="24"/>
          <w:szCs w:val="22"/>
        </w:rPr>
        <w:drawing>
          <wp:inline distT="0" distB="0" distL="0" distR="0" wp14:anchorId="0876928C" wp14:editId="2B768480">
            <wp:extent cx="5058271" cy="2304500"/>
            <wp:effectExtent l="0" t="0" r="9525" b="635"/>
            <wp:docPr id="27" name="Wykres 20" descr="Obraz zawierający zrzut ekranu, linia, Wykres, tekst&#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Wykres 20" descr="Obraz zawierający zrzut ekranu, linia, Wykres, tekst&#10;&#10;Opis wygenerowany automatycznie"/>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8305" cy="2345519"/>
                    </a:xfrm>
                    <a:prstGeom prst="rect">
                      <a:avLst/>
                    </a:prstGeom>
                    <a:noFill/>
                    <a:ln>
                      <a:noFill/>
                    </a:ln>
                  </pic:spPr>
                </pic:pic>
              </a:graphicData>
            </a:graphic>
          </wp:inline>
        </w:drawing>
      </w:r>
    </w:p>
    <w:p w14:paraId="288EAB54" w14:textId="77777777" w:rsidR="00575C57" w:rsidRPr="00575C57" w:rsidRDefault="00575C57" w:rsidP="00575C57">
      <w:pPr>
        <w:widowControl/>
        <w:spacing w:before="120" w:after="120"/>
        <w:rPr>
          <w:rFonts w:eastAsia="Calibri"/>
          <w:i/>
          <w:sz w:val="24"/>
          <w:szCs w:val="22"/>
          <w:lang w:eastAsia="en-US"/>
        </w:rPr>
      </w:pPr>
    </w:p>
    <w:p w14:paraId="044F6E77" w14:textId="4BDB4374" w:rsidR="00575C57" w:rsidRPr="00EC290B" w:rsidRDefault="00575C57" w:rsidP="00EC290B">
      <w:pPr>
        <w:pStyle w:val="NormalnyWeb"/>
        <w:tabs>
          <w:tab w:val="left" w:pos="284"/>
        </w:tabs>
        <w:spacing w:beforeAutospacing="0" w:after="120" w:afterAutospacing="0" w:line="360" w:lineRule="auto"/>
        <w:ind w:firstLine="284"/>
        <w:jc w:val="both"/>
        <w:rPr>
          <w:rFonts w:ascii="Arial" w:hAnsi="Arial" w:cs="Arial"/>
          <w:color w:val="1B1B1B"/>
        </w:rPr>
      </w:pPr>
      <w:r w:rsidRPr="00EC290B">
        <w:rPr>
          <w:rFonts w:ascii="Arial" w:eastAsia="Calibri" w:hAnsi="Arial" w:cs="Arial"/>
          <w:lang w:eastAsia="en-US"/>
        </w:rPr>
        <w:t>Jak</w:t>
      </w:r>
      <w:r w:rsidRPr="00EC290B">
        <w:rPr>
          <w:rFonts w:ascii="Arial" w:hAnsi="Arial" w:cs="Arial"/>
          <w:color w:val="1B1B1B"/>
        </w:rPr>
        <w:t xml:space="preserve"> zostało przedstawione na rysunku 11 według wyliczeń z roku 2022 wartość wskaźnika HRI1 spadła o prawię połowę w stosunku do wartości 100 dla lat bazowych (2011-2013).</w:t>
      </w:r>
    </w:p>
    <w:p w14:paraId="764D8080" w14:textId="77777777" w:rsidR="00575C57" w:rsidRPr="00575C57" w:rsidRDefault="00575C57" w:rsidP="00575C57">
      <w:pPr>
        <w:widowControl/>
        <w:spacing w:before="120"/>
        <w:rPr>
          <w:rFonts w:eastAsia="Calibri"/>
          <w:i/>
          <w:sz w:val="24"/>
          <w:szCs w:val="22"/>
          <w:lang w:eastAsia="en-US"/>
        </w:rPr>
      </w:pPr>
      <w:r w:rsidRPr="00575C57">
        <w:rPr>
          <w:rFonts w:eastAsia="Calibri"/>
          <w:i/>
          <w:sz w:val="24"/>
          <w:szCs w:val="22"/>
          <w:lang w:eastAsia="en-US"/>
        </w:rPr>
        <w:t>Rys. 11. Trend wartości wskaźnika HRI1 dla Polski (lata 2011-2022)</w:t>
      </w:r>
      <w:bookmarkStart w:id="97" w:name="_Hlk190695532"/>
    </w:p>
    <w:p w14:paraId="1647B453" w14:textId="77777777" w:rsidR="00575C57" w:rsidRPr="00575C57" w:rsidRDefault="00575C57" w:rsidP="00575C57">
      <w:pPr>
        <w:widowControl/>
        <w:spacing w:before="120"/>
        <w:rPr>
          <w:rFonts w:eastAsia="Calibri"/>
          <w:i/>
          <w:sz w:val="24"/>
          <w:szCs w:val="22"/>
          <w:highlight w:val="yellow"/>
          <w:lang w:eastAsia="en-US"/>
        </w:rPr>
      </w:pPr>
      <w:r w:rsidRPr="00575C57">
        <w:rPr>
          <w:rFonts w:eastAsia="Arial Unicode MS"/>
          <w:noProof/>
          <w:sz w:val="22"/>
          <w:szCs w:val="22"/>
        </w:rPr>
        <w:drawing>
          <wp:inline distT="0" distB="0" distL="0" distR="0" wp14:anchorId="11494139" wp14:editId="60E08CB2">
            <wp:extent cx="5764530" cy="3077210"/>
            <wp:effectExtent l="0" t="0" r="7620" b="8890"/>
            <wp:docPr id="28" name="Obraz 8" descr="Obraz zawierający tekst, zrzut ekranu, lini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8" descr="Obraz zawierający tekst, zrzut ekranu, linia, numer&#10;&#10;Opis wygenerowany automatyczni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4530" cy="3077210"/>
                    </a:xfrm>
                    <a:prstGeom prst="rect">
                      <a:avLst/>
                    </a:prstGeom>
                    <a:noFill/>
                    <a:ln>
                      <a:noFill/>
                    </a:ln>
                  </pic:spPr>
                </pic:pic>
              </a:graphicData>
            </a:graphic>
          </wp:inline>
        </w:drawing>
      </w:r>
    </w:p>
    <w:p w14:paraId="57DD9783" w14:textId="77777777" w:rsidR="00575C57" w:rsidRPr="00575C57" w:rsidRDefault="00575C57" w:rsidP="00575C57">
      <w:pPr>
        <w:widowControl/>
        <w:shd w:val="clear" w:color="auto" w:fill="FFFFFF"/>
        <w:spacing w:line="360" w:lineRule="auto"/>
        <w:jc w:val="both"/>
        <w:textAlignment w:val="baseline"/>
        <w:rPr>
          <w:color w:val="1B1B1B"/>
          <w:sz w:val="28"/>
          <w:szCs w:val="24"/>
          <w:highlight w:val="yellow"/>
        </w:rPr>
      </w:pPr>
    </w:p>
    <w:p w14:paraId="0854981C" w14:textId="055FC204" w:rsidR="00575C57" w:rsidRPr="00EC290B" w:rsidRDefault="00EC290B"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Pr>
          <w:rFonts w:ascii="Arial" w:eastAsia="Calibri" w:hAnsi="Arial" w:cs="Arial"/>
          <w:lang w:eastAsia="en-US"/>
        </w:rPr>
        <w:t xml:space="preserve">W porównaniu do </w:t>
      </w:r>
      <w:r w:rsidR="00575C57" w:rsidRPr="00EC290B">
        <w:rPr>
          <w:rFonts w:ascii="Arial" w:eastAsia="Calibri" w:hAnsi="Arial" w:cs="Arial"/>
          <w:lang w:eastAsia="en-US"/>
        </w:rPr>
        <w:t xml:space="preserve">2021 </w:t>
      </w:r>
      <w:r>
        <w:rPr>
          <w:rFonts w:ascii="Arial" w:eastAsia="Calibri" w:hAnsi="Arial" w:cs="Arial"/>
          <w:lang w:eastAsia="en-US"/>
        </w:rPr>
        <w:t>r.</w:t>
      </w:r>
      <w:r w:rsidR="00C94CD4">
        <w:rPr>
          <w:rFonts w:ascii="Arial" w:eastAsia="Calibri" w:hAnsi="Arial" w:cs="Arial"/>
          <w:lang w:eastAsia="en-US"/>
        </w:rPr>
        <w:t xml:space="preserve"> </w:t>
      </w:r>
      <w:r w:rsidR="00575C57" w:rsidRPr="00EC290B">
        <w:rPr>
          <w:rFonts w:ascii="Arial" w:eastAsia="Calibri" w:hAnsi="Arial" w:cs="Arial"/>
          <w:lang w:eastAsia="en-US"/>
        </w:rPr>
        <w:t>wartość wskaźnika HRI1 jest niższa o 12 (19%). W tym samym okresie wielkość sprzedaży substancji czynnych w Polsce spadła o 17%.</w:t>
      </w:r>
      <w:bookmarkEnd w:id="97"/>
    </w:p>
    <w:p w14:paraId="305C14CF" w14:textId="0BEDC889" w:rsidR="00575C57" w:rsidRDefault="00575C57"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EC290B">
        <w:rPr>
          <w:rFonts w:ascii="Arial" w:eastAsia="Calibri" w:hAnsi="Arial" w:cs="Arial"/>
          <w:lang w:eastAsia="en-US"/>
        </w:rPr>
        <w:t>Udział poszczególnych grup substancji czynnych w sprzedaży i wartości wskaźnika w roku 2022 zawiera tabela 10.</w:t>
      </w:r>
    </w:p>
    <w:p w14:paraId="3C32FA2D" w14:textId="77777777" w:rsidR="00681CFF" w:rsidRPr="00EC290B" w:rsidRDefault="00681CFF"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p>
    <w:p w14:paraId="57970A3C" w14:textId="43EB44CB" w:rsidR="00575C57" w:rsidRPr="00EC290B" w:rsidRDefault="00575C57"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EC290B">
        <w:rPr>
          <w:rFonts w:ascii="Arial" w:eastAsia="Calibri" w:hAnsi="Arial" w:cs="Arial"/>
          <w:lang w:eastAsia="en-US"/>
        </w:rPr>
        <w:lastRenderedPageBreak/>
        <w:t>Tabela 10. Udział grup ryzyka substancji czynnych w wartości wskaźnika HRI1 w 2022</w:t>
      </w:r>
      <w:r w:rsidR="00EC290B">
        <w:rPr>
          <w:rFonts w:ascii="Arial" w:eastAsia="Calibri" w:hAnsi="Arial" w:cs="Arial"/>
          <w:lang w:eastAsia="en-US"/>
        </w:rPr>
        <w:t xml:space="preserve"> r.</w:t>
      </w:r>
    </w:p>
    <w:tbl>
      <w:tblPr>
        <w:tblW w:w="4922" w:type="pct"/>
        <w:jc w:val="center"/>
        <w:tblCellMar>
          <w:left w:w="0" w:type="dxa"/>
          <w:right w:w="0" w:type="dxa"/>
        </w:tblCellMar>
        <w:tblLook w:val="0600" w:firstRow="0" w:lastRow="0" w:firstColumn="0" w:lastColumn="0" w:noHBand="1" w:noVBand="1"/>
      </w:tblPr>
      <w:tblGrid>
        <w:gridCol w:w="4180"/>
        <w:gridCol w:w="1581"/>
        <w:gridCol w:w="1581"/>
        <w:gridCol w:w="1579"/>
      </w:tblGrid>
      <w:tr w:rsidR="00575C57" w:rsidRPr="00575C57" w14:paraId="422DDDE2" w14:textId="77777777" w:rsidTr="00575C57">
        <w:trPr>
          <w:trHeight w:val="20"/>
          <w:jc w:val="center"/>
        </w:trPr>
        <w:tc>
          <w:tcPr>
            <w:tcW w:w="2343"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5870931C" w14:textId="77777777" w:rsidR="00575C57" w:rsidRPr="00EC290B" w:rsidRDefault="00575C57" w:rsidP="00575C57">
            <w:pPr>
              <w:widowControl/>
              <w:jc w:val="center"/>
              <w:rPr>
                <w:rFonts w:ascii="Arial" w:eastAsia="Calibri" w:hAnsi="Arial" w:cs="Arial"/>
                <w:lang w:eastAsia="en-US"/>
              </w:rPr>
            </w:pPr>
            <w:r w:rsidRPr="00EC290B">
              <w:rPr>
                <w:rFonts w:ascii="Arial" w:eastAsia="Calibri" w:hAnsi="Arial" w:cs="Arial"/>
                <w:bCs/>
                <w:lang w:eastAsia="en-US"/>
              </w:rPr>
              <w:t>Grupa substancji czynnych</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71C887EA" w14:textId="77777777" w:rsidR="00575C57" w:rsidRPr="00EC290B" w:rsidRDefault="00575C57" w:rsidP="00575C57">
            <w:pPr>
              <w:widowControl/>
              <w:jc w:val="center"/>
              <w:rPr>
                <w:rFonts w:ascii="Arial" w:eastAsia="Calibri" w:hAnsi="Arial" w:cs="Arial"/>
                <w:bCs/>
                <w:lang w:eastAsia="en-US"/>
              </w:rPr>
            </w:pPr>
            <w:r w:rsidRPr="00EC290B">
              <w:rPr>
                <w:rFonts w:ascii="Arial" w:eastAsia="Calibri" w:hAnsi="Arial" w:cs="Arial"/>
                <w:bCs/>
                <w:lang w:eastAsia="en-US"/>
              </w:rPr>
              <w:t>Sprzedaż</w:t>
            </w:r>
          </w:p>
          <w:p w14:paraId="351307AE" w14:textId="77777777" w:rsidR="00575C57" w:rsidRPr="00EC290B" w:rsidRDefault="00575C57" w:rsidP="00575C57">
            <w:pPr>
              <w:widowControl/>
              <w:jc w:val="center"/>
              <w:rPr>
                <w:rFonts w:ascii="Arial" w:eastAsia="Calibri" w:hAnsi="Arial" w:cs="Arial"/>
                <w:bCs/>
                <w:lang w:eastAsia="en-US"/>
              </w:rPr>
            </w:pPr>
            <w:r w:rsidRPr="00EC290B">
              <w:rPr>
                <w:rFonts w:ascii="Arial" w:eastAsia="Calibri" w:hAnsi="Arial" w:cs="Arial"/>
                <w:bCs/>
                <w:lang w:eastAsia="en-US"/>
              </w:rPr>
              <w:t>w 2022</w:t>
            </w:r>
          </w:p>
          <w:p w14:paraId="361A78CD" w14:textId="77777777" w:rsidR="00575C57" w:rsidRPr="00EC290B" w:rsidRDefault="00575C57" w:rsidP="00575C57">
            <w:pPr>
              <w:widowControl/>
              <w:jc w:val="center"/>
              <w:rPr>
                <w:rFonts w:ascii="Arial" w:eastAsia="Calibri" w:hAnsi="Arial" w:cs="Arial"/>
                <w:bCs/>
                <w:lang w:eastAsia="en-US"/>
              </w:rPr>
            </w:pPr>
            <w:r w:rsidRPr="00EC290B">
              <w:rPr>
                <w:rFonts w:ascii="Arial" w:eastAsia="Calibri" w:hAnsi="Arial" w:cs="Arial"/>
                <w:bCs/>
                <w:lang w:eastAsia="en-US"/>
              </w:rPr>
              <w:t>[w tonach]</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30991B1A" w14:textId="77777777" w:rsidR="00575C57" w:rsidRPr="00EC290B" w:rsidRDefault="00575C57" w:rsidP="00575C57">
            <w:pPr>
              <w:widowControl/>
              <w:jc w:val="center"/>
              <w:rPr>
                <w:rFonts w:ascii="Arial" w:eastAsia="Calibri" w:hAnsi="Arial" w:cs="Arial"/>
                <w:lang w:eastAsia="en-US"/>
              </w:rPr>
            </w:pPr>
            <w:r w:rsidRPr="00EC290B">
              <w:rPr>
                <w:rFonts w:ascii="Arial" w:eastAsia="Calibri" w:hAnsi="Arial" w:cs="Arial"/>
                <w:bCs/>
                <w:lang w:eastAsia="en-US"/>
              </w:rPr>
              <w:t>Udział w sprzedaży</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7CB18AFC" w14:textId="77777777" w:rsidR="00575C57" w:rsidRPr="00EC290B" w:rsidRDefault="00575C57" w:rsidP="00575C57">
            <w:pPr>
              <w:widowControl/>
              <w:jc w:val="center"/>
              <w:rPr>
                <w:rFonts w:ascii="Arial" w:eastAsia="Calibri" w:hAnsi="Arial" w:cs="Arial"/>
                <w:bCs/>
                <w:lang w:eastAsia="en-US"/>
              </w:rPr>
            </w:pPr>
            <w:r w:rsidRPr="00EC290B">
              <w:rPr>
                <w:rFonts w:ascii="Arial" w:eastAsia="Calibri" w:hAnsi="Arial" w:cs="Arial"/>
                <w:bCs/>
                <w:lang w:eastAsia="en-US"/>
              </w:rPr>
              <w:t>Udział w wartości wskaźnika</w:t>
            </w:r>
          </w:p>
        </w:tc>
      </w:tr>
      <w:tr w:rsidR="00575C57" w:rsidRPr="00575C57" w14:paraId="76EFB918" w14:textId="77777777" w:rsidTr="00575C57">
        <w:trPr>
          <w:trHeight w:val="340"/>
          <w:jc w:val="center"/>
        </w:trPr>
        <w:tc>
          <w:tcPr>
            <w:tcW w:w="2343"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74A5F626" w14:textId="77777777" w:rsidR="00575C57" w:rsidRPr="00EC290B" w:rsidRDefault="00575C57" w:rsidP="00575C57">
            <w:pPr>
              <w:widowControl/>
              <w:rPr>
                <w:rFonts w:ascii="Arial" w:eastAsia="Calibri" w:hAnsi="Arial" w:cs="Arial"/>
                <w:lang w:eastAsia="en-US"/>
              </w:rPr>
            </w:pPr>
            <w:r w:rsidRPr="00EC290B">
              <w:rPr>
                <w:rFonts w:ascii="Arial" w:eastAsia="Calibri" w:hAnsi="Arial" w:cs="Arial"/>
                <w:lang w:eastAsia="en-US"/>
              </w:rPr>
              <w:t>Grupa 1 – substancje o niskim ryzyku</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1DE101D9"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22,9</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5C10A6FD"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0,10%</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05E32ADB"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0,01%</w:t>
            </w:r>
          </w:p>
        </w:tc>
      </w:tr>
      <w:tr w:rsidR="00575C57" w:rsidRPr="00575C57" w14:paraId="418E2B65" w14:textId="77777777" w:rsidTr="00575C57">
        <w:trPr>
          <w:trHeight w:val="340"/>
          <w:jc w:val="center"/>
        </w:trPr>
        <w:tc>
          <w:tcPr>
            <w:tcW w:w="2343"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659CCDFE" w14:textId="77777777" w:rsidR="00575C57" w:rsidRPr="00EC290B" w:rsidRDefault="00575C57" w:rsidP="00575C57">
            <w:pPr>
              <w:widowControl/>
              <w:rPr>
                <w:rFonts w:ascii="Arial" w:eastAsia="Calibri" w:hAnsi="Arial" w:cs="Arial"/>
                <w:lang w:eastAsia="en-US"/>
              </w:rPr>
            </w:pPr>
            <w:r w:rsidRPr="00EC290B">
              <w:rPr>
                <w:rFonts w:ascii="Arial" w:eastAsia="Calibri" w:hAnsi="Arial" w:cs="Arial"/>
                <w:lang w:eastAsia="en-US"/>
              </w:rPr>
              <w:t>Grupa 2 – substancje dopuszczone</w:t>
            </w:r>
          </w:p>
          <w:p w14:paraId="4B978847" w14:textId="77777777" w:rsidR="00575C57" w:rsidRPr="00EC290B" w:rsidRDefault="00575C57" w:rsidP="00575C57">
            <w:pPr>
              <w:widowControl/>
              <w:rPr>
                <w:rFonts w:ascii="Arial" w:eastAsia="Calibri" w:hAnsi="Arial" w:cs="Arial"/>
                <w:lang w:eastAsia="en-US"/>
              </w:rPr>
            </w:pPr>
            <w:r w:rsidRPr="00EC290B">
              <w:rPr>
                <w:rFonts w:ascii="Arial" w:eastAsia="Calibri" w:hAnsi="Arial" w:cs="Arial"/>
                <w:lang w:eastAsia="en-US"/>
              </w:rPr>
              <w:t>– inne niż w grupie 1 i 3</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0F53E111"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16751,4</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1FEDF16A"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75,05%</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065337BE"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60,14%</w:t>
            </w:r>
          </w:p>
        </w:tc>
      </w:tr>
      <w:tr w:rsidR="00575C57" w:rsidRPr="00575C57" w14:paraId="00BE1DA5" w14:textId="77777777" w:rsidTr="00575C57">
        <w:trPr>
          <w:trHeight w:val="340"/>
          <w:jc w:val="center"/>
        </w:trPr>
        <w:tc>
          <w:tcPr>
            <w:tcW w:w="2343"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0623A473" w14:textId="77777777" w:rsidR="00575C57" w:rsidRPr="00EC290B" w:rsidRDefault="00575C57" w:rsidP="00575C57">
            <w:pPr>
              <w:widowControl/>
              <w:rPr>
                <w:rFonts w:ascii="Arial" w:eastAsia="Calibri" w:hAnsi="Arial" w:cs="Arial"/>
                <w:lang w:eastAsia="en-US"/>
              </w:rPr>
            </w:pPr>
            <w:r w:rsidRPr="00EC290B">
              <w:rPr>
                <w:rFonts w:ascii="Arial" w:eastAsia="Calibri" w:hAnsi="Arial" w:cs="Arial"/>
                <w:lang w:eastAsia="en-US"/>
              </w:rPr>
              <w:t>Grupa 3 – substancje kwalifikujące się do zastąpienia</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206892B1"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5544,9</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66D04BA4"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24,84%</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5FF2CD62"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39,82%</w:t>
            </w:r>
          </w:p>
        </w:tc>
      </w:tr>
      <w:tr w:rsidR="00575C57" w:rsidRPr="00575C57" w14:paraId="391690D6" w14:textId="77777777" w:rsidTr="00575C57">
        <w:trPr>
          <w:trHeight w:val="340"/>
          <w:jc w:val="center"/>
        </w:trPr>
        <w:tc>
          <w:tcPr>
            <w:tcW w:w="2343"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1883EBC8" w14:textId="77777777" w:rsidR="00575C57" w:rsidRPr="00EC290B" w:rsidRDefault="00575C57" w:rsidP="00575C57">
            <w:pPr>
              <w:widowControl/>
              <w:rPr>
                <w:rFonts w:ascii="Arial" w:eastAsia="Calibri" w:hAnsi="Arial" w:cs="Arial"/>
                <w:lang w:eastAsia="en-US"/>
              </w:rPr>
            </w:pPr>
            <w:r w:rsidRPr="00EC290B">
              <w:rPr>
                <w:rFonts w:ascii="Arial" w:eastAsia="Calibri" w:hAnsi="Arial" w:cs="Arial"/>
                <w:lang w:val="en-GB" w:eastAsia="en-US"/>
              </w:rPr>
              <w:t>Gr</w:t>
            </w:r>
            <w:r w:rsidRPr="00EC290B">
              <w:rPr>
                <w:rFonts w:ascii="Arial" w:eastAsia="Calibri" w:hAnsi="Arial" w:cs="Arial"/>
                <w:lang w:eastAsia="en-US"/>
              </w:rPr>
              <w:t>u</w:t>
            </w:r>
            <w:r w:rsidRPr="00EC290B">
              <w:rPr>
                <w:rFonts w:ascii="Arial" w:eastAsia="Calibri" w:hAnsi="Arial" w:cs="Arial"/>
                <w:lang w:val="en-GB" w:eastAsia="en-US"/>
              </w:rPr>
              <w:t>p</w:t>
            </w:r>
            <w:r w:rsidRPr="00EC290B">
              <w:rPr>
                <w:rFonts w:ascii="Arial" w:eastAsia="Calibri" w:hAnsi="Arial" w:cs="Arial"/>
                <w:lang w:eastAsia="en-US"/>
              </w:rPr>
              <w:t>a</w:t>
            </w:r>
            <w:r w:rsidRPr="00EC290B">
              <w:rPr>
                <w:rFonts w:ascii="Arial" w:eastAsia="Calibri" w:hAnsi="Arial" w:cs="Arial"/>
                <w:lang w:val="en-GB" w:eastAsia="en-US"/>
              </w:rPr>
              <w:t xml:space="preserve"> 4 – </w:t>
            </w:r>
            <w:r w:rsidRPr="00EC290B">
              <w:rPr>
                <w:rFonts w:ascii="Arial" w:eastAsia="Calibri" w:hAnsi="Arial" w:cs="Arial"/>
                <w:lang w:eastAsia="en-US"/>
              </w:rPr>
              <w:t>substancje niedopuszczone</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17F90AE9"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1,1</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482454EA"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0,00%</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34DA630C"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0,03%</w:t>
            </w:r>
          </w:p>
        </w:tc>
      </w:tr>
      <w:tr w:rsidR="00575C57" w:rsidRPr="00575C57" w14:paraId="747DD1CE" w14:textId="77777777" w:rsidTr="00575C57">
        <w:trPr>
          <w:trHeight w:val="340"/>
          <w:jc w:val="center"/>
        </w:trPr>
        <w:tc>
          <w:tcPr>
            <w:tcW w:w="2343"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31BF348A" w14:textId="77777777" w:rsidR="00575C57" w:rsidRPr="00EC290B" w:rsidRDefault="00575C57" w:rsidP="00575C57">
            <w:pPr>
              <w:widowControl/>
              <w:rPr>
                <w:rFonts w:ascii="Arial" w:eastAsia="Calibri" w:hAnsi="Arial" w:cs="Arial"/>
                <w:lang w:eastAsia="en-US"/>
              </w:rPr>
            </w:pPr>
            <w:r w:rsidRPr="00EC290B">
              <w:rPr>
                <w:rFonts w:ascii="Arial" w:eastAsia="Calibri" w:hAnsi="Arial" w:cs="Arial"/>
                <w:bCs/>
                <w:lang w:eastAsia="en-US"/>
              </w:rPr>
              <w:t>Suma</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0F4F60F6"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22320,3</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73477423"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100%</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173F5A74" w14:textId="77777777" w:rsidR="00575C57" w:rsidRPr="00EC290B" w:rsidRDefault="00575C57" w:rsidP="00575C57">
            <w:pPr>
              <w:widowControl/>
              <w:spacing w:after="80" w:line="360" w:lineRule="auto"/>
              <w:jc w:val="center"/>
              <w:rPr>
                <w:rFonts w:ascii="Arial" w:eastAsia="Calibri" w:hAnsi="Arial" w:cs="Arial"/>
                <w:lang w:eastAsia="en-US"/>
              </w:rPr>
            </w:pPr>
            <w:r w:rsidRPr="00EC290B">
              <w:rPr>
                <w:rFonts w:ascii="Arial" w:eastAsia="Calibri" w:hAnsi="Arial" w:cs="Arial"/>
                <w:lang w:eastAsia="en-US"/>
              </w:rPr>
              <w:t>100%</w:t>
            </w:r>
          </w:p>
        </w:tc>
      </w:tr>
    </w:tbl>
    <w:p w14:paraId="19E6B87C" w14:textId="77777777" w:rsidR="00575C57" w:rsidRPr="00575C57" w:rsidRDefault="00575C57" w:rsidP="00575C57">
      <w:pPr>
        <w:widowControl/>
        <w:spacing w:before="120" w:after="80" w:line="360" w:lineRule="auto"/>
        <w:rPr>
          <w:rFonts w:eastAsia="Calibri"/>
          <w:i/>
          <w:sz w:val="24"/>
          <w:szCs w:val="22"/>
          <w:lang w:eastAsia="en-US"/>
        </w:rPr>
      </w:pPr>
    </w:p>
    <w:p w14:paraId="43402F35" w14:textId="77777777" w:rsidR="00575C57" w:rsidRPr="00EC290B" w:rsidRDefault="00575C57" w:rsidP="00EC290B">
      <w:pPr>
        <w:pStyle w:val="NormalnyWeb"/>
        <w:tabs>
          <w:tab w:val="left" w:pos="284"/>
        </w:tabs>
        <w:spacing w:beforeAutospacing="0" w:after="120" w:afterAutospacing="0" w:line="360" w:lineRule="auto"/>
        <w:ind w:firstLine="284"/>
        <w:jc w:val="both"/>
        <w:rPr>
          <w:rFonts w:ascii="Arial" w:hAnsi="Arial" w:cs="Arial"/>
          <w:color w:val="1B1B1B"/>
        </w:rPr>
      </w:pPr>
      <w:r w:rsidRPr="00EC290B">
        <w:rPr>
          <w:rFonts w:ascii="Arial" w:hAnsi="Arial" w:cs="Arial"/>
          <w:color w:val="1B1B1B"/>
        </w:rPr>
        <w:t>Analiza szczegółowych danych dotyczących sprzedaży substancji czynnych pokazuje, że 50% wartości wskaźnika wynika ze sprzedaży tylko 8 substancji. Kolejne 14 substancji ma udział równy 25%. Następnych 50 substancji ma udział równy 20%, a pozostałe 180 substancje ma udział tylko 5%.</w:t>
      </w:r>
    </w:p>
    <w:p w14:paraId="105FED02" w14:textId="3A60256D" w:rsidR="00575C57" w:rsidRPr="00EC290B" w:rsidRDefault="00575C57" w:rsidP="00EC290B">
      <w:pPr>
        <w:pStyle w:val="NormalnyWeb"/>
        <w:tabs>
          <w:tab w:val="left" w:pos="284"/>
        </w:tabs>
        <w:spacing w:beforeAutospacing="0" w:after="120" w:afterAutospacing="0" w:line="360" w:lineRule="auto"/>
        <w:ind w:firstLine="284"/>
        <w:jc w:val="both"/>
        <w:rPr>
          <w:rFonts w:ascii="Arial" w:eastAsia="Calibri" w:hAnsi="Arial" w:cs="Arial"/>
          <w:color w:val="333333"/>
          <w:lang w:eastAsia="en-US"/>
        </w:rPr>
      </w:pPr>
      <w:r w:rsidRPr="00EC290B">
        <w:rPr>
          <w:rFonts w:ascii="Arial" w:eastAsia="Calibri" w:hAnsi="Arial" w:cs="Arial"/>
          <w:color w:val="333333"/>
          <w:lang w:eastAsia="en-US"/>
        </w:rPr>
        <w:t>Średnie zużycie substancji czynnych w Polsce (1,9 kg/ha) jest niższe niż średnia w UE (2,9kg/ha), a</w:t>
      </w:r>
      <w:r w:rsidR="00C92649">
        <w:rPr>
          <w:rFonts w:ascii="Arial" w:eastAsia="Calibri" w:hAnsi="Arial" w:cs="Arial"/>
          <w:color w:val="333333"/>
          <w:lang w:eastAsia="en-US"/>
        </w:rPr>
        <w:t> </w:t>
      </w:r>
      <w:r w:rsidRPr="00EC290B">
        <w:rPr>
          <w:rFonts w:ascii="Arial" w:eastAsia="Calibri" w:hAnsi="Arial" w:cs="Arial"/>
          <w:color w:val="333333"/>
          <w:lang w:eastAsia="en-US"/>
        </w:rPr>
        <w:t>zestawianie wskaźników HRI1 na poziomie krajów UE i porównywanie ich ze sobą może prowadzić do nieuzasadnionych wniosków i presji na kraje, w których wartości wskaźnika niekoniecznie muszą być tak samo ograniczane (Rys. 12).</w:t>
      </w:r>
    </w:p>
    <w:p w14:paraId="4B1416A8" w14:textId="77777777" w:rsidR="00575C57" w:rsidRPr="00EC290B" w:rsidRDefault="00575C57" w:rsidP="00EC290B">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EC290B">
        <w:rPr>
          <w:rFonts w:ascii="Arial" w:eastAsia="Calibri" w:hAnsi="Arial" w:cs="Arial"/>
          <w:color w:val="333333"/>
          <w:lang w:eastAsia="en-US"/>
        </w:rPr>
        <w:t>Analizując wartości wskaźnika ryzyka HRI1 należy za każdym razem zaznaczyć, że bardzo ważnym elementem jest poziom wyjściowy ochrony roślin (intensywności) w okresie bazowym – ilość używanych środków, liczba zabiegów i plon. Poziom 100 dla każdego kraju oznacza inną intensywność wyjściową.</w:t>
      </w:r>
    </w:p>
    <w:p w14:paraId="46FBB2B9" w14:textId="77777777" w:rsidR="00575C57" w:rsidRPr="00EC290B" w:rsidRDefault="00575C57" w:rsidP="00575C57">
      <w:pPr>
        <w:widowControl/>
        <w:spacing w:before="120" w:after="120"/>
        <w:rPr>
          <w:rFonts w:ascii="Arial" w:eastAsia="Calibri" w:hAnsi="Arial" w:cs="Arial"/>
          <w:i/>
          <w:lang w:eastAsia="en-US"/>
        </w:rPr>
      </w:pPr>
      <w:r w:rsidRPr="00EC290B">
        <w:rPr>
          <w:rFonts w:ascii="Arial" w:eastAsia="Calibri" w:hAnsi="Arial" w:cs="Arial"/>
          <w:i/>
          <w:lang w:eastAsia="en-US"/>
        </w:rPr>
        <w:t>Rys. 12. Wartość wskaźnika sprzedaży s.cz. na powierzchnię UAA–łąki [kg/ha] w porównaniu do wskaźnika HRI1 w roku 2022 w krajach Unii Europejskiej</w:t>
      </w:r>
    </w:p>
    <w:p w14:paraId="4104339B" w14:textId="6832CBC5" w:rsidR="00575C57" w:rsidRPr="00575C57" w:rsidRDefault="00575C57" w:rsidP="00575C57">
      <w:pPr>
        <w:widowControl/>
        <w:spacing w:before="120" w:after="120"/>
        <w:rPr>
          <w:rFonts w:eastAsia="Calibri"/>
          <w:i/>
          <w:sz w:val="24"/>
          <w:szCs w:val="22"/>
          <w:highlight w:val="yellow"/>
          <w:lang w:eastAsia="en-US"/>
        </w:rPr>
      </w:pPr>
      <w:r w:rsidRPr="00575C57">
        <w:rPr>
          <w:rFonts w:eastAsia="Calibri"/>
          <w:noProof/>
          <w:sz w:val="24"/>
          <w:szCs w:val="22"/>
        </w:rPr>
        <w:drawing>
          <wp:inline distT="0" distB="0" distL="0" distR="0" wp14:anchorId="3EA8D572" wp14:editId="4AF54047">
            <wp:extent cx="5502257" cy="2848911"/>
            <wp:effectExtent l="0" t="0" r="3810" b="8890"/>
            <wp:docPr id="29" name="Wykres 6" descr="Obraz zawierający tekst, zrzut ekranu, Wykres, linia&#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Wykres 6" descr="Obraz zawierający tekst, zrzut ekranu, Wykres, linia&#10;&#10;Opis wygenerowany automatycznie"/>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47604" cy="2872390"/>
                    </a:xfrm>
                    <a:prstGeom prst="rect">
                      <a:avLst/>
                    </a:prstGeom>
                    <a:noFill/>
                    <a:ln>
                      <a:noFill/>
                    </a:ln>
                  </pic:spPr>
                </pic:pic>
              </a:graphicData>
            </a:graphic>
          </wp:inline>
        </w:drawing>
      </w:r>
    </w:p>
    <w:p w14:paraId="31AB8676" w14:textId="77777777" w:rsidR="00C92649" w:rsidRDefault="00C92649" w:rsidP="00575C57">
      <w:pPr>
        <w:widowControl/>
        <w:spacing w:before="240" w:after="80" w:line="360" w:lineRule="auto"/>
        <w:jc w:val="both"/>
        <w:rPr>
          <w:rFonts w:ascii="Arial" w:eastAsia="Calibri" w:hAnsi="Arial" w:cs="Arial"/>
          <w:b/>
          <w:sz w:val="22"/>
          <w:szCs w:val="22"/>
          <w:lang w:eastAsia="en-US"/>
        </w:rPr>
      </w:pPr>
    </w:p>
    <w:p w14:paraId="04863913" w14:textId="158886E4" w:rsidR="00575C57" w:rsidRPr="0049161C" w:rsidRDefault="00575C57" w:rsidP="00575C57">
      <w:pPr>
        <w:widowControl/>
        <w:spacing w:before="240" w:after="80" w:line="360" w:lineRule="auto"/>
        <w:jc w:val="both"/>
        <w:rPr>
          <w:rFonts w:ascii="Arial" w:eastAsia="Calibri" w:hAnsi="Arial" w:cs="Arial"/>
          <w:b/>
          <w:sz w:val="22"/>
          <w:szCs w:val="22"/>
          <w:lang w:eastAsia="en-US"/>
        </w:rPr>
      </w:pPr>
      <w:r w:rsidRPr="0049161C">
        <w:rPr>
          <w:rFonts w:ascii="Arial" w:eastAsia="Calibri" w:hAnsi="Arial" w:cs="Arial"/>
          <w:b/>
          <w:sz w:val="22"/>
          <w:szCs w:val="22"/>
          <w:lang w:eastAsia="en-US"/>
        </w:rPr>
        <w:lastRenderedPageBreak/>
        <w:t>5.2. Sprzedaż substancji czynnych w 2023</w:t>
      </w:r>
    </w:p>
    <w:p w14:paraId="2C48534A" w14:textId="2E8B62FB" w:rsidR="00575C57" w:rsidRPr="00C844C9" w:rsidRDefault="00575C57" w:rsidP="00C844C9">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844C9">
        <w:rPr>
          <w:rFonts w:ascii="Arial" w:eastAsia="Calibri" w:hAnsi="Arial" w:cs="Arial"/>
          <w:lang w:eastAsia="en-US"/>
        </w:rPr>
        <w:t xml:space="preserve">Sprzedaż substancji czynnych w 2023 </w:t>
      </w:r>
      <w:r w:rsidR="00C844C9">
        <w:rPr>
          <w:rFonts w:ascii="Arial" w:eastAsia="Calibri" w:hAnsi="Arial" w:cs="Arial"/>
          <w:lang w:eastAsia="en-US"/>
        </w:rPr>
        <w:t xml:space="preserve">r. </w:t>
      </w:r>
      <w:r w:rsidRPr="00C844C9">
        <w:rPr>
          <w:rFonts w:ascii="Arial" w:eastAsia="Calibri" w:hAnsi="Arial" w:cs="Arial"/>
          <w:lang w:eastAsia="en-US"/>
        </w:rPr>
        <w:t>wyniosła 20</w:t>
      </w:r>
      <w:r w:rsidR="00C844C9">
        <w:rPr>
          <w:rFonts w:ascii="Arial" w:eastAsia="Calibri" w:hAnsi="Arial" w:cs="Arial"/>
          <w:lang w:eastAsia="en-US"/>
        </w:rPr>
        <w:t> </w:t>
      </w:r>
      <w:r w:rsidRPr="00C844C9">
        <w:rPr>
          <w:rFonts w:ascii="Arial" w:eastAsia="Calibri" w:hAnsi="Arial" w:cs="Arial"/>
          <w:lang w:eastAsia="en-US"/>
        </w:rPr>
        <w:t>047 tys.kg i zmalała o 10% w stosunku do 2022</w:t>
      </w:r>
      <w:r w:rsidR="00C844C9">
        <w:rPr>
          <w:rFonts w:ascii="Arial" w:eastAsia="Calibri" w:hAnsi="Arial" w:cs="Arial"/>
          <w:lang w:eastAsia="en-US"/>
        </w:rPr>
        <w:t xml:space="preserve"> r. </w:t>
      </w:r>
      <w:r w:rsidRPr="00C844C9">
        <w:rPr>
          <w:rFonts w:ascii="Arial" w:eastAsia="Calibri" w:hAnsi="Arial" w:cs="Arial"/>
          <w:lang w:eastAsia="en-US"/>
        </w:rPr>
        <w:t>i 26% w porównaniu do 2021</w:t>
      </w:r>
      <w:r w:rsidR="00C844C9">
        <w:rPr>
          <w:rFonts w:ascii="Arial" w:eastAsia="Calibri" w:hAnsi="Arial" w:cs="Arial"/>
          <w:lang w:eastAsia="en-US"/>
        </w:rPr>
        <w:t xml:space="preserve"> r.</w:t>
      </w:r>
      <w:r w:rsidRPr="00C844C9">
        <w:rPr>
          <w:rFonts w:ascii="Arial" w:eastAsia="Calibri" w:hAnsi="Arial" w:cs="Arial"/>
          <w:lang w:eastAsia="en-US"/>
        </w:rPr>
        <w:t xml:space="preserve"> </w:t>
      </w:r>
    </w:p>
    <w:p w14:paraId="6DAFF900" w14:textId="77777777" w:rsidR="00575C57" w:rsidRPr="00C844C9" w:rsidRDefault="00575C57" w:rsidP="00575C57">
      <w:pPr>
        <w:widowControl/>
        <w:spacing w:before="120" w:after="120"/>
        <w:rPr>
          <w:rFonts w:ascii="Arial" w:eastAsia="Calibri" w:hAnsi="Arial" w:cs="Arial"/>
          <w:i/>
          <w:lang w:eastAsia="en-US"/>
        </w:rPr>
      </w:pPr>
      <w:r w:rsidRPr="00C844C9">
        <w:rPr>
          <w:rFonts w:ascii="Arial" w:eastAsia="Calibri" w:hAnsi="Arial" w:cs="Arial"/>
          <w:i/>
          <w:lang w:eastAsia="en-US"/>
        </w:rPr>
        <w:t>Rys. 13. Sprzedaż środków ochrony roślin w przeliczeniu na substancje czynne w tys.kg wraz z linią trendu – lata 2014-2023</w:t>
      </w:r>
    </w:p>
    <w:p w14:paraId="12F05AE8" w14:textId="77777777" w:rsidR="00575C57" w:rsidRPr="00575C57" w:rsidRDefault="00575C57" w:rsidP="00575C57">
      <w:pPr>
        <w:widowControl/>
        <w:spacing w:after="120"/>
        <w:rPr>
          <w:rFonts w:ascii="Arial" w:eastAsia="Calibri" w:hAnsi="Arial" w:cs="Arial"/>
          <w:sz w:val="16"/>
          <w:szCs w:val="22"/>
          <w:lang w:eastAsia="en-US"/>
        </w:rPr>
      </w:pPr>
      <w:r w:rsidRPr="00575C57">
        <w:rPr>
          <w:rFonts w:eastAsia="Calibri"/>
          <w:noProof/>
          <w:sz w:val="24"/>
          <w:szCs w:val="22"/>
        </w:rPr>
        <w:drawing>
          <wp:inline distT="0" distB="0" distL="0" distR="0" wp14:anchorId="2982BC50" wp14:editId="26EC33BF">
            <wp:extent cx="5772785" cy="2966085"/>
            <wp:effectExtent l="0" t="0" r="0" b="5715"/>
            <wp:docPr id="1244442837" name="Wykres 2" descr="Obraz zawierający tekst, zrzut ekranu, numer, linia&#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4442837" name="Wykres 2" descr="Obraz zawierający tekst, zrzut ekranu, numer, linia&#10;&#10;Opis wygenerowany automatycznie"/>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72785" cy="2966085"/>
                    </a:xfrm>
                    <a:prstGeom prst="rect">
                      <a:avLst/>
                    </a:prstGeom>
                    <a:noFill/>
                    <a:ln>
                      <a:noFill/>
                    </a:ln>
                  </pic:spPr>
                </pic:pic>
              </a:graphicData>
            </a:graphic>
          </wp:inline>
        </w:drawing>
      </w:r>
    </w:p>
    <w:p w14:paraId="29DC2AF5" w14:textId="77777777" w:rsidR="00575C57" w:rsidRPr="00C844C9" w:rsidRDefault="00575C57" w:rsidP="00C844C9">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844C9">
        <w:rPr>
          <w:rFonts w:ascii="Arial" w:eastAsia="Calibri" w:hAnsi="Arial" w:cs="Arial"/>
          <w:lang w:eastAsia="en-US"/>
        </w:rPr>
        <w:t xml:space="preserve">Wykres sprzedaży w podziale na grupy środków ochrony roślin (rys. 14) pokazuje kolejny rok niższej sprzedaży substancji czynnych z grupy fungicydów (PES_F) i herbicydów (PES_H). W ciągu dwóch ostatnich lat sprzedaż fungicydów spadła o 41%, a sprzedaż  herbicydów o 21%. </w:t>
      </w:r>
    </w:p>
    <w:p w14:paraId="7E68C713" w14:textId="77777777" w:rsidR="00575C57" w:rsidRPr="00C844C9" w:rsidRDefault="00575C57" w:rsidP="00575C57">
      <w:pPr>
        <w:widowControl/>
        <w:spacing w:before="120" w:after="120"/>
        <w:rPr>
          <w:rFonts w:ascii="Arial" w:eastAsia="Calibri" w:hAnsi="Arial" w:cs="Arial"/>
          <w:i/>
          <w:lang w:eastAsia="en-US"/>
        </w:rPr>
      </w:pPr>
      <w:r w:rsidRPr="00C844C9">
        <w:rPr>
          <w:rFonts w:ascii="Arial" w:eastAsia="Calibri" w:hAnsi="Arial" w:cs="Arial"/>
          <w:i/>
          <w:lang w:eastAsia="en-US"/>
        </w:rPr>
        <w:t>Rys. 14. Sprzedaż substancji czynnych w podziale na grupy śor w latach 2011-2023 (w tys.kg)</w:t>
      </w:r>
    </w:p>
    <w:p w14:paraId="14AA2E73" w14:textId="77777777" w:rsidR="00575C57" w:rsidRPr="00575C57" w:rsidRDefault="00575C57" w:rsidP="00575C57">
      <w:pPr>
        <w:widowControl/>
        <w:spacing w:after="160" w:line="256" w:lineRule="auto"/>
        <w:jc w:val="both"/>
        <w:rPr>
          <w:rFonts w:eastAsia="Calibri"/>
          <w:noProof/>
          <w:sz w:val="24"/>
          <w:szCs w:val="22"/>
          <w:highlight w:val="yellow"/>
        </w:rPr>
      </w:pPr>
      <w:r w:rsidRPr="00575C57">
        <w:rPr>
          <w:rFonts w:eastAsia="Calibri"/>
          <w:noProof/>
          <w:sz w:val="24"/>
          <w:szCs w:val="22"/>
        </w:rPr>
        <w:drawing>
          <wp:inline distT="0" distB="0" distL="0" distR="0" wp14:anchorId="00A7A968" wp14:editId="4E89DBCF">
            <wp:extent cx="5772785" cy="2966085"/>
            <wp:effectExtent l="0" t="0" r="0" b="5715"/>
            <wp:docPr id="31" name="Wykres 11" descr="Obraz zawierający linia, Wykres, tekst, zrzut ekranu&#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Wykres 11" descr="Obraz zawierający linia, Wykres, tekst, zrzut ekranu&#10;&#10;Opis wygenerowany automatycznie"/>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72785" cy="2966085"/>
                    </a:xfrm>
                    <a:prstGeom prst="rect">
                      <a:avLst/>
                    </a:prstGeom>
                    <a:noFill/>
                    <a:ln>
                      <a:noFill/>
                    </a:ln>
                  </pic:spPr>
                </pic:pic>
              </a:graphicData>
            </a:graphic>
          </wp:inline>
        </w:drawing>
      </w:r>
    </w:p>
    <w:p w14:paraId="4B2D79FA" w14:textId="4326985E" w:rsidR="00C844C9" w:rsidRDefault="00C844C9" w:rsidP="00575C57">
      <w:pPr>
        <w:widowControl/>
        <w:spacing w:after="160" w:line="360" w:lineRule="auto"/>
        <w:jc w:val="both"/>
        <w:rPr>
          <w:rFonts w:eastAsia="Calibri"/>
          <w:sz w:val="24"/>
          <w:szCs w:val="24"/>
          <w:lang w:eastAsia="en-US"/>
        </w:rPr>
      </w:pPr>
    </w:p>
    <w:p w14:paraId="3AB03447" w14:textId="77777777" w:rsidR="00C844C9" w:rsidRDefault="00C844C9" w:rsidP="00575C57">
      <w:pPr>
        <w:widowControl/>
        <w:spacing w:after="160" w:line="360" w:lineRule="auto"/>
        <w:jc w:val="both"/>
        <w:rPr>
          <w:rFonts w:eastAsia="Calibri"/>
          <w:sz w:val="24"/>
          <w:szCs w:val="24"/>
          <w:lang w:eastAsia="en-US"/>
        </w:rPr>
      </w:pPr>
    </w:p>
    <w:p w14:paraId="5FC49FB5" w14:textId="3649E045" w:rsidR="00575C57" w:rsidRPr="00C844C9" w:rsidRDefault="00575C57" w:rsidP="00C844C9">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844C9">
        <w:rPr>
          <w:rFonts w:ascii="Arial" w:eastAsia="Calibri" w:hAnsi="Arial" w:cs="Arial"/>
          <w:lang w:eastAsia="en-US"/>
        </w:rPr>
        <w:lastRenderedPageBreak/>
        <w:t>W tabeli 11 przedstawiono klasy chemiczne z największym obniżeniem sprzedaży substancji czynnych.</w:t>
      </w:r>
    </w:p>
    <w:p w14:paraId="152FC9DC" w14:textId="079894A9" w:rsidR="00575C57" w:rsidRPr="00C844C9" w:rsidRDefault="00575C57" w:rsidP="00575C57">
      <w:pPr>
        <w:widowControl/>
        <w:spacing w:before="120" w:after="120"/>
        <w:rPr>
          <w:rFonts w:ascii="Arial" w:eastAsia="Calibri" w:hAnsi="Arial" w:cs="Arial"/>
          <w:i/>
          <w:lang w:eastAsia="en-US"/>
        </w:rPr>
      </w:pPr>
      <w:r w:rsidRPr="00C844C9">
        <w:rPr>
          <w:rFonts w:ascii="Arial" w:eastAsia="Calibri" w:hAnsi="Arial" w:cs="Arial"/>
          <w:i/>
          <w:lang w:eastAsia="en-US"/>
        </w:rPr>
        <w:t>Tabela 11. Klasy chemiczne ze znaczącym spadkiem sprzedaży w 2023</w:t>
      </w:r>
      <w:r w:rsidR="00BC3635">
        <w:rPr>
          <w:rFonts w:ascii="Arial" w:eastAsia="Calibri" w:hAnsi="Arial" w:cs="Arial"/>
          <w:i/>
          <w:lang w:eastAsia="en-US"/>
        </w:rPr>
        <w:t xml:space="preserve"> r.</w:t>
      </w:r>
    </w:p>
    <w:tbl>
      <w:tblPr>
        <w:tblW w:w="5882" w:type="dxa"/>
        <w:jc w:val="center"/>
        <w:tblCellMar>
          <w:left w:w="70" w:type="dxa"/>
          <w:right w:w="70" w:type="dxa"/>
        </w:tblCellMar>
        <w:tblLook w:val="04A0" w:firstRow="1" w:lastRow="0" w:firstColumn="1" w:lastColumn="0" w:noHBand="0" w:noVBand="1"/>
      </w:tblPr>
      <w:tblGrid>
        <w:gridCol w:w="1204"/>
        <w:gridCol w:w="4678"/>
      </w:tblGrid>
      <w:tr w:rsidR="00575C57" w:rsidRPr="00C844C9" w14:paraId="647E1E75" w14:textId="77777777" w:rsidTr="00575C57">
        <w:trPr>
          <w:trHeight w:val="300"/>
          <w:jc w:val="center"/>
        </w:trPr>
        <w:tc>
          <w:tcPr>
            <w:tcW w:w="1204" w:type="dxa"/>
            <w:tcBorders>
              <w:top w:val="single" w:sz="4" w:space="0" w:color="auto"/>
              <w:left w:val="single" w:sz="4" w:space="0" w:color="auto"/>
              <w:bottom w:val="single" w:sz="4" w:space="0" w:color="auto"/>
              <w:right w:val="single" w:sz="4" w:space="0" w:color="auto"/>
            </w:tcBorders>
            <w:noWrap/>
            <w:vAlign w:val="center"/>
            <w:hideMark/>
          </w:tcPr>
          <w:p w14:paraId="655FADFF"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Kod klasy</w:t>
            </w:r>
          </w:p>
        </w:tc>
        <w:tc>
          <w:tcPr>
            <w:tcW w:w="4678" w:type="dxa"/>
            <w:tcBorders>
              <w:top w:val="single" w:sz="4" w:space="0" w:color="auto"/>
              <w:left w:val="nil"/>
              <w:bottom w:val="single" w:sz="4" w:space="0" w:color="auto"/>
              <w:right w:val="single" w:sz="4" w:space="0" w:color="auto"/>
            </w:tcBorders>
            <w:noWrap/>
            <w:vAlign w:val="center"/>
            <w:hideMark/>
          </w:tcPr>
          <w:p w14:paraId="22A30EDE"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Nazwa klasy</w:t>
            </w:r>
          </w:p>
        </w:tc>
      </w:tr>
      <w:tr w:rsidR="00575C57" w:rsidRPr="00C844C9" w14:paraId="3B08CE6E" w14:textId="77777777" w:rsidTr="00575C57">
        <w:trPr>
          <w:trHeight w:val="300"/>
          <w:jc w:val="center"/>
        </w:trPr>
        <w:tc>
          <w:tcPr>
            <w:tcW w:w="1204" w:type="dxa"/>
            <w:tcBorders>
              <w:top w:val="single" w:sz="4" w:space="0" w:color="auto"/>
              <w:left w:val="single" w:sz="4" w:space="0" w:color="auto"/>
              <w:bottom w:val="single" w:sz="4" w:space="0" w:color="auto"/>
              <w:right w:val="single" w:sz="4" w:space="0" w:color="auto"/>
            </w:tcBorders>
            <w:noWrap/>
            <w:vAlign w:val="center"/>
            <w:hideMark/>
          </w:tcPr>
          <w:p w14:paraId="5563571A"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F99_02</w:t>
            </w:r>
          </w:p>
        </w:tc>
        <w:tc>
          <w:tcPr>
            <w:tcW w:w="4678" w:type="dxa"/>
            <w:tcBorders>
              <w:top w:val="single" w:sz="4" w:space="0" w:color="auto"/>
              <w:left w:val="nil"/>
              <w:bottom w:val="single" w:sz="4" w:space="0" w:color="auto"/>
              <w:right w:val="single" w:sz="4" w:space="0" w:color="auto"/>
            </w:tcBorders>
            <w:noWrap/>
            <w:vAlign w:val="center"/>
            <w:hideMark/>
          </w:tcPr>
          <w:p w14:paraId="5F117029"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FUNGICYDY AMIDOWE</w:t>
            </w:r>
          </w:p>
        </w:tc>
      </w:tr>
      <w:tr w:rsidR="00575C57" w:rsidRPr="00C844C9" w14:paraId="0DE80B0C" w14:textId="77777777" w:rsidTr="00575C57">
        <w:trPr>
          <w:trHeight w:val="300"/>
          <w:jc w:val="center"/>
        </w:trPr>
        <w:tc>
          <w:tcPr>
            <w:tcW w:w="1204" w:type="dxa"/>
            <w:tcBorders>
              <w:top w:val="single" w:sz="4" w:space="0" w:color="auto"/>
              <w:left w:val="single" w:sz="4" w:space="0" w:color="auto"/>
              <w:bottom w:val="single" w:sz="4" w:space="0" w:color="auto"/>
              <w:right w:val="single" w:sz="4" w:space="0" w:color="auto"/>
            </w:tcBorders>
            <w:noWrap/>
            <w:vAlign w:val="center"/>
            <w:hideMark/>
          </w:tcPr>
          <w:p w14:paraId="5BE41D43"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F04_01</w:t>
            </w:r>
          </w:p>
        </w:tc>
        <w:tc>
          <w:tcPr>
            <w:tcW w:w="4678" w:type="dxa"/>
            <w:tcBorders>
              <w:top w:val="single" w:sz="4" w:space="0" w:color="auto"/>
              <w:left w:val="nil"/>
              <w:bottom w:val="single" w:sz="4" w:space="0" w:color="auto"/>
              <w:right w:val="single" w:sz="4" w:space="0" w:color="auto"/>
            </w:tcBorders>
            <w:noWrap/>
            <w:vAlign w:val="center"/>
            <w:hideMark/>
          </w:tcPr>
          <w:p w14:paraId="5943823C"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FUNGICYDY KONAZOLOWE</w:t>
            </w:r>
          </w:p>
        </w:tc>
      </w:tr>
      <w:tr w:rsidR="00575C57" w:rsidRPr="00C844C9" w14:paraId="749A59F0" w14:textId="77777777" w:rsidTr="00575C57">
        <w:trPr>
          <w:trHeight w:val="300"/>
          <w:jc w:val="center"/>
        </w:trPr>
        <w:tc>
          <w:tcPr>
            <w:tcW w:w="1204" w:type="dxa"/>
            <w:tcBorders>
              <w:top w:val="single" w:sz="4" w:space="0" w:color="auto"/>
              <w:left w:val="single" w:sz="4" w:space="0" w:color="auto"/>
              <w:bottom w:val="single" w:sz="4" w:space="0" w:color="auto"/>
              <w:right w:val="single" w:sz="4" w:space="0" w:color="auto"/>
            </w:tcBorders>
            <w:noWrap/>
            <w:vAlign w:val="center"/>
            <w:hideMark/>
          </w:tcPr>
          <w:p w14:paraId="19FC7745"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H01_01</w:t>
            </w:r>
          </w:p>
        </w:tc>
        <w:tc>
          <w:tcPr>
            <w:tcW w:w="4678" w:type="dxa"/>
            <w:tcBorders>
              <w:top w:val="single" w:sz="4" w:space="0" w:color="auto"/>
              <w:left w:val="nil"/>
              <w:bottom w:val="single" w:sz="4" w:space="0" w:color="auto"/>
              <w:right w:val="single" w:sz="4" w:space="0" w:color="auto"/>
            </w:tcBorders>
            <w:noWrap/>
            <w:vAlign w:val="center"/>
            <w:hideMark/>
          </w:tcPr>
          <w:p w14:paraId="0578567B"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HERBICYDY – POCHODNE KWASÓW FENOKSYALKANOKARBOKSYLOWYCH</w:t>
            </w:r>
          </w:p>
        </w:tc>
      </w:tr>
      <w:tr w:rsidR="00575C57" w:rsidRPr="00C844C9" w14:paraId="54610371" w14:textId="77777777" w:rsidTr="00575C57">
        <w:trPr>
          <w:trHeight w:val="300"/>
          <w:jc w:val="center"/>
        </w:trPr>
        <w:tc>
          <w:tcPr>
            <w:tcW w:w="1204" w:type="dxa"/>
            <w:tcBorders>
              <w:top w:val="single" w:sz="4" w:space="0" w:color="auto"/>
              <w:left w:val="single" w:sz="4" w:space="0" w:color="auto"/>
              <w:bottom w:val="single" w:sz="4" w:space="0" w:color="auto"/>
              <w:right w:val="single" w:sz="4" w:space="0" w:color="auto"/>
            </w:tcBorders>
            <w:noWrap/>
            <w:vAlign w:val="center"/>
            <w:hideMark/>
          </w:tcPr>
          <w:p w14:paraId="6079414C"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PGR01_01</w:t>
            </w:r>
          </w:p>
        </w:tc>
        <w:tc>
          <w:tcPr>
            <w:tcW w:w="4678" w:type="dxa"/>
            <w:tcBorders>
              <w:top w:val="single" w:sz="4" w:space="0" w:color="auto"/>
              <w:left w:val="nil"/>
              <w:bottom w:val="single" w:sz="4" w:space="0" w:color="auto"/>
              <w:right w:val="single" w:sz="4" w:space="0" w:color="auto"/>
            </w:tcBorders>
            <w:noWrap/>
            <w:vAlign w:val="center"/>
            <w:hideMark/>
          </w:tcPr>
          <w:p w14:paraId="26CAFD38"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FIZJOLOGICZNE REGULATORY WZROSTU ROŚLIN</w:t>
            </w:r>
          </w:p>
        </w:tc>
      </w:tr>
      <w:tr w:rsidR="00575C57" w:rsidRPr="00C844C9" w14:paraId="3D3B46CD" w14:textId="77777777" w:rsidTr="00575C57">
        <w:trPr>
          <w:trHeight w:val="300"/>
          <w:jc w:val="center"/>
        </w:trPr>
        <w:tc>
          <w:tcPr>
            <w:tcW w:w="1204" w:type="dxa"/>
            <w:tcBorders>
              <w:top w:val="single" w:sz="4" w:space="0" w:color="auto"/>
              <w:left w:val="single" w:sz="4" w:space="0" w:color="auto"/>
              <w:bottom w:val="single" w:sz="4" w:space="0" w:color="auto"/>
              <w:right w:val="single" w:sz="4" w:space="0" w:color="auto"/>
            </w:tcBorders>
            <w:noWrap/>
            <w:vAlign w:val="center"/>
            <w:hideMark/>
          </w:tcPr>
          <w:p w14:paraId="28CDE570"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H99_14</w:t>
            </w:r>
          </w:p>
        </w:tc>
        <w:tc>
          <w:tcPr>
            <w:tcW w:w="4678" w:type="dxa"/>
            <w:tcBorders>
              <w:top w:val="single" w:sz="4" w:space="0" w:color="auto"/>
              <w:left w:val="nil"/>
              <w:bottom w:val="single" w:sz="4" w:space="0" w:color="auto"/>
              <w:right w:val="single" w:sz="4" w:space="0" w:color="auto"/>
            </w:tcBorders>
            <w:noWrap/>
            <w:vAlign w:val="center"/>
            <w:hideMark/>
          </w:tcPr>
          <w:p w14:paraId="7DE7B5ED"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HERBICYDY FOSFOROORGANICZNE</w:t>
            </w:r>
          </w:p>
        </w:tc>
      </w:tr>
      <w:tr w:rsidR="00575C57" w:rsidRPr="00C844C9" w14:paraId="412D6C0D" w14:textId="77777777" w:rsidTr="00575C57">
        <w:trPr>
          <w:trHeight w:val="300"/>
          <w:jc w:val="center"/>
        </w:trPr>
        <w:tc>
          <w:tcPr>
            <w:tcW w:w="1204" w:type="dxa"/>
            <w:tcBorders>
              <w:top w:val="single" w:sz="4" w:space="0" w:color="auto"/>
              <w:left w:val="single" w:sz="4" w:space="0" w:color="auto"/>
              <w:bottom w:val="single" w:sz="4" w:space="0" w:color="auto"/>
              <w:right w:val="single" w:sz="4" w:space="0" w:color="auto"/>
            </w:tcBorders>
            <w:noWrap/>
            <w:vAlign w:val="center"/>
            <w:hideMark/>
          </w:tcPr>
          <w:p w14:paraId="2617EA23"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H03_02</w:t>
            </w:r>
          </w:p>
        </w:tc>
        <w:tc>
          <w:tcPr>
            <w:tcW w:w="4678" w:type="dxa"/>
            <w:tcBorders>
              <w:top w:val="single" w:sz="4" w:space="0" w:color="auto"/>
              <w:left w:val="nil"/>
              <w:bottom w:val="single" w:sz="4" w:space="0" w:color="auto"/>
              <w:right w:val="single" w:sz="4" w:space="0" w:color="auto"/>
            </w:tcBorders>
            <w:noWrap/>
            <w:vAlign w:val="center"/>
            <w:hideMark/>
          </w:tcPr>
          <w:p w14:paraId="7E7DF503"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HERBICYDY NA BAZIE ANILIDÓW</w:t>
            </w:r>
          </w:p>
        </w:tc>
      </w:tr>
      <w:tr w:rsidR="00575C57" w:rsidRPr="00C844C9" w14:paraId="00380CA8" w14:textId="77777777" w:rsidTr="00575C57">
        <w:trPr>
          <w:trHeight w:val="300"/>
          <w:jc w:val="center"/>
        </w:trPr>
        <w:tc>
          <w:tcPr>
            <w:tcW w:w="1204" w:type="dxa"/>
            <w:tcBorders>
              <w:top w:val="single" w:sz="4" w:space="0" w:color="auto"/>
              <w:left w:val="single" w:sz="4" w:space="0" w:color="auto"/>
              <w:bottom w:val="single" w:sz="4" w:space="0" w:color="auto"/>
              <w:right w:val="single" w:sz="4" w:space="0" w:color="auto"/>
            </w:tcBorders>
            <w:noWrap/>
            <w:vAlign w:val="center"/>
            <w:hideMark/>
          </w:tcPr>
          <w:p w14:paraId="06970139"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H05_01</w:t>
            </w:r>
          </w:p>
        </w:tc>
        <w:tc>
          <w:tcPr>
            <w:tcW w:w="4678" w:type="dxa"/>
            <w:tcBorders>
              <w:top w:val="single" w:sz="4" w:space="0" w:color="auto"/>
              <w:left w:val="nil"/>
              <w:bottom w:val="single" w:sz="4" w:space="0" w:color="auto"/>
              <w:right w:val="single" w:sz="4" w:space="0" w:color="auto"/>
            </w:tcBorders>
            <w:noWrap/>
            <w:vAlign w:val="center"/>
            <w:hideMark/>
          </w:tcPr>
          <w:p w14:paraId="6A169AA8" w14:textId="77777777" w:rsidR="00575C57" w:rsidRPr="00C844C9" w:rsidRDefault="00575C57" w:rsidP="00575C57">
            <w:pPr>
              <w:widowControl/>
              <w:suppressAutoHyphens/>
              <w:autoSpaceDN w:val="0"/>
              <w:rPr>
                <w:rFonts w:ascii="Arial" w:eastAsia="Lucida Sans Unicode" w:hAnsi="Arial" w:cs="Arial"/>
                <w:kern w:val="3"/>
                <w:lang w:eastAsia="en-US"/>
              </w:rPr>
            </w:pPr>
            <w:r w:rsidRPr="00C844C9">
              <w:rPr>
                <w:rFonts w:ascii="Arial" w:eastAsia="Lucida Sans Unicode" w:hAnsi="Arial" w:cs="Arial"/>
                <w:kern w:val="3"/>
                <w:lang w:eastAsia="en-US"/>
              </w:rPr>
              <w:t>HERBICYDY NA BAZIE DINITROANILINY</w:t>
            </w:r>
          </w:p>
        </w:tc>
      </w:tr>
    </w:tbl>
    <w:p w14:paraId="014A328C" w14:textId="77777777" w:rsidR="00575C57" w:rsidRPr="00C844C9" w:rsidRDefault="00575C57" w:rsidP="00575C57">
      <w:pPr>
        <w:widowControl/>
        <w:spacing w:after="160" w:line="256" w:lineRule="auto"/>
        <w:jc w:val="both"/>
        <w:rPr>
          <w:rFonts w:ascii="Arial" w:eastAsia="Calibri" w:hAnsi="Arial" w:cs="Arial"/>
          <w:highlight w:val="yellow"/>
          <w:lang w:eastAsia="en-US"/>
        </w:rPr>
      </w:pPr>
    </w:p>
    <w:p w14:paraId="0C64349A" w14:textId="77777777" w:rsidR="00575C57" w:rsidRPr="0049161C" w:rsidRDefault="00575C57" w:rsidP="00575C57">
      <w:pPr>
        <w:widowControl/>
        <w:spacing w:after="80" w:line="360" w:lineRule="auto"/>
        <w:jc w:val="both"/>
        <w:rPr>
          <w:rFonts w:ascii="Arial" w:eastAsia="Calibri" w:hAnsi="Arial" w:cs="Arial"/>
          <w:b/>
          <w:sz w:val="22"/>
          <w:szCs w:val="22"/>
          <w:lang w:eastAsia="en-US"/>
        </w:rPr>
      </w:pPr>
      <w:r w:rsidRPr="0049161C">
        <w:rPr>
          <w:rFonts w:ascii="Arial" w:eastAsia="Calibri" w:hAnsi="Arial" w:cs="Arial"/>
          <w:b/>
          <w:sz w:val="22"/>
          <w:szCs w:val="22"/>
          <w:lang w:eastAsia="en-US"/>
        </w:rPr>
        <w:t>5.3. Zharmonizowany wskaźnika ryzyka HRI1 – rok 2023</w:t>
      </w:r>
    </w:p>
    <w:p w14:paraId="7B42BEE6" w14:textId="16D908A6" w:rsidR="00575C57" w:rsidRPr="00C844C9" w:rsidRDefault="00C844C9" w:rsidP="00C844C9">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C844C9">
        <w:rPr>
          <w:rFonts w:ascii="Arial" w:eastAsia="Calibri" w:hAnsi="Arial" w:cs="Arial"/>
          <w:lang w:eastAsia="en-US"/>
        </w:rPr>
        <w:t xml:space="preserve">W </w:t>
      </w:r>
      <w:r w:rsidR="00575C57" w:rsidRPr="00C844C9">
        <w:rPr>
          <w:rFonts w:ascii="Arial" w:eastAsia="Calibri" w:hAnsi="Arial" w:cs="Arial"/>
          <w:lang w:eastAsia="en-US"/>
        </w:rPr>
        <w:t xml:space="preserve">2023 </w:t>
      </w:r>
      <w:r w:rsidRPr="00C844C9">
        <w:rPr>
          <w:rFonts w:ascii="Arial" w:eastAsia="Calibri" w:hAnsi="Arial" w:cs="Arial"/>
          <w:lang w:eastAsia="en-US"/>
        </w:rPr>
        <w:t xml:space="preserve">r. </w:t>
      </w:r>
      <w:r w:rsidR="00575C57" w:rsidRPr="00C844C9">
        <w:rPr>
          <w:rFonts w:ascii="Arial" w:eastAsia="Calibri" w:hAnsi="Arial" w:cs="Arial"/>
          <w:lang w:eastAsia="en-US"/>
        </w:rPr>
        <w:t>przeprowadzono obliczenia wskaźnika HRI1 za lata 2011-2023 na poziomie krajowym (tabela 1</w:t>
      </w:r>
      <w:r w:rsidR="00C92649">
        <w:rPr>
          <w:rFonts w:ascii="Arial" w:eastAsia="Calibri" w:hAnsi="Arial" w:cs="Arial"/>
          <w:lang w:eastAsia="en-US"/>
        </w:rPr>
        <w:t>2</w:t>
      </w:r>
      <w:r w:rsidR="00575C57" w:rsidRPr="00C844C9">
        <w:rPr>
          <w:rFonts w:ascii="Arial" w:eastAsia="Calibri" w:hAnsi="Arial" w:cs="Arial"/>
          <w:lang w:eastAsia="en-US"/>
        </w:rPr>
        <w:t xml:space="preserve">) wraz z analizą danych o sprzedaży substancji czynnych mających największy wpływ na zmiany wartości wskaźnika. </w:t>
      </w:r>
    </w:p>
    <w:p w14:paraId="4AA27E48" w14:textId="2E939D99" w:rsidR="00575C57" w:rsidRPr="00C844C9" w:rsidRDefault="00575C57" w:rsidP="00575C57">
      <w:pPr>
        <w:widowControl/>
        <w:spacing w:before="120" w:after="120"/>
        <w:rPr>
          <w:rFonts w:ascii="Arial" w:eastAsia="Calibri" w:hAnsi="Arial" w:cs="Arial"/>
          <w:i/>
          <w:lang w:eastAsia="en-US"/>
        </w:rPr>
      </w:pPr>
      <w:r w:rsidRPr="00C844C9">
        <w:rPr>
          <w:rFonts w:ascii="Arial" w:eastAsia="Calibri" w:hAnsi="Arial" w:cs="Arial"/>
          <w:i/>
          <w:lang w:eastAsia="en-US"/>
        </w:rPr>
        <w:t>Tabela 1</w:t>
      </w:r>
      <w:r w:rsidR="00C92649">
        <w:rPr>
          <w:rFonts w:ascii="Arial" w:eastAsia="Calibri" w:hAnsi="Arial" w:cs="Arial"/>
          <w:i/>
          <w:lang w:eastAsia="en-US"/>
        </w:rPr>
        <w:t>2</w:t>
      </w:r>
      <w:r w:rsidRPr="00C844C9">
        <w:rPr>
          <w:rFonts w:ascii="Arial" w:eastAsia="Calibri" w:hAnsi="Arial" w:cs="Arial"/>
          <w:i/>
          <w:lang w:eastAsia="en-US"/>
        </w:rPr>
        <w:t>. Obliczenia wskaźnika HRI1 według prawdopodobnej klasyfikacji substancji za 2023</w:t>
      </w:r>
      <w:r w:rsidR="00C844C9">
        <w:rPr>
          <w:rFonts w:ascii="Arial" w:eastAsia="Calibri" w:hAnsi="Arial" w:cs="Arial"/>
          <w:i/>
          <w:lang w:eastAsia="en-US"/>
        </w:rPr>
        <w:t xml:space="preserve"> r.</w:t>
      </w:r>
    </w:p>
    <w:tbl>
      <w:tblPr>
        <w:tblW w:w="9017" w:type="dxa"/>
        <w:tblInd w:w="75" w:type="dxa"/>
        <w:tblLayout w:type="fixed"/>
        <w:tblCellMar>
          <w:left w:w="70" w:type="dxa"/>
          <w:right w:w="70" w:type="dxa"/>
        </w:tblCellMar>
        <w:tblLook w:val="04A0" w:firstRow="1" w:lastRow="0" w:firstColumn="1" w:lastColumn="0" w:noHBand="0" w:noVBand="1"/>
      </w:tblPr>
      <w:tblGrid>
        <w:gridCol w:w="1174"/>
        <w:gridCol w:w="1089"/>
        <w:gridCol w:w="1090"/>
        <w:gridCol w:w="1089"/>
        <w:gridCol w:w="1090"/>
        <w:gridCol w:w="1090"/>
        <w:gridCol w:w="1127"/>
        <w:gridCol w:w="1268"/>
      </w:tblGrid>
      <w:tr w:rsidR="00575C57" w:rsidRPr="00575C57" w14:paraId="0E0E5CB1" w14:textId="77777777" w:rsidTr="00C844C9">
        <w:trPr>
          <w:trHeight w:val="392"/>
        </w:trPr>
        <w:tc>
          <w:tcPr>
            <w:tcW w:w="1174" w:type="dxa"/>
            <w:vMerge w:val="restart"/>
            <w:tcBorders>
              <w:top w:val="single" w:sz="4" w:space="0" w:color="auto"/>
              <w:left w:val="single" w:sz="4" w:space="0" w:color="auto"/>
              <w:bottom w:val="single" w:sz="4" w:space="0" w:color="000000"/>
              <w:right w:val="single" w:sz="4" w:space="0" w:color="auto"/>
            </w:tcBorders>
            <w:shd w:val="clear" w:color="auto" w:fill="F2F2F2"/>
            <w:noWrap/>
            <w:vAlign w:val="center"/>
            <w:hideMark/>
          </w:tcPr>
          <w:p w14:paraId="56D36C64"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Rok</w:t>
            </w:r>
          </w:p>
        </w:tc>
        <w:tc>
          <w:tcPr>
            <w:tcW w:w="5448" w:type="dxa"/>
            <w:gridSpan w:val="5"/>
            <w:tcBorders>
              <w:top w:val="single" w:sz="4" w:space="0" w:color="auto"/>
              <w:left w:val="nil"/>
              <w:bottom w:val="single" w:sz="4" w:space="0" w:color="auto"/>
              <w:right w:val="single" w:sz="4" w:space="0" w:color="000000"/>
            </w:tcBorders>
            <w:shd w:val="clear" w:color="auto" w:fill="F2F2F2"/>
            <w:noWrap/>
            <w:vAlign w:val="center"/>
            <w:hideMark/>
          </w:tcPr>
          <w:p w14:paraId="07F2292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Sprzedaż substancji czynnych [w tonach]</w:t>
            </w:r>
          </w:p>
        </w:tc>
        <w:tc>
          <w:tcPr>
            <w:tcW w:w="1127"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14:paraId="7022459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Sprzedaż ważona</w:t>
            </w:r>
          </w:p>
        </w:tc>
        <w:tc>
          <w:tcPr>
            <w:tcW w:w="1268"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14:paraId="6DD48C11"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Wartość wskaźnika HRI1</w:t>
            </w:r>
          </w:p>
        </w:tc>
      </w:tr>
      <w:tr w:rsidR="00575C57" w:rsidRPr="00575C57" w14:paraId="12050375" w14:textId="77777777" w:rsidTr="00C844C9">
        <w:trPr>
          <w:trHeight w:val="263"/>
        </w:trPr>
        <w:tc>
          <w:tcPr>
            <w:tcW w:w="1174" w:type="dxa"/>
            <w:vMerge/>
            <w:tcBorders>
              <w:top w:val="single" w:sz="4" w:space="0" w:color="auto"/>
              <w:left w:val="single" w:sz="4" w:space="0" w:color="auto"/>
              <w:bottom w:val="single" w:sz="4" w:space="0" w:color="000000"/>
              <w:right w:val="single" w:sz="4" w:space="0" w:color="auto"/>
            </w:tcBorders>
            <w:vAlign w:val="center"/>
            <w:hideMark/>
          </w:tcPr>
          <w:p w14:paraId="5806B729" w14:textId="77777777" w:rsidR="00575C57" w:rsidRPr="00C844C9" w:rsidRDefault="00575C57" w:rsidP="00575C57">
            <w:pPr>
              <w:widowControl/>
              <w:spacing w:line="276" w:lineRule="auto"/>
              <w:rPr>
                <w:rFonts w:ascii="Arial" w:hAnsi="Arial" w:cs="Arial"/>
                <w:color w:val="000000"/>
              </w:rPr>
            </w:pPr>
          </w:p>
        </w:tc>
        <w:tc>
          <w:tcPr>
            <w:tcW w:w="1089" w:type="dxa"/>
            <w:tcBorders>
              <w:top w:val="nil"/>
              <w:left w:val="nil"/>
              <w:bottom w:val="single" w:sz="4" w:space="0" w:color="auto"/>
              <w:right w:val="single" w:sz="4" w:space="0" w:color="auto"/>
            </w:tcBorders>
            <w:shd w:val="clear" w:color="auto" w:fill="F2F2F2"/>
            <w:noWrap/>
            <w:vAlign w:val="center"/>
            <w:hideMark/>
          </w:tcPr>
          <w:p w14:paraId="14AD76F7"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Gr.1</w:t>
            </w:r>
          </w:p>
        </w:tc>
        <w:tc>
          <w:tcPr>
            <w:tcW w:w="1090" w:type="dxa"/>
            <w:tcBorders>
              <w:top w:val="nil"/>
              <w:left w:val="nil"/>
              <w:bottom w:val="single" w:sz="4" w:space="0" w:color="auto"/>
              <w:right w:val="single" w:sz="4" w:space="0" w:color="auto"/>
            </w:tcBorders>
            <w:shd w:val="clear" w:color="auto" w:fill="F2F2F2"/>
            <w:noWrap/>
            <w:vAlign w:val="center"/>
            <w:hideMark/>
          </w:tcPr>
          <w:p w14:paraId="5DB997C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Gr.2</w:t>
            </w:r>
          </w:p>
        </w:tc>
        <w:tc>
          <w:tcPr>
            <w:tcW w:w="1089" w:type="dxa"/>
            <w:tcBorders>
              <w:top w:val="nil"/>
              <w:left w:val="nil"/>
              <w:bottom w:val="single" w:sz="4" w:space="0" w:color="auto"/>
              <w:right w:val="single" w:sz="4" w:space="0" w:color="auto"/>
            </w:tcBorders>
            <w:shd w:val="clear" w:color="auto" w:fill="F2F2F2"/>
            <w:noWrap/>
            <w:vAlign w:val="center"/>
            <w:hideMark/>
          </w:tcPr>
          <w:p w14:paraId="33FF9F88"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Gr.3</w:t>
            </w:r>
          </w:p>
        </w:tc>
        <w:tc>
          <w:tcPr>
            <w:tcW w:w="1090" w:type="dxa"/>
            <w:tcBorders>
              <w:top w:val="nil"/>
              <w:left w:val="nil"/>
              <w:bottom w:val="single" w:sz="4" w:space="0" w:color="auto"/>
              <w:right w:val="single" w:sz="4" w:space="0" w:color="auto"/>
            </w:tcBorders>
            <w:shd w:val="clear" w:color="auto" w:fill="F2F2F2"/>
            <w:noWrap/>
            <w:vAlign w:val="center"/>
            <w:hideMark/>
          </w:tcPr>
          <w:p w14:paraId="7097E4C4"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Gr.4</w:t>
            </w:r>
          </w:p>
        </w:tc>
        <w:tc>
          <w:tcPr>
            <w:tcW w:w="1090" w:type="dxa"/>
            <w:tcBorders>
              <w:top w:val="nil"/>
              <w:left w:val="single" w:sz="4" w:space="0" w:color="auto"/>
              <w:bottom w:val="single" w:sz="4" w:space="0" w:color="000000"/>
              <w:right w:val="single" w:sz="4" w:space="0" w:color="auto"/>
            </w:tcBorders>
            <w:shd w:val="clear" w:color="auto" w:fill="F2F2F2"/>
            <w:noWrap/>
            <w:vAlign w:val="center"/>
            <w:hideMark/>
          </w:tcPr>
          <w:p w14:paraId="0E303488"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Suma</w:t>
            </w:r>
          </w:p>
        </w:tc>
        <w:tc>
          <w:tcPr>
            <w:tcW w:w="1127" w:type="dxa"/>
            <w:vMerge/>
            <w:tcBorders>
              <w:top w:val="single" w:sz="4" w:space="0" w:color="auto"/>
              <w:left w:val="single" w:sz="4" w:space="0" w:color="auto"/>
              <w:bottom w:val="single" w:sz="4" w:space="0" w:color="000000"/>
              <w:right w:val="single" w:sz="4" w:space="0" w:color="auto"/>
            </w:tcBorders>
            <w:vAlign w:val="center"/>
            <w:hideMark/>
          </w:tcPr>
          <w:p w14:paraId="6A5C0CA9" w14:textId="77777777" w:rsidR="00575C57" w:rsidRPr="00C844C9" w:rsidRDefault="00575C57" w:rsidP="00575C57">
            <w:pPr>
              <w:widowControl/>
              <w:spacing w:line="276" w:lineRule="auto"/>
              <w:rPr>
                <w:rFonts w:ascii="Arial" w:hAnsi="Arial" w:cs="Arial"/>
                <w:color w:val="000000"/>
              </w:rPr>
            </w:pPr>
          </w:p>
        </w:tc>
        <w:tc>
          <w:tcPr>
            <w:tcW w:w="1268" w:type="dxa"/>
            <w:vMerge/>
            <w:tcBorders>
              <w:top w:val="single" w:sz="4" w:space="0" w:color="auto"/>
              <w:left w:val="single" w:sz="4" w:space="0" w:color="auto"/>
              <w:bottom w:val="single" w:sz="4" w:space="0" w:color="000000"/>
              <w:right w:val="single" w:sz="4" w:space="0" w:color="auto"/>
            </w:tcBorders>
            <w:vAlign w:val="center"/>
            <w:hideMark/>
          </w:tcPr>
          <w:p w14:paraId="685EA5A1" w14:textId="77777777" w:rsidR="00575C57" w:rsidRPr="00C844C9" w:rsidRDefault="00575C57" w:rsidP="00575C57">
            <w:pPr>
              <w:widowControl/>
              <w:spacing w:line="276" w:lineRule="auto"/>
              <w:rPr>
                <w:rFonts w:ascii="Arial" w:hAnsi="Arial" w:cs="Arial"/>
                <w:b/>
                <w:color w:val="000000"/>
              </w:rPr>
            </w:pPr>
          </w:p>
        </w:tc>
      </w:tr>
      <w:tr w:rsidR="00575C57" w:rsidRPr="00575C57" w14:paraId="520CF9DB"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65625D8B"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2011-2013</w:t>
            </w:r>
          </w:p>
        </w:tc>
        <w:tc>
          <w:tcPr>
            <w:tcW w:w="1089" w:type="dxa"/>
            <w:tcBorders>
              <w:top w:val="nil"/>
              <w:left w:val="nil"/>
              <w:bottom w:val="single" w:sz="4" w:space="0" w:color="auto"/>
              <w:right w:val="single" w:sz="4" w:space="0" w:color="auto"/>
            </w:tcBorders>
            <w:noWrap/>
            <w:vAlign w:val="center"/>
          </w:tcPr>
          <w:p w14:paraId="09AB86A0" w14:textId="77777777" w:rsidR="00575C57" w:rsidRPr="00C844C9" w:rsidRDefault="00575C57" w:rsidP="00575C57">
            <w:pPr>
              <w:widowControl/>
              <w:jc w:val="center"/>
              <w:rPr>
                <w:rFonts w:ascii="Arial" w:hAnsi="Arial" w:cs="Arial"/>
                <w:color w:val="000000"/>
              </w:rPr>
            </w:pPr>
          </w:p>
        </w:tc>
        <w:tc>
          <w:tcPr>
            <w:tcW w:w="1090" w:type="dxa"/>
            <w:tcBorders>
              <w:top w:val="nil"/>
              <w:left w:val="nil"/>
              <w:bottom w:val="single" w:sz="4" w:space="0" w:color="auto"/>
              <w:right w:val="single" w:sz="4" w:space="0" w:color="auto"/>
            </w:tcBorders>
            <w:noWrap/>
            <w:vAlign w:val="center"/>
          </w:tcPr>
          <w:p w14:paraId="14585589" w14:textId="77777777" w:rsidR="00575C57" w:rsidRPr="00C844C9" w:rsidRDefault="00575C57" w:rsidP="00575C57">
            <w:pPr>
              <w:widowControl/>
              <w:jc w:val="center"/>
              <w:rPr>
                <w:rFonts w:ascii="Arial" w:hAnsi="Arial" w:cs="Arial"/>
                <w:color w:val="000000"/>
              </w:rPr>
            </w:pPr>
          </w:p>
        </w:tc>
        <w:tc>
          <w:tcPr>
            <w:tcW w:w="1089" w:type="dxa"/>
            <w:tcBorders>
              <w:top w:val="nil"/>
              <w:left w:val="nil"/>
              <w:bottom w:val="single" w:sz="4" w:space="0" w:color="auto"/>
              <w:right w:val="single" w:sz="4" w:space="0" w:color="auto"/>
            </w:tcBorders>
            <w:noWrap/>
            <w:vAlign w:val="center"/>
          </w:tcPr>
          <w:p w14:paraId="1BD61F18" w14:textId="77777777" w:rsidR="00575C57" w:rsidRPr="00C844C9" w:rsidRDefault="00575C57" w:rsidP="00575C57">
            <w:pPr>
              <w:widowControl/>
              <w:jc w:val="center"/>
              <w:rPr>
                <w:rFonts w:ascii="Arial" w:hAnsi="Arial" w:cs="Arial"/>
                <w:color w:val="000000"/>
              </w:rPr>
            </w:pPr>
          </w:p>
        </w:tc>
        <w:tc>
          <w:tcPr>
            <w:tcW w:w="1090" w:type="dxa"/>
            <w:tcBorders>
              <w:top w:val="nil"/>
              <w:left w:val="nil"/>
              <w:bottom w:val="single" w:sz="4" w:space="0" w:color="auto"/>
              <w:right w:val="single" w:sz="4" w:space="0" w:color="auto"/>
            </w:tcBorders>
            <w:noWrap/>
            <w:vAlign w:val="center"/>
          </w:tcPr>
          <w:p w14:paraId="0073A9A6" w14:textId="77777777" w:rsidR="00575C57" w:rsidRPr="00C844C9" w:rsidRDefault="00575C57" w:rsidP="00575C57">
            <w:pPr>
              <w:widowControl/>
              <w:jc w:val="center"/>
              <w:rPr>
                <w:rFonts w:ascii="Arial" w:hAnsi="Arial" w:cs="Arial"/>
                <w:color w:val="000000"/>
              </w:rPr>
            </w:pPr>
          </w:p>
        </w:tc>
        <w:tc>
          <w:tcPr>
            <w:tcW w:w="1090" w:type="dxa"/>
            <w:tcBorders>
              <w:top w:val="nil"/>
              <w:left w:val="nil"/>
              <w:bottom w:val="single" w:sz="4" w:space="0" w:color="auto"/>
              <w:right w:val="single" w:sz="4" w:space="0" w:color="auto"/>
            </w:tcBorders>
            <w:noWrap/>
            <w:vAlign w:val="center"/>
          </w:tcPr>
          <w:p w14:paraId="703FF52E" w14:textId="77777777" w:rsidR="00575C57" w:rsidRPr="00C844C9" w:rsidRDefault="00575C57" w:rsidP="00575C57">
            <w:pPr>
              <w:widowControl/>
              <w:jc w:val="center"/>
              <w:rPr>
                <w:rFonts w:ascii="Arial" w:hAnsi="Arial" w:cs="Arial"/>
                <w:color w:val="000000"/>
              </w:rPr>
            </w:pPr>
          </w:p>
        </w:tc>
        <w:tc>
          <w:tcPr>
            <w:tcW w:w="1127" w:type="dxa"/>
            <w:tcBorders>
              <w:top w:val="nil"/>
              <w:left w:val="nil"/>
              <w:bottom w:val="single" w:sz="4" w:space="0" w:color="auto"/>
              <w:right w:val="single" w:sz="4" w:space="0" w:color="auto"/>
            </w:tcBorders>
            <w:noWrap/>
            <w:vAlign w:val="center"/>
            <w:hideMark/>
          </w:tcPr>
          <w:p w14:paraId="60ADE889"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498 881</w:t>
            </w:r>
          </w:p>
        </w:tc>
        <w:tc>
          <w:tcPr>
            <w:tcW w:w="1268" w:type="dxa"/>
            <w:tcBorders>
              <w:top w:val="nil"/>
              <w:left w:val="nil"/>
              <w:bottom w:val="single" w:sz="4" w:space="0" w:color="auto"/>
              <w:right w:val="single" w:sz="4" w:space="0" w:color="auto"/>
            </w:tcBorders>
            <w:noWrap/>
            <w:vAlign w:val="center"/>
            <w:hideMark/>
          </w:tcPr>
          <w:p w14:paraId="0ABEBAB2"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100</w:t>
            </w:r>
          </w:p>
        </w:tc>
      </w:tr>
      <w:tr w:rsidR="00575C57" w:rsidRPr="00575C57" w14:paraId="62313538"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56DA336E"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2011</w:t>
            </w:r>
          </w:p>
        </w:tc>
        <w:tc>
          <w:tcPr>
            <w:tcW w:w="1089" w:type="dxa"/>
            <w:tcBorders>
              <w:top w:val="nil"/>
              <w:left w:val="nil"/>
              <w:bottom w:val="single" w:sz="4" w:space="0" w:color="auto"/>
              <w:right w:val="single" w:sz="4" w:space="0" w:color="auto"/>
            </w:tcBorders>
            <w:noWrap/>
            <w:vAlign w:val="center"/>
            <w:hideMark/>
          </w:tcPr>
          <w:p w14:paraId="0BF3D9E2"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1,9</w:t>
            </w:r>
          </w:p>
        </w:tc>
        <w:tc>
          <w:tcPr>
            <w:tcW w:w="1090" w:type="dxa"/>
            <w:tcBorders>
              <w:top w:val="nil"/>
              <w:left w:val="nil"/>
              <w:bottom w:val="single" w:sz="4" w:space="0" w:color="auto"/>
              <w:right w:val="single" w:sz="4" w:space="0" w:color="auto"/>
            </w:tcBorders>
            <w:noWrap/>
            <w:vAlign w:val="center"/>
            <w:hideMark/>
          </w:tcPr>
          <w:p w14:paraId="24FA5B3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13 767,2</w:t>
            </w:r>
          </w:p>
        </w:tc>
        <w:tc>
          <w:tcPr>
            <w:tcW w:w="1089" w:type="dxa"/>
            <w:tcBorders>
              <w:top w:val="nil"/>
              <w:left w:val="nil"/>
              <w:bottom w:val="single" w:sz="4" w:space="0" w:color="auto"/>
              <w:right w:val="single" w:sz="4" w:space="0" w:color="auto"/>
            </w:tcBorders>
            <w:noWrap/>
            <w:vAlign w:val="center"/>
            <w:hideMark/>
          </w:tcPr>
          <w:p w14:paraId="33892119"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1 862,9</w:t>
            </w:r>
          </w:p>
        </w:tc>
        <w:tc>
          <w:tcPr>
            <w:tcW w:w="1090" w:type="dxa"/>
            <w:tcBorders>
              <w:top w:val="nil"/>
              <w:left w:val="nil"/>
              <w:bottom w:val="single" w:sz="4" w:space="0" w:color="auto"/>
              <w:right w:val="single" w:sz="4" w:space="0" w:color="auto"/>
            </w:tcBorders>
            <w:noWrap/>
            <w:vAlign w:val="center"/>
            <w:hideMark/>
          </w:tcPr>
          <w:p w14:paraId="2EC77BB3"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6 103,7</w:t>
            </w:r>
          </w:p>
        </w:tc>
        <w:tc>
          <w:tcPr>
            <w:tcW w:w="1090" w:type="dxa"/>
            <w:tcBorders>
              <w:top w:val="nil"/>
              <w:left w:val="nil"/>
              <w:bottom w:val="single" w:sz="4" w:space="0" w:color="auto"/>
              <w:right w:val="single" w:sz="4" w:space="0" w:color="auto"/>
            </w:tcBorders>
            <w:noWrap/>
            <w:vAlign w:val="center"/>
            <w:hideMark/>
          </w:tcPr>
          <w:p w14:paraId="35E13DA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21 735,7</w:t>
            </w:r>
          </w:p>
        </w:tc>
        <w:tc>
          <w:tcPr>
            <w:tcW w:w="1127" w:type="dxa"/>
            <w:tcBorders>
              <w:top w:val="nil"/>
              <w:left w:val="nil"/>
              <w:bottom w:val="single" w:sz="4" w:space="0" w:color="auto"/>
              <w:right w:val="single" w:sz="4" w:space="0" w:color="auto"/>
            </w:tcBorders>
            <w:noWrap/>
            <w:vAlign w:val="center"/>
            <w:hideMark/>
          </w:tcPr>
          <w:p w14:paraId="1D07B97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530 585</w:t>
            </w:r>
          </w:p>
        </w:tc>
        <w:tc>
          <w:tcPr>
            <w:tcW w:w="1268" w:type="dxa"/>
            <w:tcBorders>
              <w:top w:val="nil"/>
              <w:left w:val="nil"/>
              <w:bottom w:val="single" w:sz="4" w:space="0" w:color="auto"/>
              <w:right w:val="single" w:sz="4" w:space="0" w:color="auto"/>
            </w:tcBorders>
            <w:noWrap/>
            <w:vAlign w:val="center"/>
            <w:hideMark/>
          </w:tcPr>
          <w:p w14:paraId="4C61E23E"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106</w:t>
            </w:r>
          </w:p>
        </w:tc>
      </w:tr>
      <w:tr w:rsidR="00575C57" w:rsidRPr="00575C57" w14:paraId="5D76F7FA"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14D3973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2012</w:t>
            </w:r>
          </w:p>
        </w:tc>
        <w:tc>
          <w:tcPr>
            <w:tcW w:w="1089" w:type="dxa"/>
            <w:tcBorders>
              <w:top w:val="nil"/>
              <w:left w:val="nil"/>
              <w:bottom w:val="single" w:sz="4" w:space="0" w:color="auto"/>
              <w:right w:val="single" w:sz="4" w:space="0" w:color="auto"/>
            </w:tcBorders>
            <w:noWrap/>
            <w:vAlign w:val="center"/>
            <w:hideMark/>
          </w:tcPr>
          <w:p w14:paraId="145DB63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w:t>
            </w:r>
          </w:p>
        </w:tc>
        <w:tc>
          <w:tcPr>
            <w:tcW w:w="1090" w:type="dxa"/>
            <w:tcBorders>
              <w:top w:val="nil"/>
              <w:left w:val="nil"/>
              <w:bottom w:val="single" w:sz="4" w:space="0" w:color="auto"/>
              <w:right w:val="single" w:sz="4" w:space="0" w:color="auto"/>
            </w:tcBorders>
            <w:noWrap/>
            <w:vAlign w:val="center"/>
            <w:hideMark/>
          </w:tcPr>
          <w:p w14:paraId="6A24E2A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14 654,1</w:t>
            </w:r>
          </w:p>
        </w:tc>
        <w:tc>
          <w:tcPr>
            <w:tcW w:w="1089" w:type="dxa"/>
            <w:tcBorders>
              <w:top w:val="nil"/>
              <w:left w:val="nil"/>
              <w:bottom w:val="single" w:sz="4" w:space="0" w:color="auto"/>
              <w:right w:val="single" w:sz="4" w:space="0" w:color="auto"/>
            </w:tcBorders>
            <w:noWrap/>
            <w:vAlign w:val="center"/>
            <w:hideMark/>
          </w:tcPr>
          <w:p w14:paraId="2419009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2 033,8</w:t>
            </w:r>
          </w:p>
        </w:tc>
        <w:tc>
          <w:tcPr>
            <w:tcW w:w="1090" w:type="dxa"/>
            <w:tcBorders>
              <w:top w:val="nil"/>
              <w:left w:val="nil"/>
              <w:bottom w:val="single" w:sz="4" w:space="0" w:color="auto"/>
              <w:right w:val="single" w:sz="4" w:space="0" w:color="auto"/>
            </w:tcBorders>
            <w:noWrap/>
            <w:vAlign w:val="center"/>
            <w:hideMark/>
          </w:tcPr>
          <w:p w14:paraId="6E391A84"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5 196,1</w:t>
            </w:r>
          </w:p>
        </w:tc>
        <w:tc>
          <w:tcPr>
            <w:tcW w:w="1090" w:type="dxa"/>
            <w:tcBorders>
              <w:top w:val="nil"/>
              <w:left w:val="nil"/>
              <w:bottom w:val="single" w:sz="4" w:space="0" w:color="auto"/>
              <w:right w:val="single" w:sz="4" w:space="0" w:color="auto"/>
            </w:tcBorders>
            <w:noWrap/>
            <w:vAlign w:val="center"/>
            <w:hideMark/>
          </w:tcPr>
          <w:p w14:paraId="1FBB1C7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21 884,0</w:t>
            </w:r>
          </w:p>
        </w:tc>
        <w:tc>
          <w:tcPr>
            <w:tcW w:w="1127" w:type="dxa"/>
            <w:tcBorders>
              <w:top w:val="nil"/>
              <w:left w:val="nil"/>
              <w:bottom w:val="single" w:sz="4" w:space="0" w:color="auto"/>
              <w:right w:val="single" w:sz="4" w:space="0" w:color="auto"/>
            </w:tcBorders>
            <w:noWrap/>
            <w:vAlign w:val="center"/>
            <w:hideMark/>
          </w:tcPr>
          <w:p w14:paraId="6840957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482 323</w:t>
            </w:r>
          </w:p>
        </w:tc>
        <w:tc>
          <w:tcPr>
            <w:tcW w:w="1268" w:type="dxa"/>
            <w:tcBorders>
              <w:top w:val="nil"/>
              <w:left w:val="nil"/>
              <w:bottom w:val="single" w:sz="4" w:space="0" w:color="auto"/>
              <w:right w:val="single" w:sz="4" w:space="0" w:color="auto"/>
            </w:tcBorders>
            <w:noWrap/>
            <w:vAlign w:val="center"/>
            <w:hideMark/>
          </w:tcPr>
          <w:p w14:paraId="10B3D174"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97</w:t>
            </w:r>
          </w:p>
        </w:tc>
      </w:tr>
      <w:tr w:rsidR="00575C57" w:rsidRPr="00575C57" w14:paraId="68F38620"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38140B6F"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2013</w:t>
            </w:r>
          </w:p>
        </w:tc>
        <w:tc>
          <w:tcPr>
            <w:tcW w:w="1089" w:type="dxa"/>
            <w:tcBorders>
              <w:top w:val="nil"/>
              <w:left w:val="nil"/>
              <w:bottom w:val="single" w:sz="4" w:space="0" w:color="auto"/>
              <w:right w:val="single" w:sz="4" w:space="0" w:color="auto"/>
            </w:tcBorders>
            <w:noWrap/>
            <w:vAlign w:val="center"/>
            <w:hideMark/>
          </w:tcPr>
          <w:p w14:paraId="74078474"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0,6</w:t>
            </w:r>
          </w:p>
        </w:tc>
        <w:tc>
          <w:tcPr>
            <w:tcW w:w="1090" w:type="dxa"/>
            <w:tcBorders>
              <w:top w:val="nil"/>
              <w:left w:val="nil"/>
              <w:bottom w:val="single" w:sz="4" w:space="0" w:color="auto"/>
              <w:right w:val="single" w:sz="4" w:space="0" w:color="auto"/>
            </w:tcBorders>
            <w:noWrap/>
            <w:vAlign w:val="center"/>
            <w:hideMark/>
          </w:tcPr>
          <w:p w14:paraId="5F713BE4"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14 874,9</w:t>
            </w:r>
          </w:p>
        </w:tc>
        <w:tc>
          <w:tcPr>
            <w:tcW w:w="1089" w:type="dxa"/>
            <w:tcBorders>
              <w:top w:val="nil"/>
              <w:left w:val="nil"/>
              <w:bottom w:val="single" w:sz="4" w:space="0" w:color="auto"/>
              <w:right w:val="single" w:sz="4" w:space="0" w:color="auto"/>
            </w:tcBorders>
            <w:noWrap/>
            <w:vAlign w:val="center"/>
            <w:hideMark/>
          </w:tcPr>
          <w:p w14:paraId="16138D72"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2 173,3</w:t>
            </w:r>
          </w:p>
        </w:tc>
        <w:tc>
          <w:tcPr>
            <w:tcW w:w="1090" w:type="dxa"/>
            <w:tcBorders>
              <w:top w:val="nil"/>
              <w:left w:val="nil"/>
              <w:bottom w:val="single" w:sz="4" w:space="0" w:color="auto"/>
              <w:right w:val="single" w:sz="4" w:space="0" w:color="auto"/>
            </w:tcBorders>
            <w:noWrap/>
            <w:vAlign w:val="center"/>
            <w:hideMark/>
          </w:tcPr>
          <w:p w14:paraId="07260C4F"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5 155,7</w:t>
            </w:r>
          </w:p>
        </w:tc>
        <w:tc>
          <w:tcPr>
            <w:tcW w:w="1090" w:type="dxa"/>
            <w:tcBorders>
              <w:top w:val="nil"/>
              <w:left w:val="nil"/>
              <w:bottom w:val="single" w:sz="4" w:space="0" w:color="auto"/>
              <w:right w:val="single" w:sz="4" w:space="0" w:color="auto"/>
            </w:tcBorders>
            <w:noWrap/>
            <w:vAlign w:val="center"/>
            <w:hideMark/>
          </w:tcPr>
          <w:p w14:paraId="59B2E78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22 204,4</w:t>
            </w:r>
          </w:p>
        </w:tc>
        <w:tc>
          <w:tcPr>
            <w:tcW w:w="1127" w:type="dxa"/>
            <w:tcBorders>
              <w:top w:val="nil"/>
              <w:left w:val="nil"/>
              <w:bottom w:val="single" w:sz="4" w:space="0" w:color="auto"/>
              <w:right w:val="single" w:sz="4" w:space="0" w:color="auto"/>
            </w:tcBorders>
            <w:noWrap/>
            <w:vAlign w:val="center"/>
            <w:hideMark/>
          </w:tcPr>
          <w:p w14:paraId="3F68DBB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483 734</w:t>
            </w:r>
          </w:p>
        </w:tc>
        <w:tc>
          <w:tcPr>
            <w:tcW w:w="1268" w:type="dxa"/>
            <w:tcBorders>
              <w:top w:val="nil"/>
              <w:left w:val="nil"/>
              <w:bottom w:val="single" w:sz="4" w:space="0" w:color="auto"/>
              <w:right w:val="single" w:sz="4" w:space="0" w:color="auto"/>
            </w:tcBorders>
            <w:noWrap/>
            <w:vAlign w:val="center"/>
            <w:hideMark/>
          </w:tcPr>
          <w:p w14:paraId="34C0F13D"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97</w:t>
            </w:r>
          </w:p>
        </w:tc>
      </w:tr>
      <w:tr w:rsidR="00575C57" w:rsidRPr="00575C57" w14:paraId="175502DF"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616D7914"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2014</w:t>
            </w:r>
          </w:p>
        </w:tc>
        <w:tc>
          <w:tcPr>
            <w:tcW w:w="1089" w:type="dxa"/>
            <w:tcBorders>
              <w:top w:val="nil"/>
              <w:left w:val="nil"/>
              <w:bottom w:val="single" w:sz="4" w:space="0" w:color="auto"/>
              <w:right w:val="single" w:sz="4" w:space="0" w:color="auto"/>
            </w:tcBorders>
            <w:noWrap/>
            <w:vAlign w:val="center"/>
            <w:hideMark/>
          </w:tcPr>
          <w:p w14:paraId="3FCACCFB"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0,5</w:t>
            </w:r>
          </w:p>
        </w:tc>
        <w:tc>
          <w:tcPr>
            <w:tcW w:w="1090" w:type="dxa"/>
            <w:tcBorders>
              <w:top w:val="nil"/>
              <w:left w:val="nil"/>
              <w:bottom w:val="single" w:sz="4" w:space="0" w:color="auto"/>
              <w:right w:val="single" w:sz="4" w:space="0" w:color="auto"/>
            </w:tcBorders>
            <w:noWrap/>
            <w:vAlign w:val="center"/>
            <w:hideMark/>
          </w:tcPr>
          <w:p w14:paraId="6226956B"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14 970,3</w:t>
            </w:r>
          </w:p>
        </w:tc>
        <w:tc>
          <w:tcPr>
            <w:tcW w:w="1089" w:type="dxa"/>
            <w:tcBorders>
              <w:top w:val="nil"/>
              <w:left w:val="nil"/>
              <w:bottom w:val="single" w:sz="4" w:space="0" w:color="auto"/>
              <w:right w:val="single" w:sz="4" w:space="0" w:color="auto"/>
            </w:tcBorders>
            <w:noWrap/>
            <w:vAlign w:val="center"/>
            <w:hideMark/>
          </w:tcPr>
          <w:p w14:paraId="7D3F1AB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2 855,9</w:t>
            </w:r>
          </w:p>
        </w:tc>
        <w:tc>
          <w:tcPr>
            <w:tcW w:w="1090" w:type="dxa"/>
            <w:tcBorders>
              <w:top w:val="nil"/>
              <w:left w:val="nil"/>
              <w:bottom w:val="single" w:sz="4" w:space="0" w:color="auto"/>
              <w:right w:val="single" w:sz="4" w:space="0" w:color="auto"/>
            </w:tcBorders>
            <w:noWrap/>
            <w:vAlign w:val="center"/>
            <w:hideMark/>
          </w:tcPr>
          <w:p w14:paraId="78F0A715"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5 730,1</w:t>
            </w:r>
          </w:p>
        </w:tc>
        <w:tc>
          <w:tcPr>
            <w:tcW w:w="1090" w:type="dxa"/>
            <w:tcBorders>
              <w:top w:val="nil"/>
              <w:left w:val="nil"/>
              <w:bottom w:val="single" w:sz="4" w:space="0" w:color="auto"/>
              <w:right w:val="single" w:sz="4" w:space="0" w:color="auto"/>
            </w:tcBorders>
            <w:noWrap/>
            <w:vAlign w:val="center"/>
            <w:hideMark/>
          </w:tcPr>
          <w:p w14:paraId="4346D148"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23 556,7</w:t>
            </w:r>
          </w:p>
        </w:tc>
        <w:tc>
          <w:tcPr>
            <w:tcW w:w="1127" w:type="dxa"/>
            <w:tcBorders>
              <w:top w:val="nil"/>
              <w:left w:val="nil"/>
              <w:bottom w:val="single" w:sz="4" w:space="0" w:color="auto"/>
              <w:right w:val="single" w:sz="4" w:space="0" w:color="auto"/>
            </w:tcBorders>
            <w:noWrap/>
            <w:vAlign w:val="center"/>
            <w:hideMark/>
          </w:tcPr>
          <w:p w14:paraId="0ED78C5A"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532 180</w:t>
            </w:r>
          </w:p>
        </w:tc>
        <w:tc>
          <w:tcPr>
            <w:tcW w:w="1268" w:type="dxa"/>
            <w:tcBorders>
              <w:top w:val="nil"/>
              <w:left w:val="nil"/>
              <w:bottom w:val="single" w:sz="4" w:space="0" w:color="auto"/>
              <w:right w:val="single" w:sz="4" w:space="0" w:color="auto"/>
            </w:tcBorders>
            <w:noWrap/>
            <w:vAlign w:val="center"/>
            <w:hideMark/>
          </w:tcPr>
          <w:p w14:paraId="7E302053"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107</w:t>
            </w:r>
          </w:p>
        </w:tc>
      </w:tr>
      <w:tr w:rsidR="00575C57" w:rsidRPr="00575C57" w14:paraId="196CC2AF"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335BDC1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2015</w:t>
            </w:r>
          </w:p>
        </w:tc>
        <w:tc>
          <w:tcPr>
            <w:tcW w:w="1089" w:type="dxa"/>
            <w:tcBorders>
              <w:top w:val="nil"/>
              <w:left w:val="nil"/>
              <w:bottom w:val="single" w:sz="4" w:space="0" w:color="auto"/>
              <w:right w:val="single" w:sz="4" w:space="0" w:color="auto"/>
            </w:tcBorders>
            <w:noWrap/>
            <w:vAlign w:val="center"/>
            <w:hideMark/>
          </w:tcPr>
          <w:p w14:paraId="6616FEDF"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3,5</w:t>
            </w:r>
          </w:p>
        </w:tc>
        <w:tc>
          <w:tcPr>
            <w:tcW w:w="1090" w:type="dxa"/>
            <w:tcBorders>
              <w:top w:val="nil"/>
              <w:left w:val="nil"/>
              <w:bottom w:val="single" w:sz="4" w:space="0" w:color="auto"/>
              <w:right w:val="single" w:sz="4" w:space="0" w:color="auto"/>
            </w:tcBorders>
            <w:noWrap/>
            <w:vAlign w:val="center"/>
            <w:hideMark/>
          </w:tcPr>
          <w:p w14:paraId="1B3CAAC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15 225,2</w:t>
            </w:r>
          </w:p>
        </w:tc>
        <w:tc>
          <w:tcPr>
            <w:tcW w:w="1089" w:type="dxa"/>
            <w:tcBorders>
              <w:top w:val="nil"/>
              <w:left w:val="nil"/>
              <w:bottom w:val="single" w:sz="4" w:space="0" w:color="auto"/>
              <w:right w:val="single" w:sz="4" w:space="0" w:color="auto"/>
            </w:tcBorders>
            <w:noWrap/>
            <w:vAlign w:val="center"/>
            <w:hideMark/>
          </w:tcPr>
          <w:p w14:paraId="017027C7"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2 610,3</w:t>
            </w:r>
          </w:p>
        </w:tc>
        <w:tc>
          <w:tcPr>
            <w:tcW w:w="1090" w:type="dxa"/>
            <w:tcBorders>
              <w:top w:val="nil"/>
              <w:left w:val="nil"/>
              <w:bottom w:val="single" w:sz="4" w:space="0" w:color="auto"/>
              <w:right w:val="single" w:sz="4" w:space="0" w:color="auto"/>
            </w:tcBorders>
            <w:noWrap/>
            <w:vAlign w:val="center"/>
            <w:hideMark/>
          </w:tcPr>
          <w:p w14:paraId="46B2B97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6 166,2</w:t>
            </w:r>
          </w:p>
        </w:tc>
        <w:tc>
          <w:tcPr>
            <w:tcW w:w="1090" w:type="dxa"/>
            <w:tcBorders>
              <w:top w:val="nil"/>
              <w:left w:val="nil"/>
              <w:bottom w:val="single" w:sz="4" w:space="0" w:color="auto"/>
              <w:right w:val="single" w:sz="4" w:space="0" w:color="auto"/>
            </w:tcBorders>
            <w:noWrap/>
            <w:vAlign w:val="center"/>
            <w:hideMark/>
          </w:tcPr>
          <w:p w14:paraId="5181B83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24 005,3</w:t>
            </w:r>
          </w:p>
        </w:tc>
        <w:tc>
          <w:tcPr>
            <w:tcW w:w="1127" w:type="dxa"/>
            <w:tcBorders>
              <w:top w:val="nil"/>
              <w:left w:val="nil"/>
              <w:bottom w:val="single" w:sz="4" w:space="0" w:color="auto"/>
              <w:right w:val="single" w:sz="4" w:space="0" w:color="auto"/>
            </w:tcBorders>
            <w:noWrap/>
            <w:vAlign w:val="center"/>
            <w:hideMark/>
          </w:tcPr>
          <w:p w14:paraId="7885CF54"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558 207</w:t>
            </w:r>
          </w:p>
        </w:tc>
        <w:tc>
          <w:tcPr>
            <w:tcW w:w="1268" w:type="dxa"/>
            <w:tcBorders>
              <w:top w:val="nil"/>
              <w:left w:val="nil"/>
              <w:bottom w:val="single" w:sz="4" w:space="0" w:color="auto"/>
              <w:right w:val="single" w:sz="4" w:space="0" w:color="auto"/>
            </w:tcBorders>
            <w:noWrap/>
            <w:vAlign w:val="center"/>
            <w:hideMark/>
          </w:tcPr>
          <w:p w14:paraId="406FBB2F"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112</w:t>
            </w:r>
          </w:p>
        </w:tc>
      </w:tr>
      <w:tr w:rsidR="00575C57" w:rsidRPr="00575C57" w14:paraId="1E3DC8BF"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7C75676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2016</w:t>
            </w:r>
          </w:p>
        </w:tc>
        <w:tc>
          <w:tcPr>
            <w:tcW w:w="1089" w:type="dxa"/>
            <w:tcBorders>
              <w:top w:val="nil"/>
              <w:left w:val="nil"/>
              <w:bottom w:val="single" w:sz="4" w:space="0" w:color="auto"/>
              <w:right w:val="single" w:sz="4" w:space="0" w:color="auto"/>
            </w:tcBorders>
            <w:noWrap/>
            <w:vAlign w:val="center"/>
            <w:hideMark/>
          </w:tcPr>
          <w:p w14:paraId="3F0D8EC0"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3,0</w:t>
            </w:r>
          </w:p>
        </w:tc>
        <w:tc>
          <w:tcPr>
            <w:tcW w:w="1090" w:type="dxa"/>
            <w:tcBorders>
              <w:top w:val="nil"/>
              <w:left w:val="nil"/>
              <w:bottom w:val="single" w:sz="4" w:space="0" w:color="auto"/>
              <w:right w:val="single" w:sz="4" w:space="0" w:color="auto"/>
            </w:tcBorders>
            <w:noWrap/>
            <w:vAlign w:val="center"/>
            <w:hideMark/>
          </w:tcPr>
          <w:p w14:paraId="062A209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16 075,3</w:t>
            </w:r>
          </w:p>
        </w:tc>
        <w:tc>
          <w:tcPr>
            <w:tcW w:w="1089" w:type="dxa"/>
            <w:tcBorders>
              <w:top w:val="nil"/>
              <w:left w:val="nil"/>
              <w:bottom w:val="single" w:sz="4" w:space="0" w:color="auto"/>
              <w:right w:val="single" w:sz="4" w:space="0" w:color="auto"/>
            </w:tcBorders>
            <w:noWrap/>
            <w:vAlign w:val="center"/>
            <w:hideMark/>
          </w:tcPr>
          <w:p w14:paraId="1931D7BE"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2 556,6</w:t>
            </w:r>
          </w:p>
        </w:tc>
        <w:tc>
          <w:tcPr>
            <w:tcW w:w="1090" w:type="dxa"/>
            <w:tcBorders>
              <w:top w:val="nil"/>
              <w:left w:val="nil"/>
              <w:bottom w:val="single" w:sz="4" w:space="0" w:color="auto"/>
              <w:right w:val="single" w:sz="4" w:space="0" w:color="auto"/>
            </w:tcBorders>
            <w:noWrap/>
            <w:vAlign w:val="center"/>
            <w:hideMark/>
          </w:tcPr>
          <w:p w14:paraId="282E4A0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5 827,6</w:t>
            </w:r>
          </w:p>
        </w:tc>
        <w:tc>
          <w:tcPr>
            <w:tcW w:w="1090" w:type="dxa"/>
            <w:tcBorders>
              <w:top w:val="nil"/>
              <w:left w:val="nil"/>
              <w:bottom w:val="single" w:sz="4" w:space="0" w:color="auto"/>
              <w:right w:val="single" w:sz="4" w:space="0" w:color="auto"/>
            </w:tcBorders>
            <w:noWrap/>
            <w:vAlign w:val="center"/>
            <w:hideMark/>
          </w:tcPr>
          <w:p w14:paraId="12DB86C7"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24 462,5</w:t>
            </w:r>
          </w:p>
        </w:tc>
        <w:tc>
          <w:tcPr>
            <w:tcW w:w="1127" w:type="dxa"/>
            <w:tcBorders>
              <w:top w:val="nil"/>
              <w:left w:val="nil"/>
              <w:bottom w:val="single" w:sz="4" w:space="0" w:color="auto"/>
              <w:right w:val="single" w:sz="4" w:space="0" w:color="auto"/>
            </w:tcBorders>
            <w:noWrap/>
            <w:vAlign w:val="center"/>
            <w:hideMark/>
          </w:tcPr>
          <w:p w14:paraId="0ACE40A9"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542 478</w:t>
            </w:r>
          </w:p>
        </w:tc>
        <w:tc>
          <w:tcPr>
            <w:tcW w:w="1268" w:type="dxa"/>
            <w:tcBorders>
              <w:top w:val="nil"/>
              <w:left w:val="nil"/>
              <w:bottom w:val="single" w:sz="4" w:space="0" w:color="auto"/>
              <w:right w:val="single" w:sz="4" w:space="0" w:color="auto"/>
            </w:tcBorders>
            <w:noWrap/>
            <w:vAlign w:val="center"/>
            <w:hideMark/>
          </w:tcPr>
          <w:p w14:paraId="259347FF"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109</w:t>
            </w:r>
          </w:p>
        </w:tc>
      </w:tr>
      <w:tr w:rsidR="00575C57" w:rsidRPr="00575C57" w14:paraId="5BC10022"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434B0953"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2017</w:t>
            </w:r>
          </w:p>
        </w:tc>
        <w:tc>
          <w:tcPr>
            <w:tcW w:w="1089" w:type="dxa"/>
            <w:tcBorders>
              <w:top w:val="nil"/>
              <w:left w:val="nil"/>
              <w:bottom w:val="single" w:sz="4" w:space="0" w:color="auto"/>
              <w:right w:val="single" w:sz="4" w:space="0" w:color="auto"/>
            </w:tcBorders>
            <w:noWrap/>
            <w:vAlign w:val="center"/>
            <w:hideMark/>
          </w:tcPr>
          <w:p w14:paraId="30B18900"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2,8</w:t>
            </w:r>
          </w:p>
        </w:tc>
        <w:tc>
          <w:tcPr>
            <w:tcW w:w="1090" w:type="dxa"/>
            <w:tcBorders>
              <w:top w:val="nil"/>
              <w:left w:val="nil"/>
              <w:bottom w:val="single" w:sz="4" w:space="0" w:color="auto"/>
              <w:right w:val="single" w:sz="4" w:space="0" w:color="auto"/>
            </w:tcBorders>
            <w:noWrap/>
            <w:vAlign w:val="center"/>
            <w:hideMark/>
          </w:tcPr>
          <w:p w14:paraId="25E1824B"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17 200,7</w:t>
            </w:r>
          </w:p>
        </w:tc>
        <w:tc>
          <w:tcPr>
            <w:tcW w:w="1089" w:type="dxa"/>
            <w:tcBorders>
              <w:top w:val="nil"/>
              <w:left w:val="nil"/>
              <w:bottom w:val="single" w:sz="4" w:space="0" w:color="auto"/>
              <w:right w:val="single" w:sz="4" w:space="0" w:color="auto"/>
            </w:tcBorders>
            <w:noWrap/>
            <w:vAlign w:val="center"/>
            <w:hideMark/>
          </w:tcPr>
          <w:p w14:paraId="5750410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2 580,6</w:t>
            </w:r>
          </w:p>
        </w:tc>
        <w:tc>
          <w:tcPr>
            <w:tcW w:w="1090" w:type="dxa"/>
            <w:tcBorders>
              <w:top w:val="nil"/>
              <w:left w:val="nil"/>
              <w:bottom w:val="single" w:sz="4" w:space="0" w:color="auto"/>
              <w:right w:val="single" w:sz="4" w:space="0" w:color="auto"/>
            </w:tcBorders>
            <w:noWrap/>
            <w:vAlign w:val="center"/>
            <w:hideMark/>
          </w:tcPr>
          <w:p w14:paraId="3CDC6657"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5 290,9</w:t>
            </w:r>
          </w:p>
        </w:tc>
        <w:tc>
          <w:tcPr>
            <w:tcW w:w="1090" w:type="dxa"/>
            <w:tcBorders>
              <w:top w:val="nil"/>
              <w:left w:val="nil"/>
              <w:bottom w:val="single" w:sz="4" w:space="0" w:color="auto"/>
              <w:right w:val="single" w:sz="4" w:space="0" w:color="auto"/>
            </w:tcBorders>
            <w:noWrap/>
            <w:vAlign w:val="center"/>
            <w:hideMark/>
          </w:tcPr>
          <w:p w14:paraId="6E4EF08B"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25 075,1</w:t>
            </w:r>
          </w:p>
        </w:tc>
        <w:tc>
          <w:tcPr>
            <w:tcW w:w="1127" w:type="dxa"/>
            <w:tcBorders>
              <w:top w:val="nil"/>
              <w:left w:val="nil"/>
              <w:bottom w:val="single" w:sz="4" w:space="0" w:color="auto"/>
              <w:right w:val="single" w:sz="4" w:space="0" w:color="auto"/>
            </w:tcBorders>
            <w:noWrap/>
            <w:vAlign w:val="center"/>
            <w:hideMark/>
          </w:tcPr>
          <w:p w14:paraId="656EF5A3"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517 518</w:t>
            </w:r>
          </w:p>
        </w:tc>
        <w:tc>
          <w:tcPr>
            <w:tcW w:w="1268" w:type="dxa"/>
            <w:tcBorders>
              <w:top w:val="nil"/>
              <w:left w:val="nil"/>
              <w:bottom w:val="single" w:sz="4" w:space="0" w:color="auto"/>
              <w:right w:val="single" w:sz="4" w:space="0" w:color="auto"/>
            </w:tcBorders>
            <w:noWrap/>
            <w:vAlign w:val="center"/>
            <w:hideMark/>
          </w:tcPr>
          <w:p w14:paraId="6CD252D7"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104</w:t>
            </w:r>
          </w:p>
        </w:tc>
      </w:tr>
      <w:tr w:rsidR="00575C57" w:rsidRPr="00575C57" w14:paraId="15B82D50"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162F064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2018</w:t>
            </w:r>
          </w:p>
        </w:tc>
        <w:tc>
          <w:tcPr>
            <w:tcW w:w="1089" w:type="dxa"/>
            <w:tcBorders>
              <w:top w:val="nil"/>
              <w:left w:val="nil"/>
              <w:bottom w:val="single" w:sz="4" w:space="0" w:color="auto"/>
              <w:right w:val="single" w:sz="4" w:space="0" w:color="auto"/>
            </w:tcBorders>
            <w:noWrap/>
            <w:vAlign w:val="center"/>
            <w:hideMark/>
          </w:tcPr>
          <w:p w14:paraId="251070D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17,3</w:t>
            </w:r>
          </w:p>
        </w:tc>
        <w:tc>
          <w:tcPr>
            <w:tcW w:w="1090" w:type="dxa"/>
            <w:tcBorders>
              <w:top w:val="nil"/>
              <w:left w:val="nil"/>
              <w:bottom w:val="single" w:sz="4" w:space="0" w:color="auto"/>
              <w:right w:val="single" w:sz="4" w:space="0" w:color="auto"/>
            </w:tcBorders>
            <w:noWrap/>
            <w:vAlign w:val="center"/>
            <w:hideMark/>
          </w:tcPr>
          <w:p w14:paraId="02C4BD0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14 606,1</w:t>
            </w:r>
          </w:p>
        </w:tc>
        <w:tc>
          <w:tcPr>
            <w:tcW w:w="1089" w:type="dxa"/>
            <w:tcBorders>
              <w:top w:val="nil"/>
              <w:left w:val="nil"/>
              <w:bottom w:val="single" w:sz="4" w:space="0" w:color="auto"/>
              <w:right w:val="single" w:sz="4" w:space="0" w:color="auto"/>
            </w:tcBorders>
            <w:noWrap/>
            <w:vAlign w:val="center"/>
            <w:hideMark/>
          </w:tcPr>
          <w:p w14:paraId="509534E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3 166,2</w:t>
            </w:r>
          </w:p>
        </w:tc>
        <w:tc>
          <w:tcPr>
            <w:tcW w:w="1090" w:type="dxa"/>
            <w:tcBorders>
              <w:top w:val="nil"/>
              <w:left w:val="nil"/>
              <w:bottom w:val="single" w:sz="4" w:space="0" w:color="auto"/>
              <w:right w:val="single" w:sz="4" w:space="0" w:color="auto"/>
            </w:tcBorders>
            <w:noWrap/>
            <w:vAlign w:val="center"/>
            <w:hideMark/>
          </w:tcPr>
          <w:p w14:paraId="071B3699"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5 388,8</w:t>
            </w:r>
          </w:p>
        </w:tc>
        <w:tc>
          <w:tcPr>
            <w:tcW w:w="1090" w:type="dxa"/>
            <w:tcBorders>
              <w:top w:val="nil"/>
              <w:left w:val="nil"/>
              <w:bottom w:val="single" w:sz="4" w:space="0" w:color="auto"/>
              <w:right w:val="single" w:sz="4" w:space="0" w:color="auto"/>
            </w:tcBorders>
            <w:noWrap/>
            <w:vAlign w:val="center"/>
            <w:hideMark/>
          </w:tcPr>
          <w:p w14:paraId="3A0A4A4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23 178,4</w:t>
            </w:r>
          </w:p>
        </w:tc>
        <w:tc>
          <w:tcPr>
            <w:tcW w:w="1127" w:type="dxa"/>
            <w:tcBorders>
              <w:top w:val="nil"/>
              <w:left w:val="nil"/>
              <w:bottom w:val="single" w:sz="4" w:space="0" w:color="auto"/>
              <w:right w:val="single" w:sz="4" w:space="0" w:color="auto"/>
            </w:tcBorders>
            <w:noWrap/>
            <w:vAlign w:val="center"/>
            <w:hideMark/>
          </w:tcPr>
          <w:p w14:paraId="37D120B9"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512 406</w:t>
            </w:r>
          </w:p>
        </w:tc>
        <w:tc>
          <w:tcPr>
            <w:tcW w:w="1268" w:type="dxa"/>
            <w:tcBorders>
              <w:top w:val="nil"/>
              <w:left w:val="nil"/>
              <w:bottom w:val="single" w:sz="4" w:space="0" w:color="auto"/>
              <w:right w:val="single" w:sz="4" w:space="0" w:color="auto"/>
            </w:tcBorders>
            <w:noWrap/>
            <w:vAlign w:val="center"/>
            <w:hideMark/>
          </w:tcPr>
          <w:p w14:paraId="6CE12E40"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103</w:t>
            </w:r>
          </w:p>
        </w:tc>
      </w:tr>
      <w:tr w:rsidR="00575C57" w:rsidRPr="00575C57" w14:paraId="0F7929F7" w14:textId="77777777" w:rsidTr="00C844C9">
        <w:trPr>
          <w:trHeight w:val="387"/>
        </w:trPr>
        <w:tc>
          <w:tcPr>
            <w:tcW w:w="1174" w:type="dxa"/>
            <w:tcBorders>
              <w:top w:val="nil"/>
              <w:left w:val="single" w:sz="4" w:space="0" w:color="auto"/>
              <w:bottom w:val="single" w:sz="4" w:space="0" w:color="auto"/>
              <w:right w:val="single" w:sz="4" w:space="0" w:color="auto"/>
            </w:tcBorders>
            <w:noWrap/>
            <w:vAlign w:val="center"/>
            <w:hideMark/>
          </w:tcPr>
          <w:p w14:paraId="55AF047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2019</w:t>
            </w:r>
          </w:p>
        </w:tc>
        <w:tc>
          <w:tcPr>
            <w:tcW w:w="1089" w:type="dxa"/>
            <w:tcBorders>
              <w:top w:val="nil"/>
              <w:left w:val="nil"/>
              <w:bottom w:val="single" w:sz="4" w:space="0" w:color="auto"/>
              <w:right w:val="single" w:sz="4" w:space="0" w:color="auto"/>
            </w:tcBorders>
            <w:noWrap/>
            <w:vAlign w:val="center"/>
            <w:hideMark/>
          </w:tcPr>
          <w:p w14:paraId="364A4D9A"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52,7</w:t>
            </w:r>
          </w:p>
        </w:tc>
        <w:tc>
          <w:tcPr>
            <w:tcW w:w="1090" w:type="dxa"/>
            <w:tcBorders>
              <w:top w:val="nil"/>
              <w:left w:val="nil"/>
              <w:bottom w:val="single" w:sz="4" w:space="0" w:color="auto"/>
              <w:right w:val="single" w:sz="4" w:space="0" w:color="auto"/>
            </w:tcBorders>
            <w:noWrap/>
            <w:vAlign w:val="center"/>
            <w:hideMark/>
          </w:tcPr>
          <w:p w14:paraId="5B8FCBA9"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15 331,5</w:t>
            </w:r>
          </w:p>
        </w:tc>
        <w:tc>
          <w:tcPr>
            <w:tcW w:w="1089" w:type="dxa"/>
            <w:tcBorders>
              <w:top w:val="nil"/>
              <w:left w:val="nil"/>
              <w:bottom w:val="single" w:sz="4" w:space="0" w:color="auto"/>
              <w:right w:val="single" w:sz="4" w:space="0" w:color="auto"/>
            </w:tcBorders>
            <w:noWrap/>
            <w:vAlign w:val="center"/>
            <w:hideMark/>
          </w:tcPr>
          <w:p w14:paraId="3684ED82"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3 678,7</w:t>
            </w:r>
          </w:p>
        </w:tc>
        <w:tc>
          <w:tcPr>
            <w:tcW w:w="1090" w:type="dxa"/>
            <w:tcBorders>
              <w:top w:val="nil"/>
              <w:left w:val="nil"/>
              <w:bottom w:val="single" w:sz="4" w:space="0" w:color="auto"/>
              <w:right w:val="single" w:sz="4" w:space="0" w:color="auto"/>
            </w:tcBorders>
            <w:noWrap/>
            <w:vAlign w:val="center"/>
            <w:hideMark/>
          </w:tcPr>
          <w:p w14:paraId="2498694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5 217,7</w:t>
            </w:r>
          </w:p>
        </w:tc>
        <w:tc>
          <w:tcPr>
            <w:tcW w:w="1090" w:type="dxa"/>
            <w:tcBorders>
              <w:top w:val="nil"/>
              <w:left w:val="nil"/>
              <w:bottom w:val="single" w:sz="4" w:space="0" w:color="auto"/>
              <w:right w:val="single" w:sz="4" w:space="0" w:color="auto"/>
            </w:tcBorders>
            <w:noWrap/>
            <w:vAlign w:val="center"/>
            <w:hideMark/>
          </w:tcPr>
          <w:p w14:paraId="060B5C2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24 280,7</w:t>
            </w:r>
          </w:p>
        </w:tc>
        <w:tc>
          <w:tcPr>
            <w:tcW w:w="1127" w:type="dxa"/>
            <w:tcBorders>
              <w:top w:val="nil"/>
              <w:left w:val="nil"/>
              <w:bottom w:val="single" w:sz="4" w:space="0" w:color="auto"/>
              <w:right w:val="single" w:sz="4" w:space="0" w:color="auto"/>
            </w:tcBorders>
            <w:noWrap/>
            <w:vAlign w:val="center"/>
            <w:hideMark/>
          </w:tcPr>
          <w:p w14:paraId="7CDA0C37"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515 497</w:t>
            </w:r>
          </w:p>
        </w:tc>
        <w:tc>
          <w:tcPr>
            <w:tcW w:w="1268" w:type="dxa"/>
            <w:tcBorders>
              <w:top w:val="nil"/>
              <w:left w:val="nil"/>
              <w:bottom w:val="single" w:sz="4" w:space="0" w:color="auto"/>
              <w:right w:val="single" w:sz="4" w:space="0" w:color="auto"/>
            </w:tcBorders>
            <w:noWrap/>
            <w:vAlign w:val="center"/>
            <w:hideMark/>
          </w:tcPr>
          <w:p w14:paraId="54139CF4"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103</w:t>
            </w:r>
          </w:p>
        </w:tc>
      </w:tr>
      <w:tr w:rsidR="00575C57" w:rsidRPr="00575C57" w14:paraId="435C0257" w14:textId="77777777" w:rsidTr="00C844C9">
        <w:trPr>
          <w:trHeight w:val="387"/>
        </w:trPr>
        <w:tc>
          <w:tcPr>
            <w:tcW w:w="1174" w:type="dxa"/>
            <w:tcBorders>
              <w:top w:val="single" w:sz="4" w:space="0" w:color="auto"/>
              <w:left w:val="single" w:sz="4" w:space="0" w:color="auto"/>
              <w:bottom w:val="single" w:sz="4" w:space="0" w:color="auto"/>
              <w:right w:val="single" w:sz="4" w:space="0" w:color="auto"/>
            </w:tcBorders>
            <w:noWrap/>
            <w:vAlign w:val="center"/>
            <w:hideMark/>
          </w:tcPr>
          <w:p w14:paraId="364B9CBB"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2020</w:t>
            </w:r>
          </w:p>
        </w:tc>
        <w:tc>
          <w:tcPr>
            <w:tcW w:w="1089" w:type="dxa"/>
            <w:tcBorders>
              <w:top w:val="single" w:sz="4" w:space="0" w:color="auto"/>
              <w:left w:val="nil"/>
              <w:bottom w:val="single" w:sz="4" w:space="0" w:color="auto"/>
              <w:right w:val="single" w:sz="4" w:space="0" w:color="auto"/>
            </w:tcBorders>
            <w:noWrap/>
            <w:vAlign w:val="center"/>
            <w:hideMark/>
          </w:tcPr>
          <w:p w14:paraId="0DC88E0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47,4</w:t>
            </w:r>
          </w:p>
        </w:tc>
        <w:tc>
          <w:tcPr>
            <w:tcW w:w="1090" w:type="dxa"/>
            <w:tcBorders>
              <w:top w:val="single" w:sz="4" w:space="0" w:color="auto"/>
              <w:left w:val="nil"/>
              <w:bottom w:val="single" w:sz="4" w:space="0" w:color="auto"/>
              <w:right w:val="single" w:sz="4" w:space="0" w:color="auto"/>
            </w:tcBorders>
            <w:noWrap/>
            <w:vAlign w:val="center"/>
            <w:hideMark/>
          </w:tcPr>
          <w:p w14:paraId="61FD38B8"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16 148,8</w:t>
            </w:r>
          </w:p>
        </w:tc>
        <w:tc>
          <w:tcPr>
            <w:tcW w:w="1089" w:type="dxa"/>
            <w:tcBorders>
              <w:top w:val="single" w:sz="4" w:space="0" w:color="auto"/>
              <w:left w:val="nil"/>
              <w:bottom w:val="single" w:sz="4" w:space="0" w:color="auto"/>
              <w:right w:val="single" w:sz="4" w:space="0" w:color="auto"/>
            </w:tcBorders>
            <w:noWrap/>
            <w:vAlign w:val="center"/>
            <w:hideMark/>
          </w:tcPr>
          <w:p w14:paraId="4A75E20E"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4 477,8</w:t>
            </w:r>
          </w:p>
        </w:tc>
        <w:tc>
          <w:tcPr>
            <w:tcW w:w="1090" w:type="dxa"/>
            <w:tcBorders>
              <w:top w:val="single" w:sz="4" w:space="0" w:color="auto"/>
              <w:left w:val="nil"/>
              <w:bottom w:val="single" w:sz="4" w:space="0" w:color="auto"/>
              <w:right w:val="single" w:sz="4" w:space="0" w:color="auto"/>
            </w:tcBorders>
            <w:noWrap/>
            <w:vAlign w:val="center"/>
            <w:hideMark/>
          </w:tcPr>
          <w:p w14:paraId="276E0C8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3 954,0</w:t>
            </w:r>
          </w:p>
        </w:tc>
        <w:tc>
          <w:tcPr>
            <w:tcW w:w="1090" w:type="dxa"/>
            <w:tcBorders>
              <w:top w:val="single" w:sz="4" w:space="0" w:color="auto"/>
              <w:left w:val="nil"/>
              <w:bottom w:val="single" w:sz="4" w:space="0" w:color="auto"/>
              <w:right w:val="single" w:sz="4" w:space="0" w:color="auto"/>
            </w:tcBorders>
            <w:noWrap/>
            <w:vAlign w:val="center"/>
            <w:hideMark/>
          </w:tcPr>
          <w:p w14:paraId="43E4526B"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24 628,0</w:t>
            </w:r>
          </w:p>
        </w:tc>
        <w:tc>
          <w:tcPr>
            <w:tcW w:w="1127" w:type="dxa"/>
            <w:tcBorders>
              <w:top w:val="single" w:sz="4" w:space="0" w:color="auto"/>
              <w:left w:val="nil"/>
              <w:bottom w:val="single" w:sz="4" w:space="0" w:color="auto"/>
              <w:right w:val="single" w:sz="4" w:space="0" w:color="auto"/>
            </w:tcBorders>
            <w:noWrap/>
            <w:vAlign w:val="center"/>
            <w:hideMark/>
          </w:tcPr>
          <w:p w14:paraId="293A9A8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453 940</w:t>
            </w:r>
          </w:p>
        </w:tc>
        <w:tc>
          <w:tcPr>
            <w:tcW w:w="1268" w:type="dxa"/>
            <w:tcBorders>
              <w:top w:val="single" w:sz="4" w:space="0" w:color="auto"/>
              <w:left w:val="nil"/>
              <w:bottom w:val="single" w:sz="4" w:space="0" w:color="auto"/>
              <w:right w:val="single" w:sz="4" w:space="0" w:color="auto"/>
            </w:tcBorders>
            <w:noWrap/>
            <w:vAlign w:val="center"/>
            <w:hideMark/>
          </w:tcPr>
          <w:p w14:paraId="48461337"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91</w:t>
            </w:r>
          </w:p>
        </w:tc>
      </w:tr>
      <w:tr w:rsidR="00575C57" w:rsidRPr="00575C57" w14:paraId="1273227E" w14:textId="77777777" w:rsidTr="00C844C9">
        <w:trPr>
          <w:trHeight w:val="387"/>
        </w:trPr>
        <w:tc>
          <w:tcPr>
            <w:tcW w:w="1174" w:type="dxa"/>
            <w:tcBorders>
              <w:top w:val="single" w:sz="4" w:space="0" w:color="auto"/>
              <w:left w:val="single" w:sz="4" w:space="0" w:color="auto"/>
              <w:bottom w:val="single" w:sz="4" w:space="0" w:color="auto"/>
              <w:right w:val="single" w:sz="4" w:space="0" w:color="auto"/>
            </w:tcBorders>
            <w:noWrap/>
            <w:vAlign w:val="center"/>
            <w:hideMark/>
          </w:tcPr>
          <w:p w14:paraId="3BD2A9E2"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2021</w:t>
            </w:r>
          </w:p>
        </w:tc>
        <w:tc>
          <w:tcPr>
            <w:tcW w:w="1089" w:type="dxa"/>
            <w:tcBorders>
              <w:top w:val="single" w:sz="4" w:space="0" w:color="auto"/>
              <w:left w:val="nil"/>
              <w:bottom w:val="single" w:sz="4" w:space="0" w:color="auto"/>
              <w:right w:val="single" w:sz="4" w:space="0" w:color="auto"/>
            </w:tcBorders>
            <w:noWrap/>
            <w:vAlign w:val="center"/>
            <w:hideMark/>
          </w:tcPr>
          <w:p w14:paraId="1BCC1A9F"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47,6</w:t>
            </w:r>
          </w:p>
        </w:tc>
        <w:tc>
          <w:tcPr>
            <w:tcW w:w="1090" w:type="dxa"/>
            <w:tcBorders>
              <w:top w:val="single" w:sz="4" w:space="0" w:color="auto"/>
              <w:left w:val="nil"/>
              <w:bottom w:val="single" w:sz="4" w:space="0" w:color="auto"/>
              <w:right w:val="single" w:sz="4" w:space="0" w:color="auto"/>
            </w:tcBorders>
            <w:noWrap/>
            <w:vAlign w:val="center"/>
            <w:hideMark/>
          </w:tcPr>
          <w:p w14:paraId="0025FF3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18 720,3</w:t>
            </w:r>
          </w:p>
        </w:tc>
        <w:tc>
          <w:tcPr>
            <w:tcW w:w="1089" w:type="dxa"/>
            <w:tcBorders>
              <w:top w:val="single" w:sz="4" w:space="0" w:color="auto"/>
              <w:left w:val="nil"/>
              <w:bottom w:val="single" w:sz="4" w:space="0" w:color="auto"/>
              <w:right w:val="single" w:sz="4" w:space="0" w:color="auto"/>
            </w:tcBorders>
            <w:noWrap/>
            <w:vAlign w:val="center"/>
            <w:hideMark/>
          </w:tcPr>
          <w:p w14:paraId="4CBD607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5 160,4</w:t>
            </w:r>
          </w:p>
        </w:tc>
        <w:tc>
          <w:tcPr>
            <w:tcW w:w="1090" w:type="dxa"/>
            <w:tcBorders>
              <w:top w:val="single" w:sz="4" w:space="0" w:color="auto"/>
              <w:left w:val="nil"/>
              <w:bottom w:val="single" w:sz="4" w:space="0" w:color="auto"/>
              <w:right w:val="single" w:sz="4" w:space="0" w:color="auto"/>
            </w:tcBorders>
            <w:noWrap/>
            <w:vAlign w:val="center"/>
            <w:hideMark/>
          </w:tcPr>
          <w:p w14:paraId="182B5E07"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3 044,4</w:t>
            </w:r>
          </w:p>
        </w:tc>
        <w:tc>
          <w:tcPr>
            <w:tcW w:w="1090" w:type="dxa"/>
            <w:tcBorders>
              <w:top w:val="single" w:sz="4" w:space="0" w:color="auto"/>
              <w:left w:val="nil"/>
              <w:bottom w:val="single" w:sz="4" w:space="0" w:color="auto"/>
              <w:right w:val="single" w:sz="4" w:space="0" w:color="auto"/>
            </w:tcBorders>
            <w:noWrap/>
            <w:vAlign w:val="center"/>
            <w:hideMark/>
          </w:tcPr>
          <w:p w14:paraId="52C2E06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26 972,7</w:t>
            </w:r>
          </w:p>
        </w:tc>
        <w:tc>
          <w:tcPr>
            <w:tcW w:w="1127" w:type="dxa"/>
            <w:tcBorders>
              <w:top w:val="single" w:sz="4" w:space="0" w:color="auto"/>
              <w:left w:val="nil"/>
              <w:bottom w:val="single" w:sz="4" w:space="0" w:color="auto"/>
              <w:right w:val="single" w:sz="4" w:space="0" w:color="auto"/>
            </w:tcBorders>
            <w:noWrap/>
            <w:vAlign w:val="center"/>
            <w:hideMark/>
          </w:tcPr>
          <w:p w14:paraId="1927893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427 220</w:t>
            </w:r>
          </w:p>
        </w:tc>
        <w:tc>
          <w:tcPr>
            <w:tcW w:w="1268" w:type="dxa"/>
            <w:tcBorders>
              <w:top w:val="single" w:sz="4" w:space="0" w:color="auto"/>
              <w:left w:val="nil"/>
              <w:bottom w:val="single" w:sz="4" w:space="0" w:color="auto"/>
              <w:right w:val="single" w:sz="4" w:space="0" w:color="auto"/>
            </w:tcBorders>
            <w:noWrap/>
            <w:vAlign w:val="center"/>
            <w:hideMark/>
          </w:tcPr>
          <w:p w14:paraId="1CC6D201"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86</w:t>
            </w:r>
          </w:p>
        </w:tc>
      </w:tr>
      <w:tr w:rsidR="00575C57" w:rsidRPr="00575C57" w14:paraId="6C42066D" w14:textId="77777777" w:rsidTr="00C844C9">
        <w:trPr>
          <w:trHeight w:val="387"/>
        </w:trPr>
        <w:tc>
          <w:tcPr>
            <w:tcW w:w="1174" w:type="dxa"/>
            <w:tcBorders>
              <w:top w:val="single" w:sz="4" w:space="0" w:color="auto"/>
              <w:left w:val="single" w:sz="4" w:space="0" w:color="auto"/>
              <w:bottom w:val="single" w:sz="4" w:space="0" w:color="auto"/>
              <w:right w:val="single" w:sz="4" w:space="0" w:color="auto"/>
            </w:tcBorders>
            <w:noWrap/>
            <w:vAlign w:val="center"/>
            <w:hideMark/>
          </w:tcPr>
          <w:p w14:paraId="65FF031A"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2022</w:t>
            </w:r>
          </w:p>
        </w:tc>
        <w:tc>
          <w:tcPr>
            <w:tcW w:w="1089" w:type="dxa"/>
            <w:tcBorders>
              <w:top w:val="single" w:sz="4" w:space="0" w:color="auto"/>
              <w:left w:val="nil"/>
              <w:bottom w:val="single" w:sz="4" w:space="0" w:color="auto"/>
              <w:right w:val="single" w:sz="4" w:space="0" w:color="auto"/>
            </w:tcBorders>
            <w:noWrap/>
            <w:vAlign w:val="center"/>
            <w:hideMark/>
          </w:tcPr>
          <w:p w14:paraId="0326F9A8"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22,9</w:t>
            </w:r>
          </w:p>
        </w:tc>
        <w:tc>
          <w:tcPr>
            <w:tcW w:w="1090" w:type="dxa"/>
            <w:tcBorders>
              <w:top w:val="single" w:sz="4" w:space="0" w:color="auto"/>
              <w:left w:val="nil"/>
              <w:bottom w:val="single" w:sz="4" w:space="0" w:color="auto"/>
              <w:right w:val="single" w:sz="4" w:space="0" w:color="auto"/>
            </w:tcBorders>
            <w:noWrap/>
            <w:vAlign w:val="center"/>
            <w:hideMark/>
          </w:tcPr>
          <w:p w14:paraId="09444327"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16 747,8</w:t>
            </w:r>
          </w:p>
        </w:tc>
        <w:tc>
          <w:tcPr>
            <w:tcW w:w="1089" w:type="dxa"/>
            <w:tcBorders>
              <w:top w:val="single" w:sz="4" w:space="0" w:color="auto"/>
              <w:left w:val="nil"/>
              <w:bottom w:val="single" w:sz="4" w:space="0" w:color="auto"/>
              <w:right w:val="single" w:sz="4" w:space="0" w:color="auto"/>
            </w:tcBorders>
            <w:noWrap/>
            <w:vAlign w:val="center"/>
            <w:hideMark/>
          </w:tcPr>
          <w:p w14:paraId="1AD0ED97"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4 880,9</w:t>
            </w:r>
          </w:p>
        </w:tc>
        <w:tc>
          <w:tcPr>
            <w:tcW w:w="1090" w:type="dxa"/>
            <w:tcBorders>
              <w:top w:val="single" w:sz="4" w:space="0" w:color="auto"/>
              <w:left w:val="nil"/>
              <w:bottom w:val="single" w:sz="4" w:space="0" w:color="auto"/>
              <w:right w:val="single" w:sz="4" w:space="0" w:color="auto"/>
            </w:tcBorders>
            <w:noWrap/>
            <w:vAlign w:val="center"/>
            <w:hideMark/>
          </w:tcPr>
          <w:p w14:paraId="5C3769B9"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668,7</w:t>
            </w:r>
          </w:p>
        </w:tc>
        <w:tc>
          <w:tcPr>
            <w:tcW w:w="1090" w:type="dxa"/>
            <w:tcBorders>
              <w:top w:val="single" w:sz="4" w:space="0" w:color="auto"/>
              <w:left w:val="nil"/>
              <w:bottom w:val="single" w:sz="4" w:space="0" w:color="auto"/>
              <w:right w:val="single" w:sz="4" w:space="0" w:color="auto"/>
            </w:tcBorders>
            <w:noWrap/>
            <w:vAlign w:val="center"/>
            <w:hideMark/>
          </w:tcPr>
          <w:p w14:paraId="54DFD1C8"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22 320,3</w:t>
            </w:r>
          </w:p>
        </w:tc>
        <w:tc>
          <w:tcPr>
            <w:tcW w:w="1127" w:type="dxa"/>
            <w:tcBorders>
              <w:top w:val="single" w:sz="4" w:space="0" w:color="auto"/>
              <w:left w:val="nil"/>
              <w:bottom w:val="single" w:sz="4" w:space="0" w:color="auto"/>
              <w:right w:val="single" w:sz="4" w:space="0" w:color="auto"/>
            </w:tcBorders>
            <w:noWrap/>
            <w:vAlign w:val="center"/>
            <w:hideMark/>
          </w:tcPr>
          <w:p w14:paraId="297FD9A6"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254 895</w:t>
            </w:r>
          </w:p>
        </w:tc>
        <w:tc>
          <w:tcPr>
            <w:tcW w:w="1268" w:type="dxa"/>
            <w:tcBorders>
              <w:top w:val="single" w:sz="4" w:space="0" w:color="auto"/>
              <w:left w:val="nil"/>
              <w:bottom w:val="single" w:sz="4" w:space="0" w:color="auto"/>
              <w:right w:val="single" w:sz="4" w:space="0" w:color="auto"/>
            </w:tcBorders>
            <w:noWrap/>
            <w:vAlign w:val="center"/>
            <w:hideMark/>
          </w:tcPr>
          <w:p w14:paraId="28CD6FAD"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51</w:t>
            </w:r>
          </w:p>
        </w:tc>
      </w:tr>
      <w:tr w:rsidR="00575C57" w:rsidRPr="00575C57" w14:paraId="2A357DC4" w14:textId="77777777" w:rsidTr="00C844C9">
        <w:trPr>
          <w:trHeight w:val="387"/>
        </w:trPr>
        <w:tc>
          <w:tcPr>
            <w:tcW w:w="1174" w:type="dxa"/>
            <w:tcBorders>
              <w:top w:val="single" w:sz="4" w:space="0" w:color="auto"/>
              <w:left w:val="single" w:sz="4" w:space="0" w:color="auto"/>
              <w:bottom w:val="single" w:sz="4" w:space="0" w:color="auto"/>
              <w:right w:val="single" w:sz="4" w:space="0" w:color="auto"/>
            </w:tcBorders>
            <w:noWrap/>
            <w:vAlign w:val="center"/>
            <w:hideMark/>
          </w:tcPr>
          <w:p w14:paraId="3BFD87D9"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2023</w:t>
            </w:r>
          </w:p>
        </w:tc>
        <w:tc>
          <w:tcPr>
            <w:tcW w:w="1089" w:type="dxa"/>
            <w:tcBorders>
              <w:top w:val="single" w:sz="4" w:space="0" w:color="auto"/>
              <w:left w:val="nil"/>
              <w:bottom w:val="single" w:sz="4" w:space="0" w:color="auto"/>
              <w:right w:val="single" w:sz="4" w:space="0" w:color="auto"/>
            </w:tcBorders>
            <w:noWrap/>
            <w:vAlign w:val="center"/>
            <w:hideMark/>
          </w:tcPr>
          <w:p w14:paraId="08515A3D"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56,4</w:t>
            </w:r>
          </w:p>
        </w:tc>
        <w:tc>
          <w:tcPr>
            <w:tcW w:w="1090" w:type="dxa"/>
            <w:tcBorders>
              <w:top w:val="single" w:sz="4" w:space="0" w:color="auto"/>
              <w:left w:val="nil"/>
              <w:bottom w:val="single" w:sz="4" w:space="0" w:color="auto"/>
              <w:right w:val="single" w:sz="4" w:space="0" w:color="auto"/>
            </w:tcBorders>
            <w:noWrap/>
            <w:vAlign w:val="center"/>
            <w:hideMark/>
          </w:tcPr>
          <w:p w14:paraId="33FF97CC"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15 876,7</w:t>
            </w:r>
          </w:p>
        </w:tc>
        <w:tc>
          <w:tcPr>
            <w:tcW w:w="1089" w:type="dxa"/>
            <w:tcBorders>
              <w:top w:val="single" w:sz="4" w:space="0" w:color="auto"/>
              <w:left w:val="nil"/>
              <w:bottom w:val="single" w:sz="4" w:space="0" w:color="auto"/>
              <w:right w:val="single" w:sz="4" w:space="0" w:color="auto"/>
            </w:tcBorders>
            <w:noWrap/>
            <w:vAlign w:val="center"/>
            <w:hideMark/>
          </w:tcPr>
          <w:p w14:paraId="6F6F4B7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4 114,2</w:t>
            </w:r>
          </w:p>
        </w:tc>
        <w:tc>
          <w:tcPr>
            <w:tcW w:w="1090" w:type="dxa"/>
            <w:tcBorders>
              <w:top w:val="single" w:sz="4" w:space="0" w:color="auto"/>
              <w:left w:val="nil"/>
              <w:bottom w:val="single" w:sz="4" w:space="0" w:color="auto"/>
              <w:right w:val="single" w:sz="4" w:space="0" w:color="auto"/>
            </w:tcBorders>
            <w:noWrap/>
            <w:vAlign w:val="center"/>
            <w:hideMark/>
          </w:tcPr>
          <w:p w14:paraId="1BAE2231"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w:t>
            </w:r>
          </w:p>
        </w:tc>
        <w:tc>
          <w:tcPr>
            <w:tcW w:w="1090" w:type="dxa"/>
            <w:tcBorders>
              <w:top w:val="single" w:sz="4" w:space="0" w:color="auto"/>
              <w:left w:val="nil"/>
              <w:bottom w:val="single" w:sz="4" w:space="0" w:color="auto"/>
              <w:right w:val="single" w:sz="4" w:space="0" w:color="auto"/>
            </w:tcBorders>
            <w:noWrap/>
            <w:vAlign w:val="center"/>
            <w:hideMark/>
          </w:tcPr>
          <w:p w14:paraId="02627A43"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20 047,3</w:t>
            </w:r>
          </w:p>
        </w:tc>
        <w:tc>
          <w:tcPr>
            <w:tcW w:w="1127" w:type="dxa"/>
            <w:tcBorders>
              <w:top w:val="single" w:sz="4" w:space="0" w:color="auto"/>
              <w:left w:val="nil"/>
              <w:bottom w:val="single" w:sz="4" w:space="0" w:color="auto"/>
              <w:right w:val="single" w:sz="4" w:space="0" w:color="auto"/>
            </w:tcBorders>
            <w:noWrap/>
            <w:vAlign w:val="center"/>
            <w:hideMark/>
          </w:tcPr>
          <w:p w14:paraId="16F90242" w14:textId="77777777" w:rsidR="00575C57" w:rsidRPr="00C844C9" w:rsidRDefault="00575C57" w:rsidP="00575C57">
            <w:pPr>
              <w:widowControl/>
              <w:jc w:val="center"/>
              <w:rPr>
                <w:rFonts w:ascii="Arial" w:hAnsi="Arial" w:cs="Arial"/>
                <w:color w:val="000000"/>
              </w:rPr>
            </w:pPr>
            <w:r w:rsidRPr="00C844C9">
              <w:rPr>
                <w:rFonts w:ascii="Arial" w:hAnsi="Arial" w:cs="Arial"/>
                <w:color w:val="000000"/>
              </w:rPr>
              <w:t>192 897</w:t>
            </w:r>
          </w:p>
        </w:tc>
        <w:tc>
          <w:tcPr>
            <w:tcW w:w="1268" w:type="dxa"/>
            <w:tcBorders>
              <w:top w:val="single" w:sz="4" w:space="0" w:color="auto"/>
              <w:left w:val="nil"/>
              <w:bottom w:val="single" w:sz="4" w:space="0" w:color="auto"/>
              <w:right w:val="single" w:sz="4" w:space="0" w:color="auto"/>
            </w:tcBorders>
            <w:noWrap/>
            <w:vAlign w:val="center"/>
            <w:hideMark/>
          </w:tcPr>
          <w:p w14:paraId="69D84E01" w14:textId="77777777" w:rsidR="00575C57" w:rsidRPr="00C844C9" w:rsidRDefault="00575C57" w:rsidP="00575C57">
            <w:pPr>
              <w:widowControl/>
              <w:jc w:val="center"/>
              <w:rPr>
                <w:rFonts w:ascii="Arial" w:hAnsi="Arial" w:cs="Arial"/>
                <w:b/>
                <w:color w:val="000000"/>
              </w:rPr>
            </w:pPr>
            <w:r w:rsidRPr="00C844C9">
              <w:rPr>
                <w:rFonts w:ascii="Arial" w:hAnsi="Arial" w:cs="Arial"/>
                <w:b/>
                <w:color w:val="000000"/>
              </w:rPr>
              <w:t>39</w:t>
            </w:r>
          </w:p>
        </w:tc>
      </w:tr>
    </w:tbl>
    <w:p w14:paraId="61269647" w14:textId="77777777" w:rsidR="00575C57" w:rsidRPr="00C844C9" w:rsidRDefault="00575C57" w:rsidP="00575C57">
      <w:pPr>
        <w:widowControl/>
        <w:spacing w:after="80"/>
        <w:jc w:val="both"/>
        <w:rPr>
          <w:rFonts w:ascii="Arial" w:eastAsia="Calibri" w:hAnsi="Arial" w:cs="Arial"/>
          <w:i/>
          <w:sz w:val="18"/>
          <w:szCs w:val="18"/>
          <w:lang w:eastAsia="en-US"/>
        </w:rPr>
      </w:pPr>
      <w:r w:rsidRPr="00C844C9">
        <w:rPr>
          <w:rFonts w:ascii="Arial" w:eastAsia="Calibri" w:hAnsi="Arial" w:cs="Arial"/>
          <w:i/>
          <w:sz w:val="18"/>
          <w:szCs w:val="18"/>
          <w:lang w:eastAsia="en-US"/>
        </w:rPr>
        <w:t>UWAGA: Z uwagi na brak oficjalnie opublikowanej kategoryzacji substancji czynnych za rok 2023 wartości mogą ulec późniejszej korekcie</w:t>
      </w:r>
    </w:p>
    <w:p w14:paraId="1ED1F5AE" w14:textId="2EAB568A" w:rsidR="00575C57" w:rsidRPr="00C844C9" w:rsidRDefault="00575C57" w:rsidP="00C844C9">
      <w:pPr>
        <w:pStyle w:val="NormalnyWeb"/>
        <w:tabs>
          <w:tab w:val="left" w:pos="284"/>
        </w:tabs>
        <w:spacing w:beforeAutospacing="0" w:after="120" w:afterAutospacing="0" w:line="360" w:lineRule="auto"/>
        <w:ind w:firstLine="284"/>
        <w:jc w:val="both"/>
        <w:rPr>
          <w:rFonts w:ascii="Arial" w:hAnsi="Arial" w:cs="Arial"/>
          <w:color w:val="1B1B1B"/>
        </w:rPr>
      </w:pPr>
      <w:r w:rsidRPr="0011328C">
        <w:rPr>
          <w:rFonts w:ascii="Arial" w:hAnsi="Arial" w:cs="Arial"/>
          <w:b/>
          <w:bCs/>
          <w:color w:val="1B1B1B"/>
        </w:rPr>
        <w:t>Wyliczona wartość wskaźnika HRI1 dla roku 2023 wyn</w:t>
      </w:r>
      <w:r w:rsidR="00C844C9" w:rsidRPr="0011328C">
        <w:rPr>
          <w:rFonts w:ascii="Arial" w:hAnsi="Arial" w:cs="Arial"/>
          <w:b/>
          <w:bCs/>
          <w:color w:val="1B1B1B"/>
        </w:rPr>
        <w:t>iosła</w:t>
      </w:r>
      <w:r w:rsidRPr="0011328C">
        <w:rPr>
          <w:rFonts w:ascii="Arial" w:hAnsi="Arial" w:cs="Arial"/>
          <w:b/>
          <w:bCs/>
          <w:color w:val="1B1B1B"/>
        </w:rPr>
        <w:t xml:space="preserve"> 39.</w:t>
      </w:r>
      <w:r w:rsidRPr="00C844C9">
        <w:rPr>
          <w:rFonts w:ascii="Arial" w:hAnsi="Arial" w:cs="Arial"/>
          <w:color w:val="1B1B1B"/>
        </w:rPr>
        <w:t xml:space="preserve"> To o 12 punktów mniej niż wartość dla roku 2022 (według klasyfikacji z roku 2023). Znaczne obniżenie wartości wskaźnika wynika </w:t>
      </w:r>
      <w:r w:rsidRPr="00C844C9">
        <w:rPr>
          <w:rFonts w:ascii="Arial" w:hAnsi="Arial" w:cs="Arial"/>
          <w:color w:val="1B1B1B"/>
        </w:rPr>
        <w:lastRenderedPageBreak/>
        <w:t xml:space="preserve">głównie z wycofania ze sprzedaży prochlorazu (-8,5 pkt) oraz mniejszej sprzedaży </w:t>
      </w:r>
      <w:r w:rsidR="00681CFF">
        <w:rPr>
          <w:rFonts w:ascii="Arial" w:hAnsi="Arial" w:cs="Arial"/>
          <w:color w:val="1B1B1B"/>
        </w:rPr>
        <w:t xml:space="preserve">niektórych </w:t>
      </w:r>
      <w:r w:rsidRPr="00C844C9">
        <w:rPr>
          <w:rFonts w:ascii="Arial" w:hAnsi="Arial" w:cs="Arial"/>
          <w:color w:val="1B1B1B"/>
        </w:rPr>
        <w:t xml:space="preserve">substancji czynnych. </w:t>
      </w:r>
    </w:p>
    <w:p w14:paraId="77CACDFA" w14:textId="73C68FD0" w:rsidR="00575C57" w:rsidRPr="00C844C9" w:rsidRDefault="00575C57" w:rsidP="00C844C9">
      <w:pPr>
        <w:pStyle w:val="NormalnyWeb"/>
        <w:tabs>
          <w:tab w:val="left" w:pos="284"/>
        </w:tabs>
        <w:spacing w:beforeAutospacing="0" w:after="120" w:afterAutospacing="0" w:line="360" w:lineRule="auto"/>
        <w:ind w:firstLine="284"/>
        <w:jc w:val="both"/>
        <w:rPr>
          <w:rFonts w:ascii="Arial" w:hAnsi="Arial" w:cs="Arial"/>
          <w:color w:val="1B1B1B"/>
        </w:rPr>
      </w:pPr>
      <w:r w:rsidRPr="00C844C9">
        <w:rPr>
          <w:rFonts w:ascii="Arial" w:hAnsi="Arial" w:cs="Arial"/>
          <w:color w:val="1B1B1B"/>
        </w:rPr>
        <w:t>Analiza szczegółowych danych pokazuje, że 50% wartości wskaźnika wynika ze sprzedaży tylko 9 substancji. Kolejne 12 substancji ma udział równy 25%. Następnych 52 substancji 20%, a sprzedaż pozostałych 180 substancji to tylko 5% wartości wskaźnika. Biorąc pod uwagę grupy potencjalnego zagrożenia to ogółem w</w:t>
      </w:r>
      <w:r w:rsidR="00C844C9">
        <w:rPr>
          <w:rFonts w:ascii="Arial" w:hAnsi="Arial" w:cs="Arial"/>
          <w:color w:val="1B1B1B"/>
        </w:rPr>
        <w:t> </w:t>
      </w:r>
      <w:r w:rsidRPr="00C844C9">
        <w:rPr>
          <w:rFonts w:ascii="Arial" w:hAnsi="Arial" w:cs="Arial"/>
          <w:color w:val="1B1B1B"/>
        </w:rPr>
        <w:t xml:space="preserve">sprzedaży było 12 substancji z grupy 1, 199 z grupy 2 i 42 z grupy 3. Udział poszczególnych grup substancji czynnych w sprzedaży i wartości wskaźnika w 2023 </w:t>
      </w:r>
      <w:r w:rsidR="00C844C9">
        <w:rPr>
          <w:rFonts w:ascii="Arial" w:hAnsi="Arial" w:cs="Arial"/>
          <w:color w:val="1B1B1B"/>
        </w:rPr>
        <w:t xml:space="preserve">r. </w:t>
      </w:r>
      <w:r w:rsidRPr="00C844C9">
        <w:rPr>
          <w:rFonts w:ascii="Arial" w:hAnsi="Arial" w:cs="Arial"/>
          <w:color w:val="1B1B1B"/>
        </w:rPr>
        <w:t>zawiera tabela 1</w:t>
      </w:r>
      <w:r w:rsidR="00C92649">
        <w:rPr>
          <w:rFonts w:ascii="Arial" w:hAnsi="Arial" w:cs="Arial"/>
          <w:color w:val="1B1B1B"/>
        </w:rPr>
        <w:t>3</w:t>
      </w:r>
      <w:r w:rsidRPr="00C844C9">
        <w:rPr>
          <w:rFonts w:ascii="Arial" w:hAnsi="Arial" w:cs="Arial"/>
          <w:color w:val="1B1B1B"/>
        </w:rPr>
        <w:t>.</w:t>
      </w:r>
    </w:p>
    <w:p w14:paraId="3A4CF1BF" w14:textId="3622AD32" w:rsidR="00575C57" w:rsidRPr="00C844C9" w:rsidRDefault="00575C57" w:rsidP="00C844C9">
      <w:pPr>
        <w:widowControl/>
        <w:spacing w:before="120" w:after="120"/>
        <w:rPr>
          <w:rFonts w:ascii="Arial" w:eastAsia="Calibri" w:hAnsi="Arial" w:cs="Arial"/>
          <w:i/>
          <w:lang w:eastAsia="en-US"/>
        </w:rPr>
      </w:pPr>
      <w:r w:rsidRPr="00C844C9">
        <w:rPr>
          <w:rFonts w:ascii="Arial" w:eastAsia="Calibri" w:hAnsi="Arial" w:cs="Arial"/>
          <w:i/>
          <w:lang w:eastAsia="en-US"/>
        </w:rPr>
        <w:t>Tabela 1</w:t>
      </w:r>
      <w:r w:rsidR="00C92649">
        <w:rPr>
          <w:rFonts w:ascii="Arial" w:eastAsia="Calibri" w:hAnsi="Arial" w:cs="Arial"/>
          <w:i/>
          <w:lang w:eastAsia="en-US"/>
        </w:rPr>
        <w:t>3</w:t>
      </w:r>
      <w:r w:rsidRPr="00C844C9">
        <w:rPr>
          <w:rFonts w:ascii="Arial" w:eastAsia="Calibri" w:hAnsi="Arial" w:cs="Arial"/>
          <w:i/>
          <w:lang w:eastAsia="en-US"/>
        </w:rPr>
        <w:t>. Udział grup ryzyka substancji czynnych w wartości wskaźnika HRI1 w 2023</w:t>
      </w:r>
      <w:r w:rsidR="00D524C9">
        <w:rPr>
          <w:rFonts w:ascii="Arial" w:eastAsia="Calibri" w:hAnsi="Arial" w:cs="Arial"/>
          <w:i/>
          <w:lang w:eastAsia="en-US"/>
        </w:rPr>
        <w:t xml:space="preserve"> r.</w:t>
      </w:r>
    </w:p>
    <w:tbl>
      <w:tblPr>
        <w:tblW w:w="4922" w:type="pct"/>
        <w:jc w:val="center"/>
        <w:tblCellMar>
          <w:left w:w="0" w:type="dxa"/>
          <w:right w:w="0" w:type="dxa"/>
        </w:tblCellMar>
        <w:tblLook w:val="0600" w:firstRow="0" w:lastRow="0" w:firstColumn="0" w:lastColumn="0" w:noHBand="1" w:noVBand="1"/>
      </w:tblPr>
      <w:tblGrid>
        <w:gridCol w:w="3964"/>
        <w:gridCol w:w="1797"/>
        <w:gridCol w:w="1581"/>
        <w:gridCol w:w="1579"/>
      </w:tblGrid>
      <w:tr w:rsidR="00575C57" w:rsidRPr="00C844C9" w14:paraId="0DE3C171" w14:textId="77777777" w:rsidTr="00C844C9">
        <w:trPr>
          <w:trHeight w:val="20"/>
          <w:jc w:val="center"/>
        </w:trPr>
        <w:tc>
          <w:tcPr>
            <w:tcW w:w="2222"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34E30507"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bCs/>
                <w:lang w:eastAsia="en-US"/>
              </w:rPr>
              <w:t>Grupa substancji czynnych</w:t>
            </w:r>
          </w:p>
        </w:tc>
        <w:tc>
          <w:tcPr>
            <w:tcW w:w="1007" w:type="pct"/>
            <w:tcBorders>
              <w:top w:val="single" w:sz="4" w:space="0" w:color="000000"/>
              <w:left w:val="single" w:sz="4" w:space="0" w:color="000000"/>
              <w:bottom w:val="single" w:sz="4" w:space="0" w:color="000000"/>
              <w:right w:val="single" w:sz="4" w:space="0" w:color="000000"/>
            </w:tcBorders>
            <w:vAlign w:val="center"/>
            <w:hideMark/>
          </w:tcPr>
          <w:p w14:paraId="0444B2D1" w14:textId="77777777" w:rsidR="00575C57" w:rsidRPr="00C844C9" w:rsidRDefault="00575C57" w:rsidP="00575C57">
            <w:pPr>
              <w:widowControl/>
              <w:jc w:val="center"/>
              <w:rPr>
                <w:rFonts w:ascii="Arial" w:eastAsia="Calibri" w:hAnsi="Arial" w:cs="Arial"/>
                <w:bCs/>
                <w:lang w:eastAsia="en-US"/>
              </w:rPr>
            </w:pPr>
            <w:r w:rsidRPr="00C844C9">
              <w:rPr>
                <w:rFonts w:ascii="Arial" w:eastAsia="Calibri" w:hAnsi="Arial" w:cs="Arial"/>
                <w:bCs/>
                <w:lang w:eastAsia="en-US"/>
              </w:rPr>
              <w:t>Sprzedaż</w:t>
            </w:r>
          </w:p>
          <w:p w14:paraId="6082A77D" w14:textId="61D4B1F3" w:rsidR="00575C57" w:rsidRPr="00C844C9" w:rsidRDefault="00575C57" w:rsidP="00C844C9">
            <w:pPr>
              <w:widowControl/>
              <w:jc w:val="center"/>
              <w:rPr>
                <w:rFonts w:ascii="Arial" w:eastAsia="Calibri" w:hAnsi="Arial" w:cs="Arial"/>
                <w:bCs/>
                <w:lang w:eastAsia="en-US"/>
              </w:rPr>
            </w:pPr>
            <w:r w:rsidRPr="00C844C9">
              <w:rPr>
                <w:rFonts w:ascii="Arial" w:eastAsia="Calibri" w:hAnsi="Arial" w:cs="Arial"/>
                <w:bCs/>
                <w:lang w:eastAsia="en-US"/>
              </w:rPr>
              <w:t>w 2023</w:t>
            </w:r>
            <w:r w:rsidR="00C844C9">
              <w:rPr>
                <w:rFonts w:ascii="Arial" w:eastAsia="Calibri" w:hAnsi="Arial" w:cs="Arial"/>
                <w:bCs/>
                <w:lang w:eastAsia="en-US"/>
              </w:rPr>
              <w:t xml:space="preserve"> </w:t>
            </w:r>
            <w:r w:rsidRPr="00C844C9">
              <w:rPr>
                <w:rFonts w:ascii="Arial" w:eastAsia="Calibri" w:hAnsi="Arial" w:cs="Arial"/>
                <w:bCs/>
                <w:lang w:eastAsia="en-US"/>
              </w:rPr>
              <w:t>[w tonach]</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0F604426"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bCs/>
                <w:lang w:eastAsia="en-US"/>
              </w:rPr>
              <w:t>Udział w sprzedaży</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7B232232" w14:textId="77777777" w:rsidR="00575C57" w:rsidRPr="00C844C9" w:rsidRDefault="00575C57" w:rsidP="00575C57">
            <w:pPr>
              <w:widowControl/>
              <w:jc w:val="center"/>
              <w:rPr>
                <w:rFonts w:ascii="Arial" w:eastAsia="Calibri" w:hAnsi="Arial" w:cs="Arial"/>
                <w:bCs/>
                <w:lang w:eastAsia="en-US"/>
              </w:rPr>
            </w:pPr>
            <w:r w:rsidRPr="00C844C9">
              <w:rPr>
                <w:rFonts w:ascii="Arial" w:eastAsia="Calibri" w:hAnsi="Arial" w:cs="Arial"/>
                <w:bCs/>
                <w:lang w:eastAsia="en-US"/>
              </w:rPr>
              <w:t>Udział w wartości wskaźnika</w:t>
            </w:r>
          </w:p>
        </w:tc>
      </w:tr>
      <w:tr w:rsidR="00575C57" w:rsidRPr="00C844C9" w14:paraId="76792A06" w14:textId="77777777" w:rsidTr="00C844C9">
        <w:trPr>
          <w:trHeight w:val="340"/>
          <w:jc w:val="center"/>
        </w:trPr>
        <w:tc>
          <w:tcPr>
            <w:tcW w:w="2222"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7580C777" w14:textId="77777777" w:rsidR="00575C57" w:rsidRPr="00C844C9" w:rsidRDefault="00575C57" w:rsidP="00575C57">
            <w:pPr>
              <w:widowControl/>
              <w:rPr>
                <w:rFonts w:ascii="Arial" w:eastAsia="Calibri" w:hAnsi="Arial" w:cs="Arial"/>
                <w:lang w:eastAsia="en-US"/>
              </w:rPr>
            </w:pPr>
            <w:r w:rsidRPr="00C844C9">
              <w:rPr>
                <w:rFonts w:ascii="Arial" w:eastAsia="Calibri" w:hAnsi="Arial" w:cs="Arial"/>
                <w:lang w:eastAsia="en-US"/>
              </w:rPr>
              <w:t>Grupa 1 – substancje o niskim ryzyku</w:t>
            </w:r>
          </w:p>
        </w:tc>
        <w:tc>
          <w:tcPr>
            <w:tcW w:w="1007" w:type="pct"/>
            <w:tcBorders>
              <w:top w:val="single" w:sz="4" w:space="0" w:color="000000"/>
              <w:left w:val="single" w:sz="4" w:space="0" w:color="000000"/>
              <w:bottom w:val="single" w:sz="4" w:space="0" w:color="000000"/>
              <w:right w:val="single" w:sz="4" w:space="0" w:color="000000"/>
            </w:tcBorders>
            <w:vAlign w:val="center"/>
            <w:hideMark/>
          </w:tcPr>
          <w:p w14:paraId="68712201"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56,4</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57327147"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0,28%</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4530A6BB"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0,03%</w:t>
            </w:r>
          </w:p>
        </w:tc>
      </w:tr>
      <w:tr w:rsidR="00575C57" w:rsidRPr="00C844C9" w14:paraId="38A9D8DC" w14:textId="77777777" w:rsidTr="00C844C9">
        <w:trPr>
          <w:trHeight w:val="340"/>
          <w:jc w:val="center"/>
        </w:trPr>
        <w:tc>
          <w:tcPr>
            <w:tcW w:w="2222"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214E1D12" w14:textId="77777777" w:rsidR="00575C57" w:rsidRPr="00C844C9" w:rsidRDefault="00575C57" w:rsidP="00575C57">
            <w:pPr>
              <w:widowControl/>
              <w:rPr>
                <w:rFonts w:ascii="Arial" w:eastAsia="Calibri" w:hAnsi="Arial" w:cs="Arial"/>
                <w:lang w:eastAsia="en-US"/>
              </w:rPr>
            </w:pPr>
            <w:r w:rsidRPr="00C844C9">
              <w:rPr>
                <w:rFonts w:ascii="Arial" w:eastAsia="Calibri" w:hAnsi="Arial" w:cs="Arial"/>
                <w:lang w:eastAsia="en-US"/>
              </w:rPr>
              <w:t>Grupa 2 – substancje dopuszczone</w:t>
            </w:r>
          </w:p>
          <w:p w14:paraId="4CBDFCCD" w14:textId="77777777" w:rsidR="00575C57" w:rsidRPr="00C844C9" w:rsidRDefault="00575C57" w:rsidP="00575C57">
            <w:pPr>
              <w:widowControl/>
              <w:rPr>
                <w:rFonts w:ascii="Arial" w:eastAsia="Calibri" w:hAnsi="Arial" w:cs="Arial"/>
                <w:lang w:eastAsia="en-US"/>
              </w:rPr>
            </w:pPr>
            <w:r w:rsidRPr="00C844C9">
              <w:rPr>
                <w:rFonts w:ascii="Arial" w:eastAsia="Calibri" w:hAnsi="Arial" w:cs="Arial"/>
                <w:lang w:eastAsia="en-US"/>
              </w:rPr>
              <w:t>– inne niż w grupie 1 i 3</w:t>
            </w:r>
          </w:p>
        </w:tc>
        <w:tc>
          <w:tcPr>
            <w:tcW w:w="1007" w:type="pct"/>
            <w:tcBorders>
              <w:top w:val="single" w:sz="4" w:space="0" w:color="000000"/>
              <w:left w:val="single" w:sz="4" w:space="0" w:color="000000"/>
              <w:bottom w:val="single" w:sz="4" w:space="0" w:color="000000"/>
              <w:right w:val="single" w:sz="4" w:space="0" w:color="000000"/>
            </w:tcBorders>
            <w:vAlign w:val="center"/>
            <w:hideMark/>
          </w:tcPr>
          <w:p w14:paraId="2F982655"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15876,7</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7B0346E5"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79,2%</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47C3ABFD"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65,84%</w:t>
            </w:r>
          </w:p>
        </w:tc>
      </w:tr>
      <w:tr w:rsidR="00575C57" w:rsidRPr="00C844C9" w14:paraId="1EED611B" w14:textId="77777777" w:rsidTr="00C844C9">
        <w:trPr>
          <w:trHeight w:val="340"/>
          <w:jc w:val="center"/>
        </w:trPr>
        <w:tc>
          <w:tcPr>
            <w:tcW w:w="2222"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66F1427E" w14:textId="77777777" w:rsidR="00575C57" w:rsidRPr="00C844C9" w:rsidRDefault="00575C57" w:rsidP="00575C57">
            <w:pPr>
              <w:widowControl/>
              <w:rPr>
                <w:rFonts w:ascii="Arial" w:eastAsia="Calibri" w:hAnsi="Arial" w:cs="Arial"/>
                <w:lang w:eastAsia="en-US"/>
              </w:rPr>
            </w:pPr>
            <w:r w:rsidRPr="00C844C9">
              <w:rPr>
                <w:rFonts w:ascii="Arial" w:eastAsia="Calibri" w:hAnsi="Arial" w:cs="Arial"/>
                <w:lang w:eastAsia="en-US"/>
              </w:rPr>
              <w:t>Grupa 3 – substancje kwalifikujące się do zastąpienia</w:t>
            </w:r>
          </w:p>
        </w:tc>
        <w:tc>
          <w:tcPr>
            <w:tcW w:w="1007" w:type="pct"/>
            <w:tcBorders>
              <w:top w:val="single" w:sz="4" w:space="0" w:color="000000"/>
              <w:left w:val="single" w:sz="4" w:space="0" w:color="000000"/>
              <w:bottom w:val="single" w:sz="4" w:space="0" w:color="000000"/>
              <w:right w:val="single" w:sz="4" w:space="0" w:color="000000"/>
            </w:tcBorders>
            <w:vAlign w:val="center"/>
            <w:hideMark/>
          </w:tcPr>
          <w:p w14:paraId="5090BC0E"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4114,2</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5B8B4E95"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20,52%</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0A52A0BE"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34,13%</w:t>
            </w:r>
          </w:p>
        </w:tc>
      </w:tr>
      <w:tr w:rsidR="00575C57" w:rsidRPr="00C844C9" w14:paraId="0813A6EE" w14:textId="77777777" w:rsidTr="00C844C9">
        <w:trPr>
          <w:trHeight w:val="340"/>
          <w:jc w:val="center"/>
        </w:trPr>
        <w:tc>
          <w:tcPr>
            <w:tcW w:w="2222"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13B3189C" w14:textId="77777777" w:rsidR="00575C57" w:rsidRPr="00C844C9" w:rsidRDefault="00575C57" w:rsidP="00575C57">
            <w:pPr>
              <w:widowControl/>
              <w:rPr>
                <w:rFonts w:ascii="Arial" w:eastAsia="Calibri" w:hAnsi="Arial" w:cs="Arial"/>
                <w:lang w:eastAsia="en-US"/>
              </w:rPr>
            </w:pPr>
            <w:r w:rsidRPr="00C844C9">
              <w:rPr>
                <w:rFonts w:ascii="Arial" w:eastAsia="Calibri" w:hAnsi="Arial" w:cs="Arial"/>
                <w:lang w:val="en-GB" w:eastAsia="en-US"/>
              </w:rPr>
              <w:t>Gr</w:t>
            </w:r>
            <w:r w:rsidRPr="00C844C9">
              <w:rPr>
                <w:rFonts w:ascii="Arial" w:eastAsia="Calibri" w:hAnsi="Arial" w:cs="Arial"/>
                <w:lang w:eastAsia="en-US"/>
              </w:rPr>
              <w:t>u</w:t>
            </w:r>
            <w:r w:rsidRPr="00C844C9">
              <w:rPr>
                <w:rFonts w:ascii="Arial" w:eastAsia="Calibri" w:hAnsi="Arial" w:cs="Arial"/>
                <w:lang w:val="en-GB" w:eastAsia="en-US"/>
              </w:rPr>
              <w:t>p</w:t>
            </w:r>
            <w:r w:rsidRPr="00C844C9">
              <w:rPr>
                <w:rFonts w:ascii="Arial" w:eastAsia="Calibri" w:hAnsi="Arial" w:cs="Arial"/>
                <w:lang w:eastAsia="en-US"/>
              </w:rPr>
              <w:t>a</w:t>
            </w:r>
            <w:r w:rsidRPr="00C844C9">
              <w:rPr>
                <w:rFonts w:ascii="Arial" w:eastAsia="Calibri" w:hAnsi="Arial" w:cs="Arial"/>
                <w:lang w:val="en-GB" w:eastAsia="en-US"/>
              </w:rPr>
              <w:t xml:space="preserve"> 4 – </w:t>
            </w:r>
            <w:r w:rsidRPr="00C844C9">
              <w:rPr>
                <w:rFonts w:ascii="Arial" w:eastAsia="Calibri" w:hAnsi="Arial" w:cs="Arial"/>
                <w:lang w:eastAsia="en-US"/>
              </w:rPr>
              <w:t>substancje niedopuszczone</w:t>
            </w:r>
          </w:p>
        </w:tc>
        <w:tc>
          <w:tcPr>
            <w:tcW w:w="1007" w:type="pct"/>
            <w:tcBorders>
              <w:top w:val="single" w:sz="4" w:space="0" w:color="000000"/>
              <w:left w:val="single" w:sz="4" w:space="0" w:color="000000"/>
              <w:bottom w:val="single" w:sz="4" w:space="0" w:color="000000"/>
              <w:right w:val="single" w:sz="4" w:space="0" w:color="000000"/>
            </w:tcBorders>
            <w:vAlign w:val="center"/>
            <w:hideMark/>
          </w:tcPr>
          <w:p w14:paraId="58C3DD4E"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0</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6D0DE1DC"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0%</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489E9DAC"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0%</w:t>
            </w:r>
          </w:p>
        </w:tc>
      </w:tr>
      <w:tr w:rsidR="00575C57" w:rsidRPr="00C844C9" w14:paraId="52D0B7BA" w14:textId="77777777" w:rsidTr="00C844C9">
        <w:trPr>
          <w:trHeight w:val="340"/>
          <w:jc w:val="center"/>
        </w:trPr>
        <w:tc>
          <w:tcPr>
            <w:tcW w:w="2222" w:type="pct"/>
            <w:tcBorders>
              <w:top w:val="single" w:sz="4" w:space="0" w:color="000000"/>
              <w:left w:val="single" w:sz="4" w:space="0" w:color="000000"/>
              <w:bottom w:val="single" w:sz="4" w:space="0" w:color="000000"/>
              <w:right w:val="single" w:sz="4" w:space="0" w:color="000000"/>
            </w:tcBorders>
            <w:tcMar>
              <w:top w:w="28" w:type="dxa"/>
              <w:left w:w="144" w:type="dxa"/>
              <w:bottom w:w="28" w:type="dxa"/>
              <w:right w:w="144" w:type="dxa"/>
            </w:tcMar>
            <w:vAlign w:val="center"/>
            <w:hideMark/>
          </w:tcPr>
          <w:p w14:paraId="74F7AAF6" w14:textId="77777777" w:rsidR="00575C57" w:rsidRPr="00C844C9" w:rsidRDefault="00575C57" w:rsidP="00575C57">
            <w:pPr>
              <w:widowControl/>
              <w:rPr>
                <w:rFonts w:ascii="Arial" w:eastAsia="Calibri" w:hAnsi="Arial" w:cs="Arial"/>
                <w:lang w:eastAsia="en-US"/>
              </w:rPr>
            </w:pPr>
            <w:r w:rsidRPr="00C844C9">
              <w:rPr>
                <w:rFonts w:ascii="Arial" w:eastAsia="Calibri" w:hAnsi="Arial" w:cs="Arial"/>
                <w:bCs/>
                <w:lang w:eastAsia="en-US"/>
              </w:rPr>
              <w:t>Suma</w:t>
            </w:r>
          </w:p>
        </w:tc>
        <w:tc>
          <w:tcPr>
            <w:tcW w:w="1007" w:type="pct"/>
            <w:tcBorders>
              <w:top w:val="single" w:sz="4" w:space="0" w:color="000000"/>
              <w:left w:val="single" w:sz="4" w:space="0" w:color="000000"/>
              <w:bottom w:val="single" w:sz="4" w:space="0" w:color="000000"/>
              <w:right w:val="single" w:sz="4" w:space="0" w:color="000000"/>
            </w:tcBorders>
            <w:vAlign w:val="center"/>
            <w:hideMark/>
          </w:tcPr>
          <w:p w14:paraId="5C66898A"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20047,3</w:t>
            </w:r>
          </w:p>
        </w:tc>
        <w:tc>
          <w:tcPr>
            <w:tcW w:w="886" w:type="pct"/>
            <w:tcBorders>
              <w:top w:val="single" w:sz="4" w:space="0" w:color="000000"/>
              <w:left w:val="single" w:sz="4" w:space="0" w:color="000000"/>
              <w:bottom w:val="single" w:sz="4" w:space="0" w:color="000000"/>
              <w:right w:val="single" w:sz="4" w:space="0" w:color="000000"/>
            </w:tcBorders>
            <w:vAlign w:val="center"/>
            <w:hideMark/>
          </w:tcPr>
          <w:p w14:paraId="64B75BCE"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100%</w:t>
            </w:r>
          </w:p>
        </w:tc>
        <w:tc>
          <w:tcPr>
            <w:tcW w:w="885" w:type="pct"/>
            <w:tcBorders>
              <w:top w:val="single" w:sz="4" w:space="0" w:color="000000"/>
              <w:left w:val="single" w:sz="4" w:space="0" w:color="000000"/>
              <w:bottom w:val="single" w:sz="4" w:space="0" w:color="000000"/>
              <w:right w:val="single" w:sz="4" w:space="0" w:color="000000"/>
            </w:tcBorders>
            <w:vAlign w:val="center"/>
            <w:hideMark/>
          </w:tcPr>
          <w:p w14:paraId="6949E485" w14:textId="77777777" w:rsidR="00575C57" w:rsidRPr="00C844C9" w:rsidRDefault="00575C57" w:rsidP="00575C57">
            <w:pPr>
              <w:widowControl/>
              <w:jc w:val="center"/>
              <w:rPr>
                <w:rFonts w:ascii="Arial" w:eastAsia="Calibri" w:hAnsi="Arial" w:cs="Arial"/>
                <w:lang w:eastAsia="en-US"/>
              </w:rPr>
            </w:pPr>
            <w:r w:rsidRPr="00C844C9">
              <w:rPr>
                <w:rFonts w:ascii="Arial" w:eastAsia="Calibri" w:hAnsi="Arial" w:cs="Arial"/>
                <w:lang w:eastAsia="en-US"/>
              </w:rPr>
              <w:t>100%</w:t>
            </w:r>
          </w:p>
        </w:tc>
      </w:tr>
    </w:tbl>
    <w:p w14:paraId="0B80CAD2" w14:textId="77777777" w:rsidR="0049161C" w:rsidRDefault="0049161C" w:rsidP="00575C57">
      <w:pPr>
        <w:widowControl/>
        <w:spacing w:after="80" w:line="360" w:lineRule="auto"/>
        <w:jc w:val="both"/>
        <w:rPr>
          <w:rFonts w:eastAsia="Calibri"/>
          <w:b/>
          <w:sz w:val="24"/>
          <w:szCs w:val="24"/>
          <w:lang w:eastAsia="en-US"/>
        </w:rPr>
      </w:pPr>
    </w:p>
    <w:p w14:paraId="2FAF00FE" w14:textId="1AA6C92F" w:rsidR="00575C57" w:rsidRPr="0049161C" w:rsidRDefault="00575C57" w:rsidP="00575C57">
      <w:pPr>
        <w:widowControl/>
        <w:spacing w:after="80" w:line="360" w:lineRule="auto"/>
        <w:jc w:val="both"/>
        <w:rPr>
          <w:rFonts w:ascii="Arial" w:eastAsia="Calibri" w:hAnsi="Arial" w:cs="Arial"/>
          <w:b/>
          <w:sz w:val="22"/>
          <w:szCs w:val="22"/>
          <w:lang w:eastAsia="en-US"/>
        </w:rPr>
      </w:pPr>
      <w:r w:rsidRPr="0049161C">
        <w:rPr>
          <w:rFonts w:ascii="Arial" w:eastAsia="Calibri" w:hAnsi="Arial" w:cs="Arial"/>
          <w:b/>
          <w:sz w:val="22"/>
          <w:szCs w:val="22"/>
          <w:lang w:eastAsia="en-US"/>
        </w:rPr>
        <w:t>5.4. Sprzedaż substancji czynnych kwalifikujących się do zastąpienia – wskaźnik F2F 2</w:t>
      </w:r>
    </w:p>
    <w:p w14:paraId="67C5E863" w14:textId="77777777" w:rsidR="00575C57" w:rsidRPr="008C4AB8" w:rsidRDefault="00575C57" w:rsidP="008C4AB8">
      <w:pPr>
        <w:pStyle w:val="NormalnyWeb"/>
        <w:tabs>
          <w:tab w:val="left" w:pos="284"/>
        </w:tabs>
        <w:spacing w:beforeAutospacing="0" w:after="120" w:afterAutospacing="0" w:line="360" w:lineRule="auto"/>
        <w:ind w:firstLine="284"/>
        <w:jc w:val="both"/>
        <w:rPr>
          <w:rFonts w:ascii="Arial" w:hAnsi="Arial" w:cs="Arial"/>
          <w:color w:val="1B1B1B"/>
        </w:rPr>
      </w:pPr>
      <w:r w:rsidRPr="008C4AB8">
        <w:rPr>
          <w:rFonts w:ascii="Arial" w:hAnsi="Arial" w:cs="Arial"/>
          <w:color w:val="1B1B1B"/>
        </w:rPr>
        <w:t xml:space="preserve">Substancje czynne określone jako kwalifikujące się do zastąpienia stanowią różny w poszczególnych latach zestaw substancji używany do obliczeń wskaźnika Farm to Fork 2 (F2F 2). Trend wielkości ich sprzedaży w latach 2011-2023 przedstawiony jest na rysunku 15. Należy zauważyć, że zestaw ten nie jest równoznaczny z grupą 3 we wskaźniku HRI-1. </w:t>
      </w:r>
    </w:p>
    <w:p w14:paraId="2E710F2F" w14:textId="20638A3E" w:rsidR="00575C57" w:rsidRPr="008C4AB8" w:rsidRDefault="00575C57" w:rsidP="00575C57">
      <w:pPr>
        <w:widowControl/>
        <w:spacing w:before="120"/>
        <w:rPr>
          <w:rFonts w:ascii="Arial" w:eastAsia="Calibri" w:hAnsi="Arial" w:cs="Arial"/>
          <w:i/>
          <w:lang w:eastAsia="en-US"/>
        </w:rPr>
      </w:pPr>
      <w:r w:rsidRPr="008C4AB8">
        <w:rPr>
          <w:rFonts w:ascii="Arial" w:eastAsia="Calibri" w:hAnsi="Arial" w:cs="Arial"/>
          <w:i/>
          <w:lang w:eastAsia="en-US"/>
        </w:rPr>
        <w:t>Rys. 15. Sprzedaż substancji czynnych kwalifikujących się do zastąpienia (w tys.kg) wg klasyfikacji z</w:t>
      </w:r>
      <w:r w:rsidR="008C4AB8">
        <w:rPr>
          <w:rFonts w:ascii="Arial" w:hAnsi="Arial" w:cs="Arial"/>
          <w:color w:val="1B1B1B"/>
        </w:rPr>
        <w:t> </w:t>
      </w:r>
      <w:r w:rsidRPr="008C4AB8">
        <w:rPr>
          <w:rFonts w:ascii="Arial" w:eastAsia="Calibri" w:hAnsi="Arial" w:cs="Arial"/>
          <w:i/>
          <w:lang w:eastAsia="en-US"/>
        </w:rPr>
        <w:t>roku 2022</w:t>
      </w:r>
    </w:p>
    <w:p w14:paraId="42604329" w14:textId="041FE510" w:rsidR="00575C57" w:rsidRPr="00575C57" w:rsidRDefault="00575C57" w:rsidP="00575C57">
      <w:pPr>
        <w:widowControl/>
        <w:spacing w:before="120" w:line="360" w:lineRule="auto"/>
        <w:jc w:val="center"/>
        <w:rPr>
          <w:rFonts w:eastAsia="Calibri"/>
          <w:i/>
          <w:sz w:val="24"/>
          <w:szCs w:val="22"/>
          <w:highlight w:val="yellow"/>
          <w:lang w:eastAsia="en-US"/>
        </w:rPr>
      </w:pPr>
      <w:r w:rsidRPr="00575C57">
        <w:rPr>
          <w:rFonts w:eastAsia="Calibri"/>
          <w:noProof/>
          <w:sz w:val="24"/>
          <w:szCs w:val="22"/>
        </w:rPr>
        <w:drawing>
          <wp:inline distT="0" distB="0" distL="0" distR="0" wp14:anchorId="0BFD503C" wp14:editId="53A3D3BF">
            <wp:extent cx="4899704" cy="2108934"/>
            <wp:effectExtent l="0" t="0" r="0" b="5715"/>
            <wp:docPr id="32" name="Wykres 3" descr="Obraz zawierający tekst, zrzut ekranu, diagram, Wykres&#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Wykres 3" descr="Obraz zawierający tekst, zrzut ekranu, diagram, Wykres&#10;&#10;Opis wygenerowany automatycznie"/>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64437" cy="2136796"/>
                    </a:xfrm>
                    <a:prstGeom prst="rect">
                      <a:avLst/>
                    </a:prstGeom>
                    <a:noFill/>
                    <a:ln>
                      <a:noFill/>
                    </a:ln>
                  </pic:spPr>
                </pic:pic>
              </a:graphicData>
            </a:graphic>
          </wp:inline>
        </w:drawing>
      </w:r>
    </w:p>
    <w:p w14:paraId="01FD4182" w14:textId="10DB2C26" w:rsidR="00575C57" w:rsidRPr="008C4AB8" w:rsidRDefault="00575C57" w:rsidP="008C4AB8">
      <w:pPr>
        <w:pStyle w:val="NormalnyWeb"/>
        <w:tabs>
          <w:tab w:val="left" w:pos="284"/>
        </w:tabs>
        <w:spacing w:beforeAutospacing="0" w:after="120" w:afterAutospacing="0" w:line="360" w:lineRule="auto"/>
        <w:ind w:firstLine="284"/>
        <w:jc w:val="both"/>
        <w:rPr>
          <w:rFonts w:ascii="Arial" w:eastAsia="Calibri" w:hAnsi="Arial" w:cs="Arial"/>
          <w:color w:val="333333"/>
          <w:lang w:eastAsia="en-US"/>
        </w:rPr>
      </w:pPr>
      <w:r w:rsidRPr="008C4AB8">
        <w:rPr>
          <w:rFonts w:ascii="Arial" w:hAnsi="Arial" w:cs="Arial"/>
          <w:color w:val="1B1B1B"/>
        </w:rPr>
        <w:t>Według aktualnej klasyfikacji sprzedaż substancji zaliczonych do wskaźnika F2F 2 w 2022</w:t>
      </w:r>
      <w:r w:rsidR="006D16BC">
        <w:rPr>
          <w:rFonts w:ascii="Arial" w:hAnsi="Arial" w:cs="Arial"/>
          <w:color w:val="1B1B1B"/>
        </w:rPr>
        <w:t> </w:t>
      </w:r>
      <w:r w:rsidR="008C4AB8">
        <w:rPr>
          <w:rFonts w:ascii="Arial" w:hAnsi="Arial" w:cs="Arial"/>
          <w:color w:val="1B1B1B"/>
        </w:rPr>
        <w:t xml:space="preserve">r. </w:t>
      </w:r>
      <w:r w:rsidRPr="008C4AB8">
        <w:rPr>
          <w:rFonts w:ascii="Arial" w:hAnsi="Arial" w:cs="Arial"/>
          <w:color w:val="1B1B1B"/>
        </w:rPr>
        <w:t>wyn</w:t>
      </w:r>
      <w:r w:rsidR="008C4AB8">
        <w:rPr>
          <w:rFonts w:ascii="Arial" w:hAnsi="Arial" w:cs="Arial"/>
          <w:color w:val="1B1B1B"/>
        </w:rPr>
        <w:t>iosła</w:t>
      </w:r>
      <w:r w:rsidRPr="008C4AB8">
        <w:rPr>
          <w:rFonts w:ascii="Arial" w:hAnsi="Arial" w:cs="Arial"/>
          <w:color w:val="1B1B1B"/>
        </w:rPr>
        <w:t xml:space="preserve"> 5</w:t>
      </w:r>
      <w:r w:rsidR="008C4AB8">
        <w:rPr>
          <w:rFonts w:ascii="Arial" w:hAnsi="Arial" w:cs="Arial"/>
          <w:color w:val="1B1B1B"/>
        </w:rPr>
        <w:t> </w:t>
      </w:r>
      <w:r w:rsidRPr="008C4AB8">
        <w:rPr>
          <w:rFonts w:ascii="Arial" w:hAnsi="Arial" w:cs="Arial"/>
          <w:color w:val="1B1B1B"/>
        </w:rPr>
        <w:t>545 ton, co stanowiło 120% wartości średniej z lat 2015-2017. W 2023</w:t>
      </w:r>
      <w:r w:rsidR="008C4AB8">
        <w:rPr>
          <w:rFonts w:ascii="Arial" w:hAnsi="Arial" w:cs="Arial"/>
          <w:color w:val="1B1B1B"/>
        </w:rPr>
        <w:t xml:space="preserve"> r.</w:t>
      </w:r>
      <w:r w:rsidRPr="008C4AB8">
        <w:rPr>
          <w:rFonts w:ascii="Arial" w:hAnsi="Arial" w:cs="Arial"/>
          <w:color w:val="1B1B1B"/>
        </w:rPr>
        <w:t xml:space="preserve"> sprzedaż spadła do 4</w:t>
      </w:r>
      <w:r w:rsidR="008C4AB8">
        <w:rPr>
          <w:rFonts w:ascii="Arial" w:hAnsi="Arial" w:cs="Arial"/>
          <w:color w:val="1B1B1B"/>
        </w:rPr>
        <w:t> </w:t>
      </w:r>
      <w:r w:rsidRPr="008C4AB8">
        <w:rPr>
          <w:rFonts w:ascii="Arial" w:hAnsi="Arial" w:cs="Arial"/>
          <w:color w:val="1B1B1B"/>
        </w:rPr>
        <w:t>114 ton (89% wartości z okresu bazowego 2017-2017). Udział w całości sprzedaży substancji czynnych w</w:t>
      </w:r>
      <w:r w:rsidR="008C4AB8">
        <w:rPr>
          <w:rFonts w:ascii="Arial" w:hAnsi="Arial" w:cs="Arial"/>
          <w:color w:val="1B1B1B"/>
        </w:rPr>
        <w:t> </w:t>
      </w:r>
      <w:r w:rsidRPr="008C4AB8">
        <w:rPr>
          <w:rFonts w:ascii="Arial" w:hAnsi="Arial" w:cs="Arial"/>
          <w:color w:val="1B1B1B"/>
        </w:rPr>
        <w:t xml:space="preserve">Polsce wyniósł 24,84% w 2022 </w:t>
      </w:r>
      <w:r w:rsidR="008C4AB8">
        <w:rPr>
          <w:rFonts w:ascii="Arial" w:hAnsi="Arial" w:cs="Arial"/>
          <w:color w:val="1B1B1B"/>
        </w:rPr>
        <w:t xml:space="preserve">r. </w:t>
      </w:r>
      <w:r w:rsidRPr="008C4AB8">
        <w:rPr>
          <w:rFonts w:ascii="Arial" w:hAnsi="Arial" w:cs="Arial"/>
          <w:color w:val="1B1B1B"/>
        </w:rPr>
        <w:t>i spadł do 20,52% w 2023</w:t>
      </w:r>
      <w:r w:rsidR="008C4AB8">
        <w:rPr>
          <w:rFonts w:ascii="Arial" w:hAnsi="Arial" w:cs="Arial"/>
          <w:color w:val="1B1B1B"/>
        </w:rPr>
        <w:t xml:space="preserve"> r.</w:t>
      </w:r>
    </w:p>
    <w:p w14:paraId="4308FB02" w14:textId="77777777" w:rsidR="00575C57" w:rsidRPr="0049161C" w:rsidRDefault="00575C57" w:rsidP="00575C57">
      <w:pPr>
        <w:widowControl/>
        <w:spacing w:after="80" w:line="360" w:lineRule="auto"/>
        <w:jc w:val="both"/>
        <w:rPr>
          <w:rFonts w:ascii="Arial" w:eastAsia="Calibri" w:hAnsi="Arial" w:cs="Arial"/>
          <w:b/>
          <w:sz w:val="22"/>
          <w:szCs w:val="22"/>
          <w:lang w:eastAsia="en-US"/>
        </w:rPr>
      </w:pPr>
      <w:r w:rsidRPr="0049161C">
        <w:rPr>
          <w:rFonts w:ascii="Arial" w:eastAsia="Calibri" w:hAnsi="Arial" w:cs="Arial"/>
          <w:b/>
          <w:sz w:val="22"/>
          <w:szCs w:val="22"/>
          <w:lang w:eastAsia="en-US"/>
        </w:rPr>
        <w:lastRenderedPageBreak/>
        <w:t>5.5 Wartość wskaźnika HRI 1 w kolejnych latach</w:t>
      </w:r>
    </w:p>
    <w:p w14:paraId="4A924887" w14:textId="7230996C" w:rsidR="00575C57" w:rsidRPr="008C4AB8" w:rsidRDefault="00575C57" w:rsidP="008C4AB8">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8C4AB8">
        <w:rPr>
          <w:rFonts w:ascii="Arial" w:hAnsi="Arial" w:cs="Arial"/>
          <w:color w:val="1B1B1B"/>
        </w:rPr>
        <w:t>Na</w:t>
      </w:r>
      <w:r w:rsidRPr="008C4AB8">
        <w:rPr>
          <w:rFonts w:ascii="Arial" w:eastAsia="Calibri" w:hAnsi="Arial" w:cs="Arial"/>
          <w:lang w:eastAsia="en-US"/>
        </w:rPr>
        <w:t xml:space="preserve"> rysunku 16 pokazano porównanie wartości wskaźnika HRI 1 według klasyfikacji substancji z lat 2020-2023. </w:t>
      </w:r>
      <w:r w:rsidRPr="008C4AB8">
        <w:rPr>
          <w:rFonts w:ascii="Arial" w:hAnsi="Arial" w:cs="Arial"/>
          <w:color w:val="1B1B1B"/>
        </w:rPr>
        <w:t>Wycofanie</w:t>
      </w:r>
      <w:r w:rsidRPr="008C4AB8">
        <w:rPr>
          <w:rFonts w:ascii="Arial" w:eastAsia="Calibri" w:hAnsi="Arial" w:cs="Arial"/>
          <w:lang w:eastAsia="en-US"/>
        </w:rPr>
        <w:t xml:space="preserve"> prochlorazu i spadek sprzedaży substancji czynnych powoduje znaczące zmniejszenie wartości wskaźnika w 2023</w:t>
      </w:r>
      <w:r w:rsidR="008C4AB8" w:rsidRPr="008C4AB8">
        <w:rPr>
          <w:rFonts w:ascii="Arial" w:eastAsia="Calibri" w:hAnsi="Arial" w:cs="Arial"/>
          <w:lang w:eastAsia="en-US"/>
        </w:rPr>
        <w:t xml:space="preserve"> r.</w:t>
      </w:r>
    </w:p>
    <w:p w14:paraId="21B82E86" w14:textId="77777777" w:rsidR="00575C57" w:rsidRPr="008C4AB8" w:rsidRDefault="00575C57" w:rsidP="00E55FB1">
      <w:pPr>
        <w:widowControl/>
        <w:spacing w:before="120" w:after="240"/>
        <w:rPr>
          <w:rFonts w:ascii="Arial" w:eastAsia="Calibri" w:hAnsi="Arial" w:cs="Arial"/>
          <w:i/>
          <w:lang w:eastAsia="en-US"/>
        </w:rPr>
      </w:pPr>
      <w:r w:rsidRPr="008C4AB8">
        <w:rPr>
          <w:rFonts w:ascii="Arial" w:eastAsia="Calibri" w:hAnsi="Arial" w:cs="Arial"/>
          <w:i/>
          <w:lang w:eastAsia="en-US"/>
        </w:rPr>
        <w:t>Rys. 16. Porównanie wartości wskaźnika HRI1 według klasyfikacji substancji z lat 2020-2023</w:t>
      </w:r>
    </w:p>
    <w:p w14:paraId="31DD9888" w14:textId="7A33EF3E" w:rsidR="00575C57" w:rsidRPr="00575C57" w:rsidRDefault="00575C57" w:rsidP="00575C57">
      <w:pPr>
        <w:widowControl/>
        <w:spacing w:before="120" w:after="120"/>
        <w:rPr>
          <w:rFonts w:eastAsia="Calibri"/>
          <w:i/>
          <w:sz w:val="24"/>
          <w:szCs w:val="22"/>
          <w:highlight w:val="yellow"/>
          <w:lang w:eastAsia="en-US"/>
        </w:rPr>
      </w:pPr>
      <w:r w:rsidRPr="00575C57">
        <w:rPr>
          <w:rFonts w:eastAsia="Calibri"/>
          <w:noProof/>
          <w:sz w:val="24"/>
          <w:szCs w:val="22"/>
        </w:rPr>
        <w:drawing>
          <wp:inline distT="0" distB="0" distL="0" distR="0" wp14:anchorId="4B266A17" wp14:editId="37BA14F1">
            <wp:extent cx="5510254" cy="3021496"/>
            <wp:effectExtent l="0" t="0" r="0" b="7620"/>
            <wp:docPr id="33" name="Wykres 1" descr="Obraz zawierający tekst, Wykres, zrzut ekranu, linia&#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Wykres 1" descr="Obraz zawierający tekst, Wykres, zrzut ekranu, linia&#10;&#10;Opis wygenerowany automatycznie"/>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37638" cy="3091346"/>
                    </a:xfrm>
                    <a:prstGeom prst="rect">
                      <a:avLst/>
                    </a:prstGeom>
                    <a:noFill/>
                    <a:ln>
                      <a:noFill/>
                    </a:ln>
                  </pic:spPr>
                </pic:pic>
              </a:graphicData>
            </a:graphic>
          </wp:inline>
        </w:drawing>
      </w:r>
    </w:p>
    <w:p w14:paraId="0B89BBCC" w14:textId="77777777" w:rsidR="00575C57" w:rsidRPr="008C4AB8" w:rsidRDefault="00575C57" w:rsidP="008C4AB8">
      <w:pPr>
        <w:pStyle w:val="NormalnyWeb"/>
        <w:tabs>
          <w:tab w:val="left" w:pos="284"/>
        </w:tabs>
        <w:spacing w:beforeAutospacing="0" w:after="120" w:afterAutospacing="0" w:line="360" w:lineRule="auto"/>
        <w:ind w:firstLine="284"/>
        <w:jc w:val="both"/>
        <w:rPr>
          <w:rFonts w:ascii="Arial" w:hAnsi="Arial" w:cs="Arial"/>
          <w:color w:val="1B1B1B"/>
        </w:rPr>
      </w:pPr>
      <w:r w:rsidRPr="008C4AB8">
        <w:rPr>
          <w:rFonts w:ascii="Arial" w:hAnsi="Arial" w:cs="Arial"/>
          <w:color w:val="1B1B1B"/>
        </w:rPr>
        <w:t>W kolejnym roku na zmianę wartości wskaźnika główny wpływ będzie miała wielkość sprzedaży substancji czynnych. Proces wycofywania substancji czynnych nie powinien mieć wpływu na obniżenie wartości wskaźnika jak to miało miejsce w poprzednich latach.</w:t>
      </w:r>
    </w:p>
    <w:p w14:paraId="3DF639C1" w14:textId="584042E0" w:rsidR="00575C57" w:rsidRPr="008C4AB8" w:rsidRDefault="008C4AB8" w:rsidP="008C4AB8">
      <w:pPr>
        <w:pStyle w:val="NormalnyWeb"/>
        <w:tabs>
          <w:tab w:val="left" w:pos="284"/>
        </w:tabs>
        <w:spacing w:beforeAutospacing="0" w:after="120" w:afterAutospacing="0" w:line="360" w:lineRule="auto"/>
        <w:ind w:firstLine="284"/>
        <w:jc w:val="both"/>
        <w:rPr>
          <w:rFonts w:ascii="Arial" w:hAnsi="Arial" w:cs="Arial"/>
          <w:color w:val="1B1B1B"/>
        </w:rPr>
      </w:pPr>
      <w:r>
        <w:rPr>
          <w:rFonts w:ascii="Arial" w:hAnsi="Arial" w:cs="Arial"/>
          <w:color w:val="1B1B1B"/>
        </w:rPr>
        <w:t>N</w:t>
      </w:r>
      <w:r w:rsidR="00575C57" w:rsidRPr="008C4AB8">
        <w:rPr>
          <w:rFonts w:ascii="Arial" w:hAnsi="Arial" w:cs="Arial"/>
          <w:color w:val="1B1B1B"/>
        </w:rPr>
        <w:t>ależy poszerzyć analizę wartości wskaźnika HRI 1 w oparciu o wykonane już obliczenia w podziale sprzedaży na średnią dawkę dla każdej substancji czynnej z dodatkowym podziałem na grupy środków ochrony roślin. Kolejnym krokiem powinno być zastąpienie wag 1,8,16,64 system punktacji opartym na realnych zagrożeniach na podstawie wybranych parametrów toksykologicznych w podziale na ryzyko dla zdrowia i ryzyko dla środowiska.</w:t>
      </w:r>
    </w:p>
    <w:p w14:paraId="2A12873E" w14:textId="77777777" w:rsidR="00575C57" w:rsidRPr="008C4AB8" w:rsidRDefault="00575C57" w:rsidP="008C4AB8">
      <w:pPr>
        <w:pStyle w:val="NormalnyWeb"/>
        <w:tabs>
          <w:tab w:val="left" w:pos="284"/>
        </w:tabs>
        <w:spacing w:beforeAutospacing="0" w:after="120" w:afterAutospacing="0" w:line="360" w:lineRule="auto"/>
        <w:ind w:firstLine="284"/>
        <w:jc w:val="both"/>
        <w:rPr>
          <w:rFonts w:ascii="Arial" w:eastAsia="Calibri" w:hAnsi="Arial" w:cs="Arial"/>
          <w:color w:val="333333"/>
          <w:lang w:eastAsia="en-US"/>
        </w:rPr>
      </w:pPr>
      <w:r w:rsidRPr="008C4AB8">
        <w:rPr>
          <w:rFonts w:ascii="Arial" w:eastAsia="Calibri" w:hAnsi="Arial" w:cs="Arial"/>
          <w:color w:val="333333"/>
          <w:lang w:eastAsia="en-US"/>
        </w:rPr>
        <w:t>Warto wspomnieć, że do obliczeń wskaźnika HRI 1 przyjmuje się dane pochodzące ze sprzedaży środków ochrony roślin (wprowadzone do obrotu). Nie oznacza to tylko środków używanych w ochronie płodów rolnych. Pozarolnicze stosowanie środków oraz ochrona nie związana bezpośrednio z uprawą stanowi z pewnością znaczącą część sprzedawanych środków w Polsce.</w:t>
      </w:r>
    </w:p>
    <w:p w14:paraId="28451086" w14:textId="77777777" w:rsidR="00575C57" w:rsidRPr="0049161C" w:rsidRDefault="00575C57" w:rsidP="00575C57">
      <w:pPr>
        <w:widowControl/>
        <w:spacing w:line="360" w:lineRule="auto"/>
        <w:jc w:val="both"/>
        <w:rPr>
          <w:rFonts w:ascii="Arial" w:eastAsia="Calibri" w:hAnsi="Arial" w:cs="Arial"/>
          <w:b/>
          <w:sz w:val="22"/>
          <w:szCs w:val="22"/>
          <w:lang w:eastAsia="en-US"/>
        </w:rPr>
      </w:pPr>
      <w:r w:rsidRPr="0049161C">
        <w:rPr>
          <w:rFonts w:ascii="Arial" w:eastAsia="Calibri" w:hAnsi="Arial" w:cs="Arial"/>
          <w:b/>
          <w:sz w:val="22"/>
          <w:szCs w:val="22"/>
          <w:lang w:eastAsia="en-US"/>
        </w:rPr>
        <w:t>6.</w:t>
      </w:r>
      <w:r w:rsidRPr="0049161C">
        <w:rPr>
          <w:rFonts w:ascii="Arial" w:eastAsia="Calibri" w:hAnsi="Arial" w:cs="Arial"/>
          <w:b/>
          <w:sz w:val="22"/>
          <w:szCs w:val="22"/>
          <w:lang w:eastAsia="en-US"/>
        </w:rPr>
        <w:tab/>
        <w:t>Podsumowanie</w:t>
      </w:r>
    </w:p>
    <w:p w14:paraId="7C97A39E" w14:textId="77777777" w:rsidR="00575C57" w:rsidRPr="008C4AB8" w:rsidRDefault="00575C57" w:rsidP="008C4AB8">
      <w:pPr>
        <w:pStyle w:val="NormalnyWeb"/>
        <w:tabs>
          <w:tab w:val="left" w:pos="284"/>
        </w:tabs>
        <w:spacing w:beforeAutospacing="0" w:after="120" w:afterAutospacing="0" w:line="360" w:lineRule="auto"/>
        <w:ind w:firstLine="284"/>
        <w:jc w:val="both"/>
        <w:rPr>
          <w:rFonts w:ascii="Arial" w:eastAsia="Calibri" w:hAnsi="Arial" w:cs="Arial"/>
          <w:color w:val="333333"/>
          <w:lang w:eastAsia="en-US"/>
        </w:rPr>
      </w:pPr>
      <w:r w:rsidRPr="008C4AB8">
        <w:rPr>
          <w:rFonts w:ascii="Arial" w:eastAsia="Calibri" w:hAnsi="Arial" w:cs="Arial"/>
          <w:color w:val="333333"/>
          <w:lang w:eastAsia="en-US"/>
        </w:rPr>
        <w:t>Do analizy trendów w wartościach określanych jako potencjalne zagrożenia wykorzystano dane pochodzące z analizy krajowych wskaźników ryzyka pestycydowego i zharmonizowanego wskaźnika ryzyka HRI1. Na rysunku 17 zaprezentowano zmianę wartości poszczególnych wskaźników pomiędzy rokiem 2023 i średnią z lat 2018-2022.</w:t>
      </w:r>
    </w:p>
    <w:p w14:paraId="226B7C72" w14:textId="77777777" w:rsidR="00C92649" w:rsidRDefault="00C92649" w:rsidP="008C4AB8">
      <w:pPr>
        <w:widowControl/>
        <w:spacing w:before="120" w:after="120"/>
        <w:rPr>
          <w:rFonts w:ascii="Arial" w:eastAsia="Calibri" w:hAnsi="Arial" w:cs="Arial"/>
          <w:i/>
          <w:lang w:eastAsia="en-US"/>
        </w:rPr>
      </w:pPr>
    </w:p>
    <w:p w14:paraId="481F23CA" w14:textId="77777777" w:rsidR="00C92649" w:rsidRDefault="00C92649" w:rsidP="008C4AB8">
      <w:pPr>
        <w:widowControl/>
        <w:spacing w:before="120" w:after="120"/>
        <w:rPr>
          <w:rFonts w:ascii="Arial" w:eastAsia="Calibri" w:hAnsi="Arial" w:cs="Arial"/>
          <w:i/>
          <w:lang w:eastAsia="en-US"/>
        </w:rPr>
      </w:pPr>
    </w:p>
    <w:p w14:paraId="13B6C0B4" w14:textId="2A098896" w:rsidR="00575C57" w:rsidRPr="008C4AB8" w:rsidRDefault="00575C57" w:rsidP="008C4AB8">
      <w:pPr>
        <w:widowControl/>
        <w:spacing w:before="120" w:after="120"/>
        <w:rPr>
          <w:rFonts w:ascii="Arial" w:eastAsia="Calibri" w:hAnsi="Arial" w:cs="Arial"/>
          <w:i/>
          <w:lang w:eastAsia="en-US"/>
        </w:rPr>
      </w:pPr>
      <w:r w:rsidRPr="008C4AB8">
        <w:rPr>
          <w:rFonts w:ascii="Arial" w:eastAsia="Calibri" w:hAnsi="Arial" w:cs="Arial"/>
          <w:i/>
          <w:lang w:eastAsia="en-US"/>
        </w:rPr>
        <w:lastRenderedPageBreak/>
        <w:t>Rys. 17 Wskaźniki ryzyka pestycydowego – zmiana wartości w roku 2023 w porównaniu do średniej z lat 2018–2022</w:t>
      </w:r>
    </w:p>
    <w:tbl>
      <w:tblPr>
        <w:tblStyle w:val="Tabela-Siatka2"/>
        <w:tblW w:w="0" w:type="auto"/>
        <w:tblInd w:w="0"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tr w:rsidR="00575C57" w:rsidRPr="00575C57" w14:paraId="348133C9" w14:textId="77777777" w:rsidTr="00575C57">
        <w:tc>
          <w:tcPr>
            <w:tcW w:w="9014" w:type="dxa"/>
            <w:tcBorders>
              <w:top w:val="single" w:sz="4" w:space="0" w:color="D9D9D9"/>
              <w:left w:val="single" w:sz="4" w:space="0" w:color="D9D9D9"/>
              <w:bottom w:val="single" w:sz="4" w:space="0" w:color="D9D9D9"/>
              <w:right w:val="single" w:sz="4" w:space="0" w:color="D9D9D9"/>
            </w:tcBorders>
            <w:hideMark/>
          </w:tcPr>
          <w:p w14:paraId="650B7EFF" w14:textId="77777777" w:rsidR="00575C57" w:rsidRPr="00575C57" w:rsidRDefault="00575C57" w:rsidP="00575C57">
            <w:pPr>
              <w:widowControl/>
              <w:spacing w:before="120" w:after="80"/>
              <w:rPr>
                <w:i/>
                <w:sz w:val="24"/>
                <w:highlight w:val="yellow"/>
              </w:rPr>
            </w:pPr>
            <w:r w:rsidRPr="00575C57">
              <w:rPr>
                <w:noProof/>
                <w:sz w:val="24"/>
              </w:rPr>
              <w:drawing>
                <wp:inline distT="0" distB="0" distL="0" distR="0" wp14:anchorId="4D2F174B" wp14:editId="53FA4A30">
                  <wp:extent cx="5764530" cy="2878455"/>
                  <wp:effectExtent l="0" t="0" r="7620" b="0"/>
                  <wp:docPr id="34" name="Wykres 14" descr="Obraz zawierający tekst, diagram, numer, Wykres&#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Wykres 14" descr="Obraz zawierający tekst, diagram, numer, Wykres&#10;&#10;Opis wygenerowany automatycznie"/>
                          <pic:cNvPicPr>
                            <a:picLocks noChangeArrowheads="1"/>
                          </pic:cNvPicPr>
                        </pic:nvPicPr>
                        <pic:blipFill>
                          <a:blip r:embed="rId53">
                            <a:extLst>
                              <a:ext uri="{28A0092B-C50C-407E-A947-70E740481C1C}">
                                <a14:useLocalDpi xmlns:a14="http://schemas.microsoft.com/office/drawing/2010/main" val="0"/>
                              </a:ext>
                            </a:extLst>
                          </a:blip>
                          <a:srcRect b="-89"/>
                          <a:stretch>
                            <a:fillRect/>
                          </a:stretch>
                        </pic:blipFill>
                        <pic:spPr bwMode="auto">
                          <a:xfrm>
                            <a:off x="0" y="0"/>
                            <a:ext cx="5764530" cy="2878455"/>
                          </a:xfrm>
                          <a:prstGeom prst="rect">
                            <a:avLst/>
                          </a:prstGeom>
                          <a:noFill/>
                          <a:ln>
                            <a:noFill/>
                          </a:ln>
                        </pic:spPr>
                      </pic:pic>
                    </a:graphicData>
                  </a:graphic>
                </wp:inline>
              </w:drawing>
            </w:r>
          </w:p>
          <w:p w14:paraId="0513F307" w14:textId="77777777" w:rsidR="00575C57" w:rsidRPr="00575C57" w:rsidRDefault="00575C57" w:rsidP="00575C57">
            <w:pPr>
              <w:widowControl/>
              <w:rPr>
                <w:color w:val="000000"/>
                <w:szCs w:val="24"/>
              </w:rPr>
            </w:pPr>
            <w:r w:rsidRPr="00575C57">
              <w:rPr>
                <w:color w:val="000000"/>
                <w:szCs w:val="24"/>
              </w:rPr>
              <w:t>A – Wskaźnik pozostałości pestycydowych w płodach rolnych przeznaczonych do spożycia i przetwórstwa</w:t>
            </w:r>
          </w:p>
          <w:p w14:paraId="695F06B8" w14:textId="77777777" w:rsidR="00575C57" w:rsidRPr="00575C57" w:rsidRDefault="00575C57" w:rsidP="00575C57">
            <w:pPr>
              <w:widowControl/>
              <w:rPr>
                <w:color w:val="000000"/>
                <w:szCs w:val="24"/>
              </w:rPr>
            </w:pPr>
            <w:r w:rsidRPr="00575C57">
              <w:rPr>
                <w:color w:val="000000"/>
                <w:szCs w:val="24"/>
              </w:rPr>
              <w:t xml:space="preserve">B1 – Wskaźnik wykryć przekroczeń NDP w kontroli pozostałości ś.o.r. </w:t>
            </w:r>
          </w:p>
          <w:p w14:paraId="7D919D01" w14:textId="77777777" w:rsidR="00575C57" w:rsidRPr="00575C57" w:rsidRDefault="00575C57" w:rsidP="00575C57">
            <w:pPr>
              <w:widowControl/>
              <w:rPr>
                <w:color w:val="000000"/>
                <w:szCs w:val="24"/>
              </w:rPr>
            </w:pPr>
            <w:r w:rsidRPr="00575C57">
              <w:rPr>
                <w:color w:val="000000"/>
                <w:szCs w:val="24"/>
              </w:rPr>
              <w:t xml:space="preserve">B2 – Wskaźnik wykryć substancji niedopuszczonych do stosowania w kontroli pozostałości ś.o.r. </w:t>
            </w:r>
          </w:p>
          <w:p w14:paraId="5641193C" w14:textId="77777777" w:rsidR="00575C57" w:rsidRPr="00575C57" w:rsidRDefault="00575C57" w:rsidP="00575C57">
            <w:pPr>
              <w:widowControl/>
              <w:rPr>
                <w:color w:val="000000"/>
                <w:szCs w:val="24"/>
              </w:rPr>
            </w:pPr>
            <w:r w:rsidRPr="00575C57">
              <w:rPr>
                <w:color w:val="000000"/>
                <w:szCs w:val="24"/>
              </w:rPr>
              <w:t xml:space="preserve">B3 – Wskaźnik wykryć nieprawidłowości w kontroli stosowania ś.o.r. </w:t>
            </w:r>
          </w:p>
          <w:p w14:paraId="1A7205F7" w14:textId="77777777" w:rsidR="00575C57" w:rsidRPr="00575C57" w:rsidRDefault="00575C57" w:rsidP="00575C57">
            <w:pPr>
              <w:widowControl/>
              <w:rPr>
                <w:color w:val="000000"/>
                <w:szCs w:val="24"/>
              </w:rPr>
            </w:pPr>
            <w:r w:rsidRPr="00575C57">
              <w:rPr>
                <w:color w:val="000000"/>
                <w:szCs w:val="24"/>
              </w:rPr>
              <w:t>C – Wskaźnik obciążenia pestycydowego wód powierzchniowych</w:t>
            </w:r>
          </w:p>
          <w:p w14:paraId="235B8F2D" w14:textId="77777777" w:rsidR="00575C57" w:rsidRPr="00575C57" w:rsidRDefault="00575C57" w:rsidP="00575C57">
            <w:pPr>
              <w:widowControl/>
              <w:rPr>
                <w:color w:val="000000"/>
                <w:szCs w:val="24"/>
              </w:rPr>
            </w:pPr>
            <w:r w:rsidRPr="00575C57">
              <w:rPr>
                <w:color w:val="000000"/>
                <w:szCs w:val="24"/>
              </w:rPr>
              <w:t>D1 – Wskaźnik struktury sprzedaży pod względem potencjalnych zagrożeń dla zdrowia i dla środowiska</w:t>
            </w:r>
          </w:p>
          <w:p w14:paraId="0A907EE7" w14:textId="77777777" w:rsidR="00575C57" w:rsidRPr="00575C57" w:rsidRDefault="00575C57" w:rsidP="00575C57">
            <w:pPr>
              <w:widowControl/>
              <w:rPr>
                <w:color w:val="000000"/>
                <w:szCs w:val="24"/>
              </w:rPr>
            </w:pPr>
            <w:r w:rsidRPr="00575C57">
              <w:rPr>
                <w:color w:val="000000"/>
                <w:szCs w:val="24"/>
              </w:rPr>
              <w:t>D2 – Wskaźnik sprzedaży pod względem potencjalnych zagrożeń dla zdrowia i dla środowiska</w:t>
            </w:r>
          </w:p>
          <w:p w14:paraId="64611751" w14:textId="77777777" w:rsidR="00575C57" w:rsidRPr="00575C57" w:rsidRDefault="00575C57" w:rsidP="00575C57">
            <w:pPr>
              <w:widowControl/>
              <w:rPr>
                <w:iCs/>
                <w:color w:val="000000"/>
                <w:szCs w:val="24"/>
              </w:rPr>
            </w:pPr>
            <w:r w:rsidRPr="00575C57">
              <w:rPr>
                <w:iCs/>
                <w:color w:val="000000"/>
                <w:szCs w:val="24"/>
              </w:rPr>
              <w:t>E – Wskaźnik sprzedaży substancji priorytetowych w dziedzinie polityki wodnej</w:t>
            </w:r>
          </w:p>
          <w:p w14:paraId="7BC86F7D" w14:textId="77777777" w:rsidR="00575C57" w:rsidRPr="00575C57" w:rsidRDefault="00575C57" w:rsidP="00575C57">
            <w:pPr>
              <w:widowControl/>
              <w:rPr>
                <w:iCs/>
                <w:color w:val="000000"/>
                <w:szCs w:val="24"/>
              </w:rPr>
            </w:pPr>
            <w:r w:rsidRPr="00575C57">
              <w:rPr>
                <w:iCs/>
                <w:color w:val="000000"/>
                <w:szCs w:val="24"/>
              </w:rPr>
              <w:t>F – Wskaźnik sprzedaży substancji czynnych wymagających programów monitorowania</w:t>
            </w:r>
          </w:p>
          <w:p w14:paraId="536A1248" w14:textId="77777777" w:rsidR="00575C57" w:rsidRPr="00575C57" w:rsidRDefault="00575C57" w:rsidP="00575C57">
            <w:pPr>
              <w:widowControl/>
              <w:rPr>
                <w:iCs/>
                <w:color w:val="000000"/>
                <w:szCs w:val="24"/>
              </w:rPr>
            </w:pPr>
            <w:r w:rsidRPr="00575C57">
              <w:rPr>
                <w:iCs/>
                <w:color w:val="000000"/>
                <w:szCs w:val="24"/>
              </w:rPr>
              <w:t>HRI 1 – Wskaźnik ryzyka pestycydowego HRI1</w:t>
            </w:r>
          </w:p>
          <w:p w14:paraId="274C485F" w14:textId="77777777" w:rsidR="00575C57" w:rsidRPr="00575C57" w:rsidRDefault="00575C57" w:rsidP="00575C57">
            <w:pPr>
              <w:widowControl/>
              <w:spacing w:after="120"/>
              <w:rPr>
                <w:i/>
                <w:sz w:val="24"/>
                <w:highlight w:val="yellow"/>
              </w:rPr>
            </w:pPr>
            <w:r w:rsidRPr="00575C57">
              <w:rPr>
                <w:iCs/>
                <w:color w:val="000000"/>
                <w:szCs w:val="24"/>
              </w:rPr>
              <w:t>F2F 2 – Wskaźnik sprzedaży substancji kwalifikujących się do zastąpienia F2F2</w:t>
            </w:r>
          </w:p>
        </w:tc>
      </w:tr>
    </w:tbl>
    <w:p w14:paraId="5BAC869A" w14:textId="77777777" w:rsidR="00575C57" w:rsidRPr="00575C57" w:rsidRDefault="00575C57" w:rsidP="00575C57">
      <w:pPr>
        <w:widowControl/>
        <w:spacing w:line="360" w:lineRule="auto"/>
        <w:jc w:val="both"/>
        <w:rPr>
          <w:rFonts w:eastAsia="Calibri"/>
          <w:color w:val="333333"/>
          <w:sz w:val="24"/>
          <w:szCs w:val="24"/>
          <w:lang w:eastAsia="en-US"/>
        </w:rPr>
      </w:pPr>
    </w:p>
    <w:p w14:paraId="04B4A0F5" w14:textId="67F5A92F" w:rsidR="00575C57" w:rsidRPr="00FA754F" w:rsidRDefault="00FA754F" w:rsidP="00FA754F">
      <w:pPr>
        <w:pStyle w:val="NormalnyWeb"/>
        <w:tabs>
          <w:tab w:val="left" w:pos="284"/>
        </w:tabs>
        <w:spacing w:beforeAutospacing="0" w:after="120" w:afterAutospacing="0" w:line="360" w:lineRule="auto"/>
        <w:ind w:firstLine="284"/>
        <w:jc w:val="both"/>
        <w:rPr>
          <w:rFonts w:ascii="Arial" w:eastAsia="Calibri" w:hAnsi="Arial" w:cs="Arial"/>
          <w:lang w:eastAsia="en-US"/>
        </w:rPr>
      </w:pPr>
      <w:r w:rsidRPr="00FA754F">
        <w:rPr>
          <w:rFonts w:ascii="Arial" w:eastAsia="Calibri" w:hAnsi="Arial" w:cs="Arial"/>
          <w:color w:val="333333"/>
          <w:lang w:eastAsia="en-US"/>
        </w:rPr>
        <w:t>N</w:t>
      </w:r>
      <w:r w:rsidR="00575C57" w:rsidRPr="00FA754F">
        <w:rPr>
          <w:rFonts w:ascii="Arial" w:eastAsia="Calibri" w:hAnsi="Arial" w:cs="Arial"/>
          <w:color w:val="333333"/>
          <w:lang w:eastAsia="en-US"/>
        </w:rPr>
        <w:t>a</w:t>
      </w:r>
      <w:r w:rsidR="00575C57" w:rsidRPr="00FA754F">
        <w:rPr>
          <w:rFonts w:ascii="Arial" w:eastAsia="Calibri" w:hAnsi="Arial" w:cs="Arial"/>
          <w:lang w:eastAsia="en-US"/>
        </w:rPr>
        <w:t xml:space="preserve"> podstawie obliczonych wskaźników można stwierdzić, że w 2023 </w:t>
      </w:r>
      <w:r>
        <w:rPr>
          <w:rFonts w:ascii="Arial" w:eastAsia="Calibri" w:hAnsi="Arial" w:cs="Arial"/>
          <w:lang w:eastAsia="en-US"/>
        </w:rPr>
        <w:t xml:space="preserve">r. </w:t>
      </w:r>
      <w:r w:rsidR="00575C57" w:rsidRPr="00FA754F">
        <w:rPr>
          <w:rFonts w:ascii="Arial" w:eastAsia="Calibri" w:hAnsi="Arial" w:cs="Arial"/>
          <w:lang w:eastAsia="en-US"/>
        </w:rPr>
        <w:t>w porównaniu do poprzednich 5 lat:</w:t>
      </w:r>
    </w:p>
    <w:p w14:paraId="208F96C5"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t>zmniejszyły się zagrożenia konsumentów wynikające z pozostałości ś.o.r. w płodach rolnych (-37% [A]),</w:t>
      </w:r>
    </w:p>
    <w:p w14:paraId="3F97CD25"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t>zmniejszyły się zagrożenia wynikające z nieprawidłowości w stosowaniu ś.o.r. (-24% [B1]; -12% [B2],-8% [B3]),</w:t>
      </w:r>
    </w:p>
    <w:p w14:paraId="3DA5EC84"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t>zwiększyły się zagrożenia wynikające z zanieczyszczenia wód powierzchniowych (+3% [C]),</w:t>
      </w:r>
    </w:p>
    <w:p w14:paraId="216F6942"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t>zwiększyły się zagrożenia wynikające ze struktury szkodliwości sprzedaży ś.o.r. (+6% [D1]),</w:t>
      </w:r>
    </w:p>
    <w:p w14:paraId="4A25D2A1"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t>zmniejszyły się zagrożenia wynikające z wielkości sprzedaży ś.o.r. (-8% [D2]),</w:t>
      </w:r>
    </w:p>
    <w:p w14:paraId="280E5989"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t>zmniejszyły się zagrożenia związane ze sprzedażą substancji priorytetowych w dziedzinie polityki wodnej (-68% [E]),</w:t>
      </w:r>
    </w:p>
    <w:p w14:paraId="498D9797"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lastRenderedPageBreak/>
        <w:t>zwiększyły się zagrożenia związane ze sprzedażą substancji czynnych wymagających programów monitorowania (+18% [F]),</w:t>
      </w:r>
    </w:p>
    <w:p w14:paraId="57FD45E2"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t>wartość zharmonizowanego wskaźnika ryzyka pestycydowego HRI 1 wynosi około 39 i jest niższa o 61 punktów w stosunku do okresu bazowego 2011-2013,</w:t>
      </w:r>
    </w:p>
    <w:p w14:paraId="2A6EDAA0" w14:textId="77777777" w:rsidR="00575C57" w:rsidRPr="008C4AB8" w:rsidRDefault="00575C57" w:rsidP="008C4AB8">
      <w:pPr>
        <w:pStyle w:val="NormalnyWeb"/>
        <w:numPr>
          <w:ilvl w:val="0"/>
          <w:numId w:val="41"/>
        </w:numPr>
        <w:tabs>
          <w:tab w:val="left" w:pos="284"/>
        </w:tabs>
        <w:spacing w:beforeAutospacing="0" w:after="120" w:afterAutospacing="0" w:line="360" w:lineRule="auto"/>
        <w:jc w:val="both"/>
        <w:rPr>
          <w:rFonts w:ascii="Arial" w:eastAsia="Calibri" w:hAnsi="Arial" w:cs="Arial"/>
          <w:lang w:eastAsia="en-US"/>
        </w:rPr>
      </w:pPr>
      <w:r w:rsidRPr="008C4AB8">
        <w:rPr>
          <w:rFonts w:ascii="Arial" w:eastAsia="Calibri" w:hAnsi="Arial" w:cs="Arial"/>
          <w:lang w:eastAsia="en-US"/>
        </w:rPr>
        <w:t>zmniejszyła się sprzedaż substancji czynnych kwalifikujących się do zastąpienia (wskaźnik F2F 2).</w:t>
      </w:r>
    </w:p>
    <w:p w14:paraId="7B9582EA" w14:textId="77777777" w:rsidR="00575C57" w:rsidRPr="008C4AB8" w:rsidRDefault="00575C57" w:rsidP="00FA754F">
      <w:pPr>
        <w:pStyle w:val="NormalnyWeb"/>
        <w:tabs>
          <w:tab w:val="left" w:pos="284"/>
        </w:tabs>
        <w:spacing w:beforeAutospacing="0" w:after="120" w:afterAutospacing="0" w:line="360" w:lineRule="auto"/>
        <w:ind w:left="1004"/>
        <w:jc w:val="both"/>
        <w:rPr>
          <w:rFonts w:ascii="Arial" w:eastAsia="Calibri" w:hAnsi="Arial" w:cs="Arial"/>
          <w:lang w:eastAsia="en-US"/>
        </w:rPr>
      </w:pPr>
    </w:p>
    <w:sectPr w:rsidR="00575C57" w:rsidRPr="008C4AB8">
      <w:footerReference w:type="default" r:id="rId54"/>
      <w:pgSz w:w="11906" w:h="16838"/>
      <w:pgMar w:top="1417" w:right="1417" w:bottom="1417" w:left="1417" w:header="0" w:footer="708" w:gutter="0"/>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69423" w14:textId="77777777" w:rsidR="007D13C4" w:rsidRDefault="007D13C4">
      <w:r>
        <w:separator/>
      </w:r>
    </w:p>
  </w:endnote>
  <w:endnote w:type="continuationSeparator" w:id="0">
    <w:p w14:paraId="1DDFD045" w14:textId="77777777" w:rsidR="007D13C4" w:rsidRDefault="007D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1002A87" w:usb1="00000000" w:usb2="00000000" w:usb3="00000000" w:csb0="000100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
    <w:altName w:val="Calibri"/>
    <w:charset w:val="00"/>
    <w:family w:val="auto"/>
    <w:pitch w:val="variable"/>
  </w:font>
  <w:font w:name="Czcionka tekstu podstawowego">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ptos Narrow">
    <w:altName w:val="Arial"/>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727023"/>
      <w:docPartObj>
        <w:docPartGallery w:val="Page Numbers (Bottom of Page)"/>
        <w:docPartUnique/>
      </w:docPartObj>
    </w:sdtPr>
    <w:sdtEndPr/>
    <w:sdtContent>
      <w:p w14:paraId="3F8E8BB0" w14:textId="7CEA2C73" w:rsidR="00DB01E5" w:rsidRDefault="00DB01E5">
        <w:pPr>
          <w:pStyle w:val="Stopka"/>
          <w:jc w:val="center"/>
        </w:pPr>
        <w:r>
          <w:fldChar w:fldCharType="begin"/>
        </w:r>
        <w:r>
          <w:instrText>PAGE   \* MERGEFORMAT</w:instrText>
        </w:r>
        <w:r>
          <w:fldChar w:fldCharType="separate"/>
        </w:r>
        <w:r w:rsidR="00B324B2">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22CE6" w14:textId="77777777" w:rsidR="007D13C4" w:rsidRDefault="007D13C4">
      <w:r>
        <w:separator/>
      </w:r>
    </w:p>
  </w:footnote>
  <w:footnote w:type="continuationSeparator" w:id="0">
    <w:p w14:paraId="3D8F5960" w14:textId="77777777" w:rsidR="007D13C4" w:rsidRDefault="007D1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85AA1"/>
    <w:multiLevelType w:val="multilevel"/>
    <w:tmpl w:val="5582E66E"/>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428"/>
        </w:tabs>
        <w:ind w:left="1428" w:hanging="360"/>
      </w:pPr>
      <w:rPr>
        <w:rFonts w:cs="Times New Roman"/>
      </w:rPr>
    </w:lvl>
    <w:lvl w:ilvl="2">
      <w:start w:val="1"/>
      <w:numFmt w:val="lowerRoman"/>
      <w:lvlText w:val="%3."/>
      <w:lvlJc w:val="right"/>
      <w:pPr>
        <w:tabs>
          <w:tab w:val="num" w:pos="2148"/>
        </w:tabs>
        <w:ind w:left="2148" w:hanging="180"/>
      </w:pPr>
      <w:rPr>
        <w:rFonts w:cs="Times New Roman"/>
      </w:rPr>
    </w:lvl>
    <w:lvl w:ilvl="3">
      <w:start w:val="1"/>
      <w:numFmt w:val="decimal"/>
      <w:lvlText w:val="%4."/>
      <w:lvlJc w:val="left"/>
      <w:pPr>
        <w:tabs>
          <w:tab w:val="num" w:pos="2868"/>
        </w:tabs>
        <w:ind w:left="2868" w:hanging="360"/>
      </w:pPr>
      <w:rPr>
        <w:rFonts w:cs="Times New Roman"/>
      </w:rPr>
    </w:lvl>
    <w:lvl w:ilvl="4">
      <w:start w:val="1"/>
      <w:numFmt w:val="lowerLetter"/>
      <w:lvlText w:val="%5."/>
      <w:lvlJc w:val="left"/>
      <w:pPr>
        <w:tabs>
          <w:tab w:val="num" w:pos="3588"/>
        </w:tabs>
        <w:ind w:left="3588" w:hanging="360"/>
      </w:pPr>
      <w:rPr>
        <w:rFonts w:cs="Times New Roman"/>
      </w:rPr>
    </w:lvl>
    <w:lvl w:ilvl="5">
      <w:start w:val="1"/>
      <w:numFmt w:val="lowerRoman"/>
      <w:lvlText w:val="%6."/>
      <w:lvlJc w:val="right"/>
      <w:pPr>
        <w:tabs>
          <w:tab w:val="num" w:pos="4308"/>
        </w:tabs>
        <w:ind w:left="4308" w:hanging="180"/>
      </w:pPr>
      <w:rPr>
        <w:rFonts w:cs="Times New Roman"/>
      </w:rPr>
    </w:lvl>
    <w:lvl w:ilvl="6">
      <w:start w:val="1"/>
      <w:numFmt w:val="decimal"/>
      <w:lvlText w:val="%7."/>
      <w:lvlJc w:val="left"/>
      <w:pPr>
        <w:tabs>
          <w:tab w:val="num" w:pos="5028"/>
        </w:tabs>
        <w:ind w:left="5028" w:hanging="360"/>
      </w:pPr>
      <w:rPr>
        <w:rFonts w:cs="Times New Roman"/>
      </w:rPr>
    </w:lvl>
    <w:lvl w:ilvl="7">
      <w:start w:val="1"/>
      <w:numFmt w:val="lowerLetter"/>
      <w:lvlText w:val="%8."/>
      <w:lvlJc w:val="left"/>
      <w:pPr>
        <w:tabs>
          <w:tab w:val="num" w:pos="5748"/>
        </w:tabs>
        <w:ind w:left="5748" w:hanging="360"/>
      </w:pPr>
      <w:rPr>
        <w:rFonts w:cs="Times New Roman"/>
      </w:rPr>
    </w:lvl>
    <w:lvl w:ilvl="8">
      <w:start w:val="1"/>
      <w:numFmt w:val="lowerRoman"/>
      <w:lvlText w:val="%9."/>
      <w:lvlJc w:val="right"/>
      <w:pPr>
        <w:tabs>
          <w:tab w:val="num" w:pos="6468"/>
        </w:tabs>
        <w:ind w:left="6468" w:hanging="180"/>
      </w:pPr>
      <w:rPr>
        <w:rFonts w:cs="Times New Roman"/>
      </w:rPr>
    </w:lvl>
  </w:abstractNum>
  <w:abstractNum w:abstractNumId="1" w15:restartNumberingAfterBreak="0">
    <w:nsid w:val="083A5187"/>
    <w:multiLevelType w:val="multilevel"/>
    <w:tmpl w:val="DB0624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857785"/>
    <w:multiLevelType w:val="multilevel"/>
    <w:tmpl w:val="0E6C87D4"/>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 w15:restartNumberingAfterBreak="0">
    <w:nsid w:val="09A7717F"/>
    <w:multiLevelType w:val="hybridMultilevel"/>
    <w:tmpl w:val="AB961820"/>
    <w:lvl w:ilvl="0" w:tplc="B688360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AFA55AF"/>
    <w:multiLevelType w:val="hybridMultilevel"/>
    <w:tmpl w:val="66B6C5D6"/>
    <w:lvl w:ilvl="0" w:tplc="5EE4C0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9A06E6"/>
    <w:multiLevelType w:val="multilevel"/>
    <w:tmpl w:val="97AAF50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 w15:restartNumberingAfterBreak="0">
    <w:nsid w:val="10AB2005"/>
    <w:multiLevelType w:val="hybridMultilevel"/>
    <w:tmpl w:val="0B9E07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4BC22EC"/>
    <w:multiLevelType w:val="hybridMultilevel"/>
    <w:tmpl w:val="FE0231AC"/>
    <w:lvl w:ilvl="0" w:tplc="5EE4C0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9412F0"/>
    <w:multiLevelType w:val="hybridMultilevel"/>
    <w:tmpl w:val="5C7C8D76"/>
    <w:lvl w:ilvl="0" w:tplc="5EE4C01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6296A9F"/>
    <w:multiLevelType w:val="hybridMultilevel"/>
    <w:tmpl w:val="6A9EA49C"/>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9383660"/>
    <w:multiLevelType w:val="hybridMultilevel"/>
    <w:tmpl w:val="886C363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1E4C70D0"/>
    <w:multiLevelType w:val="multilevel"/>
    <w:tmpl w:val="3E906A3E"/>
    <w:lvl w:ilvl="0">
      <w:start w:val="1"/>
      <w:numFmt w:val="upperRoman"/>
      <w:lvlText w:val="%1."/>
      <w:lvlJc w:val="right"/>
      <w:pPr>
        <w:ind w:left="1077" w:hanging="360"/>
      </w:pPr>
    </w:lvl>
    <w:lvl w:ilvl="1">
      <w:start w:val="1"/>
      <w:numFmt w:val="decimal"/>
      <w:lvlText w:val="%2)"/>
      <w:lvlJc w:val="left"/>
      <w:pPr>
        <w:ind w:left="1827" w:hanging="39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2" w15:restartNumberingAfterBreak="0">
    <w:nsid w:val="235350D7"/>
    <w:multiLevelType w:val="hybridMultilevel"/>
    <w:tmpl w:val="1AEE7B3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254E5715"/>
    <w:multiLevelType w:val="multilevel"/>
    <w:tmpl w:val="3E906A3E"/>
    <w:lvl w:ilvl="0">
      <w:start w:val="1"/>
      <w:numFmt w:val="upperRoman"/>
      <w:lvlText w:val="%1."/>
      <w:lvlJc w:val="right"/>
      <w:pPr>
        <w:ind w:left="1077" w:hanging="360"/>
      </w:pPr>
    </w:lvl>
    <w:lvl w:ilvl="1">
      <w:start w:val="1"/>
      <w:numFmt w:val="decimal"/>
      <w:lvlText w:val="%2)"/>
      <w:lvlJc w:val="left"/>
      <w:pPr>
        <w:ind w:left="1827" w:hanging="39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256A1507"/>
    <w:multiLevelType w:val="multilevel"/>
    <w:tmpl w:val="CF6ABD9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E34663"/>
    <w:multiLevelType w:val="multilevel"/>
    <w:tmpl w:val="ECAE5B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90321E3"/>
    <w:multiLevelType w:val="hybridMultilevel"/>
    <w:tmpl w:val="7CBCDFD8"/>
    <w:lvl w:ilvl="0" w:tplc="ACDAD88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C04495F"/>
    <w:multiLevelType w:val="multilevel"/>
    <w:tmpl w:val="28DA9762"/>
    <w:lvl w:ilvl="0">
      <w:start w:val="1"/>
      <w:numFmt w:val="bullet"/>
      <w:lvlText w:val=""/>
      <w:lvlJc w:val="left"/>
      <w:pPr>
        <w:ind w:left="1996" w:hanging="360"/>
      </w:pPr>
      <w:rPr>
        <w:rFonts w:ascii="Wingdings" w:hAnsi="Wingdings" w:cs="Wingdings"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18" w15:restartNumberingAfterBreak="0">
    <w:nsid w:val="2D2C31AE"/>
    <w:multiLevelType w:val="multilevel"/>
    <w:tmpl w:val="2EC6DF6A"/>
    <w:lvl w:ilvl="0">
      <w:start w:val="1"/>
      <w:numFmt w:val="decimal"/>
      <w:lvlText w:val="%1)"/>
      <w:lvlJc w:val="left"/>
      <w:pPr>
        <w:tabs>
          <w:tab w:val="num" w:pos="1077"/>
        </w:tabs>
        <w:ind w:left="1077" w:hanging="360"/>
      </w:p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cs="Wingdings"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19" w15:restartNumberingAfterBreak="0">
    <w:nsid w:val="320B0F00"/>
    <w:multiLevelType w:val="multilevel"/>
    <w:tmpl w:val="4C84C726"/>
    <w:lvl w:ilvl="0">
      <w:start w:val="1"/>
      <w:numFmt w:val="bullet"/>
      <w:lvlText w:val=""/>
      <w:lvlJc w:val="left"/>
      <w:pPr>
        <w:ind w:left="1789" w:hanging="360"/>
      </w:pPr>
      <w:rPr>
        <w:rFonts w:ascii="Symbol" w:hAnsi="Symbol" w:cs="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cs="Wingdings" w:hint="default"/>
      </w:rPr>
    </w:lvl>
    <w:lvl w:ilvl="3">
      <w:start w:val="1"/>
      <w:numFmt w:val="bullet"/>
      <w:lvlText w:val=""/>
      <w:lvlJc w:val="left"/>
      <w:pPr>
        <w:ind w:left="3949" w:hanging="360"/>
      </w:pPr>
      <w:rPr>
        <w:rFonts w:ascii="Symbol" w:hAnsi="Symbol" w:cs="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cs="Wingdings" w:hint="default"/>
      </w:rPr>
    </w:lvl>
    <w:lvl w:ilvl="6">
      <w:start w:val="1"/>
      <w:numFmt w:val="bullet"/>
      <w:lvlText w:val=""/>
      <w:lvlJc w:val="left"/>
      <w:pPr>
        <w:ind w:left="6109" w:hanging="360"/>
      </w:pPr>
      <w:rPr>
        <w:rFonts w:ascii="Symbol" w:hAnsi="Symbol" w:cs="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cs="Wingdings" w:hint="default"/>
      </w:rPr>
    </w:lvl>
  </w:abstractNum>
  <w:abstractNum w:abstractNumId="20" w15:restartNumberingAfterBreak="0">
    <w:nsid w:val="344451DA"/>
    <w:multiLevelType w:val="hybridMultilevel"/>
    <w:tmpl w:val="C774671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3D181193"/>
    <w:multiLevelType w:val="multilevel"/>
    <w:tmpl w:val="CEAAFB84"/>
    <w:lvl w:ilvl="0">
      <w:start w:val="1"/>
      <w:numFmt w:val="decimal"/>
      <w:lvlText w:val="%1)"/>
      <w:lvlJc w:val="left"/>
      <w:pPr>
        <w:ind w:left="1004" w:hanging="360"/>
      </w:p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2" w15:restartNumberingAfterBreak="0">
    <w:nsid w:val="3ED247F5"/>
    <w:multiLevelType w:val="hybridMultilevel"/>
    <w:tmpl w:val="0980C626"/>
    <w:lvl w:ilvl="0" w:tplc="FFFFFFFF">
      <w:start w:val="1"/>
      <w:numFmt w:val="decimal"/>
      <w:lvlText w:val="%1)"/>
      <w:lvlJc w:val="left"/>
      <w:pPr>
        <w:ind w:left="1080" w:hanging="360"/>
      </w:pPr>
    </w:lvl>
    <w:lvl w:ilvl="1" w:tplc="04150011">
      <w:start w:val="1"/>
      <w:numFmt w:val="decimal"/>
      <w:lvlText w:val="%2)"/>
      <w:lvlJc w:val="left"/>
      <w:pPr>
        <w:ind w:left="216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0E95EB1"/>
    <w:multiLevelType w:val="hybridMultilevel"/>
    <w:tmpl w:val="036E0024"/>
    <w:lvl w:ilvl="0" w:tplc="5EE4C01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4606257A"/>
    <w:multiLevelType w:val="multilevel"/>
    <w:tmpl w:val="F73091DC"/>
    <w:lvl w:ilvl="0">
      <w:start w:val="1"/>
      <w:numFmt w:val="decimal"/>
      <w:lvlText w:val="%1)"/>
      <w:lvlJc w:val="left"/>
      <w:pPr>
        <w:ind w:left="1757" w:hanging="360"/>
      </w:pPr>
    </w:lvl>
    <w:lvl w:ilvl="1">
      <w:start w:val="1"/>
      <w:numFmt w:val="lowerLetter"/>
      <w:lvlText w:val="%2."/>
      <w:lvlJc w:val="left"/>
      <w:pPr>
        <w:ind w:left="2477" w:hanging="360"/>
      </w:pPr>
    </w:lvl>
    <w:lvl w:ilvl="2">
      <w:start w:val="1"/>
      <w:numFmt w:val="lowerRoman"/>
      <w:lvlText w:val="%3."/>
      <w:lvlJc w:val="right"/>
      <w:pPr>
        <w:ind w:left="3197" w:hanging="180"/>
      </w:pPr>
    </w:lvl>
    <w:lvl w:ilvl="3">
      <w:start w:val="1"/>
      <w:numFmt w:val="decimal"/>
      <w:lvlText w:val="%4."/>
      <w:lvlJc w:val="left"/>
      <w:pPr>
        <w:ind w:left="3917" w:hanging="360"/>
      </w:pPr>
    </w:lvl>
    <w:lvl w:ilvl="4">
      <w:start w:val="1"/>
      <w:numFmt w:val="lowerLetter"/>
      <w:lvlText w:val="%5."/>
      <w:lvlJc w:val="left"/>
      <w:pPr>
        <w:ind w:left="4637" w:hanging="360"/>
      </w:pPr>
    </w:lvl>
    <w:lvl w:ilvl="5">
      <w:start w:val="1"/>
      <w:numFmt w:val="lowerRoman"/>
      <w:lvlText w:val="%6."/>
      <w:lvlJc w:val="right"/>
      <w:pPr>
        <w:ind w:left="5357" w:hanging="180"/>
      </w:pPr>
    </w:lvl>
    <w:lvl w:ilvl="6">
      <w:start w:val="1"/>
      <w:numFmt w:val="decimal"/>
      <w:lvlText w:val="%7."/>
      <w:lvlJc w:val="left"/>
      <w:pPr>
        <w:ind w:left="6077" w:hanging="360"/>
      </w:pPr>
    </w:lvl>
    <w:lvl w:ilvl="7">
      <w:start w:val="1"/>
      <w:numFmt w:val="lowerLetter"/>
      <w:lvlText w:val="%8."/>
      <w:lvlJc w:val="left"/>
      <w:pPr>
        <w:ind w:left="6797" w:hanging="360"/>
      </w:pPr>
    </w:lvl>
    <w:lvl w:ilvl="8">
      <w:start w:val="1"/>
      <w:numFmt w:val="lowerRoman"/>
      <w:lvlText w:val="%9."/>
      <w:lvlJc w:val="right"/>
      <w:pPr>
        <w:ind w:left="7517" w:hanging="180"/>
      </w:pPr>
    </w:lvl>
  </w:abstractNum>
  <w:abstractNum w:abstractNumId="25" w15:restartNumberingAfterBreak="0">
    <w:nsid w:val="48C02266"/>
    <w:multiLevelType w:val="multilevel"/>
    <w:tmpl w:val="BDB20D98"/>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6" w15:restartNumberingAfterBreak="0">
    <w:nsid w:val="4C0E0BCD"/>
    <w:multiLevelType w:val="hybridMultilevel"/>
    <w:tmpl w:val="32A8CE82"/>
    <w:lvl w:ilvl="0" w:tplc="33602F84">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3326C16"/>
    <w:multiLevelType w:val="multilevel"/>
    <w:tmpl w:val="BF584DEA"/>
    <w:lvl w:ilvl="0">
      <w:start w:val="1"/>
      <w:numFmt w:val="decimal"/>
      <w:lvlText w:val="%1)"/>
      <w:lvlJc w:val="left"/>
      <w:pPr>
        <w:ind w:left="1004" w:hanging="360"/>
      </w:p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8" w15:restartNumberingAfterBreak="0">
    <w:nsid w:val="566D64E1"/>
    <w:multiLevelType w:val="hybridMultilevel"/>
    <w:tmpl w:val="9EB61598"/>
    <w:lvl w:ilvl="0" w:tplc="6548D2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9415175"/>
    <w:multiLevelType w:val="multilevel"/>
    <w:tmpl w:val="5D5895B0"/>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63C54984"/>
    <w:multiLevelType w:val="hybridMultilevel"/>
    <w:tmpl w:val="0F045BF8"/>
    <w:lvl w:ilvl="0" w:tplc="ACDAD88A">
      <w:start w:val="1"/>
      <w:numFmt w:val="bullet"/>
      <w:lvlText w:val="-"/>
      <w:lvlJc w:val="left"/>
      <w:pPr>
        <w:ind w:left="862" w:hanging="360"/>
      </w:pPr>
      <w:rPr>
        <w:rFonts w:ascii="Times New Roman" w:hAnsi="Times New Roman" w:cs="Times New Roman"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31" w15:restartNumberingAfterBreak="0">
    <w:nsid w:val="640C7388"/>
    <w:multiLevelType w:val="multilevel"/>
    <w:tmpl w:val="CE7051C4"/>
    <w:lvl w:ilvl="0">
      <w:start w:val="1"/>
      <w:numFmt w:val="decimal"/>
      <w:lvlText w:val="%1)"/>
      <w:lvlJc w:val="left"/>
      <w:pPr>
        <w:tabs>
          <w:tab w:val="num" w:pos="360"/>
        </w:tabs>
        <w:ind w:left="360" w:hanging="360"/>
      </w:pPr>
      <w:rPr>
        <w:rFonts w:eastAsia="Times New Roman" w:cs="Times New Roman"/>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2" w15:restartNumberingAfterBreak="0">
    <w:nsid w:val="65C45A60"/>
    <w:multiLevelType w:val="hybridMultilevel"/>
    <w:tmpl w:val="A4943BC8"/>
    <w:lvl w:ilvl="0" w:tplc="33602F84">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6F7697F"/>
    <w:multiLevelType w:val="hybridMultilevel"/>
    <w:tmpl w:val="F7DEC920"/>
    <w:lvl w:ilvl="0" w:tplc="FFFFFFFF">
      <w:start w:val="1"/>
      <w:numFmt w:val="decimal"/>
      <w:lvlText w:val="%1)"/>
      <w:lvlJc w:val="left"/>
      <w:pPr>
        <w:ind w:left="1506" w:hanging="360"/>
      </w:pPr>
    </w:lvl>
    <w:lvl w:ilvl="1" w:tplc="04150011">
      <w:start w:val="1"/>
      <w:numFmt w:val="decimal"/>
      <w:lvlText w:val="%2)"/>
      <w:lvlJc w:val="left"/>
      <w:pPr>
        <w:ind w:left="2160"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34" w15:restartNumberingAfterBreak="0">
    <w:nsid w:val="6B4D4501"/>
    <w:multiLevelType w:val="multilevel"/>
    <w:tmpl w:val="D64A668E"/>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5" w15:restartNumberingAfterBreak="0">
    <w:nsid w:val="711920E2"/>
    <w:multiLevelType w:val="multilevel"/>
    <w:tmpl w:val="6CE4E44E"/>
    <w:lvl w:ilvl="0">
      <w:start w:val="1"/>
      <w:numFmt w:val="decimal"/>
      <w:pStyle w:val="Nagwek3"/>
      <w:lvlText w:val="%1."/>
      <w:lvlJc w:val="left"/>
      <w:pPr>
        <w:ind w:left="-72" w:hanging="360"/>
      </w:pPr>
      <w:rPr>
        <w:rFonts w:cs="Times New Roman"/>
      </w:rPr>
    </w:lvl>
    <w:lvl w:ilvl="1">
      <w:start w:val="1"/>
      <w:numFmt w:val="decimal"/>
      <w:pStyle w:val="Nagwek4"/>
      <w:lvlText w:val="%1.%2."/>
      <w:lvlJc w:val="left"/>
      <w:pPr>
        <w:tabs>
          <w:tab w:val="num" w:pos="360"/>
        </w:tabs>
        <w:ind w:left="360" w:hanging="432"/>
      </w:pPr>
      <w:rPr>
        <w:rFonts w:cs="Times New Roman"/>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739B6143"/>
    <w:multiLevelType w:val="multilevel"/>
    <w:tmpl w:val="01021D52"/>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7" w15:restartNumberingAfterBreak="0">
    <w:nsid w:val="780A5BB4"/>
    <w:multiLevelType w:val="multilevel"/>
    <w:tmpl w:val="918891C2"/>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8" w15:restartNumberingAfterBreak="0">
    <w:nsid w:val="79C42E33"/>
    <w:multiLevelType w:val="multilevel"/>
    <w:tmpl w:val="1F4AC00C"/>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9" w15:restartNumberingAfterBreak="0">
    <w:nsid w:val="7ABD7012"/>
    <w:multiLevelType w:val="hybridMultilevel"/>
    <w:tmpl w:val="5A16666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5"/>
  </w:num>
  <w:num w:numId="2">
    <w:abstractNumId w:val="0"/>
  </w:num>
  <w:num w:numId="3">
    <w:abstractNumId w:val="31"/>
  </w:num>
  <w:num w:numId="4">
    <w:abstractNumId w:val="1"/>
  </w:num>
  <w:num w:numId="5">
    <w:abstractNumId w:val="38"/>
  </w:num>
  <w:num w:numId="6">
    <w:abstractNumId w:val="2"/>
  </w:num>
  <w:num w:numId="7">
    <w:abstractNumId w:val="37"/>
  </w:num>
  <w:num w:numId="8">
    <w:abstractNumId w:val="34"/>
  </w:num>
  <w:num w:numId="9">
    <w:abstractNumId w:val="11"/>
  </w:num>
  <w:num w:numId="10">
    <w:abstractNumId w:val="18"/>
  </w:num>
  <w:num w:numId="11">
    <w:abstractNumId w:val="24"/>
  </w:num>
  <w:num w:numId="12">
    <w:abstractNumId w:val="19"/>
  </w:num>
  <w:num w:numId="13">
    <w:abstractNumId w:val="21"/>
  </w:num>
  <w:num w:numId="14">
    <w:abstractNumId w:val="27"/>
  </w:num>
  <w:num w:numId="15">
    <w:abstractNumId w:val="3"/>
  </w:num>
  <w:num w:numId="16">
    <w:abstractNumId w:val="13"/>
  </w:num>
  <w:num w:numId="17">
    <w:abstractNumId w:val="33"/>
  </w:num>
  <w:num w:numId="18">
    <w:abstractNumId w:val="22"/>
  </w:num>
  <w:num w:numId="19">
    <w:abstractNumId w:val="15"/>
  </w:num>
  <w:num w:numId="20">
    <w:abstractNumId w:val="25"/>
  </w:num>
  <w:num w:numId="21">
    <w:abstractNumId w:val="20"/>
  </w:num>
  <w:num w:numId="22">
    <w:abstractNumId w:val="39"/>
  </w:num>
  <w:num w:numId="23">
    <w:abstractNumId w:val="36"/>
  </w:num>
  <w:num w:numId="24">
    <w:abstractNumId w:val="17"/>
  </w:num>
  <w:num w:numId="25">
    <w:abstractNumId w:val="5"/>
  </w:num>
  <w:num w:numId="26">
    <w:abstractNumId w:val="16"/>
  </w:num>
  <w:num w:numId="27">
    <w:abstractNumId w:val="30"/>
  </w:num>
  <w:num w:numId="28">
    <w:abstractNumId w:val="12"/>
  </w:num>
  <w:num w:numId="29">
    <w:abstractNumId w:val="7"/>
  </w:num>
  <w:num w:numId="30">
    <w:abstractNumId w:val="26"/>
  </w:num>
  <w:num w:numId="31">
    <w:abstractNumId w:val="32"/>
  </w:num>
  <w:num w:numId="32">
    <w:abstractNumId w:val="8"/>
  </w:num>
  <w:num w:numId="33">
    <w:abstractNumId w:val="14"/>
  </w:num>
  <w:num w:numId="34">
    <w:abstractNumId w:val="29"/>
  </w:num>
  <w:num w:numId="35">
    <w:abstractNumId w:val="4"/>
  </w:num>
  <w:num w:numId="36">
    <w:abstractNumId w:val="28"/>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0"/>
  </w:num>
  <w:num w:numId="40">
    <w:abstractNumId w:val="9"/>
  </w:num>
  <w:num w:numId="41">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F95"/>
    <w:rsid w:val="00000BF9"/>
    <w:rsid w:val="00001AA3"/>
    <w:rsid w:val="000037DF"/>
    <w:rsid w:val="00003BD3"/>
    <w:rsid w:val="00003D51"/>
    <w:rsid w:val="00004021"/>
    <w:rsid w:val="0000510B"/>
    <w:rsid w:val="00006C02"/>
    <w:rsid w:val="0000723E"/>
    <w:rsid w:val="00011BCA"/>
    <w:rsid w:val="00014098"/>
    <w:rsid w:val="00014222"/>
    <w:rsid w:val="000147A5"/>
    <w:rsid w:val="00015A86"/>
    <w:rsid w:val="00015D5D"/>
    <w:rsid w:val="000161CA"/>
    <w:rsid w:val="00016B8F"/>
    <w:rsid w:val="00017914"/>
    <w:rsid w:val="00021828"/>
    <w:rsid w:val="00021F76"/>
    <w:rsid w:val="000231D3"/>
    <w:rsid w:val="00023BB4"/>
    <w:rsid w:val="00025F93"/>
    <w:rsid w:val="00026484"/>
    <w:rsid w:val="0002725A"/>
    <w:rsid w:val="00027A85"/>
    <w:rsid w:val="00027FA7"/>
    <w:rsid w:val="000301F7"/>
    <w:rsid w:val="0003122D"/>
    <w:rsid w:val="000326FF"/>
    <w:rsid w:val="0003443B"/>
    <w:rsid w:val="00034850"/>
    <w:rsid w:val="000362F1"/>
    <w:rsid w:val="000411CC"/>
    <w:rsid w:val="00045C79"/>
    <w:rsid w:val="00045D85"/>
    <w:rsid w:val="00046865"/>
    <w:rsid w:val="00046D2F"/>
    <w:rsid w:val="00053E88"/>
    <w:rsid w:val="000542C9"/>
    <w:rsid w:val="000570B2"/>
    <w:rsid w:val="0006081C"/>
    <w:rsid w:val="00061B93"/>
    <w:rsid w:val="00062950"/>
    <w:rsid w:val="00062D73"/>
    <w:rsid w:val="000633B2"/>
    <w:rsid w:val="00063443"/>
    <w:rsid w:val="000675E7"/>
    <w:rsid w:val="00070615"/>
    <w:rsid w:val="00070C8B"/>
    <w:rsid w:val="0007102D"/>
    <w:rsid w:val="000733C7"/>
    <w:rsid w:val="00073D8D"/>
    <w:rsid w:val="00074989"/>
    <w:rsid w:val="0007557B"/>
    <w:rsid w:val="00077CA0"/>
    <w:rsid w:val="000812DE"/>
    <w:rsid w:val="00082765"/>
    <w:rsid w:val="00082BBD"/>
    <w:rsid w:val="000838F3"/>
    <w:rsid w:val="00083B18"/>
    <w:rsid w:val="000844E7"/>
    <w:rsid w:val="00084F42"/>
    <w:rsid w:val="000855C0"/>
    <w:rsid w:val="0008641D"/>
    <w:rsid w:val="000918D7"/>
    <w:rsid w:val="00092421"/>
    <w:rsid w:val="0009754B"/>
    <w:rsid w:val="00097E3E"/>
    <w:rsid w:val="000A4FF5"/>
    <w:rsid w:val="000A54E6"/>
    <w:rsid w:val="000A7B0D"/>
    <w:rsid w:val="000B20D3"/>
    <w:rsid w:val="000B6E80"/>
    <w:rsid w:val="000B710B"/>
    <w:rsid w:val="000C21FB"/>
    <w:rsid w:val="000C2B8D"/>
    <w:rsid w:val="000C3D6F"/>
    <w:rsid w:val="000C427F"/>
    <w:rsid w:val="000C6FB2"/>
    <w:rsid w:val="000D01E3"/>
    <w:rsid w:val="000D094E"/>
    <w:rsid w:val="000D10ED"/>
    <w:rsid w:val="000D17BD"/>
    <w:rsid w:val="000D19A0"/>
    <w:rsid w:val="000D28CD"/>
    <w:rsid w:val="000D3744"/>
    <w:rsid w:val="000D3FEC"/>
    <w:rsid w:val="000D6566"/>
    <w:rsid w:val="000D6CDD"/>
    <w:rsid w:val="000D7B40"/>
    <w:rsid w:val="000E0360"/>
    <w:rsid w:val="000E3841"/>
    <w:rsid w:val="000E6479"/>
    <w:rsid w:val="000E6909"/>
    <w:rsid w:val="000E7061"/>
    <w:rsid w:val="000E7EB7"/>
    <w:rsid w:val="000F0757"/>
    <w:rsid w:val="000F2380"/>
    <w:rsid w:val="000F31C8"/>
    <w:rsid w:val="000F49DC"/>
    <w:rsid w:val="000F4BEC"/>
    <w:rsid w:val="000F5B0A"/>
    <w:rsid w:val="000F7F6A"/>
    <w:rsid w:val="000F7F96"/>
    <w:rsid w:val="001005D0"/>
    <w:rsid w:val="00100DB2"/>
    <w:rsid w:val="001019EE"/>
    <w:rsid w:val="00102483"/>
    <w:rsid w:val="001043BF"/>
    <w:rsid w:val="00104A6C"/>
    <w:rsid w:val="00105317"/>
    <w:rsid w:val="001069D8"/>
    <w:rsid w:val="00107160"/>
    <w:rsid w:val="00111132"/>
    <w:rsid w:val="00111C57"/>
    <w:rsid w:val="0011219B"/>
    <w:rsid w:val="00112E50"/>
    <w:rsid w:val="0011328C"/>
    <w:rsid w:val="00113810"/>
    <w:rsid w:val="00113CB7"/>
    <w:rsid w:val="0011489D"/>
    <w:rsid w:val="00116AAD"/>
    <w:rsid w:val="00117A21"/>
    <w:rsid w:val="00117F4D"/>
    <w:rsid w:val="00120A2F"/>
    <w:rsid w:val="001215EA"/>
    <w:rsid w:val="00121EF9"/>
    <w:rsid w:val="00123A06"/>
    <w:rsid w:val="0013044F"/>
    <w:rsid w:val="00130535"/>
    <w:rsid w:val="00131D3B"/>
    <w:rsid w:val="0013407D"/>
    <w:rsid w:val="00134524"/>
    <w:rsid w:val="00134EEC"/>
    <w:rsid w:val="00135AA4"/>
    <w:rsid w:val="00136001"/>
    <w:rsid w:val="0013786F"/>
    <w:rsid w:val="0014032F"/>
    <w:rsid w:val="001409D7"/>
    <w:rsid w:val="00141F9B"/>
    <w:rsid w:val="00142BFA"/>
    <w:rsid w:val="0014328D"/>
    <w:rsid w:val="00143A7B"/>
    <w:rsid w:val="00145441"/>
    <w:rsid w:val="00145572"/>
    <w:rsid w:val="0014559E"/>
    <w:rsid w:val="00146952"/>
    <w:rsid w:val="0015069C"/>
    <w:rsid w:val="0015157D"/>
    <w:rsid w:val="00151BF8"/>
    <w:rsid w:val="00154717"/>
    <w:rsid w:val="00154819"/>
    <w:rsid w:val="00155667"/>
    <w:rsid w:val="0015665D"/>
    <w:rsid w:val="00156F5B"/>
    <w:rsid w:val="00157843"/>
    <w:rsid w:val="00157E85"/>
    <w:rsid w:val="00160474"/>
    <w:rsid w:val="001604D6"/>
    <w:rsid w:val="0016309C"/>
    <w:rsid w:val="001632FA"/>
    <w:rsid w:val="0016427F"/>
    <w:rsid w:val="00165131"/>
    <w:rsid w:val="00166820"/>
    <w:rsid w:val="0016698F"/>
    <w:rsid w:val="001673AB"/>
    <w:rsid w:val="0017032B"/>
    <w:rsid w:val="0017389B"/>
    <w:rsid w:val="001749AB"/>
    <w:rsid w:val="00174D8F"/>
    <w:rsid w:val="00175593"/>
    <w:rsid w:val="00175946"/>
    <w:rsid w:val="00176E5B"/>
    <w:rsid w:val="00180216"/>
    <w:rsid w:val="00180533"/>
    <w:rsid w:val="00180A7B"/>
    <w:rsid w:val="00180DFD"/>
    <w:rsid w:val="001812A2"/>
    <w:rsid w:val="00181B8B"/>
    <w:rsid w:val="001822AA"/>
    <w:rsid w:val="0018255F"/>
    <w:rsid w:val="001831D0"/>
    <w:rsid w:val="0018571B"/>
    <w:rsid w:val="00190BF6"/>
    <w:rsid w:val="001940FB"/>
    <w:rsid w:val="00194CB5"/>
    <w:rsid w:val="001955DB"/>
    <w:rsid w:val="00197B0A"/>
    <w:rsid w:val="001A0D72"/>
    <w:rsid w:val="001A1057"/>
    <w:rsid w:val="001A31A1"/>
    <w:rsid w:val="001A3B86"/>
    <w:rsid w:val="001A56F6"/>
    <w:rsid w:val="001A5BE5"/>
    <w:rsid w:val="001A67B9"/>
    <w:rsid w:val="001A6F55"/>
    <w:rsid w:val="001A7B83"/>
    <w:rsid w:val="001B0BF8"/>
    <w:rsid w:val="001B1236"/>
    <w:rsid w:val="001B470C"/>
    <w:rsid w:val="001B58A0"/>
    <w:rsid w:val="001B5B52"/>
    <w:rsid w:val="001B6A7A"/>
    <w:rsid w:val="001B702C"/>
    <w:rsid w:val="001B7241"/>
    <w:rsid w:val="001C0571"/>
    <w:rsid w:val="001C0783"/>
    <w:rsid w:val="001C10B3"/>
    <w:rsid w:val="001C3237"/>
    <w:rsid w:val="001C323D"/>
    <w:rsid w:val="001C6559"/>
    <w:rsid w:val="001C72FA"/>
    <w:rsid w:val="001C7AC6"/>
    <w:rsid w:val="001C7BFD"/>
    <w:rsid w:val="001D132B"/>
    <w:rsid w:val="001D14B7"/>
    <w:rsid w:val="001D2373"/>
    <w:rsid w:val="001D2406"/>
    <w:rsid w:val="001D3108"/>
    <w:rsid w:val="001D31E3"/>
    <w:rsid w:val="001D32E9"/>
    <w:rsid w:val="001D3322"/>
    <w:rsid w:val="001D3D8F"/>
    <w:rsid w:val="001D5E0F"/>
    <w:rsid w:val="001D613C"/>
    <w:rsid w:val="001D66F4"/>
    <w:rsid w:val="001D67B3"/>
    <w:rsid w:val="001D6994"/>
    <w:rsid w:val="001D6DE1"/>
    <w:rsid w:val="001E0008"/>
    <w:rsid w:val="001E0779"/>
    <w:rsid w:val="001E613E"/>
    <w:rsid w:val="001E61CC"/>
    <w:rsid w:val="001E6531"/>
    <w:rsid w:val="001E6F90"/>
    <w:rsid w:val="001E79E9"/>
    <w:rsid w:val="001F1174"/>
    <w:rsid w:val="001F21B4"/>
    <w:rsid w:val="001F296E"/>
    <w:rsid w:val="001F3A0C"/>
    <w:rsid w:val="001F3E6E"/>
    <w:rsid w:val="001F5F72"/>
    <w:rsid w:val="001F7C77"/>
    <w:rsid w:val="00200D18"/>
    <w:rsid w:val="002021FA"/>
    <w:rsid w:val="00203110"/>
    <w:rsid w:val="00203303"/>
    <w:rsid w:val="00203A6B"/>
    <w:rsid w:val="00203D43"/>
    <w:rsid w:val="002054C5"/>
    <w:rsid w:val="00207FA6"/>
    <w:rsid w:val="00211DAC"/>
    <w:rsid w:val="002122B4"/>
    <w:rsid w:val="00212618"/>
    <w:rsid w:val="002133D1"/>
    <w:rsid w:val="00213E22"/>
    <w:rsid w:val="0021416B"/>
    <w:rsid w:val="00214472"/>
    <w:rsid w:val="00216869"/>
    <w:rsid w:val="002174B7"/>
    <w:rsid w:val="00217E81"/>
    <w:rsid w:val="00217F0B"/>
    <w:rsid w:val="002209CE"/>
    <w:rsid w:val="00220ADF"/>
    <w:rsid w:val="002233DE"/>
    <w:rsid w:val="00224689"/>
    <w:rsid w:val="00231D17"/>
    <w:rsid w:val="00233662"/>
    <w:rsid w:val="002371ED"/>
    <w:rsid w:val="00240017"/>
    <w:rsid w:val="00242D67"/>
    <w:rsid w:val="00245406"/>
    <w:rsid w:val="002455B6"/>
    <w:rsid w:val="002473DF"/>
    <w:rsid w:val="00250475"/>
    <w:rsid w:val="00250CDE"/>
    <w:rsid w:val="00251316"/>
    <w:rsid w:val="0025310C"/>
    <w:rsid w:val="002537F8"/>
    <w:rsid w:val="00253912"/>
    <w:rsid w:val="00253BF7"/>
    <w:rsid w:val="002541A4"/>
    <w:rsid w:val="002603A1"/>
    <w:rsid w:val="00260D4D"/>
    <w:rsid w:val="002627C2"/>
    <w:rsid w:val="00264323"/>
    <w:rsid w:val="00264538"/>
    <w:rsid w:val="0026481D"/>
    <w:rsid w:val="002653AD"/>
    <w:rsid w:val="002665D3"/>
    <w:rsid w:val="0026689E"/>
    <w:rsid w:val="002716C8"/>
    <w:rsid w:val="0027230F"/>
    <w:rsid w:val="00272311"/>
    <w:rsid w:val="00272FF2"/>
    <w:rsid w:val="002756F6"/>
    <w:rsid w:val="002761D9"/>
    <w:rsid w:val="00280AB6"/>
    <w:rsid w:val="002821C3"/>
    <w:rsid w:val="00285C32"/>
    <w:rsid w:val="00285FD2"/>
    <w:rsid w:val="002861D6"/>
    <w:rsid w:val="002862F9"/>
    <w:rsid w:val="00292484"/>
    <w:rsid w:val="00292846"/>
    <w:rsid w:val="002933ED"/>
    <w:rsid w:val="002953BD"/>
    <w:rsid w:val="002954CE"/>
    <w:rsid w:val="0029745D"/>
    <w:rsid w:val="002974D3"/>
    <w:rsid w:val="002974F6"/>
    <w:rsid w:val="002A0AB5"/>
    <w:rsid w:val="002A0D50"/>
    <w:rsid w:val="002A22C0"/>
    <w:rsid w:val="002A24CC"/>
    <w:rsid w:val="002A37FD"/>
    <w:rsid w:val="002A423D"/>
    <w:rsid w:val="002A4C97"/>
    <w:rsid w:val="002A661C"/>
    <w:rsid w:val="002A6680"/>
    <w:rsid w:val="002A6761"/>
    <w:rsid w:val="002B1523"/>
    <w:rsid w:val="002B1AF0"/>
    <w:rsid w:val="002B5013"/>
    <w:rsid w:val="002B529A"/>
    <w:rsid w:val="002B6E97"/>
    <w:rsid w:val="002B7F0A"/>
    <w:rsid w:val="002C037E"/>
    <w:rsid w:val="002C1C18"/>
    <w:rsid w:val="002C2ECE"/>
    <w:rsid w:val="002C56FE"/>
    <w:rsid w:val="002C7C81"/>
    <w:rsid w:val="002D072C"/>
    <w:rsid w:val="002D21E4"/>
    <w:rsid w:val="002D28E4"/>
    <w:rsid w:val="002D2B2E"/>
    <w:rsid w:val="002D5BF2"/>
    <w:rsid w:val="002D62E8"/>
    <w:rsid w:val="002E166D"/>
    <w:rsid w:val="002E3727"/>
    <w:rsid w:val="002E5D41"/>
    <w:rsid w:val="002E7A9B"/>
    <w:rsid w:val="002F0286"/>
    <w:rsid w:val="002F06D3"/>
    <w:rsid w:val="002F1707"/>
    <w:rsid w:val="002F2128"/>
    <w:rsid w:val="002F2254"/>
    <w:rsid w:val="002F31D2"/>
    <w:rsid w:val="002F533D"/>
    <w:rsid w:val="002F726E"/>
    <w:rsid w:val="0030209B"/>
    <w:rsid w:val="00302C2E"/>
    <w:rsid w:val="00303436"/>
    <w:rsid w:val="003070D6"/>
    <w:rsid w:val="00307DD8"/>
    <w:rsid w:val="003118C9"/>
    <w:rsid w:val="00313A90"/>
    <w:rsid w:val="0031464A"/>
    <w:rsid w:val="00314954"/>
    <w:rsid w:val="00315774"/>
    <w:rsid w:val="003157BB"/>
    <w:rsid w:val="0031701B"/>
    <w:rsid w:val="003177AE"/>
    <w:rsid w:val="0032044A"/>
    <w:rsid w:val="00320DE1"/>
    <w:rsid w:val="00321450"/>
    <w:rsid w:val="00321853"/>
    <w:rsid w:val="00321D83"/>
    <w:rsid w:val="00322566"/>
    <w:rsid w:val="00323211"/>
    <w:rsid w:val="003237D8"/>
    <w:rsid w:val="003314FD"/>
    <w:rsid w:val="00331A6F"/>
    <w:rsid w:val="00332FB7"/>
    <w:rsid w:val="00333366"/>
    <w:rsid w:val="0033440F"/>
    <w:rsid w:val="003349A9"/>
    <w:rsid w:val="0033626C"/>
    <w:rsid w:val="00337F9A"/>
    <w:rsid w:val="003405B4"/>
    <w:rsid w:val="00341AD4"/>
    <w:rsid w:val="00343C26"/>
    <w:rsid w:val="003453FC"/>
    <w:rsid w:val="00345697"/>
    <w:rsid w:val="00346127"/>
    <w:rsid w:val="0034680A"/>
    <w:rsid w:val="0034682B"/>
    <w:rsid w:val="0034689B"/>
    <w:rsid w:val="003469F1"/>
    <w:rsid w:val="00346B21"/>
    <w:rsid w:val="00347823"/>
    <w:rsid w:val="00347D05"/>
    <w:rsid w:val="003500D1"/>
    <w:rsid w:val="00350F50"/>
    <w:rsid w:val="00352134"/>
    <w:rsid w:val="003527F8"/>
    <w:rsid w:val="00354AAA"/>
    <w:rsid w:val="0035577B"/>
    <w:rsid w:val="003559CE"/>
    <w:rsid w:val="00357211"/>
    <w:rsid w:val="00360EBE"/>
    <w:rsid w:val="00361083"/>
    <w:rsid w:val="00362112"/>
    <w:rsid w:val="003637D6"/>
    <w:rsid w:val="00364272"/>
    <w:rsid w:val="00364D9A"/>
    <w:rsid w:val="003652E1"/>
    <w:rsid w:val="00365B9D"/>
    <w:rsid w:val="00365D25"/>
    <w:rsid w:val="00366448"/>
    <w:rsid w:val="00366641"/>
    <w:rsid w:val="0037015C"/>
    <w:rsid w:val="0037245A"/>
    <w:rsid w:val="00372940"/>
    <w:rsid w:val="0037765B"/>
    <w:rsid w:val="00377DA8"/>
    <w:rsid w:val="0038042E"/>
    <w:rsid w:val="00384B05"/>
    <w:rsid w:val="00384BEE"/>
    <w:rsid w:val="0038510E"/>
    <w:rsid w:val="00385C60"/>
    <w:rsid w:val="003878FF"/>
    <w:rsid w:val="00387B34"/>
    <w:rsid w:val="00390960"/>
    <w:rsid w:val="003928DB"/>
    <w:rsid w:val="00392A55"/>
    <w:rsid w:val="003937FA"/>
    <w:rsid w:val="00395688"/>
    <w:rsid w:val="00396CAF"/>
    <w:rsid w:val="00397437"/>
    <w:rsid w:val="003A035D"/>
    <w:rsid w:val="003A09F1"/>
    <w:rsid w:val="003A39AD"/>
    <w:rsid w:val="003A41A0"/>
    <w:rsid w:val="003A43F4"/>
    <w:rsid w:val="003A6A9F"/>
    <w:rsid w:val="003A6DA4"/>
    <w:rsid w:val="003A77D5"/>
    <w:rsid w:val="003A7A66"/>
    <w:rsid w:val="003B121C"/>
    <w:rsid w:val="003B530F"/>
    <w:rsid w:val="003B5483"/>
    <w:rsid w:val="003B602A"/>
    <w:rsid w:val="003B645F"/>
    <w:rsid w:val="003B71E2"/>
    <w:rsid w:val="003C0410"/>
    <w:rsid w:val="003C1657"/>
    <w:rsid w:val="003C2895"/>
    <w:rsid w:val="003C50BE"/>
    <w:rsid w:val="003D0367"/>
    <w:rsid w:val="003D14ED"/>
    <w:rsid w:val="003D2578"/>
    <w:rsid w:val="003D392F"/>
    <w:rsid w:val="003D3F52"/>
    <w:rsid w:val="003D5DFA"/>
    <w:rsid w:val="003D6007"/>
    <w:rsid w:val="003D6E25"/>
    <w:rsid w:val="003D7912"/>
    <w:rsid w:val="003D7996"/>
    <w:rsid w:val="003D7B88"/>
    <w:rsid w:val="003E14E8"/>
    <w:rsid w:val="003E200A"/>
    <w:rsid w:val="003E3F4F"/>
    <w:rsid w:val="003E4BBB"/>
    <w:rsid w:val="003E5D4C"/>
    <w:rsid w:val="003E660A"/>
    <w:rsid w:val="003E7084"/>
    <w:rsid w:val="003E7206"/>
    <w:rsid w:val="003E763D"/>
    <w:rsid w:val="003E7CC2"/>
    <w:rsid w:val="003E7DFA"/>
    <w:rsid w:val="003F0858"/>
    <w:rsid w:val="003F0D27"/>
    <w:rsid w:val="003F16B8"/>
    <w:rsid w:val="003F1B8F"/>
    <w:rsid w:val="003F244E"/>
    <w:rsid w:val="003F2CC8"/>
    <w:rsid w:val="003F336D"/>
    <w:rsid w:val="003F65DC"/>
    <w:rsid w:val="003F6D49"/>
    <w:rsid w:val="003F76A9"/>
    <w:rsid w:val="00400152"/>
    <w:rsid w:val="004007EA"/>
    <w:rsid w:val="00401EC0"/>
    <w:rsid w:val="00402487"/>
    <w:rsid w:val="00402780"/>
    <w:rsid w:val="00402ACE"/>
    <w:rsid w:val="004034B9"/>
    <w:rsid w:val="00403EB6"/>
    <w:rsid w:val="00406311"/>
    <w:rsid w:val="0040640E"/>
    <w:rsid w:val="00406CD2"/>
    <w:rsid w:val="004158C9"/>
    <w:rsid w:val="004213FE"/>
    <w:rsid w:val="004229B2"/>
    <w:rsid w:val="004229C3"/>
    <w:rsid w:val="00423CE0"/>
    <w:rsid w:val="00424813"/>
    <w:rsid w:val="00425061"/>
    <w:rsid w:val="004251BF"/>
    <w:rsid w:val="004259B4"/>
    <w:rsid w:val="00426439"/>
    <w:rsid w:val="00426FEA"/>
    <w:rsid w:val="004303BF"/>
    <w:rsid w:val="004346B4"/>
    <w:rsid w:val="004375F1"/>
    <w:rsid w:val="00437B6F"/>
    <w:rsid w:val="00437D0D"/>
    <w:rsid w:val="004406D2"/>
    <w:rsid w:val="00440F4D"/>
    <w:rsid w:val="00441815"/>
    <w:rsid w:val="00442E0A"/>
    <w:rsid w:val="004441A6"/>
    <w:rsid w:val="00450611"/>
    <w:rsid w:val="00451062"/>
    <w:rsid w:val="0045158F"/>
    <w:rsid w:val="00452522"/>
    <w:rsid w:val="0045280E"/>
    <w:rsid w:val="00453373"/>
    <w:rsid w:val="00454962"/>
    <w:rsid w:val="0045496D"/>
    <w:rsid w:val="004549A1"/>
    <w:rsid w:val="00455149"/>
    <w:rsid w:val="00456748"/>
    <w:rsid w:val="004573C6"/>
    <w:rsid w:val="0046106A"/>
    <w:rsid w:val="00461DC4"/>
    <w:rsid w:val="00462EB4"/>
    <w:rsid w:val="00464C62"/>
    <w:rsid w:val="004651B3"/>
    <w:rsid w:val="004651E6"/>
    <w:rsid w:val="004656E2"/>
    <w:rsid w:val="00465EC0"/>
    <w:rsid w:val="004702CF"/>
    <w:rsid w:val="00470EE1"/>
    <w:rsid w:val="00471D21"/>
    <w:rsid w:val="0047201B"/>
    <w:rsid w:val="004728F5"/>
    <w:rsid w:val="00473E54"/>
    <w:rsid w:val="0047549E"/>
    <w:rsid w:val="004761DC"/>
    <w:rsid w:val="0047767B"/>
    <w:rsid w:val="00477AB7"/>
    <w:rsid w:val="0048102C"/>
    <w:rsid w:val="00482FAD"/>
    <w:rsid w:val="0048389F"/>
    <w:rsid w:val="00483FB7"/>
    <w:rsid w:val="004844D3"/>
    <w:rsid w:val="004844DA"/>
    <w:rsid w:val="00484C0F"/>
    <w:rsid w:val="004850AE"/>
    <w:rsid w:val="004900A1"/>
    <w:rsid w:val="004903E8"/>
    <w:rsid w:val="0049086F"/>
    <w:rsid w:val="00490FEF"/>
    <w:rsid w:val="0049133A"/>
    <w:rsid w:val="00491583"/>
    <w:rsid w:val="0049161C"/>
    <w:rsid w:val="00492CC8"/>
    <w:rsid w:val="004955A8"/>
    <w:rsid w:val="0049563C"/>
    <w:rsid w:val="004979FE"/>
    <w:rsid w:val="00497C81"/>
    <w:rsid w:val="004A076D"/>
    <w:rsid w:val="004A1F89"/>
    <w:rsid w:val="004A2302"/>
    <w:rsid w:val="004A6CC5"/>
    <w:rsid w:val="004A71F8"/>
    <w:rsid w:val="004B08BD"/>
    <w:rsid w:val="004B09D8"/>
    <w:rsid w:val="004B1288"/>
    <w:rsid w:val="004B497C"/>
    <w:rsid w:val="004B5A7B"/>
    <w:rsid w:val="004B6C5E"/>
    <w:rsid w:val="004B6D08"/>
    <w:rsid w:val="004B7BE1"/>
    <w:rsid w:val="004C145F"/>
    <w:rsid w:val="004C428F"/>
    <w:rsid w:val="004C45F3"/>
    <w:rsid w:val="004D11F9"/>
    <w:rsid w:val="004D556B"/>
    <w:rsid w:val="004D5A76"/>
    <w:rsid w:val="004D6929"/>
    <w:rsid w:val="004D7500"/>
    <w:rsid w:val="004E207B"/>
    <w:rsid w:val="004E3299"/>
    <w:rsid w:val="004E4374"/>
    <w:rsid w:val="004E469F"/>
    <w:rsid w:val="004E782E"/>
    <w:rsid w:val="004F0142"/>
    <w:rsid w:val="004F014C"/>
    <w:rsid w:val="004F01B7"/>
    <w:rsid w:val="004F0CD4"/>
    <w:rsid w:val="004F3038"/>
    <w:rsid w:val="004F3561"/>
    <w:rsid w:val="004F4D84"/>
    <w:rsid w:val="004F5D5E"/>
    <w:rsid w:val="0050075E"/>
    <w:rsid w:val="005011C1"/>
    <w:rsid w:val="005011E3"/>
    <w:rsid w:val="00501358"/>
    <w:rsid w:val="00501C4F"/>
    <w:rsid w:val="0050291C"/>
    <w:rsid w:val="00503003"/>
    <w:rsid w:val="00504710"/>
    <w:rsid w:val="00504813"/>
    <w:rsid w:val="00506650"/>
    <w:rsid w:val="00506A43"/>
    <w:rsid w:val="00511FCB"/>
    <w:rsid w:val="005146D2"/>
    <w:rsid w:val="005175CE"/>
    <w:rsid w:val="00517E86"/>
    <w:rsid w:val="005210A3"/>
    <w:rsid w:val="00527DBD"/>
    <w:rsid w:val="00530B8F"/>
    <w:rsid w:val="00530E93"/>
    <w:rsid w:val="00530F20"/>
    <w:rsid w:val="0053202E"/>
    <w:rsid w:val="00532400"/>
    <w:rsid w:val="005334A4"/>
    <w:rsid w:val="0053639D"/>
    <w:rsid w:val="005379F8"/>
    <w:rsid w:val="00537FA9"/>
    <w:rsid w:val="00540C65"/>
    <w:rsid w:val="00541713"/>
    <w:rsid w:val="0054319F"/>
    <w:rsid w:val="005431F9"/>
    <w:rsid w:val="00543AFE"/>
    <w:rsid w:val="00544AF1"/>
    <w:rsid w:val="005504A6"/>
    <w:rsid w:val="005509C3"/>
    <w:rsid w:val="00551DC4"/>
    <w:rsid w:val="005524D6"/>
    <w:rsid w:val="00552EA7"/>
    <w:rsid w:val="00553D2F"/>
    <w:rsid w:val="005543EF"/>
    <w:rsid w:val="005568C6"/>
    <w:rsid w:val="005568D2"/>
    <w:rsid w:val="00556BAF"/>
    <w:rsid w:val="005576BB"/>
    <w:rsid w:val="0056116C"/>
    <w:rsid w:val="00561339"/>
    <w:rsid w:val="00561B4F"/>
    <w:rsid w:val="00562122"/>
    <w:rsid w:val="00562403"/>
    <w:rsid w:val="00562A64"/>
    <w:rsid w:val="00563464"/>
    <w:rsid w:val="00563D89"/>
    <w:rsid w:val="005645B7"/>
    <w:rsid w:val="00565E9F"/>
    <w:rsid w:val="0056744B"/>
    <w:rsid w:val="0056781C"/>
    <w:rsid w:val="005733BB"/>
    <w:rsid w:val="00573CEC"/>
    <w:rsid w:val="00574D94"/>
    <w:rsid w:val="0057563B"/>
    <w:rsid w:val="00575C57"/>
    <w:rsid w:val="00575FD5"/>
    <w:rsid w:val="00576E93"/>
    <w:rsid w:val="00576F31"/>
    <w:rsid w:val="0057706A"/>
    <w:rsid w:val="005804CF"/>
    <w:rsid w:val="00580F6D"/>
    <w:rsid w:val="005811D1"/>
    <w:rsid w:val="00581538"/>
    <w:rsid w:val="00581D05"/>
    <w:rsid w:val="00581DE4"/>
    <w:rsid w:val="005825CD"/>
    <w:rsid w:val="00582E28"/>
    <w:rsid w:val="00584A88"/>
    <w:rsid w:val="00585866"/>
    <w:rsid w:val="0058686C"/>
    <w:rsid w:val="005868D4"/>
    <w:rsid w:val="0058710C"/>
    <w:rsid w:val="00587C19"/>
    <w:rsid w:val="00591F87"/>
    <w:rsid w:val="00593B83"/>
    <w:rsid w:val="00593C41"/>
    <w:rsid w:val="005941E6"/>
    <w:rsid w:val="005951DE"/>
    <w:rsid w:val="00595F51"/>
    <w:rsid w:val="00596008"/>
    <w:rsid w:val="00596154"/>
    <w:rsid w:val="00596CFD"/>
    <w:rsid w:val="005A1D23"/>
    <w:rsid w:val="005A3956"/>
    <w:rsid w:val="005A4869"/>
    <w:rsid w:val="005A48A4"/>
    <w:rsid w:val="005A6320"/>
    <w:rsid w:val="005A69CC"/>
    <w:rsid w:val="005A7B62"/>
    <w:rsid w:val="005B111F"/>
    <w:rsid w:val="005B19FD"/>
    <w:rsid w:val="005B1B22"/>
    <w:rsid w:val="005B39A0"/>
    <w:rsid w:val="005B476A"/>
    <w:rsid w:val="005B4E7D"/>
    <w:rsid w:val="005B5174"/>
    <w:rsid w:val="005B59F7"/>
    <w:rsid w:val="005B5ABF"/>
    <w:rsid w:val="005B5C71"/>
    <w:rsid w:val="005B68B9"/>
    <w:rsid w:val="005B7A27"/>
    <w:rsid w:val="005B7EE0"/>
    <w:rsid w:val="005C0BE3"/>
    <w:rsid w:val="005C2789"/>
    <w:rsid w:val="005C30B5"/>
    <w:rsid w:val="005C4964"/>
    <w:rsid w:val="005C5678"/>
    <w:rsid w:val="005C76DC"/>
    <w:rsid w:val="005D0867"/>
    <w:rsid w:val="005D109A"/>
    <w:rsid w:val="005D11A6"/>
    <w:rsid w:val="005D1DC3"/>
    <w:rsid w:val="005D2507"/>
    <w:rsid w:val="005D2E0F"/>
    <w:rsid w:val="005D343B"/>
    <w:rsid w:val="005D5EC0"/>
    <w:rsid w:val="005D6333"/>
    <w:rsid w:val="005D6C09"/>
    <w:rsid w:val="005E01D0"/>
    <w:rsid w:val="005E0B68"/>
    <w:rsid w:val="005E0BC2"/>
    <w:rsid w:val="005E2234"/>
    <w:rsid w:val="005E36FB"/>
    <w:rsid w:val="005E3E40"/>
    <w:rsid w:val="005E54B6"/>
    <w:rsid w:val="005E5772"/>
    <w:rsid w:val="005E5982"/>
    <w:rsid w:val="005E7525"/>
    <w:rsid w:val="005F1375"/>
    <w:rsid w:val="005F1E52"/>
    <w:rsid w:val="005F1FF9"/>
    <w:rsid w:val="005F38A6"/>
    <w:rsid w:val="005F40E6"/>
    <w:rsid w:val="005F599E"/>
    <w:rsid w:val="005F70DC"/>
    <w:rsid w:val="005F79C4"/>
    <w:rsid w:val="006011F7"/>
    <w:rsid w:val="00603B0D"/>
    <w:rsid w:val="0060499C"/>
    <w:rsid w:val="0060605A"/>
    <w:rsid w:val="00606138"/>
    <w:rsid w:val="006064FA"/>
    <w:rsid w:val="00607C6A"/>
    <w:rsid w:val="00610F98"/>
    <w:rsid w:val="006119D9"/>
    <w:rsid w:val="00612B23"/>
    <w:rsid w:val="00613959"/>
    <w:rsid w:val="00613B16"/>
    <w:rsid w:val="00614484"/>
    <w:rsid w:val="00614533"/>
    <w:rsid w:val="006169E1"/>
    <w:rsid w:val="0062068B"/>
    <w:rsid w:val="00620844"/>
    <w:rsid w:val="00622277"/>
    <w:rsid w:val="00622F41"/>
    <w:rsid w:val="0062649A"/>
    <w:rsid w:val="0062708B"/>
    <w:rsid w:val="00631536"/>
    <w:rsid w:val="00633121"/>
    <w:rsid w:val="00633834"/>
    <w:rsid w:val="0063387A"/>
    <w:rsid w:val="00633EA2"/>
    <w:rsid w:val="00634658"/>
    <w:rsid w:val="006355D2"/>
    <w:rsid w:val="00635C47"/>
    <w:rsid w:val="00636230"/>
    <w:rsid w:val="0063714B"/>
    <w:rsid w:val="00637CA9"/>
    <w:rsid w:val="006401F3"/>
    <w:rsid w:val="006418C9"/>
    <w:rsid w:val="00641A0E"/>
    <w:rsid w:val="00641CC2"/>
    <w:rsid w:val="006426AD"/>
    <w:rsid w:val="00642745"/>
    <w:rsid w:val="00643046"/>
    <w:rsid w:val="006430DA"/>
    <w:rsid w:val="00643AD1"/>
    <w:rsid w:val="00643FA1"/>
    <w:rsid w:val="00646875"/>
    <w:rsid w:val="006468B2"/>
    <w:rsid w:val="00646E89"/>
    <w:rsid w:val="006470B6"/>
    <w:rsid w:val="00647451"/>
    <w:rsid w:val="00647630"/>
    <w:rsid w:val="00651740"/>
    <w:rsid w:val="006528B4"/>
    <w:rsid w:val="006537F7"/>
    <w:rsid w:val="00654E1C"/>
    <w:rsid w:val="006565C2"/>
    <w:rsid w:val="00656627"/>
    <w:rsid w:val="006578EC"/>
    <w:rsid w:val="00657AC4"/>
    <w:rsid w:val="0066084F"/>
    <w:rsid w:val="00660EEB"/>
    <w:rsid w:val="00661ACE"/>
    <w:rsid w:val="006625E1"/>
    <w:rsid w:val="006633FC"/>
    <w:rsid w:val="00663468"/>
    <w:rsid w:val="006644BE"/>
    <w:rsid w:val="00664CA8"/>
    <w:rsid w:val="006659C4"/>
    <w:rsid w:val="006666C3"/>
    <w:rsid w:val="00667221"/>
    <w:rsid w:val="006679DC"/>
    <w:rsid w:val="00667A85"/>
    <w:rsid w:val="006736D0"/>
    <w:rsid w:val="00674E95"/>
    <w:rsid w:val="006754FC"/>
    <w:rsid w:val="00675F1E"/>
    <w:rsid w:val="00676ADC"/>
    <w:rsid w:val="00680B73"/>
    <w:rsid w:val="0068152C"/>
    <w:rsid w:val="00681C2F"/>
    <w:rsid w:val="00681CFF"/>
    <w:rsid w:val="00682544"/>
    <w:rsid w:val="0068282B"/>
    <w:rsid w:val="006835E9"/>
    <w:rsid w:val="0068385B"/>
    <w:rsid w:val="00683FE1"/>
    <w:rsid w:val="00684901"/>
    <w:rsid w:val="006867C3"/>
    <w:rsid w:val="00686947"/>
    <w:rsid w:val="006873D2"/>
    <w:rsid w:val="006875A9"/>
    <w:rsid w:val="00687E75"/>
    <w:rsid w:val="00690DEA"/>
    <w:rsid w:val="0069351F"/>
    <w:rsid w:val="006940BD"/>
    <w:rsid w:val="00695EA6"/>
    <w:rsid w:val="006965E2"/>
    <w:rsid w:val="0069708D"/>
    <w:rsid w:val="006973E9"/>
    <w:rsid w:val="006A14AC"/>
    <w:rsid w:val="006A2115"/>
    <w:rsid w:val="006A2AE7"/>
    <w:rsid w:val="006A388B"/>
    <w:rsid w:val="006A40A0"/>
    <w:rsid w:val="006A4E2D"/>
    <w:rsid w:val="006A5662"/>
    <w:rsid w:val="006A58FE"/>
    <w:rsid w:val="006B0167"/>
    <w:rsid w:val="006B1427"/>
    <w:rsid w:val="006B169F"/>
    <w:rsid w:val="006B31E7"/>
    <w:rsid w:val="006B3C32"/>
    <w:rsid w:val="006B456B"/>
    <w:rsid w:val="006B5C98"/>
    <w:rsid w:val="006B6282"/>
    <w:rsid w:val="006B6D71"/>
    <w:rsid w:val="006B7538"/>
    <w:rsid w:val="006C22E7"/>
    <w:rsid w:val="006C4EBA"/>
    <w:rsid w:val="006C7809"/>
    <w:rsid w:val="006D16BC"/>
    <w:rsid w:val="006D1797"/>
    <w:rsid w:val="006D2AD9"/>
    <w:rsid w:val="006D33CC"/>
    <w:rsid w:val="006D5758"/>
    <w:rsid w:val="006D5BEF"/>
    <w:rsid w:val="006D7261"/>
    <w:rsid w:val="006E13E6"/>
    <w:rsid w:val="006E1863"/>
    <w:rsid w:val="006E22ED"/>
    <w:rsid w:val="006E5BAF"/>
    <w:rsid w:val="006E7755"/>
    <w:rsid w:val="006F0B3B"/>
    <w:rsid w:val="006F2688"/>
    <w:rsid w:val="006F3045"/>
    <w:rsid w:val="006F325E"/>
    <w:rsid w:val="006F66C7"/>
    <w:rsid w:val="006F7FF9"/>
    <w:rsid w:val="00700C36"/>
    <w:rsid w:val="0070271D"/>
    <w:rsid w:val="00706884"/>
    <w:rsid w:val="00706ECC"/>
    <w:rsid w:val="00707347"/>
    <w:rsid w:val="0071225B"/>
    <w:rsid w:val="00712B6F"/>
    <w:rsid w:val="007132CA"/>
    <w:rsid w:val="007133BA"/>
    <w:rsid w:val="00713A70"/>
    <w:rsid w:val="00713CBF"/>
    <w:rsid w:val="00715669"/>
    <w:rsid w:val="00716621"/>
    <w:rsid w:val="00717334"/>
    <w:rsid w:val="0072078C"/>
    <w:rsid w:val="00721EAF"/>
    <w:rsid w:val="00722FE4"/>
    <w:rsid w:val="00723152"/>
    <w:rsid w:val="00724940"/>
    <w:rsid w:val="00724EB3"/>
    <w:rsid w:val="007253B0"/>
    <w:rsid w:val="007270FB"/>
    <w:rsid w:val="00727873"/>
    <w:rsid w:val="00730D7D"/>
    <w:rsid w:val="00731DC7"/>
    <w:rsid w:val="00735AB7"/>
    <w:rsid w:val="007403C1"/>
    <w:rsid w:val="0074067F"/>
    <w:rsid w:val="00741610"/>
    <w:rsid w:val="00742853"/>
    <w:rsid w:val="00743846"/>
    <w:rsid w:val="007438A7"/>
    <w:rsid w:val="007447A1"/>
    <w:rsid w:val="00744CF7"/>
    <w:rsid w:val="0074772E"/>
    <w:rsid w:val="007479A9"/>
    <w:rsid w:val="00750C13"/>
    <w:rsid w:val="00750E4D"/>
    <w:rsid w:val="00751BBE"/>
    <w:rsid w:val="007520DF"/>
    <w:rsid w:val="007547DF"/>
    <w:rsid w:val="00755EAA"/>
    <w:rsid w:val="00756E50"/>
    <w:rsid w:val="00757758"/>
    <w:rsid w:val="00757CE9"/>
    <w:rsid w:val="007601C9"/>
    <w:rsid w:val="007618FB"/>
    <w:rsid w:val="00763E5F"/>
    <w:rsid w:val="00765650"/>
    <w:rsid w:val="007661B7"/>
    <w:rsid w:val="00766E3A"/>
    <w:rsid w:val="0076742C"/>
    <w:rsid w:val="00767B6D"/>
    <w:rsid w:val="00771F31"/>
    <w:rsid w:val="007722E1"/>
    <w:rsid w:val="00772CDA"/>
    <w:rsid w:val="007774E2"/>
    <w:rsid w:val="00777C65"/>
    <w:rsid w:val="007809BA"/>
    <w:rsid w:val="007819D3"/>
    <w:rsid w:val="00781EBE"/>
    <w:rsid w:val="00783536"/>
    <w:rsid w:val="0078456B"/>
    <w:rsid w:val="00787AE0"/>
    <w:rsid w:val="00793C74"/>
    <w:rsid w:val="00794AA2"/>
    <w:rsid w:val="00794B89"/>
    <w:rsid w:val="00796B2F"/>
    <w:rsid w:val="00797626"/>
    <w:rsid w:val="00797C43"/>
    <w:rsid w:val="007A2B1B"/>
    <w:rsid w:val="007A31AF"/>
    <w:rsid w:val="007A487E"/>
    <w:rsid w:val="007A7734"/>
    <w:rsid w:val="007B345C"/>
    <w:rsid w:val="007B3536"/>
    <w:rsid w:val="007B389C"/>
    <w:rsid w:val="007B3C81"/>
    <w:rsid w:val="007B7A83"/>
    <w:rsid w:val="007C0DBD"/>
    <w:rsid w:val="007C13EB"/>
    <w:rsid w:val="007C5647"/>
    <w:rsid w:val="007C5975"/>
    <w:rsid w:val="007C6297"/>
    <w:rsid w:val="007C64ED"/>
    <w:rsid w:val="007C6A4C"/>
    <w:rsid w:val="007C6BA3"/>
    <w:rsid w:val="007C6F75"/>
    <w:rsid w:val="007C7053"/>
    <w:rsid w:val="007C7285"/>
    <w:rsid w:val="007D0073"/>
    <w:rsid w:val="007D0130"/>
    <w:rsid w:val="007D13C4"/>
    <w:rsid w:val="007D2108"/>
    <w:rsid w:val="007D4111"/>
    <w:rsid w:val="007D45E7"/>
    <w:rsid w:val="007D4B47"/>
    <w:rsid w:val="007D73F6"/>
    <w:rsid w:val="007E076D"/>
    <w:rsid w:val="007E3285"/>
    <w:rsid w:val="007E4692"/>
    <w:rsid w:val="007E5473"/>
    <w:rsid w:val="007E6F9C"/>
    <w:rsid w:val="007E7FB1"/>
    <w:rsid w:val="007F0C8E"/>
    <w:rsid w:val="007F1D63"/>
    <w:rsid w:val="007F365C"/>
    <w:rsid w:val="007F4ABB"/>
    <w:rsid w:val="007F6BCB"/>
    <w:rsid w:val="007F6D9E"/>
    <w:rsid w:val="00800443"/>
    <w:rsid w:val="00800B8A"/>
    <w:rsid w:val="00801998"/>
    <w:rsid w:val="00802446"/>
    <w:rsid w:val="008026F6"/>
    <w:rsid w:val="00802EB8"/>
    <w:rsid w:val="008034FF"/>
    <w:rsid w:val="00803799"/>
    <w:rsid w:val="00804194"/>
    <w:rsid w:val="008052EA"/>
    <w:rsid w:val="008065DA"/>
    <w:rsid w:val="00807268"/>
    <w:rsid w:val="008079BC"/>
    <w:rsid w:val="00810BB2"/>
    <w:rsid w:val="008120BF"/>
    <w:rsid w:val="00812C7C"/>
    <w:rsid w:val="00813114"/>
    <w:rsid w:val="00813682"/>
    <w:rsid w:val="008142CC"/>
    <w:rsid w:val="00821E67"/>
    <w:rsid w:val="00825C0F"/>
    <w:rsid w:val="008263DA"/>
    <w:rsid w:val="008276CA"/>
    <w:rsid w:val="00827D58"/>
    <w:rsid w:val="00827E59"/>
    <w:rsid w:val="00830995"/>
    <w:rsid w:val="00831FD5"/>
    <w:rsid w:val="008324F8"/>
    <w:rsid w:val="0083398B"/>
    <w:rsid w:val="00837451"/>
    <w:rsid w:val="00837D53"/>
    <w:rsid w:val="00840A8B"/>
    <w:rsid w:val="00842B77"/>
    <w:rsid w:val="008435ED"/>
    <w:rsid w:val="00843FF9"/>
    <w:rsid w:val="00844DDD"/>
    <w:rsid w:val="008457C2"/>
    <w:rsid w:val="00845F02"/>
    <w:rsid w:val="00845FF8"/>
    <w:rsid w:val="00847500"/>
    <w:rsid w:val="0084777D"/>
    <w:rsid w:val="00850AF8"/>
    <w:rsid w:val="00851241"/>
    <w:rsid w:val="008529DC"/>
    <w:rsid w:val="0085376A"/>
    <w:rsid w:val="00854029"/>
    <w:rsid w:val="008545CA"/>
    <w:rsid w:val="00855450"/>
    <w:rsid w:val="00860DE0"/>
    <w:rsid w:val="00861104"/>
    <w:rsid w:val="00861718"/>
    <w:rsid w:val="00862F13"/>
    <w:rsid w:val="00864FB4"/>
    <w:rsid w:val="00865DBE"/>
    <w:rsid w:val="008677E3"/>
    <w:rsid w:val="00870829"/>
    <w:rsid w:val="00872453"/>
    <w:rsid w:val="008735EC"/>
    <w:rsid w:val="00877500"/>
    <w:rsid w:val="0088280C"/>
    <w:rsid w:val="00882BE6"/>
    <w:rsid w:val="00886281"/>
    <w:rsid w:val="00886F3A"/>
    <w:rsid w:val="0088740D"/>
    <w:rsid w:val="00893E94"/>
    <w:rsid w:val="00895C76"/>
    <w:rsid w:val="00895FE0"/>
    <w:rsid w:val="00896724"/>
    <w:rsid w:val="0089752E"/>
    <w:rsid w:val="008A1D06"/>
    <w:rsid w:val="008A2582"/>
    <w:rsid w:val="008A2915"/>
    <w:rsid w:val="008A33AB"/>
    <w:rsid w:val="008A394E"/>
    <w:rsid w:val="008A4004"/>
    <w:rsid w:val="008A4B07"/>
    <w:rsid w:val="008A4CC4"/>
    <w:rsid w:val="008A633C"/>
    <w:rsid w:val="008A70AE"/>
    <w:rsid w:val="008A7628"/>
    <w:rsid w:val="008A770B"/>
    <w:rsid w:val="008A7F1D"/>
    <w:rsid w:val="008B00DD"/>
    <w:rsid w:val="008B0921"/>
    <w:rsid w:val="008B135F"/>
    <w:rsid w:val="008B151F"/>
    <w:rsid w:val="008B1749"/>
    <w:rsid w:val="008B1C9B"/>
    <w:rsid w:val="008B23E3"/>
    <w:rsid w:val="008B4584"/>
    <w:rsid w:val="008B45B5"/>
    <w:rsid w:val="008B5592"/>
    <w:rsid w:val="008B5BF7"/>
    <w:rsid w:val="008B5F95"/>
    <w:rsid w:val="008B63D4"/>
    <w:rsid w:val="008C0239"/>
    <w:rsid w:val="008C20EF"/>
    <w:rsid w:val="008C2A72"/>
    <w:rsid w:val="008C3236"/>
    <w:rsid w:val="008C3740"/>
    <w:rsid w:val="008C3BB1"/>
    <w:rsid w:val="008C4AB8"/>
    <w:rsid w:val="008C4D67"/>
    <w:rsid w:val="008C5B7E"/>
    <w:rsid w:val="008C7F39"/>
    <w:rsid w:val="008D19EC"/>
    <w:rsid w:val="008D2C95"/>
    <w:rsid w:val="008D3309"/>
    <w:rsid w:val="008D4738"/>
    <w:rsid w:val="008D56EB"/>
    <w:rsid w:val="008D743A"/>
    <w:rsid w:val="008D7F13"/>
    <w:rsid w:val="008E01B7"/>
    <w:rsid w:val="008E092F"/>
    <w:rsid w:val="008E0E61"/>
    <w:rsid w:val="008E19F4"/>
    <w:rsid w:val="008E1FAC"/>
    <w:rsid w:val="008E21DD"/>
    <w:rsid w:val="008E27B4"/>
    <w:rsid w:val="008E42C9"/>
    <w:rsid w:val="008E609A"/>
    <w:rsid w:val="008F10CD"/>
    <w:rsid w:val="008F20A4"/>
    <w:rsid w:val="008F2542"/>
    <w:rsid w:val="008F2A84"/>
    <w:rsid w:val="008F2D94"/>
    <w:rsid w:val="008F7523"/>
    <w:rsid w:val="008F7715"/>
    <w:rsid w:val="008F7A1C"/>
    <w:rsid w:val="009003DA"/>
    <w:rsid w:val="00902A8D"/>
    <w:rsid w:val="00902AF9"/>
    <w:rsid w:val="009044FA"/>
    <w:rsid w:val="00904722"/>
    <w:rsid w:val="0090520A"/>
    <w:rsid w:val="00905AB7"/>
    <w:rsid w:val="0090608D"/>
    <w:rsid w:val="00907872"/>
    <w:rsid w:val="00907C4A"/>
    <w:rsid w:val="00907F17"/>
    <w:rsid w:val="009101BD"/>
    <w:rsid w:val="00910A23"/>
    <w:rsid w:val="009112AC"/>
    <w:rsid w:val="00911724"/>
    <w:rsid w:val="00911BAB"/>
    <w:rsid w:val="00913E50"/>
    <w:rsid w:val="00914669"/>
    <w:rsid w:val="00914B46"/>
    <w:rsid w:val="00916CA6"/>
    <w:rsid w:val="0091795E"/>
    <w:rsid w:val="00920757"/>
    <w:rsid w:val="009212B3"/>
    <w:rsid w:val="00921D8D"/>
    <w:rsid w:val="009239B9"/>
    <w:rsid w:val="00923F0D"/>
    <w:rsid w:val="009240E5"/>
    <w:rsid w:val="0092558E"/>
    <w:rsid w:val="00927AED"/>
    <w:rsid w:val="009303D8"/>
    <w:rsid w:val="00932057"/>
    <w:rsid w:val="0093340C"/>
    <w:rsid w:val="0093666B"/>
    <w:rsid w:val="00940BE0"/>
    <w:rsid w:val="00941B32"/>
    <w:rsid w:val="0094308D"/>
    <w:rsid w:val="00946943"/>
    <w:rsid w:val="00946B2F"/>
    <w:rsid w:val="009471CF"/>
    <w:rsid w:val="00947CB9"/>
    <w:rsid w:val="00947DE1"/>
    <w:rsid w:val="00950A7E"/>
    <w:rsid w:val="00951495"/>
    <w:rsid w:val="00952D16"/>
    <w:rsid w:val="0095578A"/>
    <w:rsid w:val="00955A65"/>
    <w:rsid w:val="009561E3"/>
    <w:rsid w:val="0095779F"/>
    <w:rsid w:val="009579FA"/>
    <w:rsid w:val="009609E0"/>
    <w:rsid w:val="00961A8F"/>
    <w:rsid w:val="00961FA2"/>
    <w:rsid w:val="00963040"/>
    <w:rsid w:val="00963535"/>
    <w:rsid w:val="00964814"/>
    <w:rsid w:val="00964931"/>
    <w:rsid w:val="009662B2"/>
    <w:rsid w:val="00967152"/>
    <w:rsid w:val="009673CB"/>
    <w:rsid w:val="00971434"/>
    <w:rsid w:val="00971546"/>
    <w:rsid w:val="00975352"/>
    <w:rsid w:val="009755EA"/>
    <w:rsid w:val="00975D2C"/>
    <w:rsid w:val="009775BA"/>
    <w:rsid w:val="00977E52"/>
    <w:rsid w:val="009807C5"/>
    <w:rsid w:val="00980B24"/>
    <w:rsid w:val="00983C89"/>
    <w:rsid w:val="0098454D"/>
    <w:rsid w:val="00990654"/>
    <w:rsid w:val="00992AEA"/>
    <w:rsid w:val="0099504B"/>
    <w:rsid w:val="009955A8"/>
    <w:rsid w:val="00995EFB"/>
    <w:rsid w:val="00996C66"/>
    <w:rsid w:val="009A1A87"/>
    <w:rsid w:val="009A273C"/>
    <w:rsid w:val="009A29B4"/>
    <w:rsid w:val="009A3419"/>
    <w:rsid w:val="009A41C1"/>
    <w:rsid w:val="009A4D4F"/>
    <w:rsid w:val="009A701E"/>
    <w:rsid w:val="009A7829"/>
    <w:rsid w:val="009A7EB4"/>
    <w:rsid w:val="009B0609"/>
    <w:rsid w:val="009B09D1"/>
    <w:rsid w:val="009B1CB4"/>
    <w:rsid w:val="009B1F7A"/>
    <w:rsid w:val="009B5649"/>
    <w:rsid w:val="009B57D9"/>
    <w:rsid w:val="009B62C0"/>
    <w:rsid w:val="009B6971"/>
    <w:rsid w:val="009B77DC"/>
    <w:rsid w:val="009B7AD3"/>
    <w:rsid w:val="009C0A20"/>
    <w:rsid w:val="009C1CDE"/>
    <w:rsid w:val="009C258C"/>
    <w:rsid w:val="009C28FC"/>
    <w:rsid w:val="009C79BE"/>
    <w:rsid w:val="009C7DD9"/>
    <w:rsid w:val="009D2AD6"/>
    <w:rsid w:val="009D5D69"/>
    <w:rsid w:val="009E024D"/>
    <w:rsid w:val="009E038E"/>
    <w:rsid w:val="009E0F11"/>
    <w:rsid w:val="009E130E"/>
    <w:rsid w:val="009E3473"/>
    <w:rsid w:val="009E38A7"/>
    <w:rsid w:val="009E3DE2"/>
    <w:rsid w:val="009E7B06"/>
    <w:rsid w:val="009F2F1A"/>
    <w:rsid w:val="009F303E"/>
    <w:rsid w:val="009F31BE"/>
    <w:rsid w:val="009F346A"/>
    <w:rsid w:val="009F36AB"/>
    <w:rsid w:val="009F5BC1"/>
    <w:rsid w:val="009F663B"/>
    <w:rsid w:val="00A031F9"/>
    <w:rsid w:val="00A0529C"/>
    <w:rsid w:val="00A05563"/>
    <w:rsid w:val="00A07AE5"/>
    <w:rsid w:val="00A112D2"/>
    <w:rsid w:val="00A12670"/>
    <w:rsid w:val="00A15B37"/>
    <w:rsid w:val="00A16064"/>
    <w:rsid w:val="00A2198E"/>
    <w:rsid w:val="00A21CF9"/>
    <w:rsid w:val="00A228CE"/>
    <w:rsid w:val="00A22A8C"/>
    <w:rsid w:val="00A24559"/>
    <w:rsid w:val="00A2500A"/>
    <w:rsid w:val="00A25B8C"/>
    <w:rsid w:val="00A25BA0"/>
    <w:rsid w:val="00A26D06"/>
    <w:rsid w:val="00A27BD6"/>
    <w:rsid w:val="00A301D8"/>
    <w:rsid w:val="00A31034"/>
    <w:rsid w:val="00A31EA3"/>
    <w:rsid w:val="00A31F48"/>
    <w:rsid w:val="00A353B9"/>
    <w:rsid w:val="00A36352"/>
    <w:rsid w:val="00A36A02"/>
    <w:rsid w:val="00A4011A"/>
    <w:rsid w:val="00A40B9D"/>
    <w:rsid w:val="00A42C54"/>
    <w:rsid w:val="00A439E0"/>
    <w:rsid w:val="00A44BE8"/>
    <w:rsid w:val="00A45A40"/>
    <w:rsid w:val="00A463E1"/>
    <w:rsid w:val="00A46447"/>
    <w:rsid w:val="00A468BC"/>
    <w:rsid w:val="00A47E62"/>
    <w:rsid w:val="00A500DF"/>
    <w:rsid w:val="00A51A0E"/>
    <w:rsid w:val="00A52CBA"/>
    <w:rsid w:val="00A53694"/>
    <w:rsid w:val="00A5388E"/>
    <w:rsid w:val="00A54014"/>
    <w:rsid w:val="00A54375"/>
    <w:rsid w:val="00A562B4"/>
    <w:rsid w:val="00A57481"/>
    <w:rsid w:val="00A57DCA"/>
    <w:rsid w:val="00A6070C"/>
    <w:rsid w:val="00A61509"/>
    <w:rsid w:val="00A617C4"/>
    <w:rsid w:val="00A62BA7"/>
    <w:rsid w:val="00A62F7C"/>
    <w:rsid w:val="00A63F7C"/>
    <w:rsid w:val="00A64A18"/>
    <w:rsid w:val="00A64D8C"/>
    <w:rsid w:val="00A64E58"/>
    <w:rsid w:val="00A662A2"/>
    <w:rsid w:val="00A70F47"/>
    <w:rsid w:val="00A72073"/>
    <w:rsid w:val="00A72EF7"/>
    <w:rsid w:val="00A737AA"/>
    <w:rsid w:val="00A73BE4"/>
    <w:rsid w:val="00A74392"/>
    <w:rsid w:val="00A74AB8"/>
    <w:rsid w:val="00A7566A"/>
    <w:rsid w:val="00A75F2F"/>
    <w:rsid w:val="00A76C8C"/>
    <w:rsid w:val="00A8150E"/>
    <w:rsid w:val="00A83394"/>
    <w:rsid w:val="00A833AB"/>
    <w:rsid w:val="00A8450F"/>
    <w:rsid w:val="00A8483B"/>
    <w:rsid w:val="00A84EF1"/>
    <w:rsid w:val="00A85B5C"/>
    <w:rsid w:val="00A87A9A"/>
    <w:rsid w:val="00A90296"/>
    <w:rsid w:val="00A90B58"/>
    <w:rsid w:val="00A92044"/>
    <w:rsid w:val="00A9227F"/>
    <w:rsid w:val="00A935C2"/>
    <w:rsid w:val="00A936FA"/>
    <w:rsid w:val="00A93AAD"/>
    <w:rsid w:val="00A94D2B"/>
    <w:rsid w:val="00A97436"/>
    <w:rsid w:val="00AA0459"/>
    <w:rsid w:val="00AA29E6"/>
    <w:rsid w:val="00AA3923"/>
    <w:rsid w:val="00AA4D80"/>
    <w:rsid w:val="00AA5597"/>
    <w:rsid w:val="00AA56B6"/>
    <w:rsid w:val="00AA5C58"/>
    <w:rsid w:val="00AA6AE7"/>
    <w:rsid w:val="00AA7DF6"/>
    <w:rsid w:val="00AB0049"/>
    <w:rsid w:val="00AB1706"/>
    <w:rsid w:val="00AB1962"/>
    <w:rsid w:val="00AB2075"/>
    <w:rsid w:val="00AB2794"/>
    <w:rsid w:val="00AB33A5"/>
    <w:rsid w:val="00AB396F"/>
    <w:rsid w:val="00AB439D"/>
    <w:rsid w:val="00AB6631"/>
    <w:rsid w:val="00AB7205"/>
    <w:rsid w:val="00AB7547"/>
    <w:rsid w:val="00AB756E"/>
    <w:rsid w:val="00AB7C83"/>
    <w:rsid w:val="00AB7D93"/>
    <w:rsid w:val="00AC0536"/>
    <w:rsid w:val="00AC4529"/>
    <w:rsid w:val="00AC7513"/>
    <w:rsid w:val="00AC7AFE"/>
    <w:rsid w:val="00AD07B0"/>
    <w:rsid w:val="00AD1285"/>
    <w:rsid w:val="00AD3069"/>
    <w:rsid w:val="00AD3B21"/>
    <w:rsid w:val="00AD449D"/>
    <w:rsid w:val="00AD4BA6"/>
    <w:rsid w:val="00AD5C49"/>
    <w:rsid w:val="00AD61DA"/>
    <w:rsid w:val="00AD63F3"/>
    <w:rsid w:val="00AD64E1"/>
    <w:rsid w:val="00AD7372"/>
    <w:rsid w:val="00AD7A12"/>
    <w:rsid w:val="00AD7F4A"/>
    <w:rsid w:val="00AE26E7"/>
    <w:rsid w:val="00AE2769"/>
    <w:rsid w:val="00AE39E5"/>
    <w:rsid w:val="00AE4A49"/>
    <w:rsid w:val="00AE4F11"/>
    <w:rsid w:val="00AE5BD8"/>
    <w:rsid w:val="00AE5D1E"/>
    <w:rsid w:val="00AE5D76"/>
    <w:rsid w:val="00AE63CF"/>
    <w:rsid w:val="00AE660B"/>
    <w:rsid w:val="00AF14A6"/>
    <w:rsid w:val="00AF2FE7"/>
    <w:rsid w:val="00AF480F"/>
    <w:rsid w:val="00AF56F5"/>
    <w:rsid w:val="00AF6A0E"/>
    <w:rsid w:val="00B00130"/>
    <w:rsid w:val="00B005FE"/>
    <w:rsid w:val="00B01499"/>
    <w:rsid w:val="00B014A6"/>
    <w:rsid w:val="00B014DB"/>
    <w:rsid w:val="00B01521"/>
    <w:rsid w:val="00B03662"/>
    <w:rsid w:val="00B04498"/>
    <w:rsid w:val="00B061D5"/>
    <w:rsid w:val="00B06732"/>
    <w:rsid w:val="00B06B1F"/>
    <w:rsid w:val="00B07B46"/>
    <w:rsid w:val="00B110F7"/>
    <w:rsid w:val="00B1359E"/>
    <w:rsid w:val="00B14517"/>
    <w:rsid w:val="00B16314"/>
    <w:rsid w:val="00B17791"/>
    <w:rsid w:val="00B20FB9"/>
    <w:rsid w:val="00B22490"/>
    <w:rsid w:val="00B233AA"/>
    <w:rsid w:val="00B23872"/>
    <w:rsid w:val="00B23E85"/>
    <w:rsid w:val="00B248E1"/>
    <w:rsid w:val="00B30654"/>
    <w:rsid w:val="00B30A46"/>
    <w:rsid w:val="00B30C71"/>
    <w:rsid w:val="00B312A3"/>
    <w:rsid w:val="00B324B2"/>
    <w:rsid w:val="00B342B1"/>
    <w:rsid w:val="00B358EA"/>
    <w:rsid w:val="00B36A3E"/>
    <w:rsid w:val="00B40C35"/>
    <w:rsid w:val="00B40D39"/>
    <w:rsid w:val="00B41F85"/>
    <w:rsid w:val="00B42CA1"/>
    <w:rsid w:val="00B42D5A"/>
    <w:rsid w:val="00B4484B"/>
    <w:rsid w:val="00B44CD4"/>
    <w:rsid w:val="00B44EBD"/>
    <w:rsid w:val="00B459E7"/>
    <w:rsid w:val="00B46CB9"/>
    <w:rsid w:val="00B5016C"/>
    <w:rsid w:val="00B50352"/>
    <w:rsid w:val="00B52780"/>
    <w:rsid w:val="00B52C82"/>
    <w:rsid w:val="00B53449"/>
    <w:rsid w:val="00B546E8"/>
    <w:rsid w:val="00B55682"/>
    <w:rsid w:val="00B60F65"/>
    <w:rsid w:val="00B633A9"/>
    <w:rsid w:val="00B644BB"/>
    <w:rsid w:val="00B674F9"/>
    <w:rsid w:val="00B67FB2"/>
    <w:rsid w:val="00B70405"/>
    <w:rsid w:val="00B71B03"/>
    <w:rsid w:val="00B726A4"/>
    <w:rsid w:val="00B751B5"/>
    <w:rsid w:val="00B77DB2"/>
    <w:rsid w:val="00B81AD2"/>
    <w:rsid w:val="00B81DBD"/>
    <w:rsid w:val="00B81E61"/>
    <w:rsid w:val="00B822FE"/>
    <w:rsid w:val="00B82ADB"/>
    <w:rsid w:val="00B84F1C"/>
    <w:rsid w:val="00B85919"/>
    <w:rsid w:val="00B85954"/>
    <w:rsid w:val="00B8716F"/>
    <w:rsid w:val="00B8773C"/>
    <w:rsid w:val="00B90905"/>
    <w:rsid w:val="00B91497"/>
    <w:rsid w:val="00B91DFB"/>
    <w:rsid w:val="00B91F73"/>
    <w:rsid w:val="00B930C3"/>
    <w:rsid w:val="00B93E3A"/>
    <w:rsid w:val="00B945DE"/>
    <w:rsid w:val="00B955C4"/>
    <w:rsid w:val="00B96D22"/>
    <w:rsid w:val="00B97448"/>
    <w:rsid w:val="00BA0A30"/>
    <w:rsid w:val="00BA114B"/>
    <w:rsid w:val="00BA1BDA"/>
    <w:rsid w:val="00BA3B1F"/>
    <w:rsid w:val="00BA6B36"/>
    <w:rsid w:val="00BA6D3F"/>
    <w:rsid w:val="00BA709F"/>
    <w:rsid w:val="00BA7B0A"/>
    <w:rsid w:val="00BB02DB"/>
    <w:rsid w:val="00BB0618"/>
    <w:rsid w:val="00BB0794"/>
    <w:rsid w:val="00BB0A26"/>
    <w:rsid w:val="00BB2B4A"/>
    <w:rsid w:val="00BB36C2"/>
    <w:rsid w:val="00BB3C51"/>
    <w:rsid w:val="00BB44E8"/>
    <w:rsid w:val="00BB4711"/>
    <w:rsid w:val="00BB474A"/>
    <w:rsid w:val="00BB4759"/>
    <w:rsid w:val="00BB5A4F"/>
    <w:rsid w:val="00BB5E95"/>
    <w:rsid w:val="00BB6C28"/>
    <w:rsid w:val="00BC1CB1"/>
    <w:rsid w:val="00BC3635"/>
    <w:rsid w:val="00BC4DAA"/>
    <w:rsid w:val="00BC4F65"/>
    <w:rsid w:val="00BC5A07"/>
    <w:rsid w:val="00BC65B0"/>
    <w:rsid w:val="00BC7A8F"/>
    <w:rsid w:val="00BD1018"/>
    <w:rsid w:val="00BD4154"/>
    <w:rsid w:val="00BE06FC"/>
    <w:rsid w:val="00BE34B1"/>
    <w:rsid w:val="00BE3A3D"/>
    <w:rsid w:val="00BE4333"/>
    <w:rsid w:val="00BE4505"/>
    <w:rsid w:val="00BE59E3"/>
    <w:rsid w:val="00BE5C6C"/>
    <w:rsid w:val="00BE6229"/>
    <w:rsid w:val="00BE643B"/>
    <w:rsid w:val="00BE6CD2"/>
    <w:rsid w:val="00BE71A9"/>
    <w:rsid w:val="00BF028F"/>
    <w:rsid w:val="00BF08D1"/>
    <w:rsid w:val="00BF174D"/>
    <w:rsid w:val="00BF19A2"/>
    <w:rsid w:val="00BF373B"/>
    <w:rsid w:val="00BF3ABD"/>
    <w:rsid w:val="00BF7744"/>
    <w:rsid w:val="00C01C97"/>
    <w:rsid w:val="00C02AB8"/>
    <w:rsid w:val="00C030BE"/>
    <w:rsid w:val="00C04EC5"/>
    <w:rsid w:val="00C0656A"/>
    <w:rsid w:val="00C06EEA"/>
    <w:rsid w:val="00C13075"/>
    <w:rsid w:val="00C14F1B"/>
    <w:rsid w:val="00C15494"/>
    <w:rsid w:val="00C15BD3"/>
    <w:rsid w:val="00C20994"/>
    <w:rsid w:val="00C20FCE"/>
    <w:rsid w:val="00C21D46"/>
    <w:rsid w:val="00C238CB"/>
    <w:rsid w:val="00C24FC7"/>
    <w:rsid w:val="00C255A1"/>
    <w:rsid w:val="00C26518"/>
    <w:rsid w:val="00C26880"/>
    <w:rsid w:val="00C27318"/>
    <w:rsid w:val="00C27BF4"/>
    <w:rsid w:val="00C332B9"/>
    <w:rsid w:val="00C34D58"/>
    <w:rsid w:val="00C3618E"/>
    <w:rsid w:val="00C3625F"/>
    <w:rsid w:val="00C36A9E"/>
    <w:rsid w:val="00C36B9C"/>
    <w:rsid w:val="00C36EE1"/>
    <w:rsid w:val="00C4022A"/>
    <w:rsid w:val="00C4140E"/>
    <w:rsid w:val="00C448BF"/>
    <w:rsid w:val="00C46026"/>
    <w:rsid w:val="00C50253"/>
    <w:rsid w:val="00C50F74"/>
    <w:rsid w:val="00C51069"/>
    <w:rsid w:val="00C51AFB"/>
    <w:rsid w:val="00C51ED7"/>
    <w:rsid w:val="00C527A3"/>
    <w:rsid w:val="00C52CB6"/>
    <w:rsid w:val="00C53CA2"/>
    <w:rsid w:val="00C564E1"/>
    <w:rsid w:val="00C56DB2"/>
    <w:rsid w:val="00C60AC4"/>
    <w:rsid w:val="00C61575"/>
    <w:rsid w:val="00C6291E"/>
    <w:rsid w:val="00C62D62"/>
    <w:rsid w:val="00C6368B"/>
    <w:rsid w:val="00C63B5C"/>
    <w:rsid w:val="00C63FAE"/>
    <w:rsid w:val="00C65451"/>
    <w:rsid w:val="00C66BCB"/>
    <w:rsid w:val="00C70605"/>
    <w:rsid w:val="00C71233"/>
    <w:rsid w:val="00C712DC"/>
    <w:rsid w:val="00C71C5A"/>
    <w:rsid w:val="00C7200D"/>
    <w:rsid w:val="00C722EF"/>
    <w:rsid w:val="00C72D28"/>
    <w:rsid w:val="00C73F7D"/>
    <w:rsid w:val="00C73FA3"/>
    <w:rsid w:val="00C75E2A"/>
    <w:rsid w:val="00C7770C"/>
    <w:rsid w:val="00C80E1C"/>
    <w:rsid w:val="00C80ED5"/>
    <w:rsid w:val="00C81822"/>
    <w:rsid w:val="00C844C9"/>
    <w:rsid w:val="00C853BD"/>
    <w:rsid w:val="00C86159"/>
    <w:rsid w:val="00C87B3B"/>
    <w:rsid w:val="00C902CC"/>
    <w:rsid w:val="00C90B30"/>
    <w:rsid w:val="00C90FD7"/>
    <w:rsid w:val="00C9153B"/>
    <w:rsid w:val="00C920CC"/>
    <w:rsid w:val="00C92649"/>
    <w:rsid w:val="00C92745"/>
    <w:rsid w:val="00C92929"/>
    <w:rsid w:val="00C93B1A"/>
    <w:rsid w:val="00C94368"/>
    <w:rsid w:val="00C94CD4"/>
    <w:rsid w:val="00C95D39"/>
    <w:rsid w:val="00CA0FAC"/>
    <w:rsid w:val="00CA144D"/>
    <w:rsid w:val="00CA15F3"/>
    <w:rsid w:val="00CA3015"/>
    <w:rsid w:val="00CA311A"/>
    <w:rsid w:val="00CA43E8"/>
    <w:rsid w:val="00CA457C"/>
    <w:rsid w:val="00CA47A5"/>
    <w:rsid w:val="00CA6220"/>
    <w:rsid w:val="00CA758B"/>
    <w:rsid w:val="00CB103B"/>
    <w:rsid w:val="00CB2FDE"/>
    <w:rsid w:val="00CB30BC"/>
    <w:rsid w:val="00CB32D6"/>
    <w:rsid w:val="00CB448A"/>
    <w:rsid w:val="00CB689D"/>
    <w:rsid w:val="00CB7A3A"/>
    <w:rsid w:val="00CC0131"/>
    <w:rsid w:val="00CC01C6"/>
    <w:rsid w:val="00CC08B2"/>
    <w:rsid w:val="00CC1AD5"/>
    <w:rsid w:val="00CC3C80"/>
    <w:rsid w:val="00CC4E64"/>
    <w:rsid w:val="00CC572B"/>
    <w:rsid w:val="00CD0F20"/>
    <w:rsid w:val="00CD1659"/>
    <w:rsid w:val="00CD1B43"/>
    <w:rsid w:val="00CD2CDA"/>
    <w:rsid w:val="00CD4F58"/>
    <w:rsid w:val="00CD55A8"/>
    <w:rsid w:val="00CD583F"/>
    <w:rsid w:val="00CD697C"/>
    <w:rsid w:val="00CD733B"/>
    <w:rsid w:val="00CE011B"/>
    <w:rsid w:val="00CE059A"/>
    <w:rsid w:val="00CE3405"/>
    <w:rsid w:val="00CE378C"/>
    <w:rsid w:val="00CE5315"/>
    <w:rsid w:val="00CE570D"/>
    <w:rsid w:val="00CE6174"/>
    <w:rsid w:val="00CF00CE"/>
    <w:rsid w:val="00CF0ED5"/>
    <w:rsid w:val="00CF327D"/>
    <w:rsid w:val="00CF39EA"/>
    <w:rsid w:val="00CF52D9"/>
    <w:rsid w:val="00CF6187"/>
    <w:rsid w:val="00CF665C"/>
    <w:rsid w:val="00CF68F0"/>
    <w:rsid w:val="00CF7B53"/>
    <w:rsid w:val="00D00A8F"/>
    <w:rsid w:val="00D01B87"/>
    <w:rsid w:val="00D020EF"/>
    <w:rsid w:val="00D023E5"/>
    <w:rsid w:val="00D02802"/>
    <w:rsid w:val="00D066F4"/>
    <w:rsid w:val="00D07BC4"/>
    <w:rsid w:val="00D10046"/>
    <w:rsid w:val="00D11F17"/>
    <w:rsid w:val="00D131BB"/>
    <w:rsid w:val="00D13444"/>
    <w:rsid w:val="00D14DF3"/>
    <w:rsid w:val="00D15778"/>
    <w:rsid w:val="00D159AD"/>
    <w:rsid w:val="00D16C22"/>
    <w:rsid w:val="00D2131F"/>
    <w:rsid w:val="00D21C1F"/>
    <w:rsid w:val="00D2239D"/>
    <w:rsid w:val="00D234CF"/>
    <w:rsid w:val="00D235A5"/>
    <w:rsid w:val="00D23D07"/>
    <w:rsid w:val="00D2414D"/>
    <w:rsid w:val="00D24BE2"/>
    <w:rsid w:val="00D24D37"/>
    <w:rsid w:val="00D31FAB"/>
    <w:rsid w:val="00D31FDB"/>
    <w:rsid w:val="00D341EE"/>
    <w:rsid w:val="00D342F3"/>
    <w:rsid w:val="00D370D1"/>
    <w:rsid w:val="00D373E9"/>
    <w:rsid w:val="00D40E65"/>
    <w:rsid w:val="00D41387"/>
    <w:rsid w:val="00D413DF"/>
    <w:rsid w:val="00D42AFB"/>
    <w:rsid w:val="00D42CCD"/>
    <w:rsid w:val="00D4307B"/>
    <w:rsid w:val="00D455CD"/>
    <w:rsid w:val="00D4610D"/>
    <w:rsid w:val="00D512B4"/>
    <w:rsid w:val="00D524C9"/>
    <w:rsid w:val="00D527CC"/>
    <w:rsid w:val="00D52B47"/>
    <w:rsid w:val="00D53844"/>
    <w:rsid w:val="00D5506A"/>
    <w:rsid w:val="00D55458"/>
    <w:rsid w:val="00D55968"/>
    <w:rsid w:val="00D564D9"/>
    <w:rsid w:val="00D56621"/>
    <w:rsid w:val="00D572CA"/>
    <w:rsid w:val="00D62BE8"/>
    <w:rsid w:val="00D62C69"/>
    <w:rsid w:val="00D63E61"/>
    <w:rsid w:val="00D65DCC"/>
    <w:rsid w:val="00D66AFA"/>
    <w:rsid w:val="00D66C6D"/>
    <w:rsid w:val="00D71202"/>
    <w:rsid w:val="00D7189B"/>
    <w:rsid w:val="00D72282"/>
    <w:rsid w:val="00D7270A"/>
    <w:rsid w:val="00D746F6"/>
    <w:rsid w:val="00D76448"/>
    <w:rsid w:val="00D76632"/>
    <w:rsid w:val="00D7672F"/>
    <w:rsid w:val="00D77616"/>
    <w:rsid w:val="00D77A71"/>
    <w:rsid w:val="00D804B9"/>
    <w:rsid w:val="00D809C1"/>
    <w:rsid w:val="00D839C2"/>
    <w:rsid w:val="00D864C4"/>
    <w:rsid w:val="00D86E0F"/>
    <w:rsid w:val="00D90561"/>
    <w:rsid w:val="00D91664"/>
    <w:rsid w:val="00D91724"/>
    <w:rsid w:val="00D93BC7"/>
    <w:rsid w:val="00D94621"/>
    <w:rsid w:val="00D94FD9"/>
    <w:rsid w:val="00D95358"/>
    <w:rsid w:val="00D95ABB"/>
    <w:rsid w:val="00D97A0C"/>
    <w:rsid w:val="00DA1FDA"/>
    <w:rsid w:val="00DA2CF0"/>
    <w:rsid w:val="00DA3545"/>
    <w:rsid w:val="00DA4A86"/>
    <w:rsid w:val="00DA4BCE"/>
    <w:rsid w:val="00DA51FD"/>
    <w:rsid w:val="00DA5411"/>
    <w:rsid w:val="00DA5CD5"/>
    <w:rsid w:val="00DA6EA3"/>
    <w:rsid w:val="00DA71CB"/>
    <w:rsid w:val="00DA738A"/>
    <w:rsid w:val="00DB01E5"/>
    <w:rsid w:val="00DB0A3E"/>
    <w:rsid w:val="00DB2804"/>
    <w:rsid w:val="00DB34DA"/>
    <w:rsid w:val="00DB3551"/>
    <w:rsid w:val="00DB5135"/>
    <w:rsid w:val="00DB66E8"/>
    <w:rsid w:val="00DC1621"/>
    <w:rsid w:val="00DC27B9"/>
    <w:rsid w:val="00DC35E0"/>
    <w:rsid w:val="00DC468A"/>
    <w:rsid w:val="00DC4EE3"/>
    <w:rsid w:val="00DC597E"/>
    <w:rsid w:val="00DC65DB"/>
    <w:rsid w:val="00DC673D"/>
    <w:rsid w:val="00DD2550"/>
    <w:rsid w:val="00DD2BA5"/>
    <w:rsid w:val="00DD2D59"/>
    <w:rsid w:val="00DD4B78"/>
    <w:rsid w:val="00DD54B0"/>
    <w:rsid w:val="00DD5D95"/>
    <w:rsid w:val="00DD7692"/>
    <w:rsid w:val="00DD78AC"/>
    <w:rsid w:val="00DE0AB9"/>
    <w:rsid w:val="00DE0B67"/>
    <w:rsid w:val="00DE0BA1"/>
    <w:rsid w:val="00DE1268"/>
    <w:rsid w:val="00DE28FD"/>
    <w:rsid w:val="00DE543F"/>
    <w:rsid w:val="00DE5A31"/>
    <w:rsid w:val="00DE61BF"/>
    <w:rsid w:val="00DE6339"/>
    <w:rsid w:val="00DF0230"/>
    <w:rsid w:val="00DF0CE3"/>
    <w:rsid w:val="00DF1205"/>
    <w:rsid w:val="00DF1B55"/>
    <w:rsid w:val="00DF1FFD"/>
    <w:rsid w:val="00DF2EA0"/>
    <w:rsid w:val="00DF4A3B"/>
    <w:rsid w:val="00DF5A27"/>
    <w:rsid w:val="00DF7CD2"/>
    <w:rsid w:val="00E00151"/>
    <w:rsid w:val="00E01172"/>
    <w:rsid w:val="00E0244D"/>
    <w:rsid w:val="00E03AEA"/>
    <w:rsid w:val="00E04691"/>
    <w:rsid w:val="00E0479E"/>
    <w:rsid w:val="00E052B6"/>
    <w:rsid w:val="00E056CD"/>
    <w:rsid w:val="00E05FC6"/>
    <w:rsid w:val="00E0636D"/>
    <w:rsid w:val="00E0714C"/>
    <w:rsid w:val="00E11006"/>
    <w:rsid w:val="00E11E9B"/>
    <w:rsid w:val="00E11EE2"/>
    <w:rsid w:val="00E12287"/>
    <w:rsid w:val="00E135B5"/>
    <w:rsid w:val="00E1373D"/>
    <w:rsid w:val="00E14260"/>
    <w:rsid w:val="00E15DA4"/>
    <w:rsid w:val="00E162C8"/>
    <w:rsid w:val="00E1664B"/>
    <w:rsid w:val="00E16A2C"/>
    <w:rsid w:val="00E170B3"/>
    <w:rsid w:val="00E171E8"/>
    <w:rsid w:val="00E20149"/>
    <w:rsid w:val="00E20327"/>
    <w:rsid w:val="00E20C66"/>
    <w:rsid w:val="00E22727"/>
    <w:rsid w:val="00E232C3"/>
    <w:rsid w:val="00E23746"/>
    <w:rsid w:val="00E259EE"/>
    <w:rsid w:val="00E316A4"/>
    <w:rsid w:val="00E319F2"/>
    <w:rsid w:val="00E32C62"/>
    <w:rsid w:val="00E33EA5"/>
    <w:rsid w:val="00E33FF1"/>
    <w:rsid w:val="00E35523"/>
    <w:rsid w:val="00E35F20"/>
    <w:rsid w:val="00E36861"/>
    <w:rsid w:val="00E36D00"/>
    <w:rsid w:val="00E37C69"/>
    <w:rsid w:val="00E37D40"/>
    <w:rsid w:val="00E37DE9"/>
    <w:rsid w:val="00E41047"/>
    <w:rsid w:val="00E418F5"/>
    <w:rsid w:val="00E45797"/>
    <w:rsid w:val="00E45FA7"/>
    <w:rsid w:val="00E50962"/>
    <w:rsid w:val="00E51029"/>
    <w:rsid w:val="00E51330"/>
    <w:rsid w:val="00E51B07"/>
    <w:rsid w:val="00E51E86"/>
    <w:rsid w:val="00E54ABC"/>
    <w:rsid w:val="00E54DF7"/>
    <w:rsid w:val="00E555C7"/>
    <w:rsid w:val="00E556AE"/>
    <w:rsid w:val="00E5575F"/>
    <w:rsid w:val="00E55FB1"/>
    <w:rsid w:val="00E568AE"/>
    <w:rsid w:val="00E56979"/>
    <w:rsid w:val="00E57B4E"/>
    <w:rsid w:val="00E61048"/>
    <w:rsid w:val="00E625B0"/>
    <w:rsid w:val="00E6424E"/>
    <w:rsid w:val="00E65117"/>
    <w:rsid w:val="00E655DC"/>
    <w:rsid w:val="00E71358"/>
    <w:rsid w:val="00E71638"/>
    <w:rsid w:val="00E72DAB"/>
    <w:rsid w:val="00E74001"/>
    <w:rsid w:val="00E743E8"/>
    <w:rsid w:val="00E74A80"/>
    <w:rsid w:val="00E75160"/>
    <w:rsid w:val="00E763FC"/>
    <w:rsid w:val="00E820D4"/>
    <w:rsid w:val="00E82897"/>
    <w:rsid w:val="00E83761"/>
    <w:rsid w:val="00E86F5F"/>
    <w:rsid w:val="00E91CE0"/>
    <w:rsid w:val="00E94FC6"/>
    <w:rsid w:val="00E97E09"/>
    <w:rsid w:val="00EA2038"/>
    <w:rsid w:val="00EA3599"/>
    <w:rsid w:val="00EA51BD"/>
    <w:rsid w:val="00EA72D7"/>
    <w:rsid w:val="00EB020E"/>
    <w:rsid w:val="00EB11EF"/>
    <w:rsid w:val="00EB2E07"/>
    <w:rsid w:val="00EB4353"/>
    <w:rsid w:val="00EB552E"/>
    <w:rsid w:val="00EB5E6A"/>
    <w:rsid w:val="00EB686B"/>
    <w:rsid w:val="00EB7449"/>
    <w:rsid w:val="00EB7506"/>
    <w:rsid w:val="00EC01F8"/>
    <w:rsid w:val="00EC1055"/>
    <w:rsid w:val="00EC1119"/>
    <w:rsid w:val="00EC1EDC"/>
    <w:rsid w:val="00EC27A9"/>
    <w:rsid w:val="00EC290B"/>
    <w:rsid w:val="00EC363E"/>
    <w:rsid w:val="00EC3CE6"/>
    <w:rsid w:val="00EC4984"/>
    <w:rsid w:val="00EC52C5"/>
    <w:rsid w:val="00EC5B81"/>
    <w:rsid w:val="00EC5D65"/>
    <w:rsid w:val="00EC6B05"/>
    <w:rsid w:val="00ED316A"/>
    <w:rsid w:val="00ED3895"/>
    <w:rsid w:val="00ED3DAE"/>
    <w:rsid w:val="00ED4AB2"/>
    <w:rsid w:val="00ED5697"/>
    <w:rsid w:val="00EE0FE4"/>
    <w:rsid w:val="00EE4B60"/>
    <w:rsid w:val="00EE4D84"/>
    <w:rsid w:val="00EE50A7"/>
    <w:rsid w:val="00EE61E4"/>
    <w:rsid w:val="00EE66A3"/>
    <w:rsid w:val="00EE72BE"/>
    <w:rsid w:val="00EF04C9"/>
    <w:rsid w:val="00EF0944"/>
    <w:rsid w:val="00EF117B"/>
    <w:rsid w:val="00EF29F1"/>
    <w:rsid w:val="00EF3793"/>
    <w:rsid w:val="00EF3AA8"/>
    <w:rsid w:val="00EF4C31"/>
    <w:rsid w:val="00EF5B81"/>
    <w:rsid w:val="00EF66BA"/>
    <w:rsid w:val="00F00600"/>
    <w:rsid w:val="00F00B01"/>
    <w:rsid w:val="00F00DE1"/>
    <w:rsid w:val="00F02101"/>
    <w:rsid w:val="00F02E03"/>
    <w:rsid w:val="00F04DFE"/>
    <w:rsid w:val="00F050E2"/>
    <w:rsid w:val="00F05BB1"/>
    <w:rsid w:val="00F0638A"/>
    <w:rsid w:val="00F07AED"/>
    <w:rsid w:val="00F10C9D"/>
    <w:rsid w:val="00F11A07"/>
    <w:rsid w:val="00F1353B"/>
    <w:rsid w:val="00F14695"/>
    <w:rsid w:val="00F17378"/>
    <w:rsid w:val="00F176DC"/>
    <w:rsid w:val="00F1774A"/>
    <w:rsid w:val="00F200A3"/>
    <w:rsid w:val="00F2152D"/>
    <w:rsid w:val="00F2255F"/>
    <w:rsid w:val="00F2263F"/>
    <w:rsid w:val="00F2412C"/>
    <w:rsid w:val="00F24AB0"/>
    <w:rsid w:val="00F260D4"/>
    <w:rsid w:val="00F26B7C"/>
    <w:rsid w:val="00F27A75"/>
    <w:rsid w:val="00F30263"/>
    <w:rsid w:val="00F4096B"/>
    <w:rsid w:val="00F40FEE"/>
    <w:rsid w:val="00F42D65"/>
    <w:rsid w:val="00F502C1"/>
    <w:rsid w:val="00F50A91"/>
    <w:rsid w:val="00F52527"/>
    <w:rsid w:val="00F528B5"/>
    <w:rsid w:val="00F53681"/>
    <w:rsid w:val="00F551BB"/>
    <w:rsid w:val="00F55D2C"/>
    <w:rsid w:val="00F575AF"/>
    <w:rsid w:val="00F57D95"/>
    <w:rsid w:val="00F6222F"/>
    <w:rsid w:val="00F6342E"/>
    <w:rsid w:val="00F63DDC"/>
    <w:rsid w:val="00F6497F"/>
    <w:rsid w:val="00F663D1"/>
    <w:rsid w:val="00F66DE8"/>
    <w:rsid w:val="00F677D8"/>
    <w:rsid w:val="00F67C52"/>
    <w:rsid w:val="00F70789"/>
    <w:rsid w:val="00F70E79"/>
    <w:rsid w:val="00F74429"/>
    <w:rsid w:val="00F768B1"/>
    <w:rsid w:val="00F77C0C"/>
    <w:rsid w:val="00F83182"/>
    <w:rsid w:val="00F838AA"/>
    <w:rsid w:val="00F83B1E"/>
    <w:rsid w:val="00F847BB"/>
    <w:rsid w:val="00F85383"/>
    <w:rsid w:val="00F85533"/>
    <w:rsid w:val="00F872A7"/>
    <w:rsid w:val="00F877EB"/>
    <w:rsid w:val="00F90563"/>
    <w:rsid w:val="00F91C17"/>
    <w:rsid w:val="00F91ECA"/>
    <w:rsid w:val="00F9295F"/>
    <w:rsid w:val="00F95673"/>
    <w:rsid w:val="00F976F3"/>
    <w:rsid w:val="00FA218B"/>
    <w:rsid w:val="00FA2753"/>
    <w:rsid w:val="00FA3491"/>
    <w:rsid w:val="00FA5ADC"/>
    <w:rsid w:val="00FA6882"/>
    <w:rsid w:val="00FA754F"/>
    <w:rsid w:val="00FB0CB9"/>
    <w:rsid w:val="00FB1316"/>
    <w:rsid w:val="00FB181B"/>
    <w:rsid w:val="00FB2818"/>
    <w:rsid w:val="00FB3AE3"/>
    <w:rsid w:val="00FB5540"/>
    <w:rsid w:val="00FB5E8D"/>
    <w:rsid w:val="00FC1388"/>
    <w:rsid w:val="00FC1637"/>
    <w:rsid w:val="00FC40BA"/>
    <w:rsid w:val="00FC4823"/>
    <w:rsid w:val="00FC5438"/>
    <w:rsid w:val="00FC54A2"/>
    <w:rsid w:val="00FC6E68"/>
    <w:rsid w:val="00FC7424"/>
    <w:rsid w:val="00FC7F41"/>
    <w:rsid w:val="00FD09A8"/>
    <w:rsid w:val="00FD3537"/>
    <w:rsid w:val="00FD4589"/>
    <w:rsid w:val="00FD47D0"/>
    <w:rsid w:val="00FD4E31"/>
    <w:rsid w:val="00FD5DF8"/>
    <w:rsid w:val="00FD70F4"/>
    <w:rsid w:val="00FE083D"/>
    <w:rsid w:val="00FE0E40"/>
    <w:rsid w:val="00FE1760"/>
    <w:rsid w:val="00FE1B00"/>
    <w:rsid w:val="00FE3E82"/>
    <w:rsid w:val="00FE425A"/>
    <w:rsid w:val="00FE42BE"/>
    <w:rsid w:val="00FE4804"/>
    <w:rsid w:val="00FE5AC9"/>
    <w:rsid w:val="00FE797B"/>
    <w:rsid w:val="00FF02B1"/>
    <w:rsid w:val="00FF0C93"/>
    <w:rsid w:val="00FF124E"/>
    <w:rsid w:val="00FF2046"/>
    <w:rsid w:val="00FF3196"/>
    <w:rsid w:val="00FF39FB"/>
    <w:rsid w:val="00FF7E2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5A735"/>
  <w15:docId w15:val="{76A7B2F3-2FEC-4D55-AD89-265109AD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D2373"/>
    <w:pPr>
      <w:widowControl w:val="0"/>
    </w:pPr>
  </w:style>
  <w:style w:type="paragraph" w:styleId="Nagwek1">
    <w:name w:val="heading 1"/>
    <w:basedOn w:val="Normalny"/>
    <w:next w:val="Normalny"/>
    <w:link w:val="Nagwek1Znak"/>
    <w:qFormat/>
    <w:rsid w:val="00A4133B"/>
    <w:pPr>
      <w:keepNext/>
      <w:spacing w:before="240" w:after="240"/>
      <w:outlineLvl w:val="0"/>
    </w:pPr>
    <w:rPr>
      <w:rFonts w:ascii="Arial" w:hAnsi="Arial" w:cs="Arial"/>
      <w:b/>
      <w:bCs/>
      <w:i/>
      <w:kern w:val="2"/>
    </w:rPr>
  </w:style>
  <w:style w:type="paragraph" w:styleId="Nagwek2">
    <w:name w:val="heading 2"/>
    <w:basedOn w:val="Normalny"/>
    <w:next w:val="Normalny"/>
    <w:link w:val="Nagwek2Znak"/>
    <w:qFormat/>
    <w:rsid w:val="00A4133B"/>
    <w:pPr>
      <w:keepNext/>
      <w:spacing w:before="240" w:after="240"/>
      <w:outlineLvl w:val="1"/>
    </w:pPr>
    <w:rPr>
      <w:rFonts w:ascii="Arial" w:hAnsi="Arial" w:cs="Arial"/>
      <w:b/>
      <w:bCs/>
      <w:i/>
      <w:iCs/>
      <w:sz w:val="22"/>
      <w:szCs w:val="22"/>
    </w:rPr>
  </w:style>
  <w:style w:type="paragraph" w:styleId="Nagwek3">
    <w:name w:val="heading 3"/>
    <w:basedOn w:val="Normalny"/>
    <w:next w:val="Normalny"/>
    <w:link w:val="Nagwek3Znak"/>
    <w:uiPriority w:val="99"/>
    <w:qFormat/>
    <w:rsid w:val="00A4133B"/>
    <w:pPr>
      <w:keepNext/>
      <w:numPr>
        <w:numId w:val="1"/>
      </w:numPr>
      <w:spacing w:before="240" w:after="60"/>
      <w:outlineLvl w:val="2"/>
    </w:pPr>
    <w:rPr>
      <w:rFonts w:ascii="Arial" w:hAnsi="Arial" w:cs="Arial"/>
      <w:b/>
      <w:bCs/>
      <w:i/>
      <w:sz w:val="22"/>
      <w:szCs w:val="26"/>
    </w:rPr>
  </w:style>
  <w:style w:type="paragraph" w:styleId="Nagwek4">
    <w:name w:val="heading 4"/>
    <w:basedOn w:val="Nagwek3"/>
    <w:next w:val="Normalny"/>
    <w:link w:val="Nagwek4Znak"/>
    <w:uiPriority w:val="99"/>
    <w:qFormat/>
    <w:rsid w:val="00A4133B"/>
    <w:pPr>
      <w:numPr>
        <w:ilvl w:val="1"/>
      </w:numPr>
      <w:outlineLvl w:val="3"/>
    </w:pPr>
  </w:style>
  <w:style w:type="paragraph" w:styleId="Nagwek5">
    <w:name w:val="heading 5"/>
    <w:basedOn w:val="Normalny"/>
    <w:next w:val="Normalny"/>
    <w:link w:val="Nagwek5Znak"/>
    <w:uiPriority w:val="99"/>
    <w:qFormat/>
    <w:rsid w:val="003D2A8E"/>
    <w:pPr>
      <w:spacing w:before="240" w:after="60"/>
      <w:outlineLvl w:val="4"/>
    </w:pPr>
    <w:rPr>
      <w:b/>
      <w:bCs/>
      <w:i/>
      <w:iCs/>
      <w:sz w:val="26"/>
      <w:szCs w:val="26"/>
    </w:rPr>
  </w:style>
  <w:style w:type="paragraph" w:styleId="Nagwek8">
    <w:name w:val="heading 8"/>
    <w:basedOn w:val="Normalny"/>
    <w:next w:val="Normalny"/>
    <w:link w:val="Nagwek8Znak"/>
    <w:semiHidden/>
    <w:unhideWhenUsed/>
    <w:qFormat/>
    <w:locked/>
    <w:rsid w:val="0016482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locked/>
    <w:rsid w:val="00B42B53"/>
    <w:rPr>
      <w:rFonts w:ascii="Cambria" w:hAnsi="Cambria" w:cs="Times New Roman"/>
      <w:b/>
      <w:bCs/>
      <w:kern w:val="2"/>
      <w:sz w:val="32"/>
      <w:szCs w:val="32"/>
    </w:rPr>
  </w:style>
  <w:style w:type="character" w:customStyle="1" w:styleId="Nagwek2Znak">
    <w:name w:val="Nagłówek 2 Znak"/>
    <w:link w:val="Nagwek2"/>
    <w:qFormat/>
    <w:locked/>
    <w:rsid w:val="00B42B53"/>
    <w:rPr>
      <w:rFonts w:ascii="Cambria" w:hAnsi="Cambria" w:cs="Times New Roman"/>
      <w:b/>
      <w:bCs/>
      <w:i/>
      <w:iCs/>
      <w:sz w:val="28"/>
      <w:szCs w:val="28"/>
    </w:rPr>
  </w:style>
  <w:style w:type="character" w:customStyle="1" w:styleId="Nagwek3Znak">
    <w:name w:val="Nagłówek 3 Znak"/>
    <w:link w:val="Nagwek3"/>
    <w:uiPriority w:val="99"/>
    <w:qFormat/>
    <w:locked/>
    <w:rsid w:val="00B42B53"/>
    <w:rPr>
      <w:rFonts w:ascii="Arial" w:hAnsi="Arial" w:cs="Arial"/>
      <w:b/>
      <w:bCs/>
      <w:i/>
      <w:sz w:val="22"/>
      <w:szCs w:val="26"/>
    </w:rPr>
  </w:style>
  <w:style w:type="character" w:customStyle="1" w:styleId="Nagwek4Znak">
    <w:name w:val="Nagłówek 4 Znak"/>
    <w:link w:val="Nagwek4"/>
    <w:uiPriority w:val="99"/>
    <w:qFormat/>
    <w:locked/>
    <w:rsid w:val="00A4133B"/>
    <w:rPr>
      <w:rFonts w:ascii="Arial" w:hAnsi="Arial" w:cs="Arial"/>
      <w:b/>
      <w:bCs/>
      <w:i/>
      <w:sz w:val="22"/>
      <w:szCs w:val="26"/>
    </w:rPr>
  </w:style>
  <w:style w:type="character" w:customStyle="1" w:styleId="Nagwek5Znak">
    <w:name w:val="Nagłówek 5 Znak"/>
    <w:link w:val="Nagwek5"/>
    <w:uiPriority w:val="99"/>
    <w:semiHidden/>
    <w:qFormat/>
    <w:locked/>
    <w:rsid w:val="00B42B53"/>
    <w:rPr>
      <w:rFonts w:ascii="Calibri" w:hAnsi="Calibri" w:cs="Times New Roman"/>
      <w:b/>
      <w:bCs/>
      <w:i/>
      <w:iCs/>
      <w:sz w:val="26"/>
      <w:szCs w:val="26"/>
    </w:rPr>
  </w:style>
  <w:style w:type="character" w:customStyle="1" w:styleId="NagwekZnak">
    <w:name w:val="Nagłówek Znak"/>
    <w:link w:val="Nagwek"/>
    <w:uiPriority w:val="99"/>
    <w:qFormat/>
    <w:locked/>
    <w:rsid w:val="00566AE1"/>
    <w:rPr>
      <w:rFonts w:cs="Times New Roman"/>
      <w:lang w:val="pl-PL" w:eastAsia="pl-PL"/>
    </w:rPr>
  </w:style>
  <w:style w:type="character" w:customStyle="1" w:styleId="napakapitZnak">
    <w:name w:val="nap_akapit Znak"/>
    <w:uiPriority w:val="99"/>
    <w:qFormat/>
    <w:locked/>
    <w:rsid w:val="00D21058"/>
    <w:rPr>
      <w:rFonts w:ascii="Arial" w:hAnsi="Arial"/>
      <w:lang w:val="pl-PL" w:eastAsia="pl-PL"/>
    </w:rPr>
  </w:style>
  <w:style w:type="character" w:styleId="Odwoaniedokomentarza">
    <w:name w:val="annotation reference"/>
    <w:uiPriority w:val="99"/>
    <w:semiHidden/>
    <w:qFormat/>
    <w:rsid w:val="00F158D3"/>
    <w:rPr>
      <w:rFonts w:cs="Times New Roman"/>
      <w:sz w:val="16"/>
    </w:rPr>
  </w:style>
  <w:style w:type="character" w:customStyle="1" w:styleId="TekstkomentarzaZnak">
    <w:name w:val="Tekst komentarza Znak"/>
    <w:link w:val="Tekstkomentarza"/>
    <w:uiPriority w:val="99"/>
    <w:semiHidden/>
    <w:qFormat/>
    <w:locked/>
    <w:rsid w:val="00F158D3"/>
    <w:rPr>
      <w:rFonts w:cs="Times New Roman"/>
      <w:lang w:val="pl-PL" w:eastAsia="pl-PL"/>
    </w:rPr>
  </w:style>
  <w:style w:type="character" w:customStyle="1" w:styleId="TekstdymkaZnak">
    <w:name w:val="Tekst dymka Znak"/>
    <w:link w:val="Tekstdymka"/>
    <w:uiPriority w:val="99"/>
    <w:semiHidden/>
    <w:qFormat/>
    <w:locked/>
    <w:rsid w:val="00B42B53"/>
    <w:rPr>
      <w:rFonts w:cs="Times New Roman"/>
      <w:sz w:val="2"/>
    </w:rPr>
  </w:style>
  <w:style w:type="character" w:customStyle="1" w:styleId="Wyrnienie">
    <w:name w:val="Wyróżnienie"/>
    <w:uiPriority w:val="99"/>
    <w:qFormat/>
    <w:rsid w:val="006D5C2C"/>
    <w:rPr>
      <w:rFonts w:cs="Times New Roman"/>
      <w:i/>
    </w:rPr>
  </w:style>
  <w:style w:type="character" w:customStyle="1" w:styleId="TekstpodstawowyZnak">
    <w:name w:val="Tekst podstawowy Znak"/>
    <w:link w:val="Tekstpodstawowy"/>
    <w:uiPriority w:val="99"/>
    <w:qFormat/>
    <w:locked/>
    <w:rsid w:val="006D5C2C"/>
    <w:rPr>
      <w:rFonts w:cs="Times New Roman"/>
      <w:sz w:val="24"/>
      <w:lang w:val="pl-PL" w:eastAsia="pl-PL"/>
    </w:rPr>
  </w:style>
  <w:style w:type="character" w:customStyle="1" w:styleId="StopkaZnak">
    <w:name w:val="Stopka Znak"/>
    <w:link w:val="Stopka"/>
    <w:uiPriority w:val="99"/>
    <w:qFormat/>
    <w:locked/>
    <w:rsid w:val="00B42B53"/>
    <w:rPr>
      <w:rFonts w:cs="Times New Roman"/>
      <w:sz w:val="24"/>
      <w:szCs w:val="24"/>
    </w:rPr>
  </w:style>
  <w:style w:type="character" w:styleId="Numerstrony">
    <w:name w:val="page number"/>
    <w:uiPriority w:val="99"/>
    <w:qFormat/>
    <w:rsid w:val="00AF59DE"/>
    <w:rPr>
      <w:rFonts w:cs="Times New Roman"/>
    </w:rPr>
  </w:style>
  <w:style w:type="character" w:customStyle="1" w:styleId="czeinternetowe">
    <w:name w:val="Łącze internetowe"/>
    <w:uiPriority w:val="99"/>
    <w:rsid w:val="00FD3FA9"/>
    <w:rPr>
      <w:rFonts w:cs="Times New Roman"/>
      <w:color w:val="0000FF"/>
      <w:u w:val="single"/>
    </w:rPr>
  </w:style>
  <w:style w:type="character" w:customStyle="1" w:styleId="1naglowekZnak">
    <w:name w:val="1 naglowek Znak"/>
    <w:link w:val="1naglowek"/>
    <w:uiPriority w:val="99"/>
    <w:qFormat/>
    <w:locked/>
    <w:rsid w:val="0035176C"/>
    <w:rPr>
      <w:rFonts w:ascii="Arial" w:hAnsi="Arial"/>
      <w:b/>
      <w:caps/>
      <w:sz w:val="24"/>
    </w:rPr>
  </w:style>
  <w:style w:type="character" w:customStyle="1" w:styleId="TematkomentarzaZnak">
    <w:name w:val="Temat komentarza Znak"/>
    <w:link w:val="Tematkomentarza"/>
    <w:uiPriority w:val="99"/>
    <w:semiHidden/>
    <w:qFormat/>
    <w:locked/>
    <w:rsid w:val="00B42B53"/>
    <w:rPr>
      <w:rFonts w:cs="Times New Roman"/>
      <w:b/>
      <w:bCs/>
      <w:sz w:val="20"/>
      <w:szCs w:val="20"/>
      <w:lang w:val="pl-PL" w:eastAsia="pl-PL"/>
    </w:rPr>
  </w:style>
  <w:style w:type="character" w:customStyle="1" w:styleId="MapadokumentuZnak">
    <w:name w:val="Mapa dokumentu Znak"/>
    <w:link w:val="Mapadokumentu"/>
    <w:uiPriority w:val="99"/>
    <w:semiHidden/>
    <w:qFormat/>
    <w:locked/>
    <w:rsid w:val="00B42B53"/>
    <w:rPr>
      <w:rFonts w:cs="Times New Roman"/>
      <w:sz w:val="2"/>
    </w:rPr>
  </w:style>
  <w:style w:type="character" w:customStyle="1" w:styleId="TekstprzypisukocowegoZnak">
    <w:name w:val="Tekst przypisu końcowego Znak"/>
    <w:basedOn w:val="Domylnaczcionkaakapitu"/>
    <w:link w:val="Tekstprzypisukocowego"/>
    <w:uiPriority w:val="99"/>
    <w:semiHidden/>
    <w:qFormat/>
    <w:rsid w:val="0030252F"/>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30252F"/>
    <w:rPr>
      <w:vertAlign w:val="superscript"/>
    </w:rPr>
  </w:style>
  <w:style w:type="character" w:customStyle="1" w:styleId="Nagwek8Znak">
    <w:name w:val="Nagłówek 8 Znak"/>
    <w:basedOn w:val="Domylnaczcionkaakapitu"/>
    <w:link w:val="Nagwek8"/>
    <w:semiHidden/>
    <w:qFormat/>
    <w:rsid w:val="0016482F"/>
    <w:rPr>
      <w:rFonts w:asciiTheme="majorHAnsi" w:eastAsiaTheme="majorEastAsia" w:hAnsiTheme="majorHAnsi" w:cstheme="majorBidi"/>
      <w:color w:val="272727" w:themeColor="text1" w:themeTint="D8"/>
      <w:sz w:val="21"/>
      <w:szCs w:val="21"/>
    </w:rPr>
  </w:style>
  <w:style w:type="character" w:customStyle="1" w:styleId="Odwiedzoneczeinternetowe">
    <w:name w:val="Odwiedzone łącze internetowe"/>
    <w:basedOn w:val="Domylnaczcionkaakapitu"/>
    <w:uiPriority w:val="99"/>
    <w:semiHidden/>
    <w:unhideWhenUsed/>
    <w:rsid w:val="006C60D4"/>
    <w:rPr>
      <w:color w:val="800080" w:themeColor="followedHyperlink"/>
      <w:u w:val="single"/>
    </w:rPr>
  </w:style>
  <w:style w:type="character" w:customStyle="1" w:styleId="TekstprzypisudolnegoZnak">
    <w:name w:val="Tekst przypisu dolnego Znak"/>
    <w:basedOn w:val="Domylnaczcionkaakapitu"/>
    <w:link w:val="Tekstprzypisudolnego"/>
    <w:uiPriority w:val="99"/>
    <w:qFormat/>
    <w:rsid w:val="004F5F22"/>
    <w:rPr>
      <w:rFonts w:eastAsia="Calibri"/>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basedOn w:val="Domylnaczcionkaakapitu"/>
    <w:uiPriority w:val="99"/>
    <w:qFormat/>
    <w:rsid w:val="004F5F22"/>
    <w:rPr>
      <w:rFonts w:cs="Times New Roman"/>
      <w:vertAlign w:val="superscript"/>
    </w:rPr>
  </w:style>
  <w:style w:type="character" w:customStyle="1" w:styleId="czeindeksu">
    <w:name w:val="Łącze indeksu"/>
    <w:qFormat/>
  </w:style>
  <w:style w:type="paragraph" w:styleId="Nagwek">
    <w:name w:val="header"/>
    <w:basedOn w:val="Normalny"/>
    <w:next w:val="Tekstpodstawowy"/>
    <w:link w:val="NagwekZnak"/>
    <w:uiPriority w:val="99"/>
    <w:rsid w:val="00566AE1"/>
    <w:pPr>
      <w:tabs>
        <w:tab w:val="center" w:pos="4536"/>
        <w:tab w:val="right" w:pos="9072"/>
      </w:tabs>
    </w:pPr>
  </w:style>
  <w:style w:type="paragraph" w:styleId="Tekstpodstawowy">
    <w:name w:val="Body Text"/>
    <w:basedOn w:val="Normalny"/>
    <w:link w:val="TekstpodstawowyZnak"/>
    <w:uiPriority w:val="99"/>
    <w:rsid w:val="006D5C2C"/>
    <w:pPr>
      <w:spacing w:after="120"/>
    </w:pPr>
  </w:style>
  <w:style w:type="paragraph" w:styleId="Lista">
    <w:name w:val="List"/>
    <w:basedOn w:val="Tekstpodstawowy"/>
    <w:rPr>
      <w:rFonts w:cs="Lucida Sans"/>
    </w:rPr>
  </w:style>
  <w:style w:type="paragraph" w:styleId="Legenda">
    <w:name w:val="caption"/>
    <w:basedOn w:val="Normalny"/>
    <w:next w:val="Normalny"/>
    <w:uiPriority w:val="99"/>
    <w:qFormat/>
    <w:rsid w:val="005C7587"/>
    <w:pPr>
      <w:spacing w:after="200"/>
      <w:jc w:val="both"/>
    </w:pPr>
    <w:rPr>
      <w:rFonts w:ascii="Arial" w:hAnsi="Arial" w:cs="Arial"/>
      <w:b/>
      <w:bCs/>
      <w:szCs w:val="18"/>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napakapit">
    <w:name w:val="nap_akapit"/>
    <w:basedOn w:val="Nagwek"/>
    <w:uiPriority w:val="99"/>
    <w:qFormat/>
    <w:rsid w:val="00D21058"/>
    <w:pPr>
      <w:spacing w:before="120" w:after="120" w:line="360" w:lineRule="auto"/>
      <w:ind w:firstLine="360"/>
      <w:jc w:val="both"/>
    </w:pPr>
    <w:rPr>
      <w:rFonts w:ascii="Arial" w:hAnsi="Arial"/>
    </w:rPr>
  </w:style>
  <w:style w:type="paragraph" w:customStyle="1" w:styleId="Nag5ten">
    <w:name w:val="Nagł 5_ten"/>
    <w:basedOn w:val="Nagwek4"/>
    <w:uiPriority w:val="99"/>
    <w:qFormat/>
    <w:rsid w:val="005C1E5E"/>
    <w:pPr>
      <w:numPr>
        <w:ilvl w:val="0"/>
        <w:numId w:val="0"/>
      </w:numPr>
    </w:pPr>
  </w:style>
  <w:style w:type="paragraph" w:styleId="Tekstkomentarza">
    <w:name w:val="annotation text"/>
    <w:basedOn w:val="Normalny"/>
    <w:link w:val="TekstkomentarzaZnak"/>
    <w:uiPriority w:val="99"/>
    <w:semiHidden/>
    <w:qFormat/>
    <w:rsid w:val="00F158D3"/>
  </w:style>
  <w:style w:type="paragraph" w:styleId="Tekstdymka">
    <w:name w:val="Balloon Text"/>
    <w:basedOn w:val="Normalny"/>
    <w:link w:val="TekstdymkaZnak"/>
    <w:uiPriority w:val="99"/>
    <w:semiHidden/>
    <w:qFormat/>
    <w:rsid w:val="00F158D3"/>
    <w:rPr>
      <w:rFonts w:ascii="Tahoma" w:hAnsi="Tahoma" w:cs="Tahoma"/>
      <w:sz w:val="16"/>
      <w:szCs w:val="16"/>
    </w:rPr>
  </w:style>
  <w:style w:type="paragraph" w:styleId="Stopka">
    <w:name w:val="footer"/>
    <w:basedOn w:val="Normalny"/>
    <w:link w:val="StopkaZnak"/>
    <w:uiPriority w:val="99"/>
    <w:rsid w:val="00AF59DE"/>
    <w:pPr>
      <w:tabs>
        <w:tab w:val="center" w:pos="4536"/>
        <w:tab w:val="right" w:pos="9072"/>
      </w:tabs>
    </w:pPr>
  </w:style>
  <w:style w:type="paragraph" w:customStyle="1" w:styleId="1naglowek">
    <w:name w:val="1 naglowek"/>
    <w:basedOn w:val="Nagwek"/>
    <w:link w:val="1naglowekZnak"/>
    <w:uiPriority w:val="99"/>
    <w:qFormat/>
    <w:rsid w:val="0035176C"/>
    <w:pPr>
      <w:tabs>
        <w:tab w:val="clear" w:pos="4536"/>
        <w:tab w:val="clear" w:pos="9072"/>
      </w:tabs>
      <w:spacing w:line="360" w:lineRule="auto"/>
      <w:jc w:val="both"/>
      <w:outlineLvl w:val="0"/>
    </w:pPr>
    <w:rPr>
      <w:rFonts w:ascii="Arial" w:hAnsi="Arial"/>
      <w:b/>
      <w:caps/>
      <w:sz w:val="24"/>
    </w:rPr>
  </w:style>
  <w:style w:type="paragraph" w:customStyle="1" w:styleId="2naglowek">
    <w:name w:val="2 naglowek"/>
    <w:basedOn w:val="1naglowek"/>
    <w:uiPriority w:val="99"/>
    <w:qFormat/>
    <w:rsid w:val="0035176C"/>
    <w:pPr>
      <w:tabs>
        <w:tab w:val="left" w:pos="1500"/>
      </w:tabs>
      <w:ind w:left="1500"/>
    </w:pPr>
    <w:rPr>
      <w:caps w:val="0"/>
    </w:rPr>
  </w:style>
  <w:style w:type="paragraph" w:customStyle="1" w:styleId="3naglowek">
    <w:name w:val="3 naglowek"/>
    <w:basedOn w:val="2naglowek"/>
    <w:uiPriority w:val="99"/>
    <w:qFormat/>
    <w:rsid w:val="0035176C"/>
    <w:pPr>
      <w:tabs>
        <w:tab w:val="left" w:pos="2220"/>
      </w:tabs>
      <w:spacing w:before="240" w:after="240"/>
      <w:ind w:left="2220"/>
    </w:pPr>
    <w:rPr>
      <w:b w:val="0"/>
    </w:rPr>
  </w:style>
  <w:style w:type="paragraph" w:customStyle="1" w:styleId="4naglowek">
    <w:name w:val="4 naglowek"/>
    <w:basedOn w:val="3naglowek"/>
    <w:uiPriority w:val="99"/>
    <w:qFormat/>
    <w:rsid w:val="0035176C"/>
    <w:pPr>
      <w:tabs>
        <w:tab w:val="left" w:pos="2940"/>
      </w:tabs>
      <w:ind w:left="2940"/>
    </w:pPr>
  </w:style>
  <w:style w:type="paragraph" w:styleId="NormalnyWeb">
    <w:name w:val="Normal (Web)"/>
    <w:basedOn w:val="Normalny"/>
    <w:uiPriority w:val="99"/>
    <w:qFormat/>
    <w:rsid w:val="0035176C"/>
    <w:pPr>
      <w:spacing w:beforeAutospacing="1" w:afterAutospacing="1"/>
    </w:pPr>
  </w:style>
  <w:style w:type="paragraph" w:styleId="Spistreci1">
    <w:name w:val="toc 1"/>
    <w:basedOn w:val="Normalny"/>
    <w:next w:val="Normalny"/>
    <w:autoRedefine/>
    <w:uiPriority w:val="39"/>
    <w:rsid w:val="008E5A29"/>
    <w:pPr>
      <w:tabs>
        <w:tab w:val="left" w:pos="709"/>
        <w:tab w:val="right" w:leader="dot" w:pos="9062"/>
      </w:tabs>
      <w:ind w:left="709" w:hanging="425"/>
    </w:pPr>
    <w:rPr>
      <w:b/>
      <w:bCs/>
      <w:caps/>
    </w:rPr>
  </w:style>
  <w:style w:type="paragraph" w:styleId="Spistreci2">
    <w:name w:val="toc 2"/>
    <w:basedOn w:val="Normalny"/>
    <w:next w:val="Normalny"/>
    <w:autoRedefine/>
    <w:uiPriority w:val="39"/>
    <w:rsid w:val="00816E94"/>
    <w:pPr>
      <w:tabs>
        <w:tab w:val="right" w:leader="dot" w:pos="9062"/>
      </w:tabs>
      <w:ind w:left="709"/>
    </w:pPr>
    <w:rPr>
      <w:smallCaps/>
      <w:sz w:val="18"/>
      <w:szCs w:val="18"/>
    </w:rPr>
  </w:style>
  <w:style w:type="paragraph" w:styleId="Spistreci3">
    <w:name w:val="toc 3"/>
    <w:basedOn w:val="Normalny"/>
    <w:next w:val="Normalny"/>
    <w:autoRedefine/>
    <w:uiPriority w:val="39"/>
    <w:rsid w:val="009F2865"/>
    <w:pPr>
      <w:tabs>
        <w:tab w:val="right" w:leader="dot" w:pos="9062"/>
      </w:tabs>
      <w:ind w:left="993"/>
    </w:pPr>
    <w:rPr>
      <w:iCs/>
    </w:rPr>
  </w:style>
  <w:style w:type="paragraph" w:styleId="Spistreci4">
    <w:name w:val="toc 4"/>
    <w:basedOn w:val="Normalny"/>
    <w:next w:val="Normalny"/>
    <w:autoRedefine/>
    <w:uiPriority w:val="39"/>
    <w:rsid w:val="00521EB7"/>
    <w:pPr>
      <w:ind w:left="720"/>
    </w:pPr>
    <w:rPr>
      <w:sz w:val="18"/>
      <w:szCs w:val="18"/>
    </w:rPr>
  </w:style>
  <w:style w:type="paragraph" w:styleId="Spistreci5">
    <w:name w:val="toc 5"/>
    <w:basedOn w:val="Normalny"/>
    <w:next w:val="Normalny"/>
    <w:autoRedefine/>
    <w:uiPriority w:val="39"/>
    <w:rsid w:val="00521EB7"/>
    <w:pPr>
      <w:ind w:left="960"/>
    </w:pPr>
    <w:rPr>
      <w:sz w:val="18"/>
      <w:szCs w:val="18"/>
    </w:rPr>
  </w:style>
  <w:style w:type="paragraph" w:styleId="Spistreci6">
    <w:name w:val="toc 6"/>
    <w:basedOn w:val="Normalny"/>
    <w:next w:val="Normalny"/>
    <w:autoRedefine/>
    <w:uiPriority w:val="39"/>
    <w:rsid w:val="002E2508"/>
    <w:pPr>
      <w:ind w:left="1200"/>
    </w:pPr>
    <w:rPr>
      <w:sz w:val="18"/>
      <w:szCs w:val="18"/>
    </w:rPr>
  </w:style>
  <w:style w:type="paragraph" w:styleId="Spistreci7">
    <w:name w:val="toc 7"/>
    <w:basedOn w:val="Normalny"/>
    <w:next w:val="Normalny"/>
    <w:autoRedefine/>
    <w:uiPriority w:val="39"/>
    <w:rsid w:val="002E2508"/>
    <w:pPr>
      <w:ind w:left="1440"/>
    </w:pPr>
    <w:rPr>
      <w:sz w:val="18"/>
      <w:szCs w:val="18"/>
    </w:rPr>
  </w:style>
  <w:style w:type="paragraph" w:styleId="Spistreci8">
    <w:name w:val="toc 8"/>
    <w:basedOn w:val="Normalny"/>
    <w:next w:val="Normalny"/>
    <w:autoRedefine/>
    <w:uiPriority w:val="39"/>
    <w:rsid w:val="002E2508"/>
    <w:pPr>
      <w:ind w:left="1680"/>
    </w:pPr>
    <w:rPr>
      <w:sz w:val="18"/>
      <w:szCs w:val="18"/>
    </w:rPr>
  </w:style>
  <w:style w:type="paragraph" w:styleId="Spistreci9">
    <w:name w:val="toc 9"/>
    <w:basedOn w:val="Normalny"/>
    <w:next w:val="Normalny"/>
    <w:autoRedefine/>
    <w:uiPriority w:val="39"/>
    <w:rsid w:val="002E2508"/>
    <w:pPr>
      <w:ind w:left="1920"/>
    </w:pPr>
    <w:rPr>
      <w:sz w:val="18"/>
      <w:szCs w:val="18"/>
    </w:rPr>
  </w:style>
  <w:style w:type="paragraph" w:customStyle="1" w:styleId="Default">
    <w:name w:val="Default"/>
    <w:qFormat/>
    <w:rsid w:val="00D66AB6"/>
    <w:rPr>
      <w:color w:val="000000"/>
      <w:sz w:val="24"/>
      <w:szCs w:val="24"/>
    </w:rPr>
  </w:style>
  <w:style w:type="paragraph" w:styleId="Tematkomentarza">
    <w:name w:val="annotation subject"/>
    <w:basedOn w:val="Tekstkomentarza"/>
    <w:next w:val="Tekstkomentarza"/>
    <w:link w:val="TematkomentarzaZnak"/>
    <w:uiPriority w:val="99"/>
    <w:semiHidden/>
    <w:qFormat/>
    <w:rsid w:val="00D66AB6"/>
    <w:rPr>
      <w:b/>
      <w:bCs/>
    </w:rPr>
  </w:style>
  <w:style w:type="paragraph" w:styleId="Mapadokumentu">
    <w:name w:val="Document Map"/>
    <w:basedOn w:val="Normalny"/>
    <w:link w:val="MapadokumentuZnak"/>
    <w:uiPriority w:val="99"/>
    <w:semiHidden/>
    <w:qFormat/>
    <w:rsid w:val="00E33F50"/>
    <w:pPr>
      <w:shd w:val="clear" w:color="auto" w:fill="000080"/>
    </w:pPr>
    <w:rPr>
      <w:rFonts w:ascii="Tahoma" w:hAnsi="Tahoma" w:cs="Tahoma"/>
    </w:rPr>
  </w:style>
  <w:style w:type="paragraph" w:customStyle="1" w:styleId="nag-5">
    <w:name w:val="nag-5"/>
    <w:basedOn w:val="Nagwek4"/>
    <w:uiPriority w:val="99"/>
    <w:qFormat/>
    <w:rsid w:val="00A4133B"/>
    <w:pPr>
      <w:numPr>
        <w:ilvl w:val="0"/>
        <w:numId w:val="0"/>
      </w:numPr>
    </w:pPr>
  </w:style>
  <w:style w:type="paragraph" w:styleId="Tekstprzypisukocowego">
    <w:name w:val="endnote text"/>
    <w:basedOn w:val="Normalny"/>
    <w:link w:val="TekstprzypisukocowegoZnak"/>
    <w:uiPriority w:val="99"/>
    <w:semiHidden/>
    <w:unhideWhenUsed/>
    <w:rsid w:val="0030252F"/>
  </w:style>
  <w:style w:type="paragraph" w:styleId="Akapitzlist">
    <w:name w:val="List Paragraph"/>
    <w:basedOn w:val="Normalny"/>
    <w:uiPriority w:val="34"/>
    <w:qFormat/>
    <w:rsid w:val="00503112"/>
    <w:pPr>
      <w:spacing w:after="160" w:line="259" w:lineRule="auto"/>
      <w:ind w:left="720"/>
      <w:contextualSpacing/>
    </w:pPr>
    <w:rPr>
      <w:rFonts w:asciiTheme="minorHAnsi" w:eastAsiaTheme="minorHAnsi" w:hAnsiTheme="minorHAnsi" w:cstheme="minorBidi"/>
      <w:sz w:val="22"/>
      <w:szCs w:val="22"/>
      <w:lang w:eastAsia="en-US"/>
    </w:rPr>
  </w:style>
  <w:style w:type="paragraph" w:styleId="Tekstprzypisudolnego">
    <w:name w:val="footnote text"/>
    <w:basedOn w:val="Normalny"/>
    <w:link w:val="TekstprzypisudolnegoZnak"/>
    <w:uiPriority w:val="99"/>
    <w:rsid w:val="004F5F22"/>
    <w:rPr>
      <w:rFonts w:eastAsia="Calibri"/>
    </w:rPr>
  </w:style>
  <w:style w:type="paragraph" w:styleId="Poprawka">
    <w:name w:val="Revision"/>
    <w:uiPriority w:val="99"/>
    <w:semiHidden/>
    <w:qFormat/>
    <w:rsid w:val="002E1327"/>
    <w:rPr>
      <w:sz w:val="24"/>
      <w:szCs w:val="24"/>
    </w:rPr>
  </w:style>
  <w:style w:type="paragraph" w:customStyle="1" w:styleId="Zawartoramki">
    <w:name w:val="Zawartość ramki"/>
    <w:basedOn w:val="Normalny"/>
    <w:qFormat/>
  </w:style>
  <w:style w:type="numbering" w:styleId="111111">
    <w:name w:val="Outline List 2"/>
    <w:uiPriority w:val="99"/>
    <w:semiHidden/>
    <w:unhideWhenUsed/>
    <w:qFormat/>
    <w:rsid w:val="00E02F9A"/>
  </w:style>
  <w:style w:type="table" w:styleId="Tabela-Siatka">
    <w:name w:val="Table Grid"/>
    <w:basedOn w:val="Standardowy"/>
    <w:uiPriority w:val="39"/>
    <w:rsid w:val="00354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rsid w:val="00F37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03B0D"/>
    <w:rPr>
      <w:color w:val="0000FF" w:themeColor="hyperlink"/>
      <w:u w:val="single"/>
    </w:rPr>
  </w:style>
  <w:style w:type="paragraph" w:customStyle="1" w:styleId="doc-ti">
    <w:name w:val="doc-ti"/>
    <w:basedOn w:val="Normalny"/>
    <w:rsid w:val="005D2507"/>
    <w:pPr>
      <w:widowControl/>
      <w:spacing w:before="100" w:beforeAutospacing="1" w:after="100" w:afterAutospacing="1"/>
    </w:pPr>
    <w:rPr>
      <w:sz w:val="24"/>
      <w:szCs w:val="24"/>
    </w:rPr>
  </w:style>
  <w:style w:type="character" w:customStyle="1" w:styleId="WW8Num1z2">
    <w:name w:val="WW8Num1z2"/>
    <w:qFormat/>
    <w:rsid w:val="00C920CC"/>
  </w:style>
  <w:style w:type="character" w:styleId="Odwoanieprzypisukocowego">
    <w:name w:val="endnote reference"/>
    <w:basedOn w:val="Domylnaczcionkaakapitu"/>
    <w:uiPriority w:val="99"/>
    <w:semiHidden/>
    <w:unhideWhenUsed/>
    <w:rsid w:val="00AA7DF6"/>
    <w:rPr>
      <w:vertAlign w:val="superscript"/>
    </w:rPr>
  </w:style>
  <w:style w:type="character" w:customStyle="1" w:styleId="Nierozpoznanawzmianka1">
    <w:name w:val="Nierozpoznana wzmianka1"/>
    <w:basedOn w:val="Domylnaczcionkaakapitu"/>
    <w:uiPriority w:val="99"/>
    <w:semiHidden/>
    <w:unhideWhenUsed/>
    <w:rsid w:val="00A87A9A"/>
    <w:rPr>
      <w:color w:val="605E5C"/>
      <w:shd w:val="clear" w:color="auto" w:fill="E1DFDD"/>
    </w:rPr>
  </w:style>
  <w:style w:type="paragraph" w:customStyle="1" w:styleId="Standard">
    <w:name w:val="Standard"/>
    <w:uiPriority w:val="99"/>
    <w:qFormat/>
    <w:rsid w:val="005868D4"/>
    <w:pPr>
      <w:suppressAutoHyphens/>
      <w:spacing w:after="80" w:line="360" w:lineRule="auto"/>
    </w:pPr>
    <w:rPr>
      <w:rFonts w:eastAsia="Lucida Sans Unicode" w:cs="F"/>
      <w:kern w:val="2"/>
      <w:sz w:val="24"/>
      <w:szCs w:val="22"/>
      <w:lang w:eastAsia="en-US"/>
    </w:rPr>
  </w:style>
  <w:style w:type="numbering" w:customStyle="1" w:styleId="Bezlisty1">
    <w:name w:val="Bez listy1"/>
    <w:next w:val="Bezlisty"/>
    <w:uiPriority w:val="99"/>
    <w:semiHidden/>
    <w:unhideWhenUsed/>
    <w:rsid w:val="00575C57"/>
  </w:style>
  <w:style w:type="character" w:customStyle="1" w:styleId="UyteHipercze1">
    <w:name w:val="UżyteHiperłącze1"/>
    <w:basedOn w:val="Domylnaczcionkaakapitu"/>
    <w:uiPriority w:val="99"/>
    <w:semiHidden/>
    <w:unhideWhenUsed/>
    <w:rsid w:val="00575C57"/>
    <w:rPr>
      <w:color w:val="800080"/>
      <w:u w:val="single"/>
    </w:rPr>
  </w:style>
  <w:style w:type="paragraph" w:customStyle="1" w:styleId="msonormal0">
    <w:name w:val="msonormal"/>
    <w:basedOn w:val="Normalny"/>
    <w:uiPriority w:val="99"/>
    <w:semiHidden/>
    <w:rsid w:val="00575C57"/>
    <w:pPr>
      <w:widowControl/>
      <w:spacing w:before="100" w:beforeAutospacing="1" w:after="100" w:afterAutospacing="1"/>
    </w:pPr>
    <w:rPr>
      <w:sz w:val="24"/>
      <w:szCs w:val="24"/>
    </w:rPr>
  </w:style>
  <w:style w:type="table" w:customStyle="1" w:styleId="Tabela-Siatka2">
    <w:name w:val="Tabela - Siatka2"/>
    <w:basedOn w:val="Standardowy"/>
    <w:next w:val="Tabela-Siatka"/>
    <w:uiPriority w:val="39"/>
    <w:rsid w:val="00575C5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39"/>
    <w:rsid w:val="00575C5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575C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67372">
      <w:bodyDiv w:val="1"/>
      <w:marLeft w:val="0"/>
      <w:marRight w:val="0"/>
      <w:marTop w:val="0"/>
      <w:marBottom w:val="0"/>
      <w:divBdr>
        <w:top w:val="none" w:sz="0" w:space="0" w:color="auto"/>
        <w:left w:val="none" w:sz="0" w:space="0" w:color="auto"/>
        <w:bottom w:val="none" w:sz="0" w:space="0" w:color="auto"/>
        <w:right w:val="none" w:sz="0" w:space="0" w:color="auto"/>
      </w:divBdr>
    </w:div>
    <w:div w:id="185950199">
      <w:bodyDiv w:val="1"/>
      <w:marLeft w:val="0"/>
      <w:marRight w:val="0"/>
      <w:marTop w:val="0"/>
      <w:marBottom w:val="0"/>
      <w:divBdr>
        <w:top w:val="none" w:sz="0" w:space="0" w:color="auto"/>
        <w:left w:val="none" w:sz="0" w:space="0" w:color="auto"/>
        <w:bottom w:val="none" w:sz="0" w:space="0" w:color="auto"/>
        <w:right w:val="none" w:sz="0" w:space="0" w:color="auto"/>
      </w:divBdr>
    </w:div>
    <w:div w:id="306787238">
      <w:bodyDiv w:val="1"/>
      <w:marLeft w:val="0"/>
      <w:marRight w:val="0"/>
      <w:marTop w:val="0"/>
      <w:marBottom w:val="0"/>
      <w:divBdr>
        <w:top w:val="none" w:sz="0" w:space="0" w:color="auto"/>
        <w:left w:val="none" w:sz="0" w:space="0" w:color="auto"/>
        <w:bottom w:val="none" w:sz="0" w:space="0" w:color="auto"/>
        <w:right w:val="none" w:sz="0" w:space="0" w:color="auto"/>
      </w:divBdr>
    </w:div>
    <w:div w:id="383717637">
      <w:bodyDiv w:val="1"/>
      <w:marLeft w:val="0"/>
      <w:marRight w:val="0"/>
      <w:marTop w:val="0"/>
      <w:marBottom w:val="0"/>
      <w:divBdr>
        <w:top w:val="none" w:sz="0" w:space="0" w:color="auto"/>
        <w:left w:val="none" w:sz="0" w:space="0" w:color="auto"/>
        <w:bottom w:val="none" w:sz="0" w:space="0" w:color="auto"/>
        <w:right w:val="none" w:sz="0" w:space="0" w:color="auto"/>
      </w:divBdr>
    </w:div>
    <w:div w:id="412817886">
      <w:bodyDiv w:val="1"/>
      <w:marLeft w:val="0"/>
      <w:marRight w:val="0"/>
      <w:marTop w:val="0"/>
      <w:marBottom w:val="0"/>
      <w:divBdr>
        <w:top w:val="none" w:sz="0" w:space="0" w:color="auto"/>
        <w:left w:val="none" w:sz="0" w:space="0" w:color="auto"/>
        <w:bottom w:val="none" w:sz="0" w:space="0" w:color="auto"/>
        <w:right w:val="none" w:sz="0" w:space="0" w:color="auto"/>
      </w:divBdr>
    </w:div>
    <w:div w:id="452015885">
      <w:bodyDiv w:val="1"/>
      <w:marLeft w:val="0"/>
      <w:marRight w:val="0"/>
      <w:marTop w:val="0"/>
      <w:marBottom w:val="0"/>
      <w:divBdr>
        <w:top w:val="none" w:sz="0" w:space="0" w:color="auto"/>
        <w:left w:val="none" w:sz="0" w:space="0" w:color="auto"/>
        <w:bottom w:val="none" w:sz="0" w:space="0" w:color="auto"/>
        <w:right w:val="none" w:sz="0" w:space="0" w:color="auto"/>
      </w:divBdr>
    </w:div>
    <w:div w:id="465467738">
      <w:bodyDiv w:val="1"/>
      <w:marLeft w:val="0"/>
      <w:marRight w:val="0"/>
      <w:marTop w:val="0"/>
      <w:marBottom w:val="0"/>
      <w:divBdr>
        <w:top w:val="none" w:sz="0" w:space="0" w:color="auto"/>
        <w:left w:val="none" w:sz="0" w:space="0" w:color="auto"/>
        <w:bottom w:val="none" w:sz="0" w:space="0" w:color="auto"/>
        <w:right w:val="none" w:sz="0" w:space="0" w:color="auto"/>
      </w:divBdr>
    </w:div>
    <w:div w:id="808480227">
      <w:bodyDiv w:val="1"/>
      <w:marLeft w:val="0"/>
      <w:marRight w:val="0"/>
      <w:marTop w:val="0"/>
      <w:marBottom w:val="0"/>
      <w:divBdr>
        <w:top w:val="none" w:sz="0" w:space="0" w:color="auto"/>
        <w:left w:val="none" w:sz="0" w:space="0" w:color="auto"/>
        <w:bottom w:val="none" w:sz="0" w:space="0" w:color="auto"/>
        <w:right w:val="none" w:sz="0" w:space="0" w:color="auto"/>
      </w:divBdr>
    </w:div>
    <w:div w:id="1321537659">
      <w:bodyDiv w:val="1"/>
      <w:marLeft w:val="0"/>
      <w:marRight w:val="0"/>
      <w:marTop w:val="0"/>
      <w:marBottom w:val="0"/>
      <w:divBdr>
        <w:top w:val="none" w:sz="0" w:space="0" w:color="auto"/>
        <w:left w:val="none" w:sz="0" w:space="0" w:color="auto"/>
        <w:bottom w:val="none" w:sz="0" w:space="0" w:color="auto"/>
        <w:right w:val="none" w:sz="0" w:space="0" w:color="auto"/>
      </w:divBdr>
    </w:div>
    <w:div w:id="1339575438">
      <w:bodyDiv w:val="1"/>
      <w:marLeft w:val="0"/>
      <w:marRight w:val="0"/>
      <w:marTop w:val="0"/>
      <w:marBottom w:val="0"/>
      <w:divBdr>
        <w:top w:val="none" w:sz="0" w:space="0" w:color="auto"/>
        <w:left w:val="none" w:sz="0" w:space="0" w:color="auto"/>
        <w:bottom w:val="none" w:sz="0" w:space="0" w:color="auto"/>
        <w:right w:val="none" w:sz="0" w:space="0" w:color="auto"/>
      </w:divBdr>
    </w:div>
    <w:div w:id="1509908900">
      <w:bodyDiv w:val="1"/>
      <w:marLeft w:val="0"/>
      <w:marRight w:val="0"/>
      <w:marTop w:val="0"/>
      <w:marBottom w:val="0"/>
      <w:divBdr>
        <w:top w:val="none" w:sz="0" w:space="0" w:color="auto"/>
        <w:left w:val="none" w:sz="0" w:space="0" w:color="auto"/>
        <w:bottom w:val="none" w:sz="0" w:space="0" w:color="auto"/>
        <w:right w:val="none" w:sz="0" w:space="0" w:color="auto"/>
      </w:divBdr>
    </w:div>
    <w:div w:id="1529369995">
      <w:bodyDiv w:val="1"/>
      <w:marLeft w:val="0"/>
      <w:marRight w:val="0"/>
      <w:marTop w:val="0"/>
      <w:marBottom w:val="0"/>
      <w:divBdr>
        <w:top w:val="none" w:sz="0" w:space="0" w:color="auto"/>
        <w:left w:val="none" w:sz="0" w:space="0" w:color="auto"/>
        <w:bottom w:val="none" w:sz="0" w:space="0" w:color="auto"/>
        <w:right w:val="none" w:sz="0" w:space="0" w:color="auto"/>
      </w:divBdr>
    </w:div>
    <w:div w:id="1695232396">
      <w:bodyDiv w:val="1"/>
      <w:marLeft w:val="0"/>
      <w:marRight w:val="0"/>
      <w:marTop w:val="0"/>
      <w:marBottom w:val="0"/>
      <w:divBdr>
        <w:top w:val="none" w:sz="0" w:space="0" w:color="auto"/>
        <w:left w:val="none" w:sz="0" w:space="0" w:color="auto"/>
        <w:bottom w:val="none" w:sz="0" w:space="0" w:color="auto"/>
        <w:right w:val="none" w:sz="0" w:space="0" w:color="auto"/>
      </w:divBdr>
    </w:div>
    <w:div w:id="1731417674">
      <w:bodyDiv w:val="1"/>
      <w:marLeft w:val="0"/>
      <w:marRight w:val="0"/>
      <w:marTop w:val="0"/>
      <w:marBottom w:val="0"/>
      <w:divBdr>
        <w:top w:val="none" w:sz="0" w:space="0" w:color="auto"/>
        <w:left w:val="none" w:sz="0" w:space="0" w:color="auto"/>
        <w:bottom w:val="none" w:sz="0" w:space="0" w:color="auto"/>
        <w:right w:val="none" w:sz="0" w:space="0" w:color="auto"/>
      </w:divBdr>
    </w:div>
    <w:div w:id="1834685484">
      <w:bodyDiv w:val="1"/>
      <w:marLeft w:val="0"/>
      <w:marRight w:val="0"/>
      <w:marTop w:val="0"/>
      <w:marBottom w:val="0"/>
      <w:divBdr>
        <w:top w:val="none" w:sz="0" w:space="0" w:color="auto"/>
        <w:left w:val="none" w:sz="0" w:space="0" w:color="auto"/>
        <w:bottom w:val="none" w:sz="0" w:space="0" w:color="auto"/>
        <w:right w:val="none" w:sz="0" w:space="0" w:color="auto"/>
      </w:divBdr>
    </w:div>
    <w:div w:id="1964071314">
      <w:bodyDiv w:val="1"/>
      <w:marLeft w:val="0"/>
      <w:marRight w:val="0"/>
      <w:marTop w:val="0"/>
      <w:marBottom w:val="0"/>
      <w:divBdr>
        <w:top w:val="none" w:sz="0" w:space="0" w:color="auto"/>
        <w:left w:val="none" w:sz="0" w:space="0" w:color="auto"/>
        <w:bottom w:val="none" w:sz="0" w:space="0" w:color="auto"/>
        <w:right w:val="none" w:sz="0" w:space="0" w:color="auto"/>
      </w:divBdr>
    </w:div>
    <w:div w:id="2106149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6.xml"/><Relationship Id="rId26" Type="http://schemas.openxmlformats.org/officeDocument/2006/relationships/image" Target="media/image6.png"/><Relationship Id="rId39" Type="http://schemas.openxmlformats.org/officeDocument/2006/relationships/chart" Target="charts/chart14.xml"/><Relationship Id="rId21" Type="http://schemas.openxmlformats.org/officeDocument/2006/relationships/image" Target="media/image3.jpeg"/><Relationship Id="rId34" Type="http://schemas.openxmlformats.org/officeDocument/2006/relationships/chart" Target="charts/chart10.xml"/><Relationship Id="rId42" Type="http://schemas.openxmlformats.org/officeDocument/2006/relationships/chart" Target="charts/chart17.xml"/><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grofagi.com.pl/" TargetMode="External"/><Relationship Id="rId17" Type="http://schemas.openxmlformats.org/officeDocument/2006/relationships/chart" Target="charts/chart5.xml"/><Relationship Id="rId25" Type="http://schemas.openxmlformats.org/officeDocument/2006/relationships/hyperlink" Target="http://www.coboru.gov.pl" TargetMode="External"/><Relationship Id="rId33" Type="http://schemas.openxmlformats.org/officeDocument/2006/relationships/chart" Target="charts/chart9.xml"/><Relationship Id="rId38" Type="http://schemas.openxmlformats.org/officeDocument/2006/relationships/chart" Target="charts/chart13.xml"/><Relationship Id="rId46"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2.png"/><Relationship Id="rId29" Type="http://schemas.openxmlformats.org/officeDocument/2006/relationships/hyperlink" Target="http://piorin.gov.pl/integrowana-produkcja" TargetMode="External"/><Relationship Id="rId41" Type="http://schemas.openxmlformats.org/officeDocument/2006/relationships/chart" Target="charts/chart16.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5.png"/><Relationship Id="rId32" Type="http://schemas.openxmlformats.org/officeDocument/2006/relationships/chart" Target="charts/chart8.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image" Target="media/image11.png"/><Relationship Id="rId53"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chart" Target="charts/chart11.xml"/><Relationship Id="rId49"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image" Target="media/image10.emf"/><Relationship Id="rId44" Type="http://schemas.openxmlformats.org/officeDocument/2006/relationships/chart" Target="charts/chart19.xml"/><Relationship Id="rId52"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www.agrofagi.com.pl/" TargetMode="External"/><Relationship Id="rId27" Type="http://schemas.openxmlformats.org/officeDocument/2006/relationships/image" Target="media/image7.png"/><Relationship Id="rId30" Type="http://schemas.openxmlformats.org/officeDocument/2006/relationships/image" Target="media/image9.jpeg"/><Relationship Id="rId35" Type="http://schemas.openxmlformats.org/officeDocument/2006/relationships/hyperlink" Target="https://rolnictwo-ekologiczne.ior.poznan.pl" TargetMode="External"/><Relationship Id="rId43" Type="http://schemas.openxmlformats.org/officeDocument/2006/relationships/chart" Target="charts/chart18.xml"/><Relationship Id="rId48" Type="http://schemas.openxmlformats.org/officeDocument/2006/relationships/image" Target="media/image14.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7.png"/><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SERWER5\Dane\HOMES\sliwinski\PROJEKTY\PW%202024\1.9\dane%20do%20sprawozdania\tabele_sprzedaz.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Arkusz_programu_Microsoft_Excel3.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SERWER5\Dane\HOMES\sliwinski\PROJEKTY\PW%202024\1.9\dane%20do%20sprawozdania\wykresy%20-%20obliczenia%20wska&#378;nik&#243;w.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SERWER5\Dane\HOMES\sliwinski\PROJEKTY\PW%202024\1.9\dane%20do%20sprawozdania\wykresy%20-%20obliczenia%20wska&#378;nik&#243;w.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SERWER5\Dane\HOMES\sliwinski\PROJEKTY\PW%202024\1.9\dane%20do%20sprawozdania\wykresy%20-%20obliczenia%20wska&#378;nik&#243;w.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SERWER5\Dane\HOMES\sliwinski\PROJEKTY\PW%202024\1.9\dane%20do%20sprawozdania\wykresy%20-%20obliczenia%20wska&#378;nik&#243;w.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SERWER5\Dane\HOMES\sliwinski\PROJEKTY\PW%202024\1.9\dane%20do%20sprawozdania\wykresy%20-%20obliczenia%20wska&#378;nik&#243;w.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SERWER5\Dane\HOMES\sliwinski\PROJEKTY\PW%202024\1.9\dane%20do%20sprawozdania\wykresy%20-%20obliczenia%20wska&#378;nik&#243;w.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SERWER5\Dane\HOMES\sliwinski\PROJEKTY\PW%202024\1.9\dane%20do%20sprawozdania\wykresy%20-%20obliczenia%20wska&#378;nik&#243;w.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SERWER5\Dane\HOMES\sliwinski\PROJEKTY\PW%202024\1.9\dane%20do%20sprawozdania\wykresy%20-%20obliczenia%20wska&#378;nik&#243;w.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2.xlsx"/></Relationships>
</file>

<file path=word/charts/_rels/chart4.xml.rels><?xml version="1.0" encoding="UTF-8" standalone="yes"?>
<Relationships xmlns="http://schemas.openxmlformats.org/package/2006/relationships"><Relationship Id="rId2" Type="http://schemas.openxmlformats.org/officeDocument/2006/relationships/oleObject" Target="Zeszyt1"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SERWER5\Dane\HOMES\sliwinski\PROJEKTY\PW%202024\1.9\dane%20do%20sprawozdania\wykresy%20-%20obliczenia%20wska&#378;nik&#243;w.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SERWER5\Dane\HOMES\sliwinski\PROJEKTY\PW%202024\1.9\dane%20do%20sprawozdania\wykresy%20-%20obliczenia%20wska&#378;nik&#243;w.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SERWER5\Dane\HOMES\sliwinski\PROJEKTY\PW%202024\1.9\dane%20do%20sprawozdania\tabele_sprzedaz.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Liczba osób przeszkolonych</c:v>
                </c:pt>
              </c:strCache>
            </c:strRef>
          </c:tx>
          <c:spPr>
            <a:solidFill>
              <a:srgbClr val="9BBB59"/>
            </a:solidFill>
            <a:ln>
              <a:noFill/>
            </a:ln>
            <a:effectLst/>
            <a:sp3d/>
          </c:spPr>
          <c:invertIfNegative val="0"/>
          <c:dLbls>
            <c:dLbl>
              <c:idx val="0"/>
              <c:layout>
                <c:manualLayout>
                  <c:x val="0"/>
                  <c:y val="-5.88235294117647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96C-4029-B53A-0317D3E86546}"/>
                </c:ext>
              </c:extLst>
            </c:dLbl>
            <c:dLbl>
              <c:idx val="1"/>
              <c:layout>
                <c:manualLayout>
                  <c:x val="2.5236593059936676E-3"/>
                  <c:y val="-3.011292346298619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96C-4029-B53A-0317D3E86546}"/>
                </c:ext>
              </c:extLst>
            </c:dLbl>
            <c:dLbl>
              <c:idx val="2"/>
              <c:layout>
                <c:manualLayout>
                  <c:x val="-3.9464259062638662E-17"/>
                  <c:y val="-4.24710424710425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96C-4029-B53A-0317D3E86546}"/>
                </c:ext>
              </c:extLst>
            </c:dLbl>
            <c:dLbl>
              <c:idx val="4"/>
              <c:layout>
                <c:manualLayout>
                  <c:x val="0"/>
                  <c:y val="-6.787330316742080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96C-4029-B53A-0317D3E86546}"/>
                </c:ext>
              </c:extLst>
            </c:dLbl>
            <c:dLbl>
              <c:idx val="6"/>
              <c:layout>
                <c:manualLayout>
                  <c:x val="0"/>
                  <c:y val="-5.429864253393669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96C-4029-B53A-0317D3E86546}"/>
                </c:ext>
              </c:extLst>
            </c:dLbl>
            <c:dLbl>
              <c:idx val="8"/>
              <c:layout>
                <c:manualLayout>
                  <c:x val="0"/>
                  <c:y val="-3.861003861003860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96C-4029-B53A-0317D3E86546}"/>
                </c:ext>
              </c:extLst>
            </c:dLbl>
            <c:dLbl>
              <c:idx val="9"/>
              <c:layout>
                <c:manualLayout>
                  <c:x val="4.7166390385411545E-3"/>
                  <c:y val="-4.7264355113505546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3706140350877192E-2"/>
                      <c:h val="9.476631210572363E-2"/>
                    </c:manualLayout>
                  </c15:layout>
                </c:ext>
                <c:ext xmlns:c16="http://schemas.microsoft.com/office/drawing/2014/chart" uri="{C3380CC4-5D6E-409C-BE32-E72D297353CC}">
                  <c16:uniqueId val="{00000006-396C-4029-B53A-0317D3E86546}"/>
                </c:ext>
              </c:extLst>
            </c:dLbl>
            <c:dLbl>
              <c:idx val="10"/>
              <c:layout>
                <c:manualLayout>
                  <c:x val="1.4778765557530169E-3"/>
                  <c:y val="-4.745901594115735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9.4068671743900864E-2"/>
                      <c:h val="0.1411190554230092"/>
                    </c:manualLayout>
                  </c15:layout>
                </c:ext>
                <c:ext xmlns:c16="http://schemas.microsoft.com/office/drawing/2014/chart" uri="{C3380CC4-5D6E-409C-BE32-E72D297353CC}">
                  <c16:uniqueId val="{00000007-396C-4029-B53A-0317D3E8654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numRef>
              <c:f>Arkusz1!$A$2:$A$16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Arkusz1!$B$2:$B$16</c:f>
              <c:numCache>
                <c:formatCode>#,##0</c:formatCode>
                <c:ptCount val="15"/>
                <c:pt idx="0">
                  <c:v>109715</c:v>
                </c:pt>
                <c:pt idx="1">
                  <c:v>59360</c:v>
                </c:pt>
                <c:pt idx="2">
                  <c:v>68083</c:v>
                </c:pt>
                <c:pt idx="3">
                  <c:v>68667</c:v>
                </c:pt>
                <c:pt idx="4">
                  <c:v>91290</c:v>
                </c:pt>
                <c:pt idx="5">
                  <c:v>140285</c:v>
                </c:pt>
                <c:pt idx="6">
                  <c:v>73088</c:v>
                </c:pt>
                <c:pt idx="7">
                  <c:v>59060</c:v>
                </c:pt>
                <c:pt idx="8">
                  <c:v>66300</c:v>
                </c:pt>
                <c:pt idx="9">
                  <c:v>76723</c:v>
                </c:pt>
                <c:pt idx="10" formatCode="General">
                  <c:v>93905</c:v>
                </c:pt>
                <c:pt idx="11" formatCode="General">
                  <c:v>62675</c:v>
                </c:pt>
                <c:pt idx="12" formatCode="General">
                  <c:v>53996</c:v>
                </c:pt>
                <c:pt idx="13" formatCode="General">
                  <c:v>66426</c:v>
                </c:pt>
                <c:pt idx="14" formatCode="General">
                  <c:v>99881</c:v>
                </c:pt>
              </c:numCache>
            </c:numRef>
          </c:val>
          <c:extLst>
            <c:ext xmlns:c16="http://schemas.microsoft.com/office/drawing/2014/chart" uri="{C3380CC4-5D6E-409C-BE32-E72D297353CC}">
              <c16:uniqueId val="{00000008-396C-4029-B53A-0317D3E86546}"/>
            </c:ext>
          </c:extLst>
        </c:ser>
        <c:dLbls>
          <c:showLegendKey val="0"/>
          <c:showVal val="0"/>
          <c:showCatName val="0"/>
          <c:showSerName val="0"/>
          <c:showPercent val="0"/>
          <c:showBubbleSize val="0"/>
        </c:dLbls>
        <c:gapWidth val="150"/>
        <c:shape val="box"/>
        <c:axId val="576549760"/>
        <c:axId val="576550152"/>
        <c:axId val="0"/>
      </c:bar3DChart>
      <c:catAx>
        <c:axId val="57654976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576550152"/>
        <c:crosses val="autoZero"/>
        <c:auto val="1"/>
        <c:lblAlgn val="ctr"/>
        <c:lblOffset val="100"/>
        <c:noMultiLvlLbl val="0"/>
      </c:catAx>
      <c:valAx>
        <c:axId val="5765501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576549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EC7-46E7-9347-AD86218507F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EC7-46E7-9347-AD86218507F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EC7-46E7-9347-AD86218507F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EC7-46E7-9347-AD86218507F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EC7-46E7-9347-AD86218507F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EC7-46E7-9347-AD86218507FD}"/>
              </c:ext>
            </c:extLst>
          </c:dPt>
          <c:dLbls>
            <c:dLbl>
              <c:idx val="0"/>
              <c:layout>
                <c:manualLayout>
                  <c:x val="3.9702233250620347E-2"/>
                  <c:y val="-3.3989953377560014E-2"/>
                </c:manualLayout>
              </c:layout>
              <c:dLblPos val="bestFi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EC7-46E7-9347-AD86218507FD}"/>
                </c:ext>
              </c:extLst>
            </c:dLbl>
            <c:dLbl>
              <c:idx val="1"/>
              <c:layout>
                <c:manualLayout>
                  <c:x val="-0.22772630610954653"/>
                  <c:y val="-3.0899957615963647E-2"/>
                </c:manualLayout>
              </c:layout>
              <c:dLblPos val="bestFi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EC7-46E7-9347-AD86218507FD}"/>
                </c:ext>
              </c:extLst>
            </c:dLbl>
            <c:dLbl>
              <c:idx val="2"/>
              <c:layout>
                <c:manualLayout>
                  <c:x val="-0.10909056076019695"/>
                  <c:y val="9.8921101132393718E-2"/>
                </c:manualLayout>
              </c:layout>
              <c:dLblPos val="bestFi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EC7-46E7-9347-AD86218507FD}"/>
                </c:ext>
              </c:extLst>
            </c:dLbl>
            <c:dLbl>
              <c:idx val="3"/>
              <c:layout>
                <c:manualLayout>
                  <c:x val="-0.1208695902063337"/>
                  <c:y val="8.9149462101141431E-3"/>
                </c:manualLayout>
              </c:layout>
              <c:dLblPos val="bestFi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EC7-46E7-9347-AD86218507FD}"/>
                </c:ext>
              </c:extLst>
            </c:dLbl>
            <c:dLbl>
              <c:idx val="4"/>
              <c:layout>
                <c:manualLayout>
                  <c:x val="-2.7343525489970689E-2"/>
                  <c:y val="-1.7475198333648474E-2"/>
                </c:manualLayout>
              </c:layout>
              <c:dLblPos val="bestFi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EC7-46E7-9347-AD86218507FD}"/>
                </c:ext>
              </c:extLst>
            </c:dLbl>
            <c:dLbl>
              <c:idx val="5"/>
              <c:layout>
                <c:manualLayout>
                  <c:x val="7.9165948234572875E-2"/>
                  <c:y val="2.1535767248319025E-7"/>
                </c:manualLayout>
              </c:layout>
              <c:dLblPos val="bestFit"/>
              <c:showLegendKey val="1"/>
              <c:showVal val="0"/>
              <c:showCatName val="1"/>
              <c:showSerName val="0"/>
              <c:showPercent val="1"/>
              <c:showBubbleSize val="0"/>
              <c:extLst>
                <c:ext xmlns:c15="http://schemas.microsoft.com/office/drawing/2012/chart" uri="{CE6537A1-D6FC-4f65-9D91-7224C49458BB}">
                  <c15:layout>
                    <c:manualLayout>
                      <c:w val="0.26165450121654499"/>
                      <c:h val="0.11110091926157374"/>
                    </c:manualLayout>
                  </c15:layout>
                </c:ext>
                <c:ext xmlns:c16="http://schemas.microsoft.com/office/drawing/2014/chart" uri="{C3380CC4-5D6E-409C-BE32-E72D297353CC}">
                  <c16:uniqueId val="{0000000B-DEC7-46E7-9347-AD86218507F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zest3!$A$66:$A$71</c:f>
              <c:strCache>
                <c:ptCount val="6"/>
                <c:pt idx="0">
                  <c:v>Fungicydy i bakteriocydy</c:v>
                </c:pt>
                <c:pt idx="1">
                  <c:v>Herbicydy, związki ograniczające rozwój łodyg i związki mchobójcze</c:v>
                </c:pt>
                <c:pt idx="2">
                  <c:v>Insektycydy i akarycydy</c:v>
                </c:pt>
                <c:pt idx="3">
                  <c:v>Moluskocydy</c:v>
                </c:pt>
                <c:pt idx="4">
                  <c:v>Regulatory wzrostu</c:v>
                </c:pt>
                <c:pt idx="5">
                  <c:v>Inne środki ochrony roślin</c:v>
                </c:pt>
              </c:strCache>
            </c:strRef>
          </c:cat>
          <c:val>
            <c:numRef>
              <c:f>zest3!$B$66:$B$71</c:f>
              <c:numCache>
                <c:formatCode>#,##0</c:formatCode>
                <c:ptCount val="6"/>
                <c:pt idx="0">
                  <c:v>5890.0859</c:v>
                </c:pt>
                <c:pt idx="1">
                  <c:v>11366.623</c:v>
                </c:pt>
                <c:pt idx="2">
                  <c:v>754.37643000000003</c:v>
                </c:pt>
                <c:pt idx="3">
                  <c:v>37.062339999999999</c:v>
                </c:pt>
                <c:pt idx="4">
                  <c:v>1496.50261</c:v>
                </c:pt>
                <c:pt idx="5">
                  <c:v>502.61484000000002</c:v>
                </c:pt>
              </c:numCache>
            </c:numRef>
          </c:val>
          <c:extLst>
            <c:ext xmlns:c16="http://schemas.microsoft.com/office/drawing/2014/chart" uri="{C3380CC4-5D6E-409C-BE32-E72D297353CC}">
              <c16:uniqueId val="{0000000C-DEC7-46E7-9347-AD86218507FD}"/>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1"/>
          <c:order val="1"/>
          <c:spPr>
            <a:solidFill>
              <a:schemeClr val="accent2"/>
            </a:solidFill>
            <a:ln>
              <a:noFill/>
            </a:ln>
            <a:effectLst/>
            <a:sp3d/>
          </c:spPr>
          <c:invertIfNegative val="0"/>
          <c:cat>
            <c:numRef>
              <c:f>Arkusz1!$A$2:$A$7</c:f>
              <c:numCache>
                <c:formatCode>General</c:formatCode>
                <c:ptCount val="6"/>
                <c:pt idx="0">
                  <c:v>2018</c:v>
                </c:pt>
                <c:pt idx="1">
                  <c:v>2019</c:v>
                </c:pt>
                <c:pt idx="2">
                  <c:v>2020</c:v>
                </c:pt>
                <c:pt idx="3">
                  <c:v>2021</c:v>
                </c:pt>
                <c:pt idx="4">
                  <c:v>2022</c:v>
                </c:pt>
                <c:pt idx="5">
                  <c:v>2023</c:v>
                </c:pt>
              </c:numCache>
            </c:numRef>
          </c:cat>
          <c:val>
            <c:numRef>
              <c:f>Arkusz1!$B$2:$B$7</c:f>
              <c:numCache>
                <c:formatCode>General</c:formatCode>
                <c:ptCount val="6"/>
                <c:pt idx="0">
                  <c:v>96</c:v>
                </c:pt>
                <c:pt idx="1">
                  <c:v>110</c:v>
                </c:pt>
                <c:pt idx="2">
                  <c:v>123</c:v>
                </c:pt>
                <c:pt idx="3">
                  <c:v>123</c:v>
                </c:pt>
                <c:pt idx="4">
                  <c:v>146</c:v>
                </c:pt>
                <c:pt idx="5">
                  <c:v>170</c:v>
                </c:pt>
              </c:numCache>
            </c:numRef>
          </c:val>
          <c:extLst>
            <c:ext xmlns:c16="http://schemas.microsoft.com/office/drawing/2014/chart" uri="{C3380CC4-5D6E-409C-BE32-E72D297353CC}">
              <c16:uniqueId val="{00000000-7259-4021-9869-D4693FBD2FC2}"/>
            </c:ext>
          </c:extLst>
        </c:ser>
        <c:dLbls>
          <c:showLegendKey val="0"/>
          <c:showVal val="0"/>
          <c:showCatName val="0"/>
          <c:showSerName val="0"/>
          <c:showPercent val="0"/>
          <c:showBubbleSize val="0"/>
        </c:dLbls>
        <c:gapWidth val="150"/>
        <c:shape val="box"/>
        <c:axId val="685609352"/>
        <c:axId val="685611320"/>
        <c:axId val="0"/>
        <c:extLst>
          <c:ext xmlns:c15="http://schemas.microsoft.com/office/drawing/2012/chart" uri="{02D57815-91ED-43cb-92C2-25804820EDAC}">
            <c15:filteredBarSeries>
              <c15:ser>
                <c:idx val="0"/>
                <c:order val="0"/>
                <c:spPr>
                  <a:solidFill>
                    <a:schemeClr val="accent1"/>
                  </a:solidFill>
                  <a:ln>
                    <a:noFill/>
                  </a:ln>
                  <a:effectLst/>
                  <a:sp3d/>
                </c:spPr>
                <c:invertIfNegative val="0"/>
                <c:cat>
                  <c:numRef>
                    <c:extLst>
                      <c:ext uri="{02D57815-91ED-43cb-92C2-25804820EDAC}">
                        <c15:formulaRef>
                          <c15:sqref>Arkusz1!$A$2:$A$7</c15:sqref>
                        </c15:formulaRef>
                      </c:ext>
                    </c:extLst>
                    <c:numCache>
                      <c:formatCode>General</c:formatCode>
                      <c:ptCount val="6"/>
                      <c:pt idx="0">
                        <c:v>2018</c:v>
                      </c:pt>
                      <c:pt idx="1">
                        <c:v>2019</c:v>
                      </c:pt>
                      <c:pt idx="2">
                        <c:v>2020</c:v>
                      </c:pt>
                      <c:pt idx="3">
                        <c:v>2021</c:v>
                      </c:pt>
                      <c:pt idx="4">
                        <c:v>2022</c:v>
                      </c:pt>
                      <c:pt idx="5">
                        <c:v>2023</c:v>
                      </c:pt>
                    </c:numCache>
                  </c:numRef>
                </c:cat>
                <c:val>
                  <c:numRef>
                    <c:extLst>
                      <c:ext uri="{02D57815-91ED-43cb-92C2-25804820EDAC}">
                        <c15:formulaRef>
                          <c15:sqref>Arkusz1!$A$2:$A$7</c15:sqref>
                        </c15:formulaRef>
                      </c:ext>
                    </c:extLst>
                    <c:numCache>
                      <c:formatCode>General</c:formatCode>
                      <c:ptCount val="6"/>
                      <c:pt idx="0">
                        <c:v>2018</c:v>
                      </c:pt>
                      <c:pt idx="1">
                        <c:v>2019</c:v>
                      </c:pt>
                      <c:pt idx="2">
                        <c:v>2020</c:v>
                      </c:pt>
                      <c:pt idx="3">
                        <c:v>2021</c:v>
                      </c:pt>
                      <c:pt idx="4">
                        <c:v>2022</c:v>
                      </c:pt>
                      <c:pt idx="5">
                        <c:v>2023</c:v>
                      </c:pt>
                    </c:numCache>
                  </c:numRef>
                </c:val>
                <c:extLst>
                  <c:ext xmlns:c16="http://schemas.microsoft.com/office/drawing/2014/chart" uri="{C3380CC4-5D6E-409C-BE32-E72D297353CC}">
                    <c16:uniqueId val="{00000001-7259-4021-9869-D4693FBD2FC2}"/>
                  </c:ext>
                </c:extLst>
              </c15:ser>
            </c15:filteredBarSeries>
          </c:ext>
        </c:extLst>
      </c:bar3DChart>
      <c:catAx>
        <c:axId val="685609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11320"/>
        <c:crosses val="autoZero"/>
        <c:auto val="1"/>
        <c:lblAlgn val="ctr"/>
        <c:lblOffset val="100"/>
        <c:noMultiLvlLbl val="0"/>
      </c:catAx>
      <c:valAx>
        <c:axId val="685611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09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1"/>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6B-4D7E-94B3-F37C053786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A'!$B$2:$I$2</c:f>
              <c:numCache>
                <c:formatCode>General</c:formatCode>
                <c:ptCount val="7"/>
                <c:pt idx="0">
                  <c:v>2016</c:v>
                </c:pt>
                <c:pt idx="1">
                  <c:v>2017</c:v>
                </c:pt>
                <c:pt idx="2">
                  <c:v>2019</c:v>
                </c:pt>
                <c:pt idx="3">
                  <c:v>2020</c:v>
                </c:pt>
                <c:pt idx="4">
                  <c:v>2021</c:v>
                </c:pt>
                <c:pt idx="5">
                  <c:v>2022</c:v>
                </c:pt>
                <c:pt idx="6">
                  <c:v>2023</c:v>
                </c:pt>
              </c:numCache>
            </c:numRef>
          </c:cat>
          <c:val>
            <c:numRef>
              <c:f>'wsk A'!$B$3:$I$3</c:f>
              <c:numCache>
                <c:formatCode>General</c:formatCode>
                <c:ptCount val="7"/>
                <c:pt idx="0">
                  <c:v>14.13</c:v>
                </c:pt>
                <c:pt idx="1">
                  <c:v>15.92</c:v>
                </c:pt>
                <c:pt idx="2">
                  <c:v>24.62</c:v>
                </c:pt>
                <c:pt idx="3">
                  <c:v>16.38</c:v>
                </c:pt>
                <c:pt idx="4">
                  <c:v>21.67</c:v>
                </c:pt>
                <c:pt idx="5">
                  <c:v>28.24</c:v>
                </c:pt>
                <c:pt idx="6">
                  <c:v>14.38</c:v>
                </c:pt>
              </c:numCache>
            </c:numRef>
          </c:val>
          <c:smooth val="0"/>
          <c:extLst>
            <c:ext xmlns:c16="http://schemas.microsoft.com/office/drawing/2014/chart" uri="{C3380CC4-5D6E-409C-BE32-E72D297353CC}">
              <c16:uniqueId val="{00000001-866B-4D7E-94B3-F37C05378676}"/>
            </c:ext>
          </c:extLst>
        </c:ser>
        <c:dLbls>
          <c:showLegendKey val="0"/>
          <c:showVal val="0"/>
          <c:showCatName val="0"/>
          <c:showSerName val="0"/>
          <c:showPercent val="0"/>
          <c:showBubbleSize val="0"/>
        </c:dLbls>
        <c:marker val="1"/>
        <c:smooth val="0"/>
        <c:axId val="318248408"/>
        <c:axId val="318253984"/>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spPr>
        <a:noFill/>
        <a:ln>
          <a:noFill/>
        </a:ln>
        <a:effectLst/>
      </c:spPr>
    </c:plotArea>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1"/>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4"/>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6C-4A48-B6E5-64CBC26888F1}"/>
                </c:ext>
              </c:extLst>
            </c:dLbl>
            <c:dLbl>
              <c:idx val="5"/>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6C-4A48-B6E5-64CBC26888F1}"/>
                </c:ext>
              </c:extLst>
            </c:dLbl>
            <c:dLbl>
              <c:idx val="6"/>
              <c:layout>
                <c:manualLayout>
                  <c:x val="-2.2222222222222324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6C-4A48-B6E5-64CBC26888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B NDP'!$A$2:$A$10</c:f>
              <c:numCache>
                <c:formatCode>General</c:formatCode>
                <c:ptCount val="8"/>
                <c:pt idx="0">
                  <c:v>2015</c:v>
                </c:pt>
                <c:pt idx="1">
                  <c:v>2016</c:v>
                </c:pt>
                <c:pt idx="2">
                  <c:v>2017</c:v>
                </c:pt>
                <c:pt idx="3">
                  <c:v>2019</c:v>
                </c:pt>
                <c:pt idx="4">
                  <c:v>2020</c:v>
                </c:pt>
                <c:pt idx="5">
                  <c:v>2021</c:v>
                </c:pt>
                <c:pt idx="6">
                  <c:v>2022</c:v>
                </c:pt>
                <c:pt idx="7">
                  <c:v>2023</c:v>
                </c:pt>
              </c:numCache>
            </c:numRef>
          </c:cat>
          <c:val>
            <c:numRef>
              <c:f>'wsk B NDP'!$B$2:$B$10</c:f>
              <c:numCache>
                <c:formatCode>General</c:formatCode>
                <c:ptCount val="8"/>
                <c:pt idx="0">
                  <c:v>0.04</c:v>
                </c:pt>
                <c:pt idx="1">
                  <c:v>2.7E-2</c:v>
                </c:pt>
                <c:pt idx="2">
                  <c:v>3.7999999999999999E-2</c:v>
                </c:pt>
                <c:pt idx="3">
                  <c:v>5.8999999999999997E-2</c:v>
                </c:pt>
                <c:pt idx="4">
                  <c:v>3.4000000000000002E-2</c:v>
                </c:pt>
                <c:pt idx="5">
                  <c:v>3.2000000000000001E-2</c:v>
                </c:pt>
                <c:pt idx="6">
                  <c:v>3.7999999999999999E-2</c:v>
                </c:pt>
                <c:pt idx="7">
                  <c:v>3.1E-2</c:v>
                </c:pt>
              </c:numCache>
            </c:numRef>
          </c:val>
          <c:smooth val="0"/>
          <c:extLst>
            <c:ext xmlns:c16="http://schemas.microsoft.com/office/drawing/2014/chart" uri="{C3380CC4-5D6E-409C-BE32-E72D297353CC}">
              <c16:uniqueId val="{00000003-4A6C-4A48-B6E5-64CBC26888F1}"/>
            </c:ext>
          </c:extLst>
        </c:ser>
        <c:dLbls>
          <c:showLegendKey val="0"/>
          <c:showVal val="0"/>
          <c:showCatName val="0"/>
          <c:showSerName val="0"/>
          <c:showPercent val="0"/>
          <c:showBubbleSize val="0"/>
        </c:dLbls>
        <c:marker val="1"/>
        <c:smooth val="0"/>
        <c:axId val="318248408"/>
        <c:axId val="318253984"/>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spPr>
        <a:noFill/>
        <a:ln>
          <a:noFill/>
        </a:ln>
        <a:effectLst/>
      </c:spPr>
    </c:plotArea>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1"/>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B Stos'!$A$2:$A$10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B Stos'!$B$2:$B$10</c:f>
              <c:numCache>
                <c:formatCode>General</c:formatCode>
                <c:ptCount val="9"/>
                <c:pt idx="0">
                  <c:v>1.0389999999999999</c:v>
                </c:pt>
                <c:pt idx="1">
                  <c:v>1.103</c:v>
                </c:pt>
                <c:pt idx="2">
                  <c:v>1.101</c:v>
                </c:pt>
                <c:pt idx="3">
                  <c:v>1.0860000000000001</c:v>
                </c:pt>
                <c:pt idx="4">
                  <c:v>1.335</c:v>
                </c:pt>
                <c:pt idx="5">
                  <c:v>1.2789999999999999</c:v>
                </c:pt>
                <c:pt idx="6">
                  <c:v>1.3580000000000001</c:v>
                </c:pt>
                <c:pt idx="7">
                  <c:v>1.369</c:v>
                </c:pt>
                <c:pt idx="8">
                  <c:v>1.177</c:v>
                </c:pt>
              </c:numCache>
            </c:numRef>
          </c:val>
          <c:smooth val="0"/>
          <c:extLst>
            <c:ext xmlns:c16="http://schemas.microsoft.com/office/drawing/2014/chart" uri="{C3380CC4-5D6E-409C-BE32-E72D297353CC}">
              <c16:uniqueId val="{00000000-2C89-4064-A00A-35E2547D2DAA}"/>
            </c:ext>
          </c:extLst>
        </c:ser>
        <c:dLbls>
          <c:showLegendKey val="0"/>
          <c:showVal val="0"/>
          <c:showCatName val="0"/>
          <c:showSerName val="0"/>
          <c:showPercent val="0"/>
          <c:showBubbleSize val="0"/>
        </c:dLbls>
        <c:marker val="1"/>
        <c:smooth val="0"/>
        <c:axId val="318248408"/>
        <c:axId val="318253984"/>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spPr>
        <a:noFill/>
        <a:ln>
          <a:noFill/>
        </a:ln>
        <a:effectLst/>
      </c:spPr>
    </c:plotArea>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v>W.S.Niedop</c:v>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B Niedop'!$A$2:$A$10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B Niedop'!$B$2:$B$10</c:f>
              <c:numCache>
                <c:formatCode>General</c:formatCode>
                <c:ptCount val="9"/>
                <c:pt idx="0">
                  <c:v>0.318</c:v>
                </c:pt>
                <c:pt idx="1">
                  <c:v>0.20799999999999999</c:v>
                </c:pt>
                <c:pt idx="2">
                  <c:v>0.29799999999999999</c:v>
                </c:pt>
                <c:pt idx="3">
                  <c:v>0.26500000000000001</c:v>
                </c:pt>
                <c:pt idx="4">
                  <c:v>0.29899999999999999</c:v>
                </c:pt>
                <c:pt idx="5">
                  <c:v>0.23899999999999999</c:v>
                </c:pt>
                <c:pt idx="6">
                  <c:v>0.19600000000000001</c:v>
                </c:pt>
                <c:pt idx="7">
                  <c:v>0.28699999999999998</c:v>
                </c:pt>
                <c:pt idx="8">
                  <c:v>0.22700000000000001</c:v>
                </c:pt>
              </c:numCache>
            </c:numRef>
          </c:val>
          <c:smooth val="0"/>
          <c:extLst>
            <c:ext xmlns:c16="http://schemas.microsoft.com/office/drawing/2014/chart" uri="{C3380CC4-5D6E-409C-BE32-E72D297353CC}">
              <c16:uniqueId val="{00000000-0326-4766-B496-7FF56CF4A8A0}"/>
            </c:ext>
          </c:extLst>
        </c:ser>
        <c:ser>
          <c:idx val="0"/>
          <c:order val="1"/>
          <c:tx>
            <c:v>W.S.NDP</c:v>
          </c:tx>
          <c:spPr>
            <a:ln w="28575" cap="rnd">
              <a:solidFill>
                <a:schemeClr val="accent1"/>
              </a:solidFill>
              <a:round/>
            </a:ln>
            <a:effectLst/>
          </c:spPr>
          <c:marker>
            <c:symbol val="none"/>
          </c:marker>
          <c:dLbls>
            <c:dLbl>
              <c:idx val="3"/>
              <c:tx>
                <c:rich>
                  <a:bodyPr/>
                  <a:lstStyle/>
                  <a:p>
                    <a:r>
                      <a:rPr lang="en-US"/>
                      <a:t>b.d.</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26-4766-B496-7FF56CF4A8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B Niedop'!$A$2:$A$10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B Niedop'!$C$2:$C$10</c:f>
              <c:numCache>
                <c:formatCode>General</c:formatCode>
                <c:ptCount val="9"/>
                <c:pt idx="0">
                  <c:v>0.04</c:v>
                </c:pt>
                <c:pt idx="1">
                  <c:v>2.7E-2</c:v>
                </c:pt>
                <c:pt idx="2">
                  <c:v>3.7999999999999999E-2</c:v>
                </c:pt>
                <c:pt idx="3">
                  <c:v>0</c:v>
                </c:pt>
                <c:pt idx="4">
                  <c:v>5.8999999999999997E-2</c:v>
                </c:pt>
                <c:pt idx="5">
                  <c:v>3.4000000000000002E-2</c:v>
                </c:pt>
                <c:pt idx="6">
                  <c:v>3.2000000000000001E-2</c:v>
                </c:pt>
                <c:pt idx="7">
                  <c:v>3.7999999999999999E-2</c:v>
                </c:pt>
                <c:pt idx="8">
                  <c:v>3.1E-2</c:v>
                </c:pt>
              </c:numCache>
            </c:numRef>
          </c:val>
          <c:smooth val="0"/>
          <c:extLst>
            <c:ext xmlns:c16="http://schemas.microsoft.com/office/drawing/2014/chart" uri="{C3380CC4-5D6E-409C-BE32-E72D297353CC}">
              <c16:uniqueId val="{00000002-0326-4766-B496-7FF56CF4A8A0}"/>
            </c:ext>
          </c:extLst>
        </c:ser>
        <c:dLbls>
          <c:showLegendKey val="0"/>
          <c:showVal val="0"/>
          <c:showCatName val="0"/>
          <c:showSerName val="0"/>
          <c:showPercent val="0"/>
          <c:showBubbleSize val="0"/>
        </c:dLbls>
        <c:smooth val="0"/>
        <c:axId val="318248408"/>
        <c:axId val="318253984"/>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1"/>
          <c:tx>
            <c:v>rzeki małe</c:v>
          </c:tx>
          <c:spPr>
            <a:solidFill>
              <a:schemeClr val="accent6">
                <a:lumMod val="40000"/>
                <a:lumOff val="60000"/>
              </a:schemeClr>
            </a:solidFill>
            <a:ln>
              <a:noFill/>
            </a:ln>
            <a:effectLst/>
          </c:spPr>
          <c:invertIfNegative val="0"/>
          <c:cat>
            <c:numRef>
              <c:f>'wsk C'!$A$6:$A$10</c:f>
              <c:numCache>
                <c:formatCode>General</c:formatCode>
                <c:ptCount val="5"/>
                <c:pt idx="0">
                  <c:v>2019</c:v>
                </c:pt>
                <c:pt idx="1">
                  <c:v>2020</c:v>
                </c:pt>
                <c:pt idx="2">
                  <c:v>2021</c:v>
                </c:pt>
                <c:pt idx="3">
                  <c:v>2022</c:v>
                </c:pt>
                <c:pt idx="4">
                  <c:v>2023</c:v>
                </c:pt>
              </c:numCache>
            </c:numRef>
          </c:cat>
          <c:val>
            <c:numRef>
              <c:f>'wsk C'!$C$6:$C$10</c:f>
              <c:numCache>
                <c:formatCode>General</c:formatCode>
                <c:ptCount val="5"/>
                <c:pt idx="0">
                  <c:v>0.89200000000000002</c:v>
                </c:pt>
                <c:pt idx="1">
                  <c:v>2.165</c:v>
                </c:pt>
                <c:pt idx="2">
                  <c:v>1.157</c:v>
                </c:pt>
                <c:pt idx="3">
                  <c:v>0.88300000000000001</c:v>
                </c:pt>
                <c:pt idx="4" formatCode="0.000">
                  <c:v>1.5031216939595067</c:v>
                </c:pt>
              </c:numCache>
            </c:numRef>
          </c:val>
          <c:extLst>
            <c:ext xmlns:c16="http://schemas.microsoft.com/office/drawing/2014/chart" uri="{C3380CC4-5D6E-409C-BE32-E72D297353CC}">
              <c16:uniqueId val="{00000000-8C39-4F2A-AC8B-E76CE0CA0A0D}"/>
            </c:ext>
          </c:extLst>
        </c:ser>
        <c:ser>
          <c:idx val="2"/>
          <c:order val="2"/>
          <c:tx>
            <c:v>rzeki średnie</c:v>
          </c:tx>
          <c:spPr>
            <a:solidFill>
              <a:schemeClr val="tx2">
                <a:lumMod val="40000"/>
                <a:lumOff val="60000"/>
              </a:schemeClr>
            </a:solidFill>
            <a:ln>
              <a:noFill/>
            </a:ln>
            <a:effectLst/>
          </c:spPr>
          <c:invertIfNegative val="0"/>
          <c:cat>
            <c:numRef>
              <c:f>'wsk C'!$A$6:$A$10</c:f>
              <c:numCache>
                <c:formatCode>General</c:formatCode>
                <c:ptCount val="5"/>
                <c:pt idx="0">
                  <c:v>2019</c:v>
                </c:pt>
                <c:pt idx="1">
                  <c:v>2020</c:v>
                </c:pt>
                <c:pt idx="2">
                  <c:v>2021</c:v>
                </c:pt>
                <c:pt idx="3">
                  <c:v>2022</c:v>
                </c:pt>
                <c:pt idx="4">
                  <c:v>2023</c:v>
                </c:pt>
              </c:numCache>
            </c:numRef>
          </c:cat>
          <c:val>
            <c:numRef>
              <c:f>'wsk C'!$D$6:$D$10</c:f>
              <c:numCache>
                <c:formatCode>General</c:formatCode>
                <c:ptCount val="5"/>
                <c:pt idx="0">
                  <c:v>0.51600000000000001</c:v>
                </c:pt>
                <c:pt idx="1">
                  <c:v>1.018</c:v>
                </c:pt>
                <c:pt idx="2">
                  <c:v>0.189</c:v>
                </c:pt>
                <c:pt idx="3">
                  <c:v>1.095</c:v>
                </c:pt>
                <c:pt idx="4" formatCode="0.000">
                  <c:v>0.26759958009141493</c:v>
                </c:pt>
              </c:numCache>
            </c:numRef>
          </c:val>
          <c:extLst>
            <c:ext xmlns:c16="http://schemas.microsoft.com/office/drawing/2014/chart" uri="{C3380CC4-5D6E-409C-BE32-E72D297353CC}">
              <c16:uniqueId val="{00000001-8C39-4F2A-AC8B-E76CE0CA0A0D}"/>
            </c:ext>
          </c:extLst>
        </c:ser>
        <c:ser>
          <c:idx val="3"/>
          <c:order val="3"/>
          <c:tx>
            <c:v>rzeki duże</c:v>
          </c:tx>
          <c:spPr>
            <a:solidFill>
              <a:schemeClr val="accent3">
                <a:lumMod val="40000"/>
                <a:lumOff val="60000"/>
              </a:schemeClr>
            </a:solidFill>
            <a:ln>
              <a:noFill/>
            </a:ln>
            <a:effectLst/>
          </c:spPr>
          <c:invertIfNegative val="0"/>
          <c:cat>
            <c:numRef>
              <c:f>'wsk C'!$A$6:$A$10</c:f>
              <c:numCache>
                <c:formatCode>General</c:formatCode>
                <c:ptCount val="5"/>
                <c:pt idx="0">
                  <c:v>2019</c:v>
                </c:pt>
                <c:pt idx="1">
                  <c:v>2020</c:v>
                </c:pt>
                <c:pt idx="2">
                  <c:v>2021</c:v>
                </c:pt>
                <c:pt idx="3">
                  <c:v>2022</c:v>
                </c:pt>
                <c:pt idx="4">
                  <c:v>2023</c:v>
                </c:pt>
              </c:numCache>
            </c:numRef>
          </c:cat>
          <c:val>
            <c:numRef>
              <c:f>'wsk C'!$E$6:$E$10</c:f>
              <c:numCache>
                <c:formatCode>General</c:formatCode>
                <c:ptCount val="5"/>
                <c:pt idx="0">
                  <c:v>0.91400000000000003</c:v>
                </c:pt>
                <c:pt idx="1">
                  <c:v>0.94799999999999995</c:v>
                </c:pt>
                <c:pt idx="2">
                  <c:v>0.60799999999999998</c:v>
                </c:pt>
                <c:pt idx="3">
                  <c:v>0.65300000000000002</c:v>
                </c:pt>
                <c:pt idx="4" formatCode="0.000">
                  <c:v>1.0869641955715359</c:v>
                </c:pt>
              </c:numCache>
            </c:numRef>
          </c:val>
          <c:extLst>
            <c:ext xmlns:c16="http://schemas.microsoft.com/office/drawing/2014/chart" uri="{C3380CC4-5D6E-409C-BE32-E72D297353CC}">
              <c16:uniqueId val="{00000002-8C39-4F2A-AC8B-E76CE0CA0A0D}"/>
            </c:ext>
          </c:extLst>
        </c:ser>
        <c:dLbls>
          <c:showLegendKey val="0"/>
          <c:showVal val="0"/>
          <c:showCatName val="0"/>
          <c:showSerName val="0"/>
          <c:showPercent val="0"/>
          <c:showBubbleSize val="0"/>
        </c:dLbls>
        <c:gapWidth val="150"/>
        <c:axId val="318248408"/>
        <c:axId val="318253984"/>
      </c:barChart>
      <c:lineChart>
        <c:grouping val="standard"/>
        <c:varyColors val="0"/>
        <c:ser>
          <c:idx val="1"/>
          <c:order val="0"/>
          <c:tx>
            <c:v>łącznie</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'wsk C'!$A$6:$A$9</c:f>
              <c:numCache>
                <c:formatCode>General</c:formatCode>
                <c:ptCount val="4"/>
                <c:pt idx="0">
                  <c:v>2019</c:v>
                </c:pt>
                <c:pt idx="1">
                  <c:v>2020</c:v>
                </c:pt>
                <c:pt idx="2">
                  <c:v>2021</c:v>
                </c:pt>
                <c:pt idx="3">
                  <c:v>2022</c:v>
                </c:pt>
              </c:numCache>
            </c:numRef>
          </c:cat>
          <c:val>
            <c:numRef>
              <c:f>'wsk C'!$B$6:$B$10</c:f>
              <c:numCache>
                <c:formatCode>General</c:formatCode>
                <c:ptCount val="5"/>
                <c:pt idx="0">
                  <c:v>0.79900000000000004</c:v>
                </c:pt>
                <c:pt idx="1">
                  <c:v>1.7110000000000001</c:v>
                </c:pt>
                <c:pt idx="2">
                  <c:v>0.90600000000000003</c:v>
                </c:pt>
                <c:pt idx="3">
                  <c:v>0.91500000000000004</c:v>
                </c:pt>
                <c:pt idx="4">
                  <c:v>1.131</c:v>
                </c:pt>
              </c:numCache>
            </c:numRef>
          </c:val>
          <c:smooth val="0"/>
          <c:extLst>
            <c:ext xmlns:c16="http://schemas.microsoft.com/office/drawing/2014/chart" uri="{C3380CC4-5D6E-409C-BE32-E72D297353CC}">
              <c16:uniqueId val="{00000003-8C39-4F2A-AC8B-E76CE0CA0A0D}"/>
            </c:ext>
          </c:extLst>
        </c:ser>
        <c:dLbls>
          <c:showLegendKey val="0"/>
          <c:showVal val="0"/>
          <c:showCatName val="0"/>
          <c:showSerName val="0"/>
          <c:showPercent val="0"/>
          <c:showBubbleSize val="0"/>
        </c:dLbls>
        <c:marker val="1"/>
        <c:smooth val="0"/>
        <c:axId val="318248408"/>
        <c:axId val="318253984"/>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µg/L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WSSzagr</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'wsk D'!$A$2:$A$12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'wsk D'!$B$2:$B$12</c:f>
              <c:numCache>
                <c:formatCode>General</c:formatCode>
                <c:ptCount val="11"/>
                <c:pt idx="0">
                  <c:v>6.09</c:v>
                </c:pt>
                <c:pt idx="1">
                  <c:v>6.1</c:v>
                </c:pt>
                <c:pt idx="2">
                  <c:v>5.9880000000000004</c:v>
                </c:pt>
                <c:pt idx="3">
                  <c:v>5.67</c:v>
                </c:pt>
                <c:pt idx="4">
                  <c:v>5.6040000000000001</c:v>
                </c:pt>
                <c:pt idx="5">
                  <c:v>5.96</c:v>
                </c:pt>
                <c:pt idx="6">
                  <c:v>6.14</c:v>
                </c:pt>
                <c:pt idx="7">
                  <c:v>5.62</c:v>
                </c:pt>
                <c:pt idx="8">
                  <c:v>5.54</c:v>
                </c:pt>
                <c:pt idx="9" formatCode="0.00">
                  <c:v>6</c:v>
                </c:pt>
                <c:pt idx="10">
                  <c:v>6.18</c:v>
                </c:pt>
              </c:numCache>
            </c:numRef>
          </c:val>
          <c:smooth val="0"/>
          <c:extLst>
            <c:ext xmlns:c16="http://schemas.microsoft.com/office/drawing/2014/chart" uri="{C3380CC4-5D6E-409C-BE32-E72D297353CC}">
              <c16:uniqueId val="{00000000-ED2A-4D04-8528-44C58EE4A939}"/>
            </c:ext>
          </c:extLst>
        </c:ser>
        <c:ser>
          <c:idx val="1"/>
          <c:order val="1"/>
          <c:tx>
            <c:v>WSzagr</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'wsk D'!$A$2:$A$12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'wsk D'!$C$2:$C$12</c:f>
              <c:numCache>
                <c:formatCode>General</c:formatCode>
                <c:ptCount val="11"/>
                <c:pt idx="0">
                  <c:v>6.09</c:v>
                </c:pt>
                <c:pt idx="1">
                  <c:v>6.46</c:v>
                </c:pt>
                <c:pt idx="2">
                  <c:v>6.585</c:v>
                </c:pt>
                <c:pt idx="3">
                  <c:v>6.31</c:v>
                </c:pt>
                <c:pt idx="4">
                  <c:v>6.5430000000000001</c:v>
                </c:pt>
                <c:pt idx="5">
                  <c:v>6.36</c:v>
                </c:pt>
                <c:pt idx="6">
                  <c:v>6.91</c:v>
                </c:pt>
                <c:pt idx="7">
                  <c:v>6.42</c:v>
                </c:pt>
                <c:pt idx="8">
                  <c:v>7.14</c:v>
                </c:pt>
                <c:pt idx="9">
                  <c:v>7.02</c:v>
                </c:pt>
                <c:pt idx="10">
                  <c:v>6.2</c:v>
                </c:pt>
              </c:numCache>
            </c:numRef>
          </c:val>
          <c:smooth val="0"/>
          <c:extLst>
            <c:ext xmlns:c16="http://schemas.microsoft.com/office/drawing/2014/chart" uri="{C3380CC4-5D6E-409C-BE32-E72D297353CC}">
              <c16:uniqueId val="{00000001-ED2A-4D04-8528-44C58EE4A939}"/>
            </c:ext>
          </c:extLst>
        </c:ser>
        <c:dLbls>
          <c:showLegendKey val="0"/>
          <c:showVal val="0"/>
          <c:showCatName val="0"/>
          <c:showSerName val="0"/>
          <c:showPercent val="0"/>
          <c:showBubbleSize val="0"/>
        </c:dLbls>
        <c:marker val="1"/>
        <c:smooth val="0"/>
        <c:axId val="318248408"/>
        <c:axId val="318253984"/>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WSpw</c:v>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'wsk E'!$A$4:$A$12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E'!$B$4:$B$12</c:f>
              <c:numCache>
                <c:formatCode>General</c:formatCode>
                <c:ptCount val="9"/>
                <c:pt idx="0">
                  <c:v>1552.85</c:v>
                </c:pt>
                <c:pt idx="1">
                  <c:v>1228.44</c:v>
                </c:pt>
                <c:pt idx="2">
                  <c:v>1119.93</c:v>
                </c:pt>
                <c:pt idx="3">
                  <c:v>997.91</c:v>
                </c:pt>
                <c:pt idx="4">
                  <c:v>1975.87</c:v>
                </c:pt>
                <c:pt idx="5">
                  <c:v>206.57</c:v>
                </c:pt>
                <c:pt idx="6">
                  <c:v>184.04</c:v>
                </c:pt>
                <c:pt idx="7">
                  <c:v>176.89</c:v>
                </c:pt>
                <c:pt idx="8" formatCode="0.00">
                  <c:v>228.14</c:v>
                </c:pt>
              </c:numCache>
            </c:numRef>
          </c:val>
          <c:extLst>
            <c:ext xmlns:c16="http://schemas.microsoft.com/office/drawing/2014/chart" uri="{C3380CC4-5D6E-409C-BE32-E72D297353CC}">
              <c16:uniqueId val="{00000000-1155-438F-8822-B52458B37A7D}"/>
            </c:ext>
          </c:extLst>
        </c:ser>
        <c:dLbls>
          <c:showLegendKey val="0"/>
          <c:showVal val="0"/>
          <c:showCatName val="0"/>
          <c:showSerName val="0"/>
          <c:showPercent val="0"/>
          <c:showBubbleSize val="0"/>
        </c:dLbls>
        <c:gapWidth val="150"/>
        <c:axId val="318248408"/>
        <c:axId val="318253984"/>
      </c:barChart>
      <c:lineChart>
        <c:grouping val="standard"/>
        <c:varyColors val="0"/>
        <c:ser>
          <c:idx val="0"/>
          <c:order val="1"/>
          <c:tx>
            <c:v>WSSpw</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E'!$A$4:$A$11</c:f>
              <c:numCache>
                <c:formatCode>General</c:formatCode>
                <c:ptCount val="8"/>
                <c:pt idx="0">
                  <c:v>2015</c:v>
                </c:pt>
                <c:pt idx="1">
                  <c:v>2016</c:v>
                </c:pt>
                <c:pt idx="2">
                  <c:v>2017</c:v>
                </c:pt>
                <c:pt idx="3">
                  <c:v>2018</c:v>
                </c:pt>
                <c:pt idx="4">
                  <c:v>2019</c:v>
                </c:pt>
                <c:pt idx="5">
                  <c:v>2020</c:v>
                </c:pt>
                <c:pt idx="6">
                  <c:v>2021</c:v>
                </c:pt>
                <c:pt idx="7">
                  <c:v>2022</c:v>
                </c:pt>
              </c:numCache>
            </c:numRef>
          </c:cat>
          <c:val>
            <c:numRef>
              <c:f>'wsk E'!$C$4:$C$12</c:f>
              <c:numCache>
                <c:formatCode>0.00%</c:formatCode>
                <c:ptCount val="9"/>
                <c:pt idx="0">
                  <c:v>6.4699999999999994E-2</c:v>
                </c:pt>
                <c:pt idx="1">
                  <c:v>5.0200000000000002E-2</c:v>
                </c:pt>
                <c:pt idx="2">
                  <c:v>4.4699999999999997E-2</c:v>
                </c:pt>
                <c:pt idx="3">
                  <c:v>4.3099999999999999E-2</c:v>
                </c:pt>
                <c:pt idx="4">
                  <c:v>8.14E-2</c:v>
                </c:pt>
                <c:pt idx="5">
                  <c:v>8.3999999999999995E-3</c:v>
                </c:pt>
                <c:pt idx="6">
                  <c:v>6.7999999999999996E-3</c:v>
                </c:pt>
                <c:pt idx="7">
                  <c:v>7.9000000000000008E-3</c:v>
                </c:pt>
                <c:pt idx="8">
                  <c:v>1.14E-2</c:v>
                </c:pt>
              </c:numCache>
            </c:numRef>
          </c:val>
          <c:smooth val="0"/>
          <c:extLst>
            <c:ext xmlns:c16="http://schemas.microsoft.com/office/drawing/2014/chart" uri="{C3380CC4-5D6E-409C-BE32-E72D297353CC}">
              <c16:uniqueId val="{00000001-1155-438F-8822-B52458B37A7D}"/>
            </c:ext>
          </c:extLst>
        </c:ser>
        <c:dLbls>
          <c:showLegendKey val="0"/>
          <c:showVal val="0"/>
          <c:showCatName val="0"/>
          <c:showSerName val="0"/>
          <c:showPercent val="0"/>
          <c:showBubbleSize val="0"/>
        </c:dLbls>
        <c:marker val="1"/>
        <c:smooth val="0"/>
        <c:axId val="470552352"/>
        <c:axId val="470551040"/>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valAx>
        <c:axId val="47055104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552352"/>
        <c:crosses val="max"/>
        <c:crossBetween val="between"/>
      </c:valAx>
      <c:catAx>
        <c:axId val="470552352"/>
        <c:scaling>
          <c:orientation val="minMax"/>
        </c:scaling>
        <c:delete val="1"/>
        <c:axPos val="b"/>
        <c:numFmt formatCode="General" sourceLinked="1"/>
        <c:majorTickMark val="out"/>
        <c:minorTickMark val="none"/>
        <c:tickLblPos val="nextTo"/>
        <c:crossAx val="470551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WSmonit</c:v>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'wsk F'!$A$4:$A$12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F'!$B$4:$B$12</c:f>
              <c:numCache>
                <c:formatCode>General</c:formatCode>
                <c:ptCount val="9"/>
                <c:pt idx="0">
                  <c:v>2165.56</c:v>
                </c:pt>
                <c:pt idx="1">
                  <c:v>2002.95</c:v>
                </c:pt>
                <c:pt idx="2">
                  <c:v>2184.7399999999998</c:v>
                </c:pt>
                <c:pt idx="3">
                  <c:v>2329.7399999999998</c:v>
                </c:pt>
                <c:pt idx="4">
                  <c:v>2398.86</c:v>
                </c:pt>
                <c:pt idx="5">
                  <c:v>2506.0700000000002</c:v>
                </c:pt>
                <c:pt idx="6">
                  <c:v>3141.12</c:v>
                </c:pt>
                <c:pt idx="7">
                  <c:v>2823.59</c:v>
                </c:pt>
                <c:pt idx="8">
                  <c:v>3114.72</c:v>
                </c:pt>
              </c:numCache>
            </c:numRef>
          </c:val>
          <c:extLst>
            <c:ext xmlns:c16="http://schemas.microsoft.com/office/drawing/2014/chart" uri="{C3380CC4-5D6E-409C-BE32-E72D297353CC}">
              <c16:uniqueId val="{00000000-078A-422F-AA72-22CE9E78FC69}"/>
            </c:ext>
          </c:extLst>
        </c:ser>
        <c:dLbls>
          <c:showLegendKey val="0"/>
          <c:showVal val="0"/>
          <c:showCatName val="0"/>
          <c:showSerName val="0"/>
          <c:showPercent val="0"/>
          <c:showBubbleSize val="0"/>
        </c:dLbls>
        <c:gapWidth val="150"/>
        <c:axId val="318248408"/>
        <c:axId val="318253984"/>
      </c:barChart>
      <c:lineChart>
        <c:grouping val="standard"/>
        <c:varyColors val="0"/>
        <c:ser>
          <c:idx val="0"/>
          <c:order val="1"/>
          <c:tx>
            <c:v>WSSmonit</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3391643299273371E-2"/>
                  <c:y val="-5.7476455971450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8A-422F-AA72-22CE9E78FC69}"/>
                </c:ext>
              </c:extLst>
            </c:dLbl>
            <c:dLbl>
              <c:idx val="1"/>
              <c:layout>
                <c:manualLayout>
                  <c:x val="-4.3391643299273371E-2"/>
                  <c:y val="-5.321176958143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8A-422F-AA72-22CE9E78FC69}"/>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F'!$A$4:$A$12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F'!$C$4:$C$12</c:f>
              <c:numCache>
                <c:formatCode>0.00%</c:formatCode>
                <c:ptCount val="9"/>
                <c:pt idx="0">
                  <c:v>9.0200000000000002E-2</c:v>
                </c:pt>
                <c:pt idx="1">
                  <c:v>8.1900000000000001E-2</c:v>
                </c:pt>
                <c:pt idx="2">
                  <c:v>8.7099999999999997E-2</c:v>
                </c:pt>
                <c:pt idx="3">
                  <c:v>0.10050000000000001</c:v>
                </c:pt>
                <c:pt idx="4">
                  <c:v>9.8799999999999999E-2</c:v>
                </c:pt>
                <c:pt idx="5">
                  <c:v>0.1018</c:v>
                </c:pt>
                <c:pt idx="6">
                  <c:v>0.11650000000000001</c:v>
                </c:pt>
                <c:pt idx="7">
                  <c:v>0.1265</c:v>
                </c:pt>
                <c:pt idx="8">
                  <c:v>0.15540000000000001</c:v>
                </c:pt>
              </c:numCache>
            </c:numRef>
          </c:val>
          <c:smooth val="0"/>
          <c:extLst>
            <c:ext xmlns:c16="http://schemas.microsoft.com/office/drawing/2014/chart" uri="{C3380CC4-5D6E-409C-BE32-E72D297353CC}">
              <c16:uniqueId val="{00000003-078A-422F-AA72-22CE9E78FC69}"/>
            </c:ext>
          </c:extLst>
        </c:ser>
        <c:dLbls>
          <c:showLegendKey val="0"/>
          <c:showVal val="0"/>
          <c:showCatName val="0"/>
          <c:showSerName val="0"/>
          <c:showPercent val="0"/>
          <c:showBubbleSize val="0"/>
        </c:dLbls>
        <c:marker val="1"/>
        <c:smooth val="0"/>
        <c:axId val="470552352"/>
        <c:axId val="470551040"/>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ax val="5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valAx>
        <c:axId val="470551040"/>
        <c:scaling>
          <c:orientation val="minMax"/>
          <c:max val="0.18000000000000002"/>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552352"/>
        <c:crosses val="max"/>
        <c:crossBetween val="between"/>
      </c:valAx>
      <c:catAx>
        <c:axId val="470552352"/>
        <c:scaling>
          <c:orientation val="minMax"/>
        </c:scaling>
        <c:delete val="1"/>
        <c:axPos val="b"/>
        <c:numFmt formatCode="General" sourceLinked="1"/>
        <c:majorTickMark val="out"/>
        <c:minorTickMark val="none"/>
        <c:tickLblPos val="nextTo"/>
        <c:crossAx val="470551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1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773549139690866E-2"/>
          <c:y val="4.3650793650793648E-2"/>
          <c:w val="0.85424376640419952"/>
          <c:h val="0.72917260342457191"/>
        </c:manualLayout>
      </c:layout>
      <c:bar3DChart>
        <c:barDir val="col"/>
        <c:grouping val="clustered"/>
        <c:varyColors val="0"/>
        <c:ser>
          <c:idx val="0"/>
          <c:order val="0"/>
          <c:tx>
            <c:strRef>
              <c:f>Arkusz1!$B$1</c:f>
              <c:strCache>
                <c:ptCount val="1"/>
                <c:pt idx="0">
                  <c:v>2013</c:v>
                </c:pt>
              </c:strCache>
            </c:strRef>
          </c:tx>
          <c:spPr>
            <a:solidFill>
              <a:schemeClr val="accent1"/>
            </a:solidFill>
            <a:ln>
              <a:noFill/>
            </a:ln>
            <a:effectLst/>
            <a:sp3d/>
          </c:spPr>
          <c:invertIfNegative val="0"/>
          <c:cat>
            <c:strRef>
              <c:f>Arkusz1!$A$2:$A$3</c:f>
              <c:strCache>
                <c:ptCount val="2"/>
                <c:pt idx="0">
                  <c:v>zatrucia</c:v>
                </c:pt>
                <c:pt idx="1">
                  <c:v>konieczność leczenia szpitalnego</c:v>
                </c:pt>
              </c:strCache>
            </c:strRef>
          </c:cat>
          <c:val>
            <c:numRef>
              <c:f>Arkusz1!$B$2:$B$3</c:f>
              <c:numCache>
                <c:formatCode>General</c:formatCode>
                <c:ptCount val="2"/>
                <c:pt idx="0">
                  <c:v>616</c:v>
                </c:pt>
                <c:pt idx="1">
                  <c:v>383</c:v>
                </c:pt>
              </c:numCache>
            </c:numRef>
          </c:val>
          <c:extLst>
            <c:ext xmlns:c16="http://schemas.microsoft.com/office/drawing/2014/chart" uri="{C3380CC4-5D6E-409C-BE32-E72D297353CC}">
              <c16:uniqueId val="{00000000-661B-4A45-BE99-FFF3D116667A}"/>
            </c:ext>
          </c:extLst>
        </c:ser>
        <c:ser>
          <c:idx val="1"/>
          <c:order val="1"/>
          <c:tx>
            <c:strRef>
              <c:f>Arkusz1!$C$1</c:f>
              <c:strCache>
                <c:ptCount val="1"/>
                <c:pt idx="0">
                  <c:v>2014</c:v>
                </c:pt>
              </c:strCache>
            </c:strRef>
          </c:tx>
          <c:spPr>
            <a:solidFill>
              <a:schemeClr val="accent2"/>
            </a:solidFill>
            <a:ln>
              <a:noFill/>
            </a:ln>
            <a:effectLst/>
            <a:sp3d/>
          </c:spPr>
          <c:invertIfNegative val="0"/>
          <c:cat>
            <c:strRef>
              <c:f>Arkusz1!$A$2:$A$3</c:f>
              <c:strCache>
                <c:ptCount val="2"/>
                <c:pt idx="0">
                  <c:v>zatrucia</c:v>
                </c:pt>
                <c:pt idx="1">
                  <c:v>konieczność leczenia szpitalnego</c:v>
                </c:pt>
              </c:strCache>
            </c:strRef>
          </c:cat>
          <c:val>
            <c:numRef>
              <c:f>Arkusz1!$C$2:$C$3</c:f>
              <c:numCache>
                <c:formatCode>General</c:formatCode>
                <c:ptCount val="2"/>
                <c:pt idx="0">
                  <c:v>593</c:v>
                </c:pt>
                <c:pt idx="1">
                  <c:v>370</c:v>
                </c:pt>
              </c:numCache>
            </c:numRef>
          </c:val>
          <c:extLst>
            <c:ext xmlns:c16="http://schemas.microsoft.com/office/drawing/2014/chart" uri="{C3380CC4-5D6E-409C-BE32-E72D297353CC}">
              <c16:uniqueId val="{00000001-661B-4A45-BE99-FFF3D116667A}"/>
            </c:ext>
          </c:extLst>
        </c:ser>
        <c:ser>
          <c:idx val="2"/>
          <c:order val="2"/>
          <c:tx>
            <c:strRef>
              <c:f>Arkusz1!$D$1</c:f>
              <c:strCache>
                <c:ptCount val="1"/>
                <c:pt idx="0">
                  <c:v>2015</c:v>
                </c:pt>
              </c:strCache>
            </c:strRef>
          </c:tx>
          <c:spPr>
            <a:solidFill>
              <a:schemeClr val="accent3"/>
            </a:solidFill>
            <a:ln>
              <a:noFill/>
            </a:ln>
            <a:effectLst/>
            <a:sp3d/>
          </c:spPr>
          <c:invertIfNegative val="0"/>
          <c:cat>
            <c:strRef>
              <c:f>Arkusz1!$A$2:$A$3</c:f>
              <c:strCache>
                <c:ptCount val="2"/>
                <c:pt idx="0">
                  <c:v>zatrucia</c:v>
                </c:pt>
                <c:pt idx="1">
                  <c:v>konieczność leczenia szpitalnego</c:v>
                </c:pt>
              </c:strCache>
            </c:strRef>
          </c:cat>
          <c:val>
            <c:numRef>
              <c:f>Arkusz1!$D$2:$D$3</c:f>
              <c:numCache>
                <c:formatCode>General</c:formatCode>
                <c:ptCount val="2"/>
                <c:pt idx="0">
                  <c:v>512</c:v>
                </c:pt>
                <c:pt idx="1">
                  <c:v>323</c:v>
                </c:pt>
              </c:numCache>
            </c:numRef>
          </c:val>
          <c:extLst>
            <c:ext xmlns:c16="http://schemas.microsoft.com/office/drawing/2014/chart" uri="{C3380CC4-5D6E-409C-BE32-E72D297353CC}">
              <c16:uniqueId val="{00000002-661B-4A45-BE99-FFF3D116667A}"/>
            </c:ext>
          </c:extLst>
        </c:ser>
        <c:ser>
          <c:idx val="3"/>
          <c:order val="3"/>
          <c:tx>
            <c:strRef>
              <c:f>Arkusz1!$E$1</c:f>
              <c:strCache>
                <c:ptCount val="1"/>
                <c:pt idx="0">
                  <c:v>2016</c:v>
                </c:pt>
              </c:strCache>
            </c:strRef>
          </c:tx>
          <c:spPr>
            <a:solidFill>
              <a:schemeClr val="accent4"/>
            </a:solidFill>
            <a:ln>
              <a:noFill/>
            </a:ln>
            <a:effectLst/>
            <a:sp3d/>
          </c:spPr>
          <c:invertIfNegative val="0"/>
          <c:cat>
            <c:strRef>
              <c:f>Arkusz1!$A$2:$A$3</c:f>
              <c:strCache>
                <c:ptCount val="2"/>
                <c:pt idx="0">
                  <c:v>zatrucia</c:v>
                </c:pt>
                <c:pt idx="1">
                  <c:v>konieczność leczenia szpitalnego</c:v>
                </c:pt>
              </c:strCache>
            </c:strRef>
          </c:cat>
          <c:val>
            <c:numRef>
              <c:f>Arkusz1!$E$2:$E$3</c:f>
              <c:numCache>
                <c:formatCode>General</c:formatCode>
                <c:ptCount val="2"/>
                <c:pt idx="0">
                  <c:v>450</c:v>
                </c:pt>
                <c:pt idx="1">
                  <c:v>295</c:v>
                </c:pt>
              </c:numCache>
            </c:numRef>
          </c:val>
          <c:extLst>
            <c:ext xmlns:c16="http://schemas.microsoft.com/office/drawing/2014/chart" uri="{C3380CC4-5D6E-409C-BE32-E72D297353CC}">
              <c16:uniqueId val="{00000003-661B-4A45-BE99-FFF3D116667A}"/>
            </c:ext>
          </c:extLst>
        </c:ser>
        <c:ser>
          <c:idx val="4"/>
          <c:order val="4"/>
          <c:tx>
            <c:strRef>
              <c:f>Arkusz1!$F$1</c:f>
              <c:strCache>
                <c:ptCount val="1"/>
                <c:pt idx="0">
                  <c:v>2017</c:v>
                </c:pt>
              </c:strCache>
            </c:strRef>
          </c:tx>
          <c:spPr>
            <a:solidFill>
              <a:schemeClr val="accent5"/>
            </a:solidFill>
            <a:ln>
              <a:noFill/>
            </a:ln>
            <a:effectLst/>
            <a:sp3d/>
          </c:spPr>
          <c:invertIfNegative val="0"/>
          <c:cat>
            <c:strRef>
              <c:f>Arkusz1!$A$2:$A$3</c:f>
              <c:strCache>
                <c:ptCount val="2"/>
                <c:pt idx="0">
                  <c:v>zatrucia</c:v>
                </c:pt>
                <c:pt idx="1">
                  <c:v>konieczność leczenia szpitalnego</c:v>
                </c:pt>
              </c:strCache>
            </c:strRef>
          </c:cat>
          <c:val>
            <c:numRef>
              <c:f>Arkusz1!$F$2:$F$3</c:f>
              <c:numCache>
                <c:formatCode>General</c:formatCode>
                <c:ptCount val="2"/>
                <c:pt idx="0">
                  <c:v>440</c:v>
                </c:pt>
                <c:pt idx="1">
                  <c:v>236</c:v>
                </c:pt>
              </c:numCache>
            </c:numRef>
          </c:val>
          <c:extLst>
            <c:ext xmlns:c16="http://schemas.microsoft.com/office/drawing/2014/chart" uri="{C3380CC4-5D6E-409C-BE32-E72D297353CC}">
              <c16:uniqueId val="{00000004-661B-4A45-BE99-FFF3D116667A}"/>
            </c:ext>
          </c:extLst>
        </c:ser>
        <c:ser>
          <c:idx val="5"/>
          <c:order val="5"/>
          <c:tx>
            <c:strRef>
              <c:f>Arkusz1!$G$1</c:f>
              <c:strCache>
                <c:ptCount val="1"/>
                <c:pt idx="0">
                  <c:v>2018</c:v>
                </c:pt>
              </c:strCache>
            </c:strRef>
          </c:tx>
          <c:spPr>
            <a:solidFill>
              <a:schemeClr val="accent6"/>
            </a:solidFill>
            <a:ln>
              <a:noFill/>
            </a:ln>
            <a:effectLst/>
            <a:sp3d/>
          </c:spPr>
          <c:invertIfNegative val="0"/>
          <c:cat>
            <c:strRef>
              <c:f>Arkusz1!$A$2:$A$3</c:f>
              <c:strCache>
                <c:ptCount val="2"/>
                <c:pt idx="0">
                  <c:v>zatrucia</c:v>
                </c:pt>
                <c:pt idx="1">
                  <c:v>konieczność leczenia szpitalnego</c:v>
                </c:pt>
              </c:strCache>
            </c:strRef>
          </c:cat>
          <c:val>
            <c:numRef>
              <c:f>Arkusz1!$G$2:$G$3</c:f>
              <c:numCache>
                <c:formatCode>General</c:formatCode>
                <c:ptCount val="2"/>
                <c:pt idx="0">
                  <c:v>492</c:v>
                </c:pt>
                <c:pt idx="1">
                  <c:v>260</c:v>
                </c:pt>
              </c:numCache>
            </c:numRef>
          </c:val>
          <c:extLst>
            <c:ext xmlns:c16="http://schemas.microsoft.com/office/drawing/2014/chart" uri="{C3380CC4-5D6E-409C-BE32-E72D297353CC}">
              <c16:uniqueId val="{00000005-661B-4A45-BE99-FFF3D116667A}"/>
            </c:ext>
          </c:extLst>
        </c:ser>
        <c:ser>
          <c:idx val="6"/>
          <c:order val="6"/>
          <c:tx>
            <c:strRef>
              <c:f>Arkusz1!$H$1</c:f>
              <c:strCache>
                <c:ptCount val="1"/>
                <c:pt idx="0">
                  <c:v>2019</c:v>
                </c:pt>
              </c:strCache>
            </c:strRef>
          </c:tx>
          <c:invertIfNegative val="0"/>
          <c:cat>
            <c:strRef>
              <c:f>Arkusz1!$A$2:$A$3</c:f>
              <c:strCache>
                <c:ptCount val="2"/>
                <c:pt idx="0">
                  <c:v>zatrucia</c:v>
                </c:pt>
                <c:pt idx="1">
                  <c:v>konieczność leczenia szpitalnego</c:v>
                </c:pt>
              </c:strCache>
            </c:strRef>
          </c:cat>
          <c:val>
            <c:numRef>
              <c:f>Arkusz1!$H$2:$H$3</c:f>
              <c:numCache>
                <c:formatCode>General</c:formatCode>
                <c:ptCount val="2"/>
                <c:pt idx="0">
                  <c:v>393</c:v>
                </c:pt>
                <c:pt idx="1">
                  <c:v>215</c:v>
                </c:pt>
              </c:numCache>
            </c:numRef>
          </c:val>
          <c:extLst>
            <c:ext xmlns:c16="http://schemas.microsoft.com/office/drawing/2014/chart" uri="{C3380CC4-5D6E-409C-BE32-E72D297353CC}">
              <c16:uniqueId val="{00000006-661B-4A45-BE99-FFF3D116667A}"/>
            </c:ext>
          </c:extLst>
        </c:ser>
        <c:ser>
          <c:idx val="7"/>
          <c:order val="7"/>
          <c:tx>
            <c:strRef>
              <c:f>Arkusz1!$I$1</c:f>
              <c:strCache>
                <c:ptCount val="1"/>
                <c:pt idx="0">
                  <c:v>2020</c:v>
                </c:pt>
              </c:strCache>
            </c:strRef>
          </c:tx>
          <c:invertIfNegative val="0"/>
          <c:cat>
            <c:strRef>
              <c:f>Arkusz1!$A$2:$A$3</c:f>
              <c:strCache>
                <c:ptCount val="2"/>
                <c:pt idx="0">
                  <c:v>zatrucia</c:v>
                </c:pt>
                <c:pt idx="1">
                  <c:v>konieczność leczenia szpitalnego</c:v>
                </c:pt>
              </c:strCache>
            </c:strRef>
          </c:cat>
          <c:val>
            <c:numRef>
              <c:f>Arkusz1!$I$2:$I$3</c:f>
              <c:numCache>
                <c:formatCode>General</c:formatCode>
                <c:ptCount val="2"/>
                <c:pt idx="0">
                  <c:v>249</c:v>
                </c:pt>
                <c:pt idx="1">
                  <c:v>152</c:v>
                </c:pt>
              </c:numCache>
            </c:numRef>
          </c:val>
          <c:extLst>
            <c:ext xmlns:c16="http://schemas.microsoft.com/office/drawing/2014/chart" uri="{C3380CC4-5D6E-409C-BE32-E72D297353CC}">
              <c16:uniqueId val="{00000007-661B-4A45-BE99-FFF3D116667A}"/>
            </c:ext>
          </c:extLst>
        </c:ser>
        <c:ser>
          <c:idx val="8"/>
          <c:order val="8"/>
          <c:tx>
            <c:strRef>
              <c:f>Arkusz1!$J$1</c:f>
              <c:strCache>
                <c:ptCount val="1"/>
                <c:pt idx="0">
                  <c:v>2021</c:v>
                </c:pt>
              </c:strCache>
            </c:strRef>
          </c:tx>
          <c:invertIfNegative val="0"/>
          <c:cat>
            <c:strRef>
              <c:f>Arkusz1!$A$2:$A$3</c:f>
              <c:strCache>
                <c:ptCount val="2"/>
                <c:pt idx="0">
                  <c:v>zatrucia</c:v>
                </c:pt>
                <c:pt idx="1">
                  <c:v>konieczność leczenia szpitalnego</c:v>
                </c:pt>
              </c:strCache>
            </c:strRef>
          </c:cat>
          <c:val>
            <c:numRef>
              <c:f>Arkusz1!$J$2:$J$3</c:f>
              <c:numCache>
                <c:formatCode>General</c:formatCode>
                <c:ptCount val="2"/>
                <c:pt idx="0">
                  <c:v>226</c:v>
                </c:pt>
                <c:pt idx="1">
                  <c:v>152</c:v>
                </c:pt>
              </c:numCache>
            </c:numRef>
          </c:val>
          <c:extLst>
            <c:ext xmlns:c16="http://schemas.microsoft.com/office/drawing/2014/chart" uri="{C3380CC4-5D6E-409C-BE32-E72D297353CC}">
              <c16:uniqueId val="{00000008-661B-4A45-BE99-FFF3D116667A}"/>
            </c:ext>
          </c:extLst>
        </c:ser>
        <c:ser>
          <c:idx val="9"/>
          <c:order val="9"/>
          <c:tx>
            <c:strRef>
              <c:f>Arkusz1!$K$1</c:f>
              <c:strCache>
                <c:ptCount val="1"/>
                <c:pt idx="0">
                  <c:v>2022</c:v>
                </c:pt>
              </c:strCache>
            </c:strRef>
          </c:tx>
          <c:invertIfNegative val="0"/>
          <c:cat>
            <c:strRef>
              <c:f>Arkusz1!$A$2:$A$3</c:f>
              <c:strCache>
                <c:ptCount val="2"/>
                <c:pt idx="0">
                  <c:v>zatrucia</c:v>
                </c:pt>
                <c:pt idx="1">
                  <c:v>konieczność leczenia szpitalnego</c:v>
                </c:pt>
              </c:strCache>
            </c:strRef>
          </c:cat>
          <c:val>
            <c:numRef>
              <c:f>Arkusz1!$K$2:$K$3</c:f>
              <c:numCache>
                <c:formatCode>General</c:formatCode>
                <c:ptCount val="2"/>
                <c:pt idx="0">
                  <c:v>237</c:v>
                </c:pt>
                <c:pt idx="1">
                  <c:v>158</c:v>
                </c:pt>
              </c:numCache>
            </c:numRef>
          </c:val>
          <c:extLst>
            <c:ext xmlns:c16="http://schemas.microsoft.com/office/drawing/2014/chart" uri="{C3380CC4-5D6E-409C-BE32-E72D297353CC}">
              <c16:uniqueId val="{00000009-661B-4A45-BE99-FFF3D116667A}"/>
            </c:ext>
          </c:extLst>
        </c:ser>
        <c:ser>
          <c:idx val="10"/>
          <c:order val="10"/>
          <c:tx>
            <c:strRef>
              <c:f>Arkusz1!$L$1</c:f>
              <c:strCache>
                <c:ptCount val="1"/>
                <c:pt idx="0">
                  <c:v>2023</c:v>
                </c:pt>
              </c:strCache>
            </c:strRef>
          </c:tx>
          <c:invertIfNegative val="0"/>
          <c:cat>
            <c:strRef>
              <c:f>Arkusz1!$A$2:$A$3</c:f>
              <c:strCache>
                <c:ptCount val="2"/>
                <c:pt idx="0">
                  <c:v>zatrucia</c:v>
                </c:pt>
                <c:pt idx="1">
                  <c:v>konieczność leczenia szpitalnego</c:v>
                </c:pt>
              </c:strCache>
            </c:strRef>
          </c:cat>
          <c:val>
            <c:numRef>
              <c:f>Arkusz1!$L$2:$L$3</c:f>
              <c:numCache>
                <c:formatCode>General</c:formatCode>
                <c:ptCount val="2"/>
                <c:pt idx="0">
                  <c:v>221</c:v>
                </c:pt>
                <c:pt idx="1">
                  <c:v>150</c:v>
                </c:pt>
              </c:numCache>
            </c:numRef>
          </c:val>
          <c:extLst>
            <c:ext xmlns:c16="http://schemas.microsoft.com/office/drawing/2014/chart" uri="{C3380CC4-5D6E-409C-BE32-E72D297353CC}">
              <c16:uniqueId val="{0000000A-661B-4A45-BE99-FFF3D116667A}"/>
            </c:ext>
          </c:extLst>
        </c:ser>
        <c:dLbls>
          <c:showLegendKey val="0"/>
          <c:showVal val="0"/>
          <c:showCatName val="0"/>
          <c:showSerName val="0"/>
          <c:showPercent val="0"/>
          <c:showBubbleSize val="0"/>
        </c:dLbls>
        <c:gapWidth val="219"/>
        <c:shape val="box"/>
        <c:axId val="576551328"/>
        <c:axId val="576551720"/>
        <c:axId val="0"/>
      </c:bar3DChart>
      <c:catAx>
        <c:axId val="576551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layout>
            <c:manualLayout>
              <c:xMode val="edge"/>
              <c:yMode val="edge"/>
              <c:x val="0.47314650772820066"/>
              <c:y val="0.8435208098987626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6551720"/>
        <c:crosses val="autoZero"/>
        <c:auto val="1"/>
        <c:lblAlgn val="ctr"/>
        <c:lblOffset val="100"/>
        <c:noMultiLvlLbl val="0"/>
      </c:catAx>
      <c:valAx>
        <c:axId val="576551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layout>
            <c:manualLayout>
              <c:xMode val="edge"/>
              <c:yMode val="edge"/>
              <c:x val="2.0185464294601815E-2"/>
              <c:y val="0.2505915021491878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6551328"/>
        <c:crosses val="autoZero"/>
        <c:crossBetween val="between"/>
      </c:valAx>
      <c:spPr>
        <a:noFill/>
        <a:ln>
          <a:noFill/>
        </a:ln>
        <a:effectLst/>
      </c:spPr>
    </c:plotArea>
    <c:legend>
      <c:legendPos val="b"/>
      <c:layout>
        <c:manualLayout>
          <c:xMode val="edge"/>
          <c:yMode val="edge"/>
          <c:x val="0.17797886176571398"/>
          <c:y val="0.88949218304233713"/>
          <c:w val="0.82202109598741069"/>
          <c:h val="7.50839515472134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pl-PL" sz="1400"/>
              <a:t>Liczba badań w poszczególnych latach</a:t>
            </a:r>
          </a:p>
        </c:rich>
      </c:tx>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pl-PL"/>
        </a:p>
      </c:txPr>
    </c:title>
    <c:autoTitleDeleted val="0"/>
    <c:plotArea>
      <c:layout/>
      <c:barChart>
        <c:barDir val="col"/>
        <c:grouping val="clustered"/>
        <c:varyColors val="0"/>
        <c:ser>
          <c:idx val="0"/>
          <c:order val="0"/>
          <c:tx>
            <c:strRef>
              <c:f>Arkusz1!$B$1</c:f>
              <c:strCache>
                <c:ptCount val="1"/>
                <c:pt idx="0">
                  <c:v>liczba badań</c:v>
                </c:pt>
              </c:strCache>
            </c:strRef>
          </c:tx>
          <c:spPr>
            <a:solidFill>
              <a:schemeClr val="accent3">
                <a:shade val="65000"/>
                <a:alpha val="70000"/>
              </a:schemeClr>
            </a:solidFill>
            <a:ln>
              <a:noFill/>
            </a:ln>
            <a:effectLst/>
          </c:spPr>
          <c:invertIfNegative val="0"/>
          <c:cat>
            <c:numRef>
              <c:f>Arkusz1!$A$2:$A$12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Arkusz1!$B$2:$B$12</c:f>
              <c:numCache>
                <c:formatCode>General</c:formatCode>
                <c:ptCount val="11"/>
                <c:pt idx="0">
                  <c:v>64221</c:v>
                </c:pt>
                <c:pt idx="1">
                  <c:v>66689</c:v>
                </c:pt>
                <c:pt idx="2">
                  <c:v>60329</c:v>
                </c:pt>
                <c:pt idx="3">
                  <c:v>75215</c:v>
                </c:pt>
                <c:pt idx="4">
                  <c:v>84444</c:v>
                </c:pt>
                <c:pt idx="5">
                  <c:v>64955</c:v>
                </c:pt>
                <c:pt idx="6">
                  <c:v>73489</c:v>
                </c:pt>
                <c:pt idx="7">
                  <c:v>68478</c:v>
                </c:pt>
                <c:pt idx="8">
                  <c:v>58748</c:v>
                </c:pt>
                <c:pt idx="9">
                  <c:v>64328</c:v>
                </c:pt>
                <c:pt idx="10">
                  <c:v>78494</c:v>
                </c:pt>
              </c:numCache>
            </c:numRef>
          </c:val>
          <c:extLst>
            <c:ext xmlns:c16="http://schemas.microsoft.com/office/drawing/2014/chart" uri="{C3380CC4-5D6E-409C-BE32-E72D297353CC}">
              <c16:uniqueId val="{00000000-86A2-4768-B1C3-2411F3F8776A}"/>
            </c:ext>
          </c:extLst>
        </c:ser>
        <c:ser>
          <c:idx val="1"/>
          <c:order val="1"/>
          <c:tx>
            <c:strRef>
              <c:f>Arkusz1!$C$1</c:f>
              <c:strCache>
                <c:ptCount val="1"/>
                <c:pt idx="0">
                  <c:v>Kolumna1</c:v>
                </c:pt>
              </c:strCache>
            </c:strRef>
          </c:tx>
          <c:spPr>
            <a:solidFill>
              <a:schemeClr val="accent3">
                <a:alpha val="70000"/>
              </a:schemeClr>
            </a:solidFill>
            <a:ln>
              <a:noFill/>
            </a:ln>
            <a:effectLst/>
          </c:spPr>
          <c:invertIfNegative val="0"/>
          <c:cat>
            <c:numRef>
              <c:f>Arkusz1!$A$2:$A$12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Arkusz1!$C$2:$C$12</c:f>
              <c:numCache>
                <c:formatCode>General</c:formatCode>
                <c:ptCount val="11"/>
              </c:numCache>
            </c:numRef>
          </c:val>
          <c:extLst>
            <c:ext xmlns:c16="http://schemas.microsoft.com/office/drawing/2014/chart" uri="{C3380CC4-5D6E-409C-BE32-E72D297353CC}">
              <c16:uniqueId val="{00000001-86A2-4768-B1C3-2411F3F8776A}"/>
            </c:ext>
          </c:extLst>
        </c:ser>
        <c:ser>
          <c:idx val="2"/>
          <c:order val="2"/>
          <c:tx>
            <c:strRef>
              <c:f>Arkusz1!$D$1</c:f>
              <c:strCache>
                <c:ptCount val="1"/>
                <c:pt idx="0">
                  <c:v>Kolumna2</c:v>
                </c:pt>
              </c:strCache>
            </c:strRef>
          </c:tx>
          <c:spPr>
            <a:solidFill>
              <a:schemeClr val="accent3">
                <a:tint val="65000"/>
                <a:alpha val="70000"/>
              </a:schemeClr>
            </a:solidFill>
            <a:ln>
              <a:noFill/>
            </a:ln>
            <a:effectLst/>
          </c:spPr>
          <c:invertIfNegative val="0"/>
          <c:cat>
            <c:numRef>
              <c:f>Arkusz1!$A$2:$A$12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Arkusz1!$D$2:$D$12</c:f>
              <c:numCache>
                <c:formatCode>General</c:formatCode>
                <c:ptCount val="11"/>
              </c:numCache>
            </c:numRef>
          </c:val>
          <c:extLst>
            <c:ext xmlns:c16="http://schemas.microsoft.com/office/drawing/2014/chart" uri="{C3380CC4-5D6E-409C-BE32-E72D297353CC}">
              <c16:uniqueId val="{00000002-86A2-4768-B1C3-2411F3F8776A}"/>
            </c:ext>
          </c:extLst>
        </c:ser>
        <c:dLbls>
          <c:showLegendKey val="0"/>
          <c:showVal val="0"/>
          <c:showCatName val="0"/>
          <c:showSerName val="0"/>
          <c:showPercent val="0"/>
          <c:showBubbleSize val="0"/>
        </c:dLbls>
        <c:gapWidth val="80"/>
        <c:overlap val="25"/>
        <c:axId val="61107408"/>
        <c:axId val="61110544"/>
      </c:barChart>
      <c:catAx>
        <c:axId val="6110740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pl-PL"/>
          </a:p>
        </c:txPr>
        <c:crossAx val="61110544"/>
        <c:crosses val="autoZero"/>
        <c:auto val="1"/>
        <c:lblAlgn val="ctr"/>
        <c:lblOffset val="100"/>
        <c:noMultiLvlLbl val="0"/>
      </c:catAx>
      <c:valAx>
        <c:axId val="611105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pl-PL"/>
          </a:p>
        </c:txPr>
        <c:crossAx val="6110740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69"/>
      <c:rAngAx val="0"/>
      <c:perspective val="20"/>
    </c:view3D>
    <c:floor>
      <c:thickness val="0"/>
    </c:floor>
    <c:sideWall>
      <c:thickness val="0"/>
    </c:sideWall>
    <c:backWall>
      <c:thickness val="0"/>
    </c:backWall>
    <c:plotArea>
      <c:layout>
        <c:manualLayout>
          <c:layoutTarget val="inner"/>
          <c:xMode val="edge"/>
          <c:yMode val="edge"/>
          <c:x val="7.690791776027997E-2"/>
          <c:y val="6.7129629629629636E-2"/>
          <c:w val="0.68782349081364824"/>
          <c:h val="0.88657407407407407"/>
        </c:manualLayout>
      </c:layout>
      <c:pie3DChart>
        <c:varyColors val="1"/>
        <c:ser>
          <c:idx val="0"/>
          <c:order val="0"/>
          <c:tx>
            <c:strRef>
              <c:f>Arkusz1!$D$8</c:f>
              <c:strCache>
                <c:ptCount val="1"/>
                <c:pt idx="0">
                  <c:v>ilość próbek</c:v>
                </c:pt>
              </c:strCache>
            </c:strRef>
          </c:tx>
          <c:explosion val="25"/>
          <c:dPt>
            <c:idx val="0"/>
            <c:bubble3D val="0"/>
            <c:explosion val="11"/>
            <c:extLst>
              <c:ext xmlns:c16="http://schemas.microsoft.com/office/drawing/2014/chart" uri="{C3380CC4-5D6E-409C-BE32-E72D297353CC}">
                <c16:uniqueId val="{00000001-8E13-4B0E-8FF5-2FCDF16E9C7B}"/>
              </c:ext>
            </c:extLst>
          </c:dPt>
          <c:dLbls>
            <c:dLbl>
              <c:idx val="0"/>
              <c:layout>
                <c:manualLayout>
                  <c:x val="2.1789151356080491E-3"/>
                  <c:y val="-1.1084864391951006E-2"/>
                </c:manualLayout>
              </c:layout>
              <c:tx>
                <c:rich>
                  <a:bodyPr/>
                  <a:lstStyle/>
                  <a:p>
                    <a:r>
                      <a:rPr lang="en-US"/>
                      <a:t>93,8%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E13-4B0E-8FF5-2FCDF16E9C7B}"/>
                </c:ext>
              </c:extLst>
            </c:dLbl>
            <c:dLbl>
              <c:idx val="1"/>
              <c:layout>
                <c:manualLayout>
                  <c:x val="1.9433945756780403E-2"/>
                  <c:y val="-0.10637430737824438"/>
                </c:manualLayout>
              </c:layout>
              <c:tx>
                <c:rich>
                  <a:bodyPr/>
                  <a:lstStyle/>
                  <a:p>
                    <a:r>
                      <a:rPr lang="en-US"/>
                      <a:t>3,8%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E13-4B0E-8FF5-2FCDF16E9C7B}"/>
                </c:ext>
              </c:extLst>
            </c:dLbl>
            <c:dLbl>
              <c:idx val="2"/>
              <c:layout>
                <c:manualLayout>
                  <c:x val="-2.0477909011373577E-3"/>
                  <c:y val="-6.8456547098279382E-3"/>
                </c:manualLayout>
              </c:layout>
              <c:tx>
                <c:rich>
                  <a:bodyPr/>
                  <a:lstStyle/>
                  <a:p>
                    <a:r>
                      <a:rPr lang="en-US"/>
                      <a:t>0,9%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E13-4B0E-8FF5-2FCDF16E9C7B}"/>
                </c:ext>
              </c:extLst>
            </c:dLbl>
            <c:dLbl>
              <c:idx val="3"/>
              <c:layout>
                <c:manualLayout>
                  <c:x val="-4.9264326334208221E-2"/>
                  <c:y val="-9.2979002624671916E-3"/>
                </c:manualLayout>
              </c:layout>
              <c:tx>
                <c:rich>
                  <a:bodyPr/>
                  <a:lstStyle/>
                  <a:p>
                    <a:r>
                      <a:rPr lang="en-US"/>
                      <a:t>1,5%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E13-4B0E-8FF5-2FCDF16E9C7B}"/>
                </c:ext>
              </c:extLst>
            </c:dLbl>
            <c:spPr>
              <a:noFill/>
              <a:ln>
                <a:noFill/>
              </a:ln>
              <a:effectLst/>
            </c:spPr>
            <c:txPr>
              <a:bodyPr/>
              <a:lstStyle/>
              <a:p>
                <a:pPr>
                  <a:defRPr b="1"/>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Arkusz1!$E$7:$H$7</c:f>
              <c:strCache>
                <c:ptCount val="4"/>
                <c:pt idx="0">
                  <c:v>Kategoria A1</c:v>
                </c:pt>
                <c:pt idx="1">
                  <c:v>Kategoria A2</c:v>
                </c:pt>
                <c:pt idx="2">
                  <c:v>Kategoria A3</c:v>
                </c:pt>
                <c:pt idx="3">
                  <c:v>poza kategoriami</c:v>
                </c:pt>
              </c:strCache>
            </c:strRef>
          </c:cat>
          <c:val>
            <c:numRef>
              <c:f>Arkusz1!$E$8:$H$8</c:f>
              <c:numCache>
                <c:formatCode>General</c:formatCode>
                <c:ptCount val="4"/>
                <c:pt idx="0">
                  <c:v>472</c:v>
                </c:pt>
                <c:pt idx="1">
                  <c:v>10</c:v>
                </c:pt>
                <c:pt idx="2">
                  <c:v>5</c:v>
                </c:pt>
                <c:pt idx="3">
                  <c:v>5</c:v>
                </c:pt>
              </c:numCache>
            </c:numRef>
          </c:val>
          <c:extLst>
            <c:ext xmlns:c16="http://schemas.microsoft.com/office/drawing/2014/chart" uri="{C3380CC4-5D6E-409C-BE32-E72D297353CC}">
              <c16:uniqueId val="{00000005-8E13-4B0E-8FF5-2FCDF16E9C7B}"/>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0"/>
      <c:rAngAx val="0"/>
    </c:view3D>
    <c:floor>
      <c:thickness val="0"/>
    </c:floor>
    <c:sideWall>
      <c:thickness val="0"/>
    </c:sideWall>
    <c:backWall>
      <c:thickness val="0"/>
    </c:backWall>
    <c:plotArea>
      <c:layout>
        <c:manualLayout>
          <c:layoutTarget val="inner"/>
          <c:xMode val="edge"/>
          <c:yMode val="edge"/>
          <c:x val="7.5877049927670359E-3"/>
          <c:y val="5.5463833793938697E-2"/>
          <c:w val="0.9661499099051678"/>
          <c:h val="0.73541725814624614"/>
        </c:manualLayout>
      </c:layout>
      <c:pie3DChart>
        <c:varyColors val="1"/>
        <c:ser>
          <c:idx val="0"/>
          <c:order val="0"/>
          <c:tx>
            <c:strRef>
              <c:f>Arkusz1!$B$1</c:f>
              <c:strCache>
                <c:ptCount val="1"/>
                <c:pt idx="0">
                  <c:v>Sprzedaż</c:v>
                </c:pt>
              </c:strCache>
            </c:strRef>
          </c:tx>
          <c:explosion val="11"/>
          <c:dPt>
            <c:idx val="0"/>
            <c:bubble3D val="0"/>
            <c:explosion val="15"/>
            <c:spPr>
              <a:solidFill>
                <a:schemeClr val="accent1">
                  <a:lumMod val="60000"/>
                  <a:lumOff val="40000"/>
                </a:schemeClr>
              </a:solidFill>
            </c:spPr>
            <c:extLst>
              <c:ext xmlns:c16="http://schemas.microsoft.com/office/drawing/2014/chart" uri="{C3380CC4-5D6E-409C-BE32-E72D297353CC}">
                <c16:uniqueId val="{00000001-3D4D-4A82-9BF7-FA376586AFBB}"/>
              </c:ext>
            </c:extLst>
          </c:dPt>
          <c:dPt>
            <c:idx val="1"/>
            <c:bubble3D val="0"/>
            <c:spPr>
              <a:solidFill>
                <a:srgbClr val="92D050"/>
              </a:solidFill>
            </c:spPr>
            <c:extLst>
              <c:ext xmlns:c16="http://schemas.microsoft.com/office/drawing/2014/chart" uri="{C3380CC4-5D6E-409C-BE32-E72D297353CC}">
                <c16:uniqueId val="{00000003-3D4D-4A82-9BF7-FA376586AFBB}"/>
              </c:ext>
            </c:extLst>
          </c:dPt>
          <c:dPt>
            <c:idx val="2"/>
            <c:bubble3D val="0"/>
            <c:spPr>
              <a:solidFill>
                <a:schemeClr val="accent6">
                  <a:lumMod val="75000"/>
                </a:schemeClr>
              </a:solidFill>
            </c:spPr>
            <c:extLst>
              <c:ext xmlns:c16="http://schemas.microsoft.com/office/drawing/2014/chart" uri="{C3380CC4-5D6E-409C-BE32-E72D297353CC}">
                <c16:uniqueId val="{00000005-3D4D-4A82-9BF7-FA376586AFBB}"/>
              </c:ext>
            </c:extLst>
          </c:dPt>
          <c:dPt>
            <c:idx val="3"/>
            <c:bubble3D val="0"/>
            <c:spPr>
              <a:solidFill>
                <a:srgbClr val="002060"/>
              </a:solidFill>
            </c:spPr>
            <c:extLst>
              <c:ext xmlns:c16="http://schemas.microsoft.com/office/drawing/2014/chart" uri="{C3380CC4-5D6E-409C-BE32-E72D297353CC}">
                <c16:uniqueId val="{00000007-3D4D-4A82-9BF7-FA376586AFBB}"/>
              </c:ext>
            </c:extLst>
          </c:dPt>
          <c:dPt>
            <c:idx val="4"/>
            <c:bubble3D val="0"/>
            <c:spPr>
              <a:solidFill>
                <a:srgbClr val="FFC000"/>
              </a:solidFill>
            </c:spPr>
            <c:extLst>
              <c:ext xmlns:c16="http://schemas.microsoft.com/office/drawing/2014/chart" uri="{C3380CC4-5D6E-409C-BE32-E72D297353CC}">
                <c16:uniqueId val="{00000009-3D4D-4A82-9BF7-FA376586AFBB}"/>
              </c:ext>
            </c:extLst>
          </c:dPt>
          <c:dPt>
            <c:idx val="5"/>
            <c:bubble3D val="0"/>
            <c:explosion val="47"/>
            <c:spPr>
              <a:solidFill>
                <a:schemeClr val="accent2">
                  <a:lumMod val="75000"/>
                </a:schemeClr>
              </a:solidFill>
            </c:spPr>
            <c:extLst>
              <c:ext xmlns:c16="http://schemas.microsoft.com/office/drawing/2014/chart" uri="{C3380CC4-5D6E-409C-BE32-E72D297353CC}">
                <c16:uniqueId val="{0000000B-3D4D-4A82-9BF7-FA376586AFBB}"/>
              </c:ext>
            </c:extLst>
          </c:dPt>
          <c:dPt>
            <c:idx val="6"/>
            <c:bubble3D val="0"/>
            <c:explosion val="60"/>
            <c:spPr>
              <a:solidFill>
                <a:srgbClr val="FF0000"/>
              </a:solidFill>
            </c:spPr>
            <c:extLst>
              <c:ext xmlns:c16="http://schemas.microsoft.com/office/drawing/2014/chart" uri="{C3380CC4-5D6E-409C-BE32-E72D297353CC}">
                <c16:uniqueId val="{0000000D-3D4D-4A82-9BF7-FA376586AFBB}"/>
              </c:ext>
            </c:extLst>
          </c:dPt>
          <c:dLbls>
            <c:spPr>
              <a:noFill/>
              <a:ln>
                <a:noFill/>
              </a:ln>
              <a:effectLst/>
            </c:spPr>
            <c:txPr>
              <a:bodyPr/>
              <a:lstStyle/>
              <a:p>
                <a:pPr>
                  <a:defRPr sz="1200" b="1"/>
                </a:pPr>
                <a:endParaRPr lang="pl-PL"/>
              </a:p>
            </c:txPr>
            <c:showLegendKey val="0"/>
            <c:showVal val="1"/>
            <c:showCatName val="0"/>
            <c:showSerName val="0"/>
            <c:showPercent val="1"/>
            <c:showBubbleSize val="0"/>
            <c:showLeaderLines val="1"/>
            <c:extLst>
              <c:ext xmlns:c15="http://schemas.microsoft.com/office/drawing/2012/chart" uri="{CE6537A1-D6FC-4f65-9D91-7224C49458BB}"/>
            </c:extLst>
          </c:dLbls>
          <c:cat>
            <c:strRef>
              <c:f>Arkusz1!$A$2:$A$8</c:f>
              <c:strCache>
                <c:ptCount val="7"/>
                <c:pt idx="0">
                  <c:v>Brak wykryć</c:v>
                </c:pt>
                <c:pt idx="1">
                  <c:v>do 0,1 ug/L</c:v>
                </c:pt>
                <c:pt idx="2">
                  <c:v>do 0,5 ug/L</c:v>
                </c:pt>
                <c:pt idx="3">
                  <c:v>do 1 ug/L</c:v>
                </c:pt>
                <c:pt idx="4">
                  <c:v>powyżej 1 ug/l (A2)</c:v>
                </c:pt>
                <c:pt idx="5">
                  <c:v>powyżej 2,5  ug/l </c:v>
                </c:pt>
                <c:pt idx="6">
                  <c:v>powyżej 5 ug/L</c:v>
                </c:pt>
              </c:strCache>
            </c:strRef>
          </c:cat>
          <c:val>
            <c:numRef>
              <c:f>Arkusz1!$B$2:$B$8</c:f>
              <c:numCache>
                <c:formatCode>General</c:formatCode>
                <c:ptCount val="7"/>
                <c:pt idx="0">
                  <c:v>93</c:v>
                </c:pt>
                <c:pt idx="1">
                  <c:v>41</c:v>
                </c:pt>
                <c:pt idx="2">
                  <c:v>49</c:v>
                </c:pt>
                <c:pt idx="3">
                  <c:v>10</c:v>
                </c:pt>
                <c:pt idx="4">
                  <c:v>6</c:v>
                </c:pt>
                <c:pt idx="5">
                  <c:v>1</c:v>
                </c:pt>
                <c:pt idx="6">
                  <c:v>0</c:v>
                </c:pt>
              </c:numCache>
            </c:numRef>
          </c:val>
          <c:extLst>
            <c:ext xmlns:c16="http://schemas.microsoft.com/office/drawing/2014/chart" uri="{C3380CC4-5D6E-409C-BE32-E72D297353CC}">
              <c16:uniqueId val="{0000000E-3D4D-4A82-9BF7-FA376586AFBB}"/>
            </c:ext>
          </c:extLst>
        </c:ser>
        <c:dLbls>
          <c:showLegendKey val="0"/>
          <c:showVal val="0"/>
          <c:showCatName val="0"/>
          <c:showSerName val="0"/>
          <c:showPercent val="0"/>
          <c:showBubbleSize val="0"/>
          <c:showLeaderLines val="1"/>
        </c:dLbls>
      </c:pie3DChart>
    </c:plotArea>
    <c:legend>
      <c:legendPos val="b"/>
      <c:overlay val="0"/>
      <c:txPr>
        <a:bodyPr/>
        <a:lstStyle/>
        <a:p>
          <a:pPr>
            <a:defRPr sz="1000"/>
          </a:pPr>
          <a:endParaRPr lang="pl-PL"/>
        </a:p>
      </c:txPr>
    </c:legend>
    <c:plotVisOnly val="1"/>
    <c:dispBlanksAs val="zero"/>
    <c:showDLblsOverMax val="0"/>
  </c:chart>
  <c:txPr>
    <a:bodyPr/>
    <a:lstStyle/>
    <a:p>
      <a:pPr>
        <a:defRPr sz="1800"/>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WSpw</c:v>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'wsk E'!$A$4:$A$12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E'!$B$4:$B$12</c:f>
              <c:numCache>
                <c:formatCode>General</c:formatCode>
                <c:ptCount val="9"/>
                <c:pt idx="0">
                  <c:v>1552.85</c:v>
                </c:pt>
                <c:pt idx="1">
                  <c:v>1228.44</c:v>
                </c:pt>
                <c:pt idx="2">
                  <c:v>1119.93</c:v>
                </c:pt>
                <c:pt idx="3">
                  <c:v>997.91</c:v>
                </c:pt>
                <c:pt idx="4">
                  <c:v>1975.87</c:v>
                </c:pt>
                <c:pt idx="5">
                  <c:v>206.57</c:v>
                </c:pt>
                <c:pt idx="6">
                  <c:v>184.04</c:v>
                </c:pt>
                <c:pt idx="7">
                  <c:v>176.89</c:v>
                </c:pt>
                <c:pt idx="8" formatCode="0.00">
                  <c:v>228.14</c:v>
                </c:pt>
              </c:numCache>
            </c:numRef>
          </c:val>
          <c:extLst>
            <c:ext xmlns:c16="http://schemas.microsoft.com/office/drawing/2014/chart" uri="{C3380CC4-5D6E-409C-BE32-E72D297353CC}">
              <c16:uniqueId val="{00000000-FE00-420A-8A2F-A083EFAF8BE8}"/>
            </c:ext>
          </c:extLst>
        </c:ser>
        <c:dLbls>
          <c:showLegendKey val="0"/>
          <c:showVal val="0"/>
          <c:showCatName val="0"/>
          <c:showSerName val="0"/>
          <c:showPercent val="0"/>
          <c:showBubbleSize val="0"/>
        </c:dLbls>
        <c:gapWidth val="150"/>
        <c:axId val="318248408"/>
        <c:axId val="318253984"/>
      </c:barChart>
      <c:lineChart>
        <c:grouping val="standard"/>
        <c:varyColors val="0"/>
        <c:ser>
          <c:idx val="0"/>
          <c:order val="1"/>
          <c:tx>
            <c:v>WSSpw</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E'!$A$4:$A$11</c:f>
              <c:numCache>
                <c:formatCode>General</c:formatCode>
                <c:ptCount val="8"/>
                <c:pt idx="0">
                  <c:v>2015</c:v>
                </c:pt>
                <c:pt idx="1">
                  <c:v>2016</c:v>
                </c:pt>
                <c:pt idx="2">
                  <c:v>2017</c:v>
                </c:pt>
                <c:pt idx="3">
                  <c:v>2018</c:v>
                </c:pt>
                <c:pt idx="4">
                  <c:v>2019</c:v>
                </c:pt>
                <c:pt idx="5">
                  <c:v>2020</c:v>
                </c:pt>
                <c:pt idx="6">
                  <c:v>2021</c:v>
                </c:pt>
                <c:pt idx="7">
                  <c:v>2022</c:v>
                </c:pt>
              </c:numCache>
            </c:numRef>
          </c:cat>
          <c:val>
            <c:numRef>
              <c:f>'wsk E'!$C$4:$C$12</c:f>
              <c:numCache>
                <c:formatCode>0.00%</c:formatCode>
                <c:ptCount val="9"/>
                <c:pt idx="0">
                  <c:v>6.4699999999999994E-2</c:v>
                </c:pt>
                <c:pt idx="1">
                  <c:v>5.0200000000000002E-2</c:v>
                </c:pt>
                <c:pt idx="2">
                  <c:v>4.4699999999999997E-2</c:v>
                </c:pt>
                <c:pt idx="3">
                  <c:v>4.3099999999999999E-2</c:v>
                </c:pt>
                <c:pt idx="4">
                  <c:v>8.14E-2</c:v>
                </c:pt>
                <c:pt idx="5">
                  <c:v>8.3999999999999995E-3</c:v>
                </c:pt>
                <c:pt idx="6">
                  <c:v>6.7999999999999996E-3</c:v>
                </c:pt>
                <c:pt idx="7">
                  <c:v>7.9000000000000008E-3</c:v>
                </c:pt>
                <c:pt idx="8">
                  <c:v>1.14E-2</c:v>
                </c:pt>
              </c:numCache>
            </c:numRef>
          </c:val>
          <c:smooth val="0"/>
          <c:extLst>
            <c:ext xmlns:c16="http://schemas.microsoft.com/office/drawing/2014/chart" uri="{C3380CC4-5D6E-409C-BE32-E72D297353CC}">
              <c16:uniqueId val="{00000001-FE00-420A-8A2F-A083EFAF8BE8}"/>
            </c:ext>
          </c:extLst>
        </c:ser>
        <c:dLbls>
          <c:showLegendKey val="0"/>
          <c:showVal val="0"/>
          <c:showCatName val="0"/>
          <c:showSerName val="0"/>
          <c:showPercent val="0"/>
          <c:showBubbleSize val="0"/>
        </c:dLbls>
        <c:marker val="1"/>
        <c:smooth val="0"/>
        <c:axId val="470552352"/>
        <c:axId val="470551040"/>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valAx>
        <c:axId val="47055104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552352"/>
        <c:crosses val="max"/>
        <c:crossBetween val="between"/>
      </c:valAx>
      <c:catAx>
        <c:axId val="470552352"/>
        <c:scaling>
          <c:orientation val="minMax"/>
        </c:scaling>
        <c:delete val="1"/>
        <c:axPos val="b"/>
        <c:numFmt formatCode="General" sourceLinked="1"/>
        <c:majorTickMark val="out"/>
        <c:minorTickMark val="none"/>
        <c:tickLblPos val="nextTo"/>
        <c:crossAx val="470551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WSmonit</c:v>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'wsk F'!$A$4:$A$12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F'!$B$4:$B$12</c:f>
              <c:numCache>
                <c:formatCode>General</c:formatCode>
                <c:ptCount val="9"/>
                <c:pt idx="0">
                  <c:v>2165.56</c:v>
                </c:pt>
                <c:pt idx="1">
                  <c:v>2002.95</c:v>
                </c:pt>
                <c:pt idx="2">
                  <c:v>2184.7399999999998</c:v>
                </c:pt>
                <c:pt idx="3">
                  <c:v>2329.7399999999998</c:v>
                </c:pt>
                <c:pt idx="4">
                  <c:v>2398.86</c:v>
                </c:pt>
                <c:pt idx="5">
                  <c:v>2506.0700000000002</c:v>
                </c:pt>
                <c:pt idx="6">
                  <c:v>3141.12</c:v>
                </c:pt>
                <c:pt idx="7">
                  <c:v>2823.59</c:v>
                </c:pt>
                <c:pt idx="8">
                  <c:v>3114.72</c:v>
                </c:pt>
              </c:numCache>
            </c:numRef>
          </c:val>
          <c:extLst>
            <c:ext xmlns:c16="http://schemas.microsoft.com/office/drawing/2014/chart" uri="{C3380CC4-5D6E-409C-BE32-E72D297353CC}">
              <c16:uniqueId val="{00000000-0F79-48C8-80F8-09A94708936A}"/>
            </c:ext>
          </c:extLst>
        </c:ser>
        <c:dLbls>
          <c:showLegendKey val="0"/>
          <c:showVal val="0"/>
          <c:showCatName val="0"/>
          <c:showSerName val="0"/>
          <c:showPercent val="0"/>
          <c:showBubbleSize val="0"/>
        </c:dLbls>
        <c:gapWidth val="150"/>
        <c:axId val="318248408"/>
        <c:axId val="318253984"/>
      </c:barChart>
      <c:lineChart>
        <c:grouping val="standard"/>
        <c:varyColors val="0"/>
        <c:ser>
          <c:idx val="0"/>
          <c:order val="1"/>
          <c:tx>
            <c:v>WSSmonit</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3391643299273371E-2"/>
                  <c:y val="-5.7476455971450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79-48C8-80F8-09A94708936A}"/>
                </c:ext>
              </c:extLst>
            </c:dLbl>
            <c:dLbl>
              <c:idx val="1"/>
              <c:layout>
                <c:manualLayout>
                  <c:x val="-4.3391643299273371E-2"/>
                  <c:y val="-5.321176958143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79-48C8-80F8-09A94708936A}"/>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'wsk F'!$A$4:$A$12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'wsk F'!$C$4:$C$12</c:f>
              <c:numCache>
                <c:formatCode>0.00%</c:formatCode>
                <c:ptCount val="9"/>
                <c:pt idx="0">
                  <c:v>9.0200000000000002E-2</c:v>
                </c:pt>
                <c:pt idx="1">
                  <c:v>8.1900000000000001E-2</c:v>
                </c:pt>
                <c:pt idx="2">
                  <c:v>8.7099999999999997E-2</c:v>
                </c:pt>
                <c:pt idx="3">
                  <c:v>0.10050000000000001</c:v>
                </c:pt>
                <c:pt idx="4">
                  <c:v>9.8799999999999999E-2</c:v>
                </c:pt>
                <c:pt idx="5">
                  <c:v>0.1018</c:v>
                </c:pt>
                <c:pt idx="6">
                  <c:v>0.11650000000000001</c:v>
                </c:pt>
                <c:pt idx="7">
                  <c:v>0.1265</c:v>
                </c:pt>
                <c:pt idx="8">
                  <c:v>0.15540000000000001</c:v>
                </c:pt>
              </c:numCache>
            </c:numRef>
          </c:val>
          <c:smooth val="0"/>
          <c:extLst>
            <c:ext xmlns:c16="http://schemas.microsoft.com/office/drawing/2014/chart" uri="{C3380CC4-5D6E-409C-BE32-E72D297353CC}">
              <c16:uniqueId val="{00000003-0F79-48C8-80F8-09A94708936A}"/>
            </c:ext>
          </c:extLst>
        </c:ser>
        <c:dLbls>
          <c:showLegendKey val="0"/>
          <c:showVal val="0"/>
          <c:showCatName val="0"/>
          <c:showSerName val="0"/>
          <c:showPercent val="0"/>
          <c:showBubbleSize val="0"/>
        </c:dLbls>
        <c:marker val="1"/>
        <c:smooth val="0"/>
        <c:axId val="470552352"/>
        <c:axId val="470551040"/>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ax val="5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valAx>
        <c:axId val="470551040"/>
        <c:scaling>
          <c:orientation val="minMax"/>
          <c:max val="0.18000000000000002"/>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552352"/>
        <c:crosses val="max"/>
        <c:crossBetween val="between"/>
      </c:valAx>
      <c:catAx>
        <c:axId val="470552352"/>
        <c:scaling>
          <c:orientation val="minMax"/>
        </c:scaling>
        <c:delete val="1"/>
        <c:axPos val="b"/>
        <c:numFmt formatCode="General" sourceLinked="1"/>
        <c:majorTickMark val="out"/>
        <c:minorTickMark val="none"/>
        <c:tickLblPos val="nextTo"/>
        <c:crossAx val="470551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035521432638875E-2"/>
          <c:y val="5.6161063699372911E-2"/>
          <c:w val="0.9169894162232215"/>
          <c:h val="0.83904805112881942"/>
        </c:manualLayout>
      </c:layout>
      <c:barChart>
        <c:barDir val="col"/>
        <c:grouping val="clustered"/>
        <c:varyColors val="0"/>
        <c:ser>
          <c:idx val="1"/>
          <c:order val="0"/>
          <c:spPr>
            <a:solidFill>
              <a:schemeClr val="accent6">
                <a:lumMod val="60000"/>
                <a:lumOff val="40000"/>
              </a:schemeClr>
            </a:solidFill>
            <a:ln>
              <a:noFill/>
            </a:ln>
            <a:effectLst/>
          </c:spPr>
          <c:invertIfNegative val="0"/>
          <c:dLbls>
            <c:dLbl>
              <c:idx val="13"/>
              <c:layout>
                <c:manualLayout>
                  <c:x val="6.5453164865876965E-8"/>
                  <c:y val="-3.3826630969656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CF-4C45-BE37-14AE0C20B9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2"/>
                </a:solidFill>
                <a:prstDash val="sysDot"/>
              </a:ln>
              <a:effectLst/>
            </c:spPr>
            <c:trendlineType val="linear"/>
            <c:dispRSqr val="0"/>
            <c:dispEq val="0"/>
          </c:trendline>
          <c:cat>
            <c:numRef>
              <c:f>zest3!$K$11:$T$11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zest3!$K$12:$T$12</c:f>
              <c:numCache>
                <c:formatCode>General</c:formatCode>
                <c:ptCount val="10"/>
                <c:pt idx="0">
                  <c:v>23557</c:v>
                </c:pt>
                <c:pt idx="1">
                  <c:v>24006</c:v>
                </c:pt>
                <c:pt idx="2">
                  <c:v>24463</c:v>
                </c:pt>
                <c:pt idx="3">
                  <c:v>25075</c:v>
                </c:pt>
                <c:pt idx="4">
                  <c:v>23178</c:v>
                </c:pt>
                <c:pt idx="5">
                  <c:v>24281</c:v>
                </c:pt>
                <c:pt idx="6">
                  <c:v>24628</c:v>
                </c:pt>
                <c:pt idx="7">
                  <c:v>26973</c:v>
                </c:pt>
                <c:pt idx="8">
                  <c:v>22320</c:v>
                </c:pt>
                <c:pt idx="9">
                  <c:v>20047</c:v>
                </c:pt>
              </c:numCache>
            </c:numRef>
          </c:val>
          <c:extLst>
            <c:ext xmlns:c16="http://schemas.microsoft.com/office/drawing/2014/chart" uri="{C3380CC4-5D6E-409C-BE32-E72D297353CC}">
              <c16:uniqueId val="{00000002-A2CF-4C45-BE37-14AE0C20B97F}"/>
            </c:ext>
          </c:extLst>
        </c:ser>
        <c:dLbls>
          <c:showLegendKey val="0"/>
          <c:showVal val="1"/>
          <c:showCatName val="0"/>
          <c:showSerName val="0"/>
          <c:showPercent val="0"/>
          <c:showBubbleSize val="0"/>
        </c:dLbls>
        <c:gapWidth val="219"/>
        <c:overlap val="-27"/>
        <c:axId val="335749256"/>
        <c:axId val="335747688"/>
      </c:barChart>
      <c:catAx>
        <c:axId val="33574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35747688"/>
        <c:crosses val="autoZero"/>
        <c:auto val="1"/>
        <c:lblAlgn val="ctr"/>
        <c:lblOffset val="100"/>
        <c:noMultiLvlLbl val="0"/>
      </c:catAx>
      <c:valAx>
        <c:axId val="335747688"/>
        <c:scaling>
          <c:orientation val="minMax"/>
          <c:max val="28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35749256"/>
        <c:crosses val="autoZero"/>
        <c:crossBetween val="between"/>
        <c:majorUnit val="2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74897939874151"/>
          <c:y val="3.4029389017788084E-2"/>
          <c:w val="0.53651378408478345"/>
          <c:h val="0.89849449793253799"/>
        </c:manualLayout>
      </c:layout>
      <c:lineChart>
        <c:grouping val="standard"/>
        <c:varyColors val="0"/>
        <c:ser>
          <c:idx val="0"/>
          <c:order val="0"/>
          <c:tx>
            <c:strRef>
              <c:f>zest3!$A$4</c:f>
              <c:strCache>
                <c:ptCount val="1"/>
                <c:pt idx="0">
                  <c:v>Fungicydy i bakteriocydy</c:v>
                </c:pt>
              </c:strCache>
            </c:strRef>
          </c:tx>
          <c:spPr>
            <a:ln w="25400" cap="rnd" cmpd="sng" algn="ctr">
              <a:solidFill>
                <a:schemeClr val="accent1"/>
              </a:solidFill>
              <a:prstDash val="solid"/>
              <a:round/>
            </a:ln>
            <a:effectLst/>
          </c:spPr>
          <c:marker>
            <c:symbol val="none"/>
          </c:marker>
          <c:cat>
            <c:numRef>
              <c:f>zest3!$P$3:$T$3</c:f>
              <c:numCache>
                <c:formatCode>General</c:formatCode>
                <c:ptCount val="5"/>
                <c:pt idx="0">
                  <c:v>2019</c:v>
                </c:pt>
                <c:pt idx="1">
                  <c:v>2020</c:v>
                </c:pt>
                <c:pt idx="2">
                  <c:v>2021</c:v>
                </c:pt>
                <c:pt idx="3">
                  <c:v>2022</c:v>
                </c:pt>
                <c:pt idx="4">
                  <c:v>2023</c:v>
                </c:pt>
              </c:numCache>
            </c:numRef>
          </c:cat>
          <c:val>
            <c:numRef>
              <c:f>zest3!$P$4:$T$4</c:f>
              <c:numCache>
                <c:formatCode>#,##0</c:formatCode>
                <c:ptCount val="5"/>
                <c:pt idx="0" formatCode="_-* #\ ##0\ _z_ł_-;\-* #\ ##0\ _z_ł_-;_-* &quot;-&quot;??\ _z_ł_-;_-@_-">
                  <c:v>6869.2564299999995</c:v>
                </c:pt>
                <c:pt idx="1">
                  <c:v>9279.7823599999992</c:v>
                </c:pt>
                <c:pt idx="2">
                  <c:v>10055.403460000001</c:v>
                </c:pt>
                <c:pt idx="3" formatCode="0">
                  <c:v>7085.2695100000001</c:v>
                </c:pt>
                <c:pt idx="4" formatCode="0.00">
                  <c:v>5890.0859</c:v>
                </c:pt>
              </c:numCache>
            </c:numRef>
          </c:val>
          <c:smooth val="0"/>
          <c:extLst>
            <c:ext xmlns:c16="http://schemas.microsoft.com/office/drawing/2014/chart" uri="{C3380CC4-5D6E-409C-BE32-E72D297353CC}">
              <c16:uniqueId val="{00000000-037C-4D39-BD58-21CA54BE91EC}"/>
            </c:ext>
          </c:extLst>
        </c:ser>
        <c:ser>
          <c:idx val="1"/>
          <c:order val="1"/>
          <c:tx>
            <c:strRef>
              <c:f>zest3!$A$5</c:f>
              <c:strCache>
                <c:ptCount val="1"/>
                <c:pt idx="0">
                  <c:v>Herbicydy, związki ograniczające rozwój łodyg i związki mchobójcze</c:v>
                </c:pt>
              </c:strCache>
            </c:strRef>
          </c:tx>
          <c:spPr>
            <a:ln w="25400" cap="rnd" cmpd="sng" algn="ctr">
              <a:solidFill>
                <a:schemeClr val="accent2"/>
              </a:solidFill>
              <a:prstDash val="solid"/>
              <a:round/>
            </a:ln>
            <a:effectLst/>
          </c:spPr>
          <c:marker>
            <c:symbol val="none"/>
          </c:marker>
          <c:cat>
            <c:numRef>
              <c:f>zest3!$P$3:$T$3</c:f>
              <c:numCache>
                <c:formatCode>General</c:formatCode>
                <c:ptCount val="5"/>
                <c:pt idx="0">
                  <c:v>2019</c:v>
                </c:pt>
                <c:pt idx="1">
                  <c:v>2020</c:v>
                </c:pt>
                <c:pt idx="2">
                  <c:v>2021</c:v>
                </c:pt>
                <c:pt idx="3">
                  <c:v>2022</c:v>
                </c:pt>
                <c:pt idx="4">
                  <c:v>2023</c:v>
                </c:pt>
              </c:numCache>
            </c:numRef>
          </c:cat>
          <c:val>
            <c:numRef>
              <c:f>zest3!$P$5:$T$5</c:f>
              <c:numCache>
                <c:formatCode>#,##0</c:formatCode>
                <c:ptCount val="5"/>
                <c:pt idx="0" formatCode="_-* #\ ##0\ _z_ł_-;\-* #\ ##0\ _z_ł_-;_-* &quot;-&quot;??\ _z_ł_-;_-@_-">
                  <c:v>11705.37542</c:v>
                </c:pt>
                <c:pt idx="1">
                  <c:v>12809.34809</c:v>
                </c:pt>
                <c:pt idx="2">
                  <c:v>14353.52248</c:v>
                </c:pt>
                <c:pt idx="3" formatCode="0">
                  <c:v>12238.57848</c:v>
                </c:pt>
                <c:pt idx="4" formatCode="0.00">
                  <c:v>11366.623</c:v>
                </c:pt>
              </c:numCache>
            </c:numRef>
          </c:val>
          <c:smooth val="0"/>
          <c:extLst>
            <c:ext xmlns:c16="http://schemas.microsoft.com/office/drawing/2014/chart" uri="{C3380CC4-5D6E-409C-BE32-E72D297353CC}">
              <c16:uniqueId val="{00000001-037C-4D39-BD58-21CA54BE91EC}"/>
            </c:ext>
          </c:extLst>
        </c:ser>
        <c:ser>
          <c:idx val="2"/>
          <c:order val="2"/>
          <c:tx>
            <c:strRef>
              <c:f>zest3!$A$6</c:f>
              <c:strCache>
                <c:ptCount val="1"/>
                <c:pt idx="0">
                  <c:v>Insektycydy i akarycydy</c:v>
                </c:pt>
              </c:strCache>
            </c:strRef>
          </c:tx>
          <c:spPr>
            <a:ln w="25400" cap="rnd" cmpd="sng" algn="ctr">
              <a:solidFill>
                <a:schemeClr val="accent3"/>
              </a:solidFill>
              <a:prstDash val="solid"/>
              <a:round/>
            </a:ln>
            <a:effectLst/>
          </c:spPr>
          <c:marker>
            <c:symbol val="none"/>
          </c:marker>
          <c:cat>
            <c:numRef>
              <c:f>zest3!$P$3:$T$3</c:f>
              <c:numCache>
                <c:formatCode>General</c:formatCode>
                <c:ptCount val="5"/>
                <c:pt idx="0">
                  <c:v>2019</c:v>
                </c:pt>
                <c:pt idx="1">
                  <c:v>2020</c:v>
                </c:pt>
                <c:pt idx="2">
                  <c:v>2021</c:v>
                </c:pt>
                <c:pt idx="3">
                  <c:v>2022</c:v>
                </c:pt>
                <c:pt idx="4">
                  <c:v>2023</c:v>
                </c:pt>
              </c:numCache>
            </c:numRef>
          </c:cat>
          <c:val>
            <c:numRef>
              <c:f>zest3!$P$6:$T$6</c:f>
              <c:numCache>
                <c:formatCode>#,##0</c:formatCode>
                <c:ptCount val="5"/>
                <c:pt idx="0" formatCode="_-* #\ ##0\ _z_ł_-;\-* #\ ##0\ _z_ł_-;_-* &quot;-&quot;??\ _z_ł_-;_-@_-">
                  <c:v>2749.8249700000001</c:v>
                </c:pt>
                <c:pt idx="1">
                  <c:v>628.81339000000003</c:v>
                </c:pt>
                <c:pt idx="2">
                  <c:v>662.25850000000003</c:v>
                </c:pt>
                <c:pt idx="3" formatCode="0">
                  <c:v>637.30924000000005</c:v>
                </c:pt>
                <c:pt idx="4" formatCode="#,##0.00">
                  <c:v>754.37643000000003</c:v>
                </c:pt>
              </c:numCache>
            </c:numRef>
          </c:val>
          <c:smooth val="0"/>
          <c:extLst>
            <c:ext xmlns:c16="http://schemas.microsoft.com/office/drawing/2014/chart" uri="{C3380CC4-5D6E-409C-BE32-E72D297353CC}">
              <c16:uniqueId val="{00000002-037C-4D39-BD58-21CA54BE91EC}"/>
            </c:ext>
          </c:extLst>
        </c:ser>
        <c:ser>
          <c:idx val="4"/>
          <c:order val="3"/>
          <c:tx>
            <c:strRef>
              <c:f>zest3!$A$7</c:f>
              <c:strCache>
                <c:ptCount val="1"/>
                <c:pt idx="0">
                  <c:v>Moluskocydy</c:v>
                </c:pt>
              </c:strCache>
            </c:strRef>
          </c:tx>
          <c:spPr>
            <a:ln w="25400" cap="rnd" cmpd="sng" algn="ctr">
              <a:solidFill>
                <a:schemeClr val="accent5"/>
              </a:solidFill>
              <a:prstDash val="solid"/>
              <a:round/>
            </a:ln>
            <a:effectLst/>
          </c:spPr>
          <c:marker>
            <c:symbol val="none"/>
          </c:marker>
          <c:cat>
            <c:numRef>
              <c:f>zest3!$P$3:$T$3</c:f>
              <c:numCache>
                <c:formatCode>General</c:formatCode>
                <c:ptCount val="5"/>
                <c:pt idx="0">
                  <c:v>2019</c:v>
                </c:pt>
                <c:pt idx="1">
                  <c:v>2020</c:v>
                </c:pt>
                <c:pt idx="2">
                  <c:v>2021</c:v>
                </c:pt>
                <c:pt idx="3">
                  <c:v>2022</c:v>
                </c:pt>
                <c:pt idx="4">
                  <c:v>2023</c:v>
                </c:pt>
              </c:numCache>
            </c:numRef>
          </c:cat>
          <c:val>
            <c:numRef>
              <c:f>zest3!$P$7:$T$7</c:f>
              <c:numCache>
                <c:formatCode>#,##0</c:formatCode>
                <c:ptCount val="5"/>
                <c:pt idx="0" formatCode="_-* #\ ##0\ _z_ł_-;\-* #\ ##0\ _z_ł_-;_-* &quot;-&quot;??\ _z_ł_-;_-@_-">
                  <c:v>23.612220000000001</c:v>
                </c:pt>
                <c:pt idx="1">
                  <c:v>29.225750000000001</c:v>
                </c:pt>
                <c:pt idx="2">
                  <c:v>27.923189999999998</c:v>
                </c:pt>
                <c:pt idx="3" formatCode="0">
                  <c:v>49.861260000000001</c:v>
                </c:pt>
                <c:pt idx="4" formatCode="#,##0.00">
                  <c:v>37.062339999999999</c:v>
                </c:pt>
              </c:numCache>
            </c:numRef>
          </c:val>
          <c:smooth val="0"/>
          <c:extLst>
            <c:ext xmlns:c16="http://schemas.microsoft.com/office/drawing/2014/chart" uri="{C3380CC4-5D6E-409C-BE32-E72D297353CC}">
              <c16:uniqueId val="{00000003-037C-4D39-BD58-21CA54BE91EC}"/>
            </c:ext>
          </c:extLst>
        </c:ser>
        <c:ser>
          <c:idx val="3"/>
          <c:order val="4"/>
          <c:tx>
            <c:strRef>
              <c:f>zest3!$A$8</c:f>
              <c:strCache>
                <c:ptCount val="1"/>
                <c:pt idx="0">
                  <c:v>Regulatory wzrostu</c:v>
                </c:pt>
              </c:strCache>
            </c:strRef>
          </c:tx>
          <c:spPr>
            <a:ln w="25400" cap="rnd" cmpd="sng" algn="ctr">
              <a:solidFill>
                <a:schemeClr val="accent4"/>
              </a:solidFill>
              <a:prstDash val="solid"/>
              <a:round/>
            </a:ln>
            <a:effectLst/>
          </c:spPr>
          <c:marker>
            <c:symbol val="none"/>
          </c:marker>
          <c:cat>
            <c:numRef>
              <c:f>zest3!$P$3:$T$3</c:f>
              <c:numCache>
                <c:formatCode>General</c:formatCode>
                <c:ptCount val="5"/>
                <c:pt idx="0">
                  <c:v>2019</c:v>
                </c:pt>
                <c:pt idx="1">
                  <c:v>2020</c:v>
                </c:pt>
                <c:pt idx="2">
                  <c:v>2021</c:v>
                </c:pt>
                <c:pt idx="3">
                  <c:v>2022</c:v>
                </c:pt>
                <c:pt idx="4">
                  <c:v>2023</c:v>
                </c:pt>
              </c:numCache>
            </c:numRef>
          </c:cat>
          <c:val>
            <c:numRef>
              <c:f>zest3!$P$8:$T$8</c:f>
              <c:numCache>
                <c:formatCode>#,##0</c:formatCode>
                <c:ptCount val="5"/>
                <c:pt idx="0" formatCode="_-* #\ ##0\ _z_ł_-;\-* #\ ##0\ _z_ł_-;_-* &quot;-&quot;??\ _z_ł_-;_-@_-">
                  <c:v>2353.3888900000002</c:v>
                </c:pt>
                <c:pt idx="1">
                  <c:v>1201.3739800000001</c:v>
                </c:pt>
                <c:pt idx="2">
                  <c:v>1364.94695</c:v>
                </c:pt>
                <c:pt idx="3" formatCode="0">
                  <c:v>1817.8639499999999</c:v>
                </c:pt>
                <c:pt idx="4" formatCode="#,##0.00">
                  <c:v>1496.50261</c:v>
                </c:pt>
              </c:numCache>
            </c:numRef>
          </c:val>
          <c:smooth val="0"/>
          <c:extLst>
            <c:ext xmlns:c16="http://schemas.microsoft.com/office/drawing/2014/chart" uri="{C3380CC4-5D6E-409C-BE32-E72D297353CC}">
              <c16:uniqueId val="{00000004-037C-4D39-BD58-21CA54BE91EC}"/>
            </c:ext>
          </c:extLst>
        </c:ser>
        <c:ser>
          <c:idx val="5"/>
          <c:order val="5"/>
          <c:tx>
            <c:strRef>
              <c:f>zest3!$A$9</c:f>
              <c:strCache>
                <c:ptCount val="1"/>
                <c:pt idx="0">
                  <c:v>Inne środki ochrony roślin</c:v>
                </c:pt>
              </c:strCache>
            </c:strRef>
          </c:tx>
          <c:spPr>
            <a:ln w="25400" cap="rnd" cmpd="sng" algn="ctr">
              <a:solidFill>
                <a:schemeClr val="accent6"/>
              </a:solidFill>
              <a:prstDash val="solid"/>
              <a:round/>
            </a:ln>
            <a:effectLst/>
          </c:spPr>
          <c:marker>
            <c:symbol val="none"/>
          </c:marker>
          <c:cat>
            <c:numRef>
              <c:f>zest3!$P$3:$T$3</c:f>
              <c:numCache>
                <c:formatCode>General</c:formatCode>
                <c:ptCount val="5"/>
                <c:pt idx="0">
                  <c:v>2019</c:v>
                </c:pt>
                <c:pt idx="1">
                  <c:v>2020</c:v>
                </c:pt>
                <c:pt idx="2">
                  <c:v>2021</c:v>
                </c:pt>
                <c:pt idx="3">
                  <c:v>2022</c:v>
                </c:pt>
                <c:pt idx="4">
                  <c:v>2023</c:v>
                </c:pt>
              </c:numCache>
            </c:numRef>
          </c:cat>
          <c:val>
            <c:numRef>
              <c:f>zest3!$P$9:$T$9</c:f>
              <c:numCache>
                <c:formatCode>#,##0</c:formatCode>
                <c:ptCount val="5"/>
                <c:pt idx="0" formatCode="_-* #\ ##0\ _z_ł_-;\-* #\ ##0\ _z_ł_-;_-* &quot;-&quot;??\ _z_ł_-;_-@_-">
                  <c:v>579.20293000000004</c:v>
                </c:pt>
                <c:pt idx="1">
                  <c:v>679.47020999999995</c:v>
                </c:pt>
                <c:pt idx="2">
                  <c:v>508.62126000000001</c:v>
                </c:pt>
                <c:pt idx="3" formatCode="0">
                  <c:v>491.46569</c:v>
                </c:pt>
                <c:pt idx="4" formatCode="#,##0.00">
                  <c:v>502.61484000000002</c:v>
                </c:pt>
              </c:numCache>
            </c:numRef>
          </c:val>
          <c:smooth val="0"/>
          <c:extLst>
            <c:ext xmlns:c16="http://schemas.microsoft.com/office/drawing/2014/chart" uri="{C3380CC4-5D6E-409C-BE32-E72D297353CC}">
              <c16:uniqueId val="{00000005-037C-4D39-BD58-21CA54BE91EC}"/>
            </c:ext>
          </c:extLst>
        </c:ser>
        <c:dLbls>
          <c:showLegendKey val="0"/>
          <c:showVal val="0"/>
          <c:showCatName val="0"/>
          <c:showSerName val="0"/>
          <c:showPercent val="0"/>
          <c:showBubbleSize val="0"/>
        </c:dLbls>
        <c:smooth val="0"/>
        <c:axId val="335742984"/>
        <c:axId val="335743376"/>
      </c:lineChart>
      <c:catAx>
        <c:axId val="33574298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335743376"/>
        <c:crosses val="autoZero"/>
        <c:auto val="1"/>
        <c:lblAlgn val="ctr"/>
        <c:lblOffset val="100"/>
        <c:noMultiLvlLbl val="0"/>
      </c:catAx>
      <c:valAx>
        <c:axId val="335743376"/>
        <c:scaling>
          <c:orientation val="minMax"/>
          <c:max val="16000"/>
          <c:min val="0"/>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pl-PL" sz="900">
                    <a:latin typeface="Arial" panose="020B0604020202020204" pitchFamily="34" charset="0"/>
                    <a:cs typeface="Arial" panose="020B0604020202020204" pitchFamily="34" charset="0"/>
                  </a:rPr>
                  <a:t>w</a:t>
                </a:r>
                <a:r>
                  <a:rPr lang="pl-PL" sz="900" baseline="0">
                    <a:latin typeface="Arial" panose="020B0604020202020204" pitchFamily="34" charset="0"/>
                    <a:cs typeface="Arial" panose="020B0604020202020204" pitchFamily="34" charset="0"/>
                  </a:rPr>
                  <a:t> tonach </a:t>
                </a:r>
                <a:r>
                  <a:rPr lang="pl-PL" sz="900">
                    <a:latin typeface="Arial" panose="020B0604020202020204" pitchFamily="34" charset="0"/>
                    <a:cs typeface="Arial" panose="020B0604020202020204" pitchFamily="34" charset="0"/>
                  </a:rPr>
                  <a:t> s.cz.</a:t>
                </a:r>
              </a:p>
            </c:rich>
          </c:tx>
          <c:layout>
            <c:manualLayout>
              <c:xMode val="edge"/>
              <c:yMode val="edge"/>
              <c:x val="1.8154538341158058E-2"/>
              <c:y val="0.3641877777777777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title>
        <c:numFmt formatCode="_-* #\ ##0\ _z_ł_-;\-* #\ ##0\ _z_ł_-;_-* &quot;-&quot;??\ _z_ł_-;_-@_-"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335742984"/>
        <c:crosses val="autoZero"/>
        <c:crossBetween val="between"/>
      </c:valAx>
      <c:spPr>
        <a:solidFill>
          <a:schemeClr val="bg1"/>
        </a:solidFill>
        <a:ln>
          <a:noFill/>
        </a:ln>
        <a:effectLst/>
      </c:spPr>
    </c:plotArea>
    <c:legend>
      <c:legendPos val="r"/>
      <c:layout>
        <c:manualLayout>
          <c:xMode val="edge"/>
          <c:yMode val="edge"/>
          <c:x val="0.68367749087115282"/>
          <c:y val="6.6712805636137587E-2"/>
          <c:w val="0.3076879238393323"/>
          <c:h val="0.68984999999999996"/>
        </c:manualLayout>
      </c:layout>
      <c:overlay val="0"/>
      <c:spPr>
        <a:solidFill>
          <a:schemeClr val="lt1"/>
        </a:solidFill>
        <a:ln w="12700" cap="flat" cmpd="sng" algn="ctr">
          <a:solidFill>
            <a:schemeClr val="accent3"/>
          </a:solidFill>
          <a:prstDash val="solid"/>
          <a:miter lim="800000"/>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pl-PL"/>
        </a:p>
      </c:txPr>
    </c:legend>
    <c:plotVisOnly val="1"/>
    <c:dispBlanksAs val="gap"/>
    <c:showDLblsOverMax val="0"/>
  </c:chart>
  <c:spPr>
    <a:solidFill>
      <a:schemeClr val="bg1"/>
    </a:solidFill>
    <a:ln w="6350" cap="flat" cmpd="sng" algn="ctr">
      <a:solidFill>
        <a:schemeClr val="bg1">
          <a:lumMod val="85000"/>
        </a:schemeClr>
      </a:solidFill>
      <a:prstDash val="solid"/>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6" ma:contentTypeDescription="Utwórz nowy dokument." ma:contentTypeScope="" ma:versionID="2f5e7163e59181c4b42e34ad0dad167f">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04d07dfa1eec23967fc06f15531d9bd0"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SharingHintHash" ma:index="21"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3849A-A0CB-4557-AB96-8E397262DD69}">
  <ds:schemaRefs>
    <ds:schemaRef ds:uri="http://schemas.microsoft.com/sharepoint/v3/contenttype/forms"/>
  </ds:schemaRefs>
</ds:datastoreItem>
</file>

<file path=customXml/itemProps2.xml><?xml version="1.0" encoding="utf-8"?>
<ds:datastoreItem xmlns:ds="http://schemas.openxmlformats.org/officeDocument/2006/customXml" ds:itemID="{BC9F3462-B5E0-44CD-88F4-1619F4127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7E3DB9-76B4-4AA4-9077-50FBDC9D6C71}">
  <ds:schemaRef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42cf5482-e7ac-49fa-a4ad-db68815c58ce"/>
    <ds:schemaRef ds:uri="722ec8de-cffe-4a63-b730-b3a17645c543"/>
    <ds:schemaRef ds:uri="http://www.w3.org/XML/1998/namespace"/>
  </ds:schemaRefs>
</ds:datastoreItem>
</file>

<file path=customXml/itemProps4.xml><?xml version="1.0" encoding="utf-8"?>
<ds:datastoreItem xmlns:ds="http://schemas.openxmlformats.org/officeDocument/2006/customXml" ds:itemID="{1BBE2E30-2730-47B4-9496-64221BA51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105</Pages>
  <Words>36156</Words>
  <Characters>216937</Characters>
  <Application>Microsoft Office Word</Application>
  <DocSecurity>0</DocSecurity>
  <Lines>1807</Lines>
  <Paragraphs>505</Paragraphs>
  <ScaleCrop>false</ScaleCrop>
  <HeadingPairs>
    <vt:vector size="2" baseType="variant">
      <vt:variant>
        <vt:lpstr>Tytuł</vt:lpstr>
      </vt:variant>
      <vt:variant>
        <vt:i4>1</vt:i4>
      </vt:variant>
    </vt:vector>
  </HeadingPairs>
  <TitlesOfParts>
    <vt:vector size="1" baseType="lpstr">
      <vt:lpstr>KRAJOWY PLAN DZIAŁANIA</vt:lpstr>
    </vt:vector>
  </TitlesOfParts>
  <Company>MRiRW</Company>
  <LinksUpToDate>false</LinksUpToDate>
  <CharactersWithSpaces>252588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KRAJOWY PLAN DZIAŁANIA</dc:title>
  <dc:subject/>
  <dc:creator>mmalec</dc:creator>
  <cp:keywords/>
  <dc:description/>
  <cp:lastModifiedBy>Malec Małgorzata</cp:lastModifiedBy>
  <cp:revision>2</cp:revision>
  <cp:lastPrinted>2025-03-24T12:47:00Z</cp:lastPrinted>
  <dcterms:created xsi:type="dcterms:W3CDTF">2025-04-30T08:25:00Z</dcterms:created>
  <dcterms:modified xsi:type="dcterms:W3CDTF">2025-04-30T08:25:00Z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MRiRW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0x01010086F0A34094BB034CBA87C78684C8F394</vt:lpwstr>
  </property>
</Properties>
</file>