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F177" w14:textId="77777777" w:rsidR="00903B6E" w:rsidRPr="00080D74" w:rsidRDefault="00903B6E" w:rsidP="00080D74">
      <w:pPr>
        <w:pStyle w:val="Nagwek1"/>
        <w:rPr>
          <w:rFonts w:ascii="Calibri" w:hAnsi="Calibri" w:cs="Calibri"/>
          <w:b/>
          <w:bCs/>
          <w:sz w:val="22"/>
          <w:szCs w:val="22"/>
        </w:rPr>
      </w:pPr>
      <w:r w:rsidRPr="00080D74">
        <w:rPr>
          <w:rFonts w:ascii="Calibri" w:hAnsi="Calibri" w:cs="Calibri"/>
          <w:b/>
          <w:bCs/>
          <w:color w:val="000000" w:themeColor="text1"/>
          <w:sz w:val="22"/>
          <w:szCs w:val="22"/>
        </w:rPr>
        <w:t>Zmiana programu priorytetowego „Zmniejszenie uciążliwości wynikających z wydobywania kopalin”</w:t>
      </w:r>
    </w:p>
    <w:p w14:paraId="280D431D" w14:textId="16BA0AE6" w:rsidR="00903B6E" w:rsidRPr="00903B6E" w:rsidRDefault="00903B6E" w:rsidP="00AE13A5">
      <w:pPr>
        <w:spacing w:line="276" w:lineRule="auto"/>
        <w:rPr>
          <w:rFonts w:ascii="Calibri" w:hAnsi="Calibri" w:cs="Calibri"/>
        </w:rPr>
      </w:pPr>
      <w:r w:rsidRPr="00903B6E">
        <w:rPr>
          <w:rFonts w:ascii="Calibri" w:hAnsi="Calibri" w:cs="Calibri"/>
        </w:rPr>
        <w:t>W dniu 05.0</w:t>
      </w:r>
      <w:r w:rsidR="00C759A8" w:rsidRPr="002672DE">
        <w:rPr>
          <w:rFonts w:ascii="Calibri" w:hAnsi="Calibri" w:cs="Calibri"/>
        </w:rPr>
        <w:t>2</w:t>
      </w:r>
      <w:r w:rsidRPr="00903B6E">
        <w:rPr>
          <w:rFonts w:ascii="Calibri" w:hAnsi="Calibri" w:cs="Calibri"/>
        </w:rPr>
        <w:t>.202</w:t>
      </w:r>
      <w:r w:rsidR="00C759A8" w:rsidRPr="002672DE">
        <w:rPr>
          <w:rFonts w:ascii="Calibri" w:hAnsi="Calibri" w:cs="Calibri"/>
        </w:rPr>
        <w:t>6</w:t>
      </w:r>
      <w:r w:rsidRPr="00903B6E">
        <w:rPr>
          <w:rFonts w:ascii="Calibri" w:hAnsi="Calibri" w:cs="Calibri"/>
        </w:rPr>
        <w:t xml:space="preserve"> r. Zarząd NFOŚiGW zatwierdził:</w:t>
      </w:r>
    </w:p>
    <w:p w14:paraId="3953F32C" w14:textId="4A0184AC" w:rsidR="00B619BC" w:rsidRPr="002672DE" w:rsidRDefault="00903B6E" w:rsidP="00AE13A5">
      <w:pPr>
        <w:numPr>
          <w:ilvl w:val="0"/>
          <w:numId w:val="1"/>
        </w:numPr>
        <w:spacing w:after="120" w:line="276" w:lineRule="auto"/>
        <w:ind w:left="714" w:hanging="357"/>
        <w:rPr>
          <w:rFonts w:ascii="Calibri" w:hAnsi="Calibri" w:cs="Calibri"/>
        </w:rPr>
      </w:pPr>
      <w:r w:rsidRPr="00903B6E">
        <w:rPr>
          <w:rFonts w:ascii="Calibri" w:hAnsi="Calibri" w:cs="Calibri"/>
        </w:rPr>
        <w:t>zmiany programu priorytetowego</w:t>
      </w:r>
      <w:r w:rsidR="0071045C" w:rsidRPr="002672DE">
        <w:rPr>
          <w:rFonts w:ascii="Calibri" w:hAnsi="Calibri" w:cs="Calibri"/>
        </w:rPr>
        <w:t xml:space="preserve"> </w:t>
      </w:r>
      <w:r w:rsidRPr="00903B6E">
        <w:rPr>
          <w:rFonts w:ascii="Calibri" w:hAnsi="Calibri" w:cs="Calibri"/>
        </w:rPr>
        <w:t>„Zmniejszenie uciążliwości wynikających z wydobywania kopalin”</w:t>
      </w:r>
      <w:r w:rsidR="00673556" w:rsidRPr="002672DE">
        <w:rPr>
          <w:rFonts w:ascii="Calibri" w:hAnsi="Calibri" w:cs="Calibri"/>
        </w:rPr>
        <w:t xml:space="preserve"> </w:t>
      </w:r>
      <w:r w:rsidRPr="00903B6E">
        <w:rPr>
          <w:rFonts w:ascii="Calibri" w:hAnsi="Calibri" w:cs="Calibri"/>
        </w:rPr>
        <w:t>polegające na:</w:t>
      </w:r>
    </w:p>
    <w:p w14:paraId="7191B8C4" w14:textId="57A934BF" w:rsidR="00101B3F" w:rsidRPr="002672DE" w:rsidRDefault="00CF7325" w:rsidP="00AE13A5">
      <w:pPr>
        <w:pStyle w:val="Default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4B36DA">
        <w:rPr>
          <w:b/>
          <w:bCs/>
          <w:sz w:val="22"/>
          <w:szCs w:val="22"/>
        </w:rPr>
        <w:t>dodaniu nowego celu programu: wykonywanie prac badawczych w zakresie odsalania wód dołowych</w:t>
      </w:r>
      <w:r w:rsidRPr="002672DE">
        <w:rPr>
          <w:sz w:val="22"/>
          <w:szCs w:val="22"/>
        </w:rPr>
        <w:t xml:space="preserve"> oraz </w:t>
      </w:r>
      <w:r w:rsidR="00101B3F" w:rsidRPr="002672DE">
        <w:rPr>
          <w:sz w:val="22"/>
          <w:szCs w:val="22"/>
        </w:rPr>
        <w:t>uszczegółowieniu celów między innymi w zakresie rekultywacji, retencji,</w:t>
      </w:r>
    </w:p>
    <w:p w14:paraId="31AC3455" w14:textId="77777777" w:rsidR="00CF7325" w:rsidRPr="002672DE" w:rsidRDefault="00CF7325" w:rsidP="00104FB3">
      <w:pPr>
        <w:pStyle w:val="Default"/>
        <w:numPr>
          <w:ilvl w:val="1"/>
          <w:numId w:val="1"/>
        </w:numPr>
        <w:spacing w:line="276" w:lineRule="auto"/>
        <w:ind w:left="1434" w:hanging="357"/>
        <w:rPr>
          <w:sz w:val="22"/>
          <w:szCs w:val="22"/>
        </w:rPr>
      </w:pPr>
      <w:r w:rsidRPr="002672DE">
        <w:rPr>
          <w:sz w:val="22"/>
          <w:szCs w:val="22"/>
        </w:rPr>
        <w:t>aktualizacji wartości wskaźników planowanych do osiągnięcia w ramach programu– zgodnie z przedłożonymi informacjami od potencjalnych wnioskodawców,</w:t>
      </w:r>
    </w:p>
    <w:p w14:paraId="04F07B5F" w14:textId="77777777" w:rsidR="00CF7325" w:rsidRPr="002672DE" w:rsidRDefault="00CF7325" w:rsidP="00AE13A5">
      <w:pPr>
        <w:pStyle w:val="Default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2672DE">
        <w:rPr>
          <w:sz w:val="22"/>
          <w:szCs w:val="22"/>
        </w:rPr>
        <w:t>zwiększeniu budżetu programu priorytetowego o 700 mln zł,</w:t>
      </w:r>
    </w:p>
    <w:p w14:paraId="275E4805" w14:textId="26C44DC1" w:rsidR="00FD505A" w:rsidRPr="004E25C2" w:rsidRDefault="006D39EA" w:rsidP="00AE13A5">
      <w:pPr>
        <w:pStyle w:val="Default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2672DE">
        <w:rPr>
          <w:sz w:val="22"/>
          <w:szCs w:val="22"/>
        </w:rPr>
        <w:t>wprowadzeniu możliwości kwalifikacji kosztów pośrednich w wysokości do 30 % od wynagrodzeń osobowych– dla uczelni oraz instytutów będących beneficjentami programu,</w:t>
      </w:r>
    </w:p>
    <w:p w14:paraId="1BF7337D" w14:textId="66FD9D03" w:rsidR="00FD505A" w:rsidRPr="002672DE" w:rsidRDefault="00FD505A" w:rsidP="00AE13A5">
      <w:pPr>
        <w:numPr>
          <w:ilvl w:val="1"/>
          <w:numId w:val="1"/>
        </w:numPr>
        <w:tabs>
          <w:tab w:val="clear" w:pos="1440"/>
        </w:tabs>
        <w:spacing w:after="0" w:line="276" w:lineRule="auto"/>
        <w:ind w:left="1434" w:hanging="357"/>
        <w:rPr>
          <w:rFonts w:ascii="Calibri" w:hAnsi="Calibri" w:cs="Calibri"/>
        </w:rPr>
      </w:pPr>
      <w:r w:rsidRPr="002672DE">
        <w:rPr>
          <w:rFonts w:ascii="Calibri" w:hAnsi="Calibri" w:cs="Calibri"/>
        </w:rPr>
        <w:t>dokonaniu zmian zapisów w treści dotyczącej beneficjentów, gdzie powołano konkretne ustawy wskazujące tych beneficjentów,</w:t>
      </w:r>
    </w:p>
    <w:p w14:paraId="342F787A" w14:textId="5C456403" w:rsidR="00FD505A" w:rsidRPr="004B36DA" w:rsidRDefault="00FD505A" w:rsidP="00AE13A5">
      <w:pPr>
        <w:pStyle w:val="Default"/>
        <w:numPr>
          <w:ilvl w:val="1"/>
          <w:numId w:val="1"/>
        </w:numPr>
        <w:spacing w:line="276" w:lineRule="auto"/>
        <w:rPr>
          <w:b/>
          <w:bCs/>
          <w:sz w:val="22"/>
          <w:szCs w:val="22"/>
        </w:rPr>
      </w:pPr>
      <w:r w:rsidRPr="004B36DA">
        <w:rPr>
          <w:b/>
          <w:bCs/>
          <w:sz w:val="22"/>
          <w:szCs w:val="22"/>
        </w:rPr>
        <w:t>dodaniu nowych beneficjentów realizujących ww. przedsięwzięcia, z możliwością dofinansowania 100% kosztów kwalifikowanych w formie dotacji, w brzmieniu:</w:t>
      </w:r>
    </w:p>
    <w:p w14:paraId="1C2DA1BC" w14:textId="6D1AA0ED" w:rsidR="00FD505A" w:rsidRPr="004B36DA" w:rsidRDefault="00FD505A" w:rsidP="00AE13A5">
      <w:pPr>
        <w:pStyle w:val="Default"/>
        <w:spacing w:line="276" w:lineRule="auto"/>
        <w:ind w:left="1416"/>
        <w:rPr>
          <w:b/>
          <w:bCs/>
          <w:sz w:val="22"/>
          <w:szCs w:val="22"/>
        </w:rPr>
      </w:pPr>
      <w:r w:rsidRPr="004B36DA">
        <w:rPr>
          <w:b/>
          <w:bCs/>
          <w:sz w:val="22"/>
          <w:szCs w:val="22"/>
        </w:rPr>
        <w:t>„- uczelnie akademickie działające na podstawie ustawy z dnia 20 lipca 2018 r. Prawo o szkolnictwie wyższym i nauce</w:t>
      </w:r>
      <w:r w:rsidR="00AE13A5">
        <w:rPr>
          <w:b/>
          <w:bCs/>
          <w:sz w:val="22"/>
          <w:szCs w:val="22"/>
        </w:rPr>
        <w:t xml:space="preserve"> </w:t>
      </w:r>
      <w:r w:rsidRPr="004B36DA">
        <w:rPr>
          <w:b/>
          <w:bCs/>
          <w:sz w:val="22"/>
          <w:szCs w:val="22"/>
        </w:rPr>
        <w:t>- dotyczy rodzaju przedsięwzięć, o którym mowa w ust. 7.5. pkt 12),</w:t>
      </w:r>
    </w:p>
    <w:p w14:paraId="5A74FF0E" w14:textId="39741210" w:rsidR="00F12EC8" w:rsidRPr="004B36DA" w:rsidRDefault="00FD505A" w:rsidP="00AE13A5">
      <w:pPr>
        <w:spacing w:after="0" w:line="276" w:lineRule="auto"/>
        <w:ind w:left="1440"/>
        <w:rPr>
          <w:rFonts w:ascii="Calibri" w:hAnsi="Calibri" w:cs="Calibri"/>
          <w:b/>
          <w:bCs/>
        </w:rPr>
      </w:pPr>
      <w:r w:rsidRPr="004B36DA">
        <w:rPr>
          <w:rFonts w:ascii="Calibri" w:hAnsi="Calibri" w:cs="Calibri"/>
          <w:b/>
          <w:bCs/>
        </w:rPr>
        <w:t>- instytuty Polskiej Akademii Nauk działające na podstawie ustawy z dnia 30 kwietnia 2010 r. o Polskiej Akademii Nauk - dotyczy rodzaju przedsięwzięć, o</w:t>
      </w:r>
      <w:r w:rsidR="004B36DA">
        <w:rPr>
          <w:rFonts w:ascii="Calibri" w:hAnsi="Calibri" w:cs="Calibri"/>
          <w:b/>
          <w:bCs/>
        </w:rPr>
        <w:t> </w:t>
      </w:r>
      <w:r w:rsidRPr="004B36DA">
        <w:rPr>
          <w:rFonts w:ascii="Calibri" w:hAnsi="Calibri" w:cs="Calibri"/>
          <w:b/>
          <w:bCs/>
        </w:rPr>
        <w:t>którym mowa w ust. 7.5. pkt 12)”,</w:t>
      </w:r>
    </w:p>
    <w:p w14:paraId="3C680C98" w14:textId="73687AA3" w:rsidR="00F12EC8" w:rsidRPr="007E649D" w:rsidRDefault="00F12EC8" w:rsidP="00AE13A5">
      <w:pPr>
        <w:pStyle w:val="Default"/>
        <w:numPr>
          <w:ilvl w:val="1"/>
          <w:numId w:val="1"/>
        </w:numPr>
        <w:spacing w:after="18" w:line="276" w:lineRule="auto"/>
        <w:rPr>
          <w:sz w:val="22"/>
          <w:szCs w:val="22"/>
        </w:rPr>
      </w:pPr>
      <w:r w:rsidRPr="007E649D">
        <w:rPr>
          <w:sz w:val="22"/>
          <w:szCs w:val="22"/>
        </w:rPr>
        <w:t>uszczegółowieniu rodzajów przedsięwzięć między innymi w zakresie rekultywacji, retencji,</w:t>
      </w:r>
    </w:p>
    <w:p w14:paraId="4664F04D" w14:textId="77777777" w:rsidR="00F0688B" w:rsidRPr="007E649D" w:rsidRDefault="00F12EC8" w:rsidP="00AE13A5">
      <w:pPr>
        <w:numPr>
          <w:ilvl w:val="1"/>
          <w:numId w:val="1"/>
        </w:numPr>
        <w:tabs>
          <w:tab w:val="clear" w:pos="1440"/>
        </w:tabs>
        <w:spacing w:after="0" w:line="276" w:lineRule="auto"/>
        <w:ind w:left="1434" w:hanging="357"/>
        <w:rPr>
          <w:rFonts w:ascii="Calibri" w:hAnsi="Calibri" w:cs="Calibri"/>
        </w:rPr>
      </w:pPr>
      <w:r w:rsidRPr="007E649D">
        <w:rPr>
          <w:rFonts w:ascii="Calibri" w:hAnsi="Calibri" w:cs="Calibri"/>
        </w:rPr>
        <w:t>dodaniu nowego rodzaju przedsięwzięć nr 6) Budowa nowych, modernizacja, przeniesienie lub rozbudowa zakładów odsalania wód kopalnianych lub instalacji odsalania wód kopalnianych,</w:t>
      </w:r>
    </w:p>
    <w:p w14:paraId="068FB5A4" w14:textId="77777777" w:rsidR="00F12EC8" w:rsidRPr="007E649D" w:rsidRDefault="00F12EC8" w:rsidP="00AE13A5">
      <w:pPr>
        <w:pStyle w:val="Default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7E649D">
        <w:rPr>
          <w:sz w:val="22"/>
          <w:szCs w:val="22"/>
        </w:rPr>
        <w:t xml:space="preserve">uszczegółowieniu rodzajów przedsięwzięć 9) i 10) poprzez nadanie im brzmienia: </w:t>
      </w:r>
    </w:p>
    <w:p w14:paraId="52380761" w14:textId="77777777" w:rsidR="00F12EC8" w:rsidRPr="002672DE" w:rsidRDefault="00F12EC8" w:rsidP="00AE13A5">
      <w:pPr>
        <w:pStyle w:val="Default"/>
        <w:spacing w:line="276" w:lineRule="auto"/>
        <w:ind w:left="1440"/>
        <w:rPr>
          <w:sz w:val="22"/>
          <w:szCs w:val="22"/>
        </w:rPr>
      </w:pPr>
      <w:r w:rsidRPr="007E649D">
        <w:rPr>
          <w:sz w:val="22"/>
          <w:szCs w:val="22"/>
        </w:rPr>
        <w:t>-„9) Wspieranie działalności Prezesa Wyższego Urzędu Górniczego z zakresu ograniczenia uciążliwości oddziaływania górnictwa na środowisko między innymi</w:t>
      </w:r>
      <w:r w:rsidRPr="002672DE">
        <w:rPr>
          <w:sz w:val="22"/>
          <w:szCs w:val="22"/>
        </w:rPr>
        <w:t xml:space="preserve"> poprzez wspieranie działalności wydawniczej, doposażenie Archiwum Dokumentacji Mierniczo- Geologicznej w sprzęt niezbędny do gromadzenia, archiwizacji dokumentacji.”</w:t>
      </w:r>
    </w:p>
    <w:p w14:paraId="4A7FF3EC" w14:textId="6D209ECE" w:rsidR="00F12EC8" w:rsidRPr="002672DE" w:rsidRDefault="00F12EC8" w:rsidP="00AE13A5">
      <w:pPr>
        <w:pStyle w:val="Default"/>
        <w:spacing w:line="276" w:lineRule="auto"/>
        <w:ind w:left="1440"/>
        <w:rPr>
          <w:sz w:val="22"/>
          <w:szCs w:val="22"/>
        </w:rPr>
      </w:pPr>
      <w:r w:rsidRPr="002672DE">
        <w:rPr>
          <w:sz w:val="22"/>
          <w:szCs w:val="22"/>
        </w:rPr>
        <w:t>-„10) Doposażanie organów nadzoru górniczego w urządzenia i sprzęt kontrolno-pomiarowy służący monitorowaniu eksploatacji kopalin oraz Prezesa Wyższego Urzędu Górniczego w urządzenia i sprzęt kontrolno-pomiarowy w zakresie monitorowania emisji metanu”</w:t>
      </w:r>
      <w:r w:rsidR="007E649D">
        <w:rPr>
          <w:sz w:val="22"/>
          <w:szCs w:val="22"/>
        </w:rPr>
        <w:t>,</w:t>
      </w:r>
    </w:p>
    <w:p w14:paraId="0B1D7EA5" w14:textId="6C7BCD18" w:rsidR="00F61034" w:rsidRPr="004B36DA" w:rsidRDefault="00F61034" w:rsidP="00AE13A5">
      <w:pPr>
        <w:pStyle w:val="Default"/>
        <w:numPr>
          <w:ilvl w:val="1"/>
          <w:numId w:val="1"/>
        </w:numPr>
        <w:spacing w:line="276" w:lineRule="auto"/>
        <w:rPr>
          <w:b/>
          <w:bCs/>
          <w:sz w:val="22"/>
          <w:szCs w:val="22"/>
        </w:rPr>
      </w:pPr>
      <w:r w:rsidRPr="004B36DA">
        <w:rPr>
          <w:b/>
          <w:bCs/>
          <w:sz w:val="22"/>
          <w:szCs w:val="22"/>
        </w:rPr>
        <w:t>dodan</w:t>
      </w:r>
      <w:r w:rsidR="00315EB0" w:rsidRPr="004B36DA">
        <w:rPr>
          <w:b/>
          <w:bCs/>
          <w:sz w:val="22"/>
          <w:szCs w:val="22"/>
        </w:rPr>
        <w:t>iu</w:t>
      </w:r>
      <w:r w:rsidRPr="004B36DA">
        <w:rPr>
          <w:b/>
          <w:bCs/>
          <w:sz w:val="22"/>
          <w:szCs w:val="22"/>
        </w:rPr>
        <w:t xml:space="preserve"> now</w:t>
      </w:r>
      <w:r w:rsidR="00315EB0" w:rsidRPr="004B36DA">
        <w:rPr>
          <w:b/>
          <w:bCs/>
          <w:sz w:val="22"/>
          <w:szCs w:val="22"/>
        </w:rPr>
        <w:t>ego</w:t>
      </w:r>
      <w:r w:rsidRPr="004B36DA">
        <w:rPr>
          <w:b/>
          <w:bCs/>
          <w:sz w:val="22"/>
          <w:szCs w:val="22"/>
        </w:rPr>
        <w:t xml:space="preserve"> rodzaj</w:t>
      </w:r>
      <w:r w:rsidR="00315EB0" w:rsidRPr="004B36DA">
        <w:rPr>
          <w:b/>
          <w:bCs/>
          <w:sz w:val="22"/>
          <w:szCs w:val="22"/>
        </w:rPr>
        <w:t>u</w:t>
      </w:r>
      <w:r w:rsidRPr="004B36DA">
        <w:rPr>
          <w:b/>
          <w:bCs/>
          <w:sz w:val="22"/>
          <w:szCs w:val="22"/>
        </w:rPr>
        <w:t xml:space="preserve"> przedsięwzię</w:t>
      </w:r>
      <w:r w:rsidR="00DB2177" w:rsidRPr="004B36DA">
        <w:rPr>
          <w:b/>
          <w:bCs/>
          <w:sz w:val="22"/>
          <w:szCs w:val="22"/>
        </w:rPr>
        <w:t>ć</w:t>
      </w:r>
      <w:r w:rsidRPr="004B36DA">
        <w:rPr>
          <w:b/>
          <w:bCs/>
          <w:sz w:val="22"/>
          <w:szCs w:val="22"/>
        </w:rPr>
        <w:t xml:space="preserve">: „12) Prace badawcze dotyczące testowania optymalnych technologii dla zakładów górniczych w zakresie ochrony wód powierzchniowych przed nadmiernym zasoleniem w wyniku odprowadzania wód dołowych – przy uwzględnieniu zasady gospodarki obiegu zamkniętego – </w:t>
      </w:r>
      <w:r w:rsidRPr="004B36DA">
        <w:rPr>
          <w:b/>
          <w:bCs/>
          <w:sz w:val="22"/>
          <w:szCs w:val="22"/>
        </w:rPr>
        <w:lastRenderedPageBreak/>
        <w:t>rodzaj przedsięwzięcia dotyczy beneficjentów, o których mowa w ust. 7.4 pkt 1) lit. f), g)”</w:t>
      </w:r>
      <w:r w:rsidR="007E649D" w:rsidRPr="004B36DA">
        <w:rPr>
          <w:b/>
          <w:bCs/>
          <w:sz w:val="22"/>
          <w:szCs w:val="22"/>
        </w:rPr>
        <w:t>,</w:t>
      </w:r>
    </w:p>
    <w:p w14:paraId="75A6347B" w14:textId="6C9F3883" w:rsidR="007E649D" w:rsidRPr="004B36DA" w:rsidRDefault="007E649D" w:rsidP="00AE13A5">
      <w:pPr>
        <w:numPr>
          <w:ilvl w:val="1"/>
          <w:numId w:val="1"/>
        </w:numPr>
        <w:tabs>
          <w:tab w:val="clear" w:pos="1440"/>
        </w:tabs>
        <w:spacing w:after="0" w:line="276" w:lineRule="auto"/>
        <w:ind w:left="1434" w:hanging="357"/>
      </w:pPr>
      <w:r w:rsidRPr="004B36DA">
        <w:rPr>
          <w:rFonts w:ascii="Calibri" w:hAnsi="Calibri" w:cs="Calibri"/>
          <w:b/>
          <w:bCs/>
        </w:rPr>
        <w:t>wskazaniu w programie, że dofinansowanie na ww. przedsięwzięcia będzie wymagało uzyskania oprócz pozytywnych opinii, o których mowa w art. 411 ust. 2 ustawy z dnia 27 kwietnia 2001 r. Prawo ochrony środowiska, dodatkowo pozytywnej opinii ministra właściwego ds. środowiska,</w:t>
      </w:r>
    </w:p>
    <w:p w14:paraId="55E91052" w14:textId="1A277689" w:rsidR="00E951E5" w:rsidRPr="007E649D" w:rsidRDefault="00E951E5" w:rsidP="00AE13A5">
      <w:pPr>
        <w:pStyle w:val="Default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7E649D">
        <w:rPr>
          <w:sz w:val="22"/>
          <w:szCs w:val="22"/>
        </w:rPr>
        <w:t>rozszerz</w:t>
      </w:r>
      <w:r w:rsidR="00114ED4" w:rsidRPr="007E649D">
        <w:rPr>
          <w:sz w:val="22"/>
          <w:szCs w:val="22"/>
        </w:rPr>
        <w:t>eniu</w:t>
      </w:r>
      <w:r w:rsidRPr="007E649D">
        <w:rPr>
          <w:sz w:val="22"/>
          <w:szCs w:val="22"/>
        </w:rPr>
        <w:t xml:space="preserve"> dokument</w:t>
      </w:r>
      <w:r w:rsidR="00114ED4" w:rsidRPr="007E649D">
        <w:rPr>
          <w:sz w:val="22"/>
          <w:szCs w:val="22"/>
        </w:rPr>
        <w:t>ów</w:t>
      </w:r>
      <w:r w:rsidRPr="007E649D">
        <w:rPr>
          <w:sz w:val="22"/>
          <w:szCs w:val="22"/>
        </w:rPr>
        <w:t>, które mogą być przedkładane przez wnioskodawców w ramach tytułu prawnego</w:t>
      </w:r>
      <w:r w:rsidR="00114ED4" w:rsidRPr="007E649D">
        <w:rPr>
          <w:sz w:val="22"/>
          <w:szCs w:val="22"/>
        </w:rPr>
        <w:t>,</w:t>
      </w:r>
    </w:p>
    <w:p w14:paraId="26C6BB0F" w14:textId="7844D792" w:rsidR="006906C0" w:rsidRPr="002672DE" w:rsidRDefault="006906C0" w:rsidP="00AE13A5">
      <w:pPr>
        <w:pStyle w:val="Default"/>
        <w:numPr>
          <w:ilvl w:val="1"/>
          <w:numId w:val="1"/>
        </w:numPr>
        <w:spacing w:after="160" w:line="276" w:lineRule="auto"/>
        <w:ind w:left="1434" w:hanging="357"/>
        <w:rPr>
          <w:sz w:val="22"/>
          <w:szCs w:val="22"/>
        </w:rPr>
      </w:pPr>
      <w:r w:rsidRPr="002672DE">
        <w:rPr>
          <w:sz w:val="22"/>
          <w:szCs w:val="22"/>
        </w:rPr>
        <w:t>aktualizacji kryteriów jakościowych punktowych wynikającej ze specyfiki nowych przedsięwzięć realizowanych przez nowych beneficjentów wprowadzonych do programu oraz aktualizacji w zakresie tytułu prawnego do gruntów.</w:t>
      </w:r>
    </w:p>
    <w:p w14:paraId="7FC9F6D7" w14:textId="77777777" w:rsidR="009F652E" w:rsidRPr="00AE4CE0" w:rsidRDefault="009F652E" w:rsidP="00AE13A5">
      <w:pPr>
        <w:numPr>
          <w:ilvl w:val="0"/>
          <w:numId w:val="1"/>
        </w:numPr>
        <w:spacing w:after="120" w:line="276" w:lineRule="auto"/>
        <w:ind w:left="714" w:hanging="357"/>
        <w:rPr>
          <w:rFonts w:ascii="Calibri" w:hAnsi="Calibri" w:cs="Calibri"/>
        </w:rPr>
      </w:pPr>
      <w:r w:rsidRPr="00AE4CE0">
        <w:rPr>
          <w:rFonts w:ascii="Calibri" w:hAnsi="Calibri" w:cs="Calibri"/>
        </w:rPr>
        <w:t>Zmiany załączników do Regulaminu naboru wniosków o dofinansowanie przedsięwzięć ze środków Narodowego Funduszu Ochrony Środowiska i Gospodarki Wodnej w ramach programu priorytetowego „Zmniejszenie uciążliwości wynikających z wydobywania kopalin” polegają na:</w:t>
      </w:r>
    </w:p>
    <w:p w14:paraId="020F8F32" w14:textId="412DF2DD" w:rsidR="009F652E" w:rsidRDefault="009F652E" w:rsidP="00AE13A5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</w:rPr>
      </w:pPr>
      <w:r w:rsidRPr="00AD6C4B">
        <w:rPr>
          <w:rFonts w:ascii="Calibri" w:hAnsi="Calibri" w:cs="Calibri"/>
        </w:rPr>
        <w:t>dostosowaniu załącznika nr 1 do Regulaminu pn. Lista wymaganych załączników do wniosku o dofinansowanie do zmienionych kryteriów jakościowych oraz zaktualizowanych i nowych rodzajów przedsięwzięć,</w:t>
      </w:r>
    </w:p>
    <w:p w14:paraId="4E455443" w14:textId="728E6B99" w:rsidR="00903B6E" w:rsidRPr="00AD6C4B" w:rsidRDefault="009F652E" w:rsidP="00AE13A5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</w:rPr>
      </w:pPr>
      <w:r w:rsidRPr="00AD6C4B">
        <w:rPr>
          <w:rFonts w:ascii="Calibri" w:hAnsi="Calibri" w:cs="Calibri"/>
        </w:rPr>
        <w:t>dostosowaniu załącznika nr 2 do Regulaminu pn. Ogłoszenie o naborze do zmian programu priorytetowego, w szczególności w zakresie celów programu i beneficjentów.</w:t>
      </w:r>
    </w:p>
    <w:sectPr w:rsidR="00903B6E" w:rsidRPr="00AD6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0442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7B71CC"/>
    <w:multiLevelType w:val="multilevel"/>
    <w:tmpl w:val="E716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BAE8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A0B5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FAB857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FDE46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022A05"/>
    <w:multiLevelType w:val="multilevel"/>
    <w:tmpl w:val="71DC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35269B"/>
    <w:multiLevelType w:val="multilevel"/>
    <w:tmpl w:val="9CDE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481BF8"/>
    <w:multiLevelType w:val="multilevel"/>
    <w:tmpl w:val="408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AA322A"/>
    <w:multiLevelType w:val="hybridMultilevel"/>
    <w:tmpl w:val="89980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9665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16A8A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2439750">
    <w:abstractNumId w:val="6"/>
  </w:num>
  <w:num w:numId="2" w16cid:durableId="1007363691">
    <w:abstractNumId w:val="7"/>
  </w:num>
  <w:num w:numId="3" w16cid:durableId="1138842051">
    <w:abstractNumId w:val="1"/>
  </w:num>
  <w:num w:numId="4" w16cid:durableId="1210914916">
    <w:abstractNumId w:val="8"/>
  </w:num>
  <w:num w:numId="5" w16cid:durableId="677543518">
    <w:abstractNumId w:val="11"/>
  </w:num>
  <w:num w:numId="6" w16cid:durableId="35128883">
    <w:abstractNumId w:val="2"/>
  </w:num>
  <w:num w:numId="7" w16cid:durableId="503665808">
    <w:abstractNumId w:val="10"/>
  </w:num>
  <w:num w:numId="8" w16cid:durableId="1684823808">
    <w:abstractNumId w:val="5"/>
  </w:num>
  <w:num w:numId="9" w16cid:durableId="1188643877">
    <w:abstractNumId w:val="3"/>
  </w:num>
  <w:num w:numId="10" w16cid:durableId="1687050607">
    <w:abstractNumId w:val="4"/>
  </w:num>
  <w:num w:numId="11" w16cid:durableId="1539273535">
    <w:abstractNumId w:val="0"/>
  </w:num>
  <w:num w:numId="12" w16cid:durableId="737286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6E"/>
    <w:rsid w:val="00023779"/>
    <w:rsid w:val="00080D74"/>
    <w:rsid w:val="000C38B2"/>
    <w:rsid w:val="00101B3F"/>
    <w:rsid w:val="00104FB3"/>
    <w:rsid w:val="001078C2"/>
    <w:rsid w:val="00114ED4"/>
    <w:rsid w:val="001E20DA"/>
    <w:rsid w:val="002168C5"/>
    <w:rsid w:val="00224BB5"/>
    <w:rsid w:val="00247FB2"/>
    <w:rsid w:val="002672DE"/>
    <w:rsid w:val="002D0C82"/>
    <w:rsid w:val="002F1FEA"/>
    <w:rsid w:val="00315EB0"/>
    <w:rsid w:val="00324D4F"/>
    <w:rsid w:val="00336AE3"/>
    <w:rsid w:val="00354DDC"/>
    <w:rsid w:val="0035745B"/>
    <w:rsid w:val="0038013C"/>
    <w:rsid w:val="003D106F"/>
    <w:rsid w:val="003D649D"/>
    <w:rsid w:val="003E1318"/>
    <w:rsid w:val="00440B75"/>
    <w:rsid w:val="00467635"/>
    <w:rsid w:val="004740F6"/>
    <w:rsid w:val="004767FD"/>
    <w:rsid w:val="0049588B"/>
    <w:rsid w:val="004B36DA"/>
    <w:rsid w:val="004B6AE5"/>
    <w:rsid w:val="004E25C2"/>
    <w:rsid w:val="004E5E98"/>
    <w:rsid w:val="0053751B"/>
    <w:rsid w:val="005B6EB4"/>
    <w:rsid w:val="005D5514"/>
    <w:rsid w:val="005D5DEE"/>
    <w:rsid w:val="006071F7"/>
    <w:rsid w:val="00627517"/>
    <w:rsid w:val="00667C25"/>
    <w:rsid w:val="00673556"/>
    <w:rsid w:val="006906C0"/>
    <w:rsid w:val="00693EDD"/>
    <w:rsid w:val="006D39EA"/>
    <w:rsid w:val="006D453F"/>
    <w:rsid w:val="0071045C"/>
    <w:rsid w:val="00762614"/>
    <w:rsid w:val="0079017D"/>
    <w:rsid w:val="007A1E6B"/>
    <w:rsid w:val="007E649D"/>
    <w:rsid w:val="00812604"/>
    <w:rsid w:val="00885448"/>
    <w:rsid w:val="00903B6E"/>
    <w:rsid w:val="00920053"/>
    <w:rsid w:val="009F652E"/>
    <w:rsid w:val="00A136B3"/>
    <w:rsid w:val="00A62887"/>
    <w:rsid w:val="00AA2769"/>
    <w:rsid w:val="00AA59AA"/>
    <w:rsid w:val="00AD6C4B"/>
    <w:rsid w:val="00AE13A5"/>
    <w:rsid w:val="00AE4CE0"/>
    <w:rsid w:val="00B42CC2"/>
    <w:rsid w:val="00B52130"/>
    <w:rsid w:val="00B619BC"/>
    <w:rsid w:val="00BF2009"/>
    <w:rsid w:val="00C759A8"/>
    <w:rsid w:val="00CF7325"/>
    <w:rsid w:val="00D10DF4"/>
    <w:rsid w:val="00D242B5"/>
    <w:rsid w:val="00D3610B"/>
    <w:rsid w:val="00D82DE1"/>
    <w:rsid w:val="00DB2177"/>
    <w:rsid w:val="00DB2DB0"/>
    <w:rsid w:val="00DC5B79"/>
    <w:rsid w:val="00E25605"/>
    <w:rsid w:val="00E55D9A"/>
    <w:rsid w:val="00E663B2"/>
    <w:rsid w:val="00E951E5"/>
    <w:rsid w:val="00EC692F"/>
    <w:rsid w:val="00EE2F06"/>
    <w:rsid w:val="00F0688B"/>
    <w:rsid w:val="00F12EC8"/>
    <w:rsid w:val="00F61034"/>
    <w:rsid w:val="00F95162"/>
    <w:rsid w:val="00FA763D"/>
    <w:rsid w:val="00FD505A"/>
    <w:rsid w:val="00FE0DF8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C94C"/>
  <w15:chartTrackingRefBased/>
  <w15:docId w15:val="{A0287D5B-DD0E-48FE-A2A6-B3A9171B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B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B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B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B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B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B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B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B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B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B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B6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3B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B6E"/>
    <w:rPr>
      <w:color w:val="605E5C"/>
      <w:shd w:val="clear" w:color="auto" w:fill="E1DFDD"/>
    </w:rPr>
  </w:style>
  <w:style w:type="paragraph" w:customStyle="1" w:styleId="Default">
    <w:name w:val="Default"/>
    <w:rsid w:val="00B61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3D6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programu priorytetowego „Zmniejszenie uciążliwości wynikających z wydobywania kopalin”</dc:title>
  <dc:subject/>
  <dc:creator>Podymniak Małgorzata</dc:creator>
  <cp:keywords/>
  <dc:description/>
  <cp:lastModifiedBy>Cendrowska Anna</cp:lastModifiedBy>
  <cp:revision>5</cp:revision>
  <dcterms:created xsi:type="dcterms:W3CDTF">2026-03-16T10:48:00Z</dcterms:created>
  <dcterms:modified xsi:type="dcterms:W3CDTF">2026-03-16T11:28:00Z</dcterms:modified>
</cp:coreProperties>
</file>