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B93D" w14:textId="6DA67DAC" w:rsidR="00040DC3" w:rsidRPr="00264403" w:rsidRDefault="00040DC3" w:rsidP="00F55491">
      <w:pPr>
        <w:spacing w:after="0" w:line="360" w:lineRule="auto"/>
        <w:jc w:val="right"/>
        <w:rPr>
          <w:rFonts w:ascii="Aptos" w:hAnsi="Aptos" w:cs="Calibri"/>
          <w:b/>
          <w:bCs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 xml:space="preserve">Warszawa, </w:t>
      </w:r>
      <w:r w:rsidR="00FB7F8C" w:rsidRPr="00264403">
        <w:rPr>
          <w:rFonts w:ascii="Aptos" w:hAnsi="Aptos" w:cs="Calibri"/>
          <w:sz w:val="24"/>
          <w:szCs w:val="24"/>
        </w:rPr>
        <w:t xml:space="preserve">dnia </w:t>
      </w:r>
      <w:r w:rsidR="00120785" w:rsidRPr="00264403">
        <w:rPr>
          <w:rFonts w:ascii="Aptos" w:hAnsi="Aptos" w:cs="Calibri"/>
          <w:sz w:val="24"/>
          <w:szCs w:val="24"/>
        </w:rPr>
        <w:t>25</w:t>
      </w:r>
      <w:r w:rsidR="00622D13" w:rsidRPr="00264403">
        <w:rPr>
          <w:rFonts w:ascii="Aptos" w:hAnsi="Aptos" w:cs="Calibri"/>
          <w:sz w:val="24"/>
          <w:szCs w:val="24"/>
        </w:rPr>
        <w:t xml:space="preserve"> stycznia 2026 </w:t>
      </w:r>
      <w:r w:rsidR="00017EA2" w:rsidRPr="00264403">
        <w:rPr>
          <w:rFonts w:ascii="Aptos" w:hAnsi="Aptos" w:cs="Calibri"/>
          <w:sz w:val="24"/>
          <w:szCs w:val="24"/>
        </w:rPr>
        <w:t>r.</w:t>
      </w:r>
    </w:p>
    <w:p w14:paraId="3834268B" w14:textId="470B7B04" w:rsidR="0029392B" w:rsidRPr="00264403" w:rsidRDefault="0029392B" w:rsidP="00F55491">
      <w:pPr>
        <w:spacing w:after="0" w:line="360" w:lineRule="auto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>Komisja Kodyfikacyjna Prawa Karnego</w:t>
      </w:r>
    </w:p>
    <w:p w14:paraId="43B766AE" w14:textId="77777777" w:rsidR="0029392B" w:rsidRPr="00264403" w:rsidRDefault="0029392B" w:rsidP="00F55491">
      <w:p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</w:p>
    <w:p w14:paraId="2E38E1CE" w14:textId="4CFE9847" w:rsidR="00C1311C" w:rsidRPr="00264403" w:rsidRDefault="009505A2" w:rsidP="00F55491">
      <w:pPr>
        <w:spacing w:after="0" w:line="360" w:lineRule="auto"/>
        <w:rPr>
          <w:rFonts w:ascii="Aptos" w:hAnsi="Aptos" w:cs="Calibri"/>
          <w:b/>
          <w:bCs/>
          <w:sz w:val="24"/>
          <w:szCs w:val="24"/>
        </w:rPr>
      </w:pPr>
      <w:r w:rsidRPr="00264403">
        <w:rPr>
          <w:rFonts w:ascii="Aptos" w:hAnsi="Aptos" w:cs="Calibri"/>
          <w:b/>
          <w:bCs/>
          <w:sz w:val="24"/>
          <w:szCs w:val="24"/>
        </w:rPr>
        <w:t xml:space="preserve"> </w:t>
      </w:r>
    </w:p>
    <w:p w14:paraId="765DEE4B" w14:textId="1B629CA1" w:rsidR="004949BA" w:rsidRPr="00264403" w:rsidRDefault="00425179" w:rsidP="00F55491">
      <w:pPr>
        <w:spacing w:after="0" w:line="360" w:lineRule="auto"/>
        <w:jc w:val="center"/>
        <w:rPr>
          <w:rFonts w:ascii="Aptos" w:hAnsi="Aptos" w:cs="Calibri"/>
          <w:b/>
          <w:bCs/>
          <w:sz w:val="24"/>
          <w:szCs w:val="24"/>
        </w:rPr>
      </w:pPr>
      <w:r>
        <w:rPr>
          <w:rFonts w:ascii="Aptos" w:hAnsi="Aptos" w:cs="Calibri"/>
          <w:b/>
          <w:bCs/>
          <w:sz w:val="24"/>
          <w:szCs w:val="24"/>
        </w:rPr>
        <w:t>O</w:t>
      </w:r>
      <w:r w:rsidR="009505A2" w:rsidRPr="00264403">
        <w:rPr>
          <w:rFonts w:ascii="Aptos" w:hAnsi="Aptos" w:cs="Calibri"/>
          <w:b/>
          <w:bCs/>
          <w:sz w:val="24"/>
          <w:szCs w:val="24"/>
        </w:rPr>
        <w:t>pini</w:t>
      </w:r>
      <w:r>
        <w:rPr>
          <w:rFonts w:ascii="Aptos" w:hAnsi="Aptos" w:cs="Calibri"/>
          <w:b/>
          <w:bCs/>
          <w:sz w:val="24"/>
          <w:szCs w:val="24"/>
        </w:rPr>
        <w:t>a</w:t>
      </w:r>
    </w:p>
    <w:p w14:paraId="1C84FA50" w14:textId="189EBC9E" w:rsidR="0029392B" w:rsidRPr="00264403" w:rsidRDefault="0029392B" w:rsidP="00F55491">
      <w:pPr>
        <w:spacing w:after="0" w:line="360" w:lineRule="auto"/>
        <w:jc w:val="center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b/>
          <w:bCs/>
          <w:sz w:val="24"/>
          <w:szCs w:val="24"/>
        </w:rPr>
        <w:t>w przedmiocie</w:t>
      </w:r>
      <w:r w:rsidR="0024543B" w:rsidRPr="00264403">
        <w:rPr>
          <w:rFonts w:ascii="Aptos" w:hAnsi="Aptos" w:cs="Calibri"/>
          <w:b/>
          <w:bCs/>
          <w:sz w:val="24"/>
          <w:szCs w:val="24"/>
        </w:rPr>
        <w:t xml:space="preserve"> </w:t>
      </w:r>
      <w:r w:rsidR="00062F3B" w:rsidRPr="00264403">
        <w:rPr>
          <w:rFonts w:ascii="Aptos" w:hAnsi="Aptos" w:cs="Calibri"/>
          <w:b/>
          <w:bCs/>
          <w:sz w:val="24"/>
          <w:szCs w:val="24"/>
        </w:rPr>
        <w:t>wzmocnienia gwarancji procesowych obwinionego w sprawach z art. 96 § 3 Kodeksu wykroczeń</w:t>
      </w:r>
    </w:p>
    <w:p w14:paraId="5AE1F92A" w14:textId="77777777" w:rsidR="00017EA2" w:rsidRPr="00264403" w:rsidRDefault="00017EA2" w:rsidP="00F55491">
      <w:pPr>
        <w:spacing w:after="0" w:line="360" w:lineRule="auto"/>
        <w:jc w:val="center"/>
        <w:rPr>
          <w:rFonts w:ascii="Aptos" w:hAnsi="Aptos" w:cs="Calibri"/>
          <w:sz w:val="24"/>
          <w:szCs w:val="24"/>
        </w:rPr>
      </w:pPr>
    </w:p>
    <w:p w14:paraId="415410C7" w14:textId="77777777" w:rsidR="00017EA2" w:rsidRPr="00264403" w:rsidRDefault="00017EA2" w:rsidP="00F55491">
      <w:pPr>
        <w:spacing w:after="0" w:line="360" w:lineRule="auto"/>
        <w:jc w:val="center"/>
        <w:rPr>
          <w:rFonts w:ascii="Aptos" w:hAnsi="Aptos" w:cs="Calibri"/>
          <w:sz w:val="24"/>
          <w:szCs w:val="24"/>
        </w:rPr>
      </w:pPr>
    </w:p>
    <w:p w14:paraId="5F9CB297" w14:textId="5ABDA8DC" w:rsidR="004E7048" w:rsidRPr="00264403" w:rsidRDefault="00187785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 xml:space="preserve">1. </w:t>
      </w:r>
      <w:r w:rsidR="00B4108F" w:rsidRPr="00264403">
        <w:rPr>
          <w:rFonts w:ascii="Aptos" w:hAnsi="Aptos" w:cs="Calibri"/>
          <w:sz w:val="24"/>
          <w:szCs w:val="24"/>
        </w:rPr>
        <w:t xml:space="preserve">Dyrektor </w:t>
      </w:r>
      <w:r w:rsidR="008368C7" w:rsidRPr="00264403">
        <w:rPr>
          <w:rFonts w:ascii="Aptos" w:hAnsi="Aptos" w:cs="Calibri"/>
          <w:sz w:val="24"/>
          <w:szCs w:val="24"/>
        </w:rPr>
        <w:t xml:space="preserve">Departamentu Legislacyjnego Prawa Karnego </w:t>
      </w:r>
      <w:r w:rsidR="00B4108F" w:rsidRPr="00264403">
        <w:rPr>
          <w:rFonts w:ascii="Aptos" w:hAnsi="Aptos" w:cs="Calibri"/>
          <w:sz w:val="24"/>
          <w:szCs w:val="24"/>
        </w:rPr>
        <w:t>w Ministerstwie Sprawiedliwości</w:t>
      </w:r>
      <w:r w:rsidR="00E8776F">
        <w:rPr>
          <w:rFonts w:ascii="Aptos" w:hAnsi="Aptos" w:cs="Calibri"/>
          <w:sz w:val="24"/>
          <w:szCs w:val="24"/>
        </w:rPr>
        <w:t xml:space="preserve"> </w:t>
      </w:r>
      <w:r w:rsidR="00B4108F" w:rsidRPr="00264403">
        <w:rPr>
          <w:rFonts w:ascii="Aptos" w:hAnsi="Aptos" w:cs="Calibri"/>
          <w:sz w:val="24"/>
          <w:szCs w:val="24"/>
        </w:rPr>
        <w:t>wystąpił o wydanie przez Komisję Kodyfikacyjną Prawa Karnego opinii na temat</w:t>
      </w:r>
      <w:r w:rsidR="00CF60CB" w:rsidRPr="00264403">
        <w:rPr>
          <w:rFonts w:ascii="Aptos" w:hAnsi="Aptos" w:cs="Calibri"/>
          <w:sz w:val="24"/>
          <w:szCs w:val="24"/>
        </w:rPr>
        <w:t xml:space="preserve"> </w:t>
      </w:r>
      <w:r w:rsidR="00D362CF" w:rsidRPr="00264403">
        <w:rPr>
          <w:rFonts w:ascii="Aptos" w:hAnsi="Aptos" w:cs="Calibri"/>
          <w:sz w:val="24"/>
          <w:szCs w:val="24"/>
        </w:rPr>
        <w:t>wzmocnienia gwarancji procesowych obwinionego w sprawach z art. 96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D362CF" w:rsidRPr="00264403">
        <w:rPr>
          <w:rFonts w:ascii="Aptos" w:hAnsi="Aptos" w:cs="Calibri"/>
          <w:sz w:val="24"/>
          <w:szCs w:val="24"/>
        </w:rPr>
        <w:t>§ 3 k.w.</w:t>
      </w:r>
      <w:r w:rsidR="008C68F3" w:rsidRPr="00264403">
        <w:rPr>
          <w:rFonts w:ascii="Aptos" w:hAnsi="Aptos" w:cs="Calibri"/>
          <w:sz w:val="24"/>
          <w:szCs w:val="24"/>
        </w:rPr>
        <w:t>,</w:t>
      </w:r>
      <w:r w:rsidR="00D362CF" w:rsidRPr="00264403">
        <w:rPr>
          <w:rFonts w:ascii="Aptos" w:hAnsi="Aptos" w:cs="Calibri"/>
          <w:sz w:val="24"/>
          <w:szCs w:val="24"/>
        </w:rPr>
        <w:t xml:space="preserve"> poprzez wyraźne </w:t>
      </w:r>
      <w:r w:rsidR="009E0899" w:rsidRPr="00264403">
        <w:rPr>
          <w:rFonts w:ascii="Aptos" w:hAnsi="Aptos" w:cs="Calibri"/>
          <w:sz w:val="24"/>
          <w:szCs w:val="24"/>
        </w:rPr>
        <w:t xml:space="preserve">wyłączenie odpowiedzialności wykroczeniowej osoby, </w:t>
      </w:r>
      <w:r w:rsidR="00694B05" w:rsidRPr="00264403">
        <w:rPr>
          <w:rFonts w:ascii="Aptos" w:hAnsi="Aptos" w:cs="Calibri"/>
          <w:sz w:val="24"/>
          <w:szCs w:val="24"/>
        </w:rPr>
        <w:t>która nie wskaże na żądanie uprawnionego organu, komu powierzyła pojazd do kierowania lub używania w oznaczonym czasie, gdy udzielona w ten sposób informacja, mogłaby stanowić dowód w postępowaniu w sprawie o wykroczenie przeciwko niej samej.</w:t>
      </w:r>
      <w:r w:rsidR="00C57312" w:rsidRPr="00264403">
        <w:rPr>
          <w:rFonts w:ascii="Aptos" w:hAnsi="Aptos" w:cs="Calibri"/>
          <w:sz w:val="24"/>
          <w:szCs w:val="24"/>
        </w:rPr>
        <w:t xml:space="preserve"> </w:t>
      </w:r>
      <w:r w:rsidR="002A2D70" w:rsidRPr="00264403">
        <w:rPr>
          <w:rFonts w:ascii="Aptos" w:hAnsi="Aptos" w:cs="Calibri"/>
          <w:sz w:val="24"/>
          <w:szCs w:val="24"/>
        </w:rPr>
        <w:t xml:space="preserve">Do przedłożonego wniosku o wydanie opinii </w:t>
      </w:r>
      <w:r w:rsidR="0071441D" w:rsidRPr="00264403">
        <w:rPr>
          <w:rFonts w:ascii="Aptos" w:hAnsi="Aptos" w:cs="Calibri"/>
          <w:sz w:val="24"/>
          <w:szCs w:val="24"/>
        </w:rPr>
        <w:t>Dyrektor Departamentu Legislacyjnego Prawa Karnego w Ministerstwie Sprawiedliwości dołączył pismo Rzecznika Praw Obywatelskich (</w:t>
      </w:r>
      <w:r w:rsidR="00386622" w:rsidRPr="00264403">
        <w:rPr>
          <w:rFonts w:ascii="Aptos" w:hAnsi="Aptos" w:cs="Calibri"/>
          <w:sz w:val="24"/>
          <w:szCs w:val="24"/>
        </w:rPr>
        <w:t>II.510.880.2023.PZ)</w:t>
      </w:r>
      <w:r w:rsidR="00581D89" w:rsidRPr="00264403">
        <w:rPr>
          <w:rFonts w:ascii="Aptos" w:hAnsi="Aptos" w:cs="Calibri"/>
          <w:sz w:val="24"/>
          <w:szCs w:val="24"/>
        </w:rPr>
        <w:t xml:space="preserve">, </w:t>
      </w:r>
      <w:r w:rsidR="0081476B" w:rsidRPr="00264403">
        <w:rPr>
          <w:rFonts w:ascii="Aptos" w:hAnsi="Aptos" w:cs="Calibri"/>
          <w:sz w:val="24"/>
          <w:szCs w:val="24"/>
        </w:rPr>
        <w:t xml:space="preserve">w który przedłożono propozycję dodania </w:t>
      </w:r>
      <w:r w:rsidR="008C68F3" w:rsidRPr="00264403">
        <w:rPr>
          <w:rFonts w:ascii="Aptos" w:hAnsi="Aptos" w:cs="Calibri"/>
          <w:sz w:val="24"/>
          <w:szCs w:val="24"/>
        </w:rPr>
        <w:t xml:space="preserve">w </w:t>
      </w:r>
      <w:r w:rsidR="00B54D23" w:rsidRPr="00264403">
        <w:rPr>
          <w:rFonts w:ascii="Aptos" w:hAnsi="Aptos" w:cs="Calibri"/>
          <w:sz w:val="24"/>
          <w:szCs w:val="24"/>
        </w:rPr>
        <w:t>art. 96 k.w. nowego § 4, o następującym brzmieniu: „Nie podlega karze z § 3 ten, kto nie wskaże na żądanie uprawnionego organu, komu powierzył pojazd do kierowania lub używania w oznaczonym czasie, gdy udzielona w ten sposób informacja, mogłaby stanowić dowód w postępowaniu w sprawie o wykroczenie przeciwko niemu samemu”.</w:t>
      </w:r>
      <w:r w:rsidR="005E0823" w:rsidRPr="00264403">
        <w:rPr>
          <w:rFonts w:ascii="Aptos" w:hAnsi="Aptos" w:cs="Calibri"/>
          <w:sz w:val="24"/>
          <w:szCs w:val="24"/>
        </w:rPr>
        <w:t xml:space="preserve"> </w:t>
      </w:r>
      <w:r w:rsidR="00CE480F" w:rsidRPr="00264403">
        <w:rPr>
          <w:rFonts w:ascii="Aptos" w:hAnsi="Aptos" w:cs="Calibri"/>
          <w:sz w:val="24"/>
          <w:szCs w:val="24"/>
        </w:rPr>
        <w:t xml:space="preserve">Jako uzasadnienie </w:t>
      </w:r>
      <w:r w:rsidR="00DD5DAB" w:rsidRPr="00264403">
        <w:rPr>
          <w:rFonts w:ascii="Aptos" w:hAnsi="Aptos" w:cs="Calibri"/>
          <w:sz w:val="24"/>
          <w:szCs w:val="24"/>
        </w:rPr>
        <w:t xml:space="preserve">przedłożonej zmiany </w:t>
      </w:r>
      <w:r w:rsidR="00FE169B" w:rsidRPr="00264403">
        <w:rPr>
          <w:rFonts w:ascii="Aptos" w:hAnsi="Aptos" w:cs="Calibri"/>
          <w:sz w:val="24"/>
          <w:szCs w:val="24"/>
        </w:rPr>
        <w:t>wskazan</w:t>
      </w:r>
      <w:r w:rsidR="00DD5DAB" w:rsidRPr="00264403">
        <w:rPr>
          <w:rFonts w:ascii="Aptos" w:hAnsi="Aptos" w:cs="Calibri"/>
          <w:sz w:val="24"/>
          <w:szCs w:val="24"/>
        </w:rPr>
        <w:t>o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DD5DAB" w:rsidRPr="00264403">
        <w:rPr>
          <w:rFonts w:ascii="Aptos" w:hAnsi="Aptos" w:cs="Calibri"/>
          <w:sz w:val="24"/>
          <w:szCs w:val="24"/>
        </w:rPr>
        <w:t>występując</w:t>
      </w:r>
      <w:r w:rsidR="008C68F3" w:rsidRPr="00264403">
        <w:rPr>
          <w:rFonts w:ascii="Aptos" w:hAnsi="Aptos" w:cs="Calibri"/>
          <w:sz w:val="24"/>
          <w:szCs w:val="24"/>
        </w:rPr>
        <w:t>y</w:t>
      </w:r>
      <w:r w:rsidR="00DD5DAB" w:rsidRPr="00264403">
        <w:rPr>
          <w:rFonts w:ascii="Aptos" w:hAnsi="Aptos" w:cs="Calibri"/>
          <w:sz w:val="24"/>
          <w:szCs w:val="24"/>
        </w:rPr>
        <w:t xml:space="preserve"> w orzecznictwie sądów powszechnych </w:t>
      </w:r>
      <w:r w:rsidR="00406275" w:rsidRPr="00264403">
        <w:rPr>
          <w:rFonts w:ascii="Aptos" w:hAnsi="Aptos" w:cs="Calibri"/>
          <w:sz w:val="24"/>
          <w:szCs w:val="24"/>
        </w:rPr>
        <w:t xml:space="preserve">pogląd, że </w:t>
      </w:r>
      <w:r w:rsidR="008C68F3" w:rsidRPr="00264403">
        <w:rPr>
          <w:rFonts w:ascii="Aptos" w:hAnsi="Aptos" w:cs="Calibri"/>
          <w:sz w:val="24"/>
          <w:szCs w:val="24"/>
        </w:rPr>
        <w:t>d</w:t>
      </w:r>
      <w:r w:rsidR="00406275" w:rsidRPr="00264403">
        <w:rPr>
          <w:rFonts w:ascii="Aptos" w:hAnsi="Aptos" w:cs="Calibri"/>
          <w:sz w:val="24"/>
          <w:szCs w:val="24"/>
        </w:rPr>
        <w:t>o realizacji znamion wykroczenia z art. 96 § 3 k.w. dochodzi w sytuacji milczenia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686AF6" w:rsidRPr="00264403">
        <w:rPr>
          <w:rFonts w:ascii="Aptos" w:hAnsi="Aptos" w:cs="Calibri"/>
          <w:sz w:val="24"/>
          <w:szCs w:val="24"/>
        </w:rPr>
        <w:t xml:space="preserve">sprawcy </w:t>
      </w:r>
      <w:r w:rsidR="00076B42" w:rsidRPr="00264403">
        <w:rPr>
          <w:rFonts w:ascii="Aptos" w:hAnsi="Aptos" w:cs="Calibri"/>
          <w:sz w:val="24"/>
          <w:szCs w:val="24"/>
        </w:rPr>
        <w:t>wykroczenia</w:t>
      </w:r>
      <w:r w:rsidR="00686AF6" w:rsidRPr="00264403">
        <w:rPr>
          <w:rFonts w:ascii="Aptos" w:hAnsi="Aptos" w:cs="Calibri"/>
          <w:sz w:val="24"/>
          <w:szCs w:val="24"/>
        </w:rPr>
        <w:t xml:space="preserve"> </w:t>
      </w:r>
      <w:r w:rsidR="00076B42" w:rsidRPr="00264403">
        <w:rPr>
          <w:rFonts w:ascii="Aptos" w:hAnsi="Aptos" w:cs="Calibri"/>
          <w:sz w:val="24"/>
          <w:szCs w:val="24"/>
        </w:rPr>
        <w:t>pierwotnego wyrażającego się w nieudzieleniu żadnej odpowiedzi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281D5E" w:rsidRPr="00264403">
        <w:rPr>
          <w:rFonts w:ascii="Aptos" w:hAnsi="Aptos" w:cs="Calibri"/>
          <w:sz w:val="24"/>
          <w:szCs w:val="24"/>
        </w:rPr>
        <w:t xml:space="preserve">na wezwanie organu </w:t>
      </w:r>
      <w:r w:rsidR="004E7048" w:rsidRPr="00264403">
        <w:rPr>
          <w:rFonts w:ascii="Aptos" w:hAnsi="Aptos" w:cs="Calibri"/>
          <w:sz w:val="24"/>
          <w:szCs w:val="24"/>
        </w:rPr>
        <w:t xml:space="preserve">uprawnionego do prowadzenia postępowania w przedmiocie odpowiedzialności za to pierwotne wykroczenie, przy jednoczesnym złożeniu wyjaśnień przed sądem, że owo milczenie było spowodowane realizacją prawa do obrony, gdyż w danym układzie faktycznym i procesowym realizacja obowiązku z art. 78 ust. 4 </w:t>
      </w:r>
      <w:r w:rsidR="004648E5" w:rsidRPr="00264403">
        <w:rPr>
          <w:rFonts w:ascii="Aptos" w:hAnsi="Aptos" w:cs="Calibri"/>
          <w:sz w:val="24"/>
          <w:szCs w:val="24"/>
        </w:rPr>
        <w:t>ustawy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4E7048" w:rsidRPr="00264403">
        <w:rPr>
          <w:rFonts w:ascii="Aptos" w:hAnsi="Aptos" w:cs="Calibri"/>
          <w:sz w:val="24"/>
          <w:szCs w:val="24"/>
        </w:rPr>
        <w:t>z dnia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4E7048" w:rsidRPr="00264403">
        <w:rPr>
          <w:rFonts w:ascii="Aptos" w:hAnsi="Aptos" w:cs="Calibri"/>
          <w:sz w:val="24"/>
          <w:szCs w:val="24"/>
        </w:rPr>
        <w:t>20</w:t>
      </w:r>
      <w:r w:rsidR="004648E5" w:rsidRPr="00264403">
        <w:rPr>
          <w:rFonts w:ascii="Aptos" w:hAnsi="Aptos" w:cs="Calibri"/>
          <w:sz w:val="24"/>
          <w:szCs w:val="24"/>
        </w:rPr>
        <w:t xml:space="preserve"> </w:t>
      </w:r>
      <w:r w:rsidR="004E7048" w:rsidRPr="00264403">
        <w:rPr>
          <w:rFonts w:ascii="Aptos" w:hAnsi="Aptos" w:cs="Calibri"/>
          <w:sz w:val="24"/>
          <w:szCs w:val="24"/>
        </w:rPr>
        <w:t>czerwca 1997 r.</w:t>
      </w:r>
      <w:r w:rsidR="00BA12AE" w:rsidRPr="00264403">
        <w:rPr>
          <w:rFonts w:ascii="Aptos" w:hAnsi="Aptos" w:cs="Calibri"/>
          <w:sz w:val="24"/>
          <w:szCs w:val="24"/>
        </w:rPr>
        <w:t xml:space="preserve"> </w:t>
      </w:r>
      <w:r w:rsidR="004E7048" w:rsidRPr="00264403">
        <w:rPr>
          <w:rFonts w:ascii="Aptos" w:hAnsi="Aptos" w:cs="Calibri"/>
          <w:sz w:val="24"/>
          <w:szCs w:val="24"/>
        </w:rPr>
        <w:t xml:space="preserve">- Prawo o ruchu drogowym (t.j. Dz. U. z 2012 r., poz. 1137 ze zm.; dalej: </w:t>
      </w:r>
      <w:r w:rsidR="00EC2592" w:rsidRPr="00264403">
        <w:rPr>
          <w:rFonts w:ascii="Aptos" w:hAnsi="Aptos" w:cs="Calibri"/>
          <w:sz w:val="24"/>
          <w:szCs w:val="24"/>
        </w:rPr>
        <w:t>p.r.d.</w:t>
      </w:r>
      <w:r w:rsidR="004E7048" w:rsidRPr="00264403">
        <w:rPr>
          <w:rFonts w:ascii="Aptos" w:hAnsi="Aptos" w:cs="Calibri"/>
          <w:sz w:val="24"/>
          <w:szCs w:val="24"/>
        </w:rPr>
        <w:t>) oznaczała</w:t>
      </w:r>
      <w:r w:rsidR="004648E5" w:rsidRPr="00264403">
        <w:rPr>
          <w:rFonts w:ascii="Aptos" w:hAnsi="Aptos" w:cs="Calibri"/>
          <w:sz w:val="24"/>
          <w:szCs w:val="24"/>
        </w:rPr>
        <w:t xml:space="preserve">by </w:t>
      </w:r>
      <w:r w:rsidR="004E7048" w:rsidRPr="00264403">
        <w:rPr>
          <w:rFonts w:ascii="Aptos" w:hAnsi="Aptos" w:cs="Calibri"/>
          <w:sz w:val="24"/>
          <w:szCs w:val="24"/>
        </w:rPr>
        <w:t xml:space="preserve">konieczność wskazania, że nikt inny poza właścicielem pojazdu w czasie </w:t>
      </w:r>
      <w:r w:rsidR="004E7048" w:rsidRPr="00264403">
        <w:rPr>
          <w:rFonts w:ascii="Aptos" w:hAnsi="Aptos" w:cs="Calibri"/>
          <w:sz w:val="24"/>
          <w:szCs w:val="24"/>
        </w:rPr>
        <w:lastRenderedPageBreak/>
        <w:t>ujawnienia</w:t>
      </w:r>
      <w:r w:rsidR="004648E5" w:rsidRPr="00264403">
        <w:rPr>
          <w:rFonts w:ascii="Aptos" w:hAnsi="Aptos" w:cs="Calibri"/>
          <w:sz w:val="24"/>
          <w:szCs w:val="24"/>
        </w:rPr>
        <w:t xml:space="preserve"> </w:t>
      </w:r>
      <w:r w:rsidR="004E7048" w:rsidRPr="00264403">
        <w:rPr>
          <w:rFonts w:ascii="Aptos" w:hAnsi="Aptos" w:cs="Calibri"/>
          <w:sz w:val="24"/>
          <w:szCs w:val="24"/>
        </w:rPr>
        <w:t>wykroczenia pierwotnego nie korzystał z pojazdu, a tym samym wskazania samego</w:t>
      </w:r>
      <w:r w:rsidR="004648E5" w:rsidRPr="00264403">
        <w:rPr>
          <w:rFonts w:ascii="Aptos" w:hAnsi="Aptos" w:cs="Calibri"/>
          <w:sz w:val="24"/>
          <w:szCs w:val="24"/>
        </w:rPr>
        <w:t xml:space="preserve"> </w:t>
      </w:r>
      <w:r w:rsidR="004E7048" w:rsidRPr="00264403">
        <w:rPr>
          <w:rFonts w:ascii="Aptos" w:hAnsi="Aptos" w:cs="Calibri"/>
          <w:sz w:val="24"/>
          <w:szCs w:val="24"/>
        </w:rPr>
        <w:t>siebie jako sprawcy wykroczenia pierwotnego</w:t>
      </w:r>
      <w:r w:rsidR="004648E5" w:rsidRPr="00264403">
        <w:rPr>
          <w:rStyle w:val="Odwoanieprzypisudolnego"/>
          <w:rFonts w:ascii="Aptos" w:hAnsi="Aptos" w:cs="Calibri"/>
          <w:sz w:val="24"/>
          <w:szCs w:val="24"/>
        </w:rPr>
        <w:footnoteReference w:id="1"/>
      </w:r>
      <w:r w:rsidR="004648E5" w:rsidRPr="00264403">
        <w:rPr>
          <w:rFonts w:ascii="Aptos" w:hAnsi="Aptos" w:cs="Calibri"/>
          <w:sz w:val="24"/>
          <w:szCs w:val="24"/>
        </w:rPr>
        <w:t>.</w:t>
      </w:r>
    </w:p>
    <w:p w14:paraId="181D7C9B" w14:textId="2501DD07" w:rsidR="0030002D" w:rsidRPr="00264403" w:rsidRDefault="00583C2F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 xml:space="preserve"> </w:t>
      </w:r>
      <w:r w:rsidR="00187785" w:rsidRPr="00264403">
        <w:rPr>
          <w:rFonts w:ascii="Aptos" w:hAnsi="Aptos" w:cs="Calibri"/>
          <w:sz w:val="24"/>
          <w:szCs w:val="24"/>
        </w:rPr>
        <w:t xml:space="preserve">2. </w:t>
      </w:r>
      <w:r w:rsidR="002F7055" w:rsidRPr="00264403">
        <w:rPr>
          <w:rFonts w:ascii="Aptos" w:hAnsi="Aptos" w:cs="Calibri"/>
          <w:sz w:val="24"/>
          <w:szCs w:val="24"/>
        </w:rPr>
        <w:t>W pierwszej kolejności należy wskazać,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2F7055" w:rsidRPr="00264403">
        <w:rPr>
          <w:rFonts w:ascii="Aptos" w:hAnsi="Aptos" w:cs="Calibri"/>
          <w:sz w:val="24"/>
          <w:szCs w:val="24"/>
        </w:rPr>
        <w:t>że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2F7055" w:rsidRPr="00264403">
        <w:rPr>
          <w:rFonts w:ascii="Aptos" w:hAnsi="Aptos" w:cs="Calibri"/>
          <w:sz w:val="24"/>
          <w:szCs w:val="24"/>
        </w:rPr>
        <w:t>zgodnie z art. 96 § 3 k.w., „Tej samej karze [karze grzywny - uwaga A.S.] podlega, kto wbrew obowiązkowi nie wskaże na żądanie uprawnionego organu, komu powierzył pojazd do kierowania lub używania w oznaczonym czasie</w:t>
      </w:r>
      <w:r w:rsidR="00A2085B" w:rsidRPr="00264403">
        <w:rPr>
          <w:rFonts w:ascii="Aptos" w:hAnsi="Aptos" w:cs="Calibri"/>
          <w:sz w:val="24"/>
          <w:szCs w:val="24"/>
        </w:rPr>
        <w:t>”</w:t>
      </w:r>
      <w:r w:rsidR="002F7055" w:rsidRPr="00264403">
        <w:rPr>
          <w:rFonts w:ascii="Aptos" w:hAnsi="Aptos" w:cs="Calibri"/>
          <w:sz w:val="24"/>
          <w:szCs w:val="24"/>
        </w:rPr>
        <w:t>. W przytoczonym przepisie stypizowano wykroczenie, polegające na uchybieniu obowiązkowi wskazania, na żądanie uprawnionego organu, komu został powierzony pojazd do kierowania lub używania w oznaczonym czasie. Obowiązek, o którym tu mowa, unormowano w art. 78 ust. 4 ustawy z dnia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2F7055" w:rsidRPr="00264403">
        <w:rPr>
          <w:rFonts w:ascii="Aptos" w:hAnsi="Aptos" w:cs="Calibri"/>
          <w:sz w:val="24"/>
          <w:szCs w:val="24"/>
        </w:rPr>
        <w:t xml:space="preserve">20czerwca 1997 r.- Prawo o ruchu drogowym (t.j. Dz. U. z 2012 r., poz. 1137 ze zm.; dalej: Prawo o ruchu drogowym). Zgodnie z tym przepisem: </w:t>
      </w:r>
      <w:r w:rsidR="00A2085B" w:rsidRPr="00264403">
        <w:rPr>
          <w:rFonts w:ascii="Aptos" w:hAnsi="Aptos" w:cs="Calibri"/>
          <w:sz w:val="24"/>
          <w:szCs w:val="24"/>
        </w:rPr>
        <w:t>„</w:t>
      </w:r>
      <w:r w:rsidR="002F7055" w:rsidRPr="00264403">
        <w:rPr>
          <w:rFonts w:ascii="Aptos" w:hAnsi="Aptos" w:cs="Calibri"/>
          <w:sz w:val="24"/>
          <w:szCs w:val="24"/>
        </w:rPr>
        <w:t>Właściciel lub posiadacz pojazdu jest obowiązany wskazać na żądanie uprawnionego organu, komu powierzył pojazd do kierowania lub używania w oznaczonym czasie, chyba że pojazd został użyty wbrew jego woli i wiedzy przez nieznaną osobę, czemu nie mógł zapobiec”.</w:t>
      </w:r>
    </w:p>
    <w:p w14:paraId="06A57C7A" w14:textId="661AC14D" w:rsidR="0040502B" w:rsidRPr="00264403" w:rsidRDefault="00FC45F4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>Przepis art. 96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Pr="00264403">
        <w:rPr>
          <w:rFonts w:ascii="Aptos" w:hAnsi="Aptos" w:cs="Calibri"/>
          <w:sz w:val="24"/>
          <w:szCs w:val="24"/>
        </w:rPr>
        <w:t xml:space="preserve">§ 3 k.w. był przedmiotem </w:t>
      </w:r>
      <w:r w:rsidR="00737319" w:rsidRPr="00264403">
        <w:rPr>
          <w:rFonts w:ascii="Aptos" w:hAnsi="Aptos" w:cs="Calibri"/>
          <w:sz w:val="24"/>
          <w:szCs w:val="24"/>
        </w:rPr>
        <w:t>oceny przez Trybunał Konstytucyjny</w:t>
      </w:r>
      <w:r w:rsidR="00680467" w:rsidRPr="00264403">
        <w:rPr>
          <w:rFonts w:ascii="Aptos" w:hAnsi="Aptos" w:cs="Calibri"/>
          <w:sz w:val="24"/>
          <w:szCs w:val="24"/>
        </w:rPr>
        <w:t xml:space="preserve"> (dalej: TK)</w:t>
      </w:r>
      <w:r w:rsidR="00737319" w:rsidRPr="00264403">
        <w:rPr>
          <w:rFonts w:ascii="Aptos" w:hAnsi="Aptos" w:cs="Calibri"/>
          <w:sz w:val="24"/>
          <w:szCs w:val="24"/>
        </w:rPr>
        <w:t>.</w:t>
      </w:r>
      <w:r w:rsidR="00481A95" w:rsidRPr="00264403">
        <w:rPr>
          <w:rFonts w:ascii="Aptos" w:hAnsi="Aptos" w:cs="Calibri"/>
          <w:sz w:val="24"/>
          <w:szCs w:val="24"/>
        </w:rPr>
        <w:t xml:space="preserve"> W wyroku z dnia 12 marca 2014 r., sygn. akt P 27/13</w:t>
      </w:r>
      <w:r w:rsidR="00481A95" w:rsidRPr="00264403">
        <w:rPr>
          <w:rStyle w:val="Odwoanieprzypisudolnego"/>
          <w:rFonts w:ascii="Aptos" w:hAnsi="Aptos" w:cs="Calibri"/>
          <w:sz w:val="24"/>
          <w:szCs w:val="24"/>
        </w:rPr>
        <w:footnoteReference w:id="2"/>
      </w:r>
      <w:r w:rsidR="00481A95" w:rsidRPr="00264403">
        <w:rPr>
          <w:rFonts w:ascii="Aptos" w:hAnsi="Aptos" w:cs="Calibri"/>
          <w:sz w:val="24"/>
          <w:szCs w:val="24"/>
        </w:rPr>
        <w:t xml:space="preserve">, </w:t>
      </w:r>
      <w:r w:rsidR="007E486C" w:rsidRPr="00264403">
        <w:rPr>
          <w:rFonts w:ascii="Aptos" w:hAnsi="Aptos" w:cs="Calibri"/>
          <w:sz w:val="24"/>
          <w:szCs w:val="24"/>
        </w:rPr>
        <w:t>TK</w:t>
      </w:r>
      <w:r w:rsidR="00481A95" w:rsidRPr="00264403">
        <w:rPr>
          <w:rFonts w:ascii="Aptos" w:hAnsi="Aptos" w:cs="Calibri"/>
          <w:sz w:val="24"/>
          <w:szCs w:val="24"/>
        </w:rPr>
        <w:t xml:space="preserve"> </w:t>
      </w:r>
      <w:r w:rsidR="00EB0CCB" w:rsidRPr="00264403">
        <w:rPr>
          <w:rFonts w:ascii="Aptos" w:hAnsi="Aptos" w:cs="Calibri"/>
          <w:sz w:val="24"/>
          <w:szCs w:val="24"/>
        </w:rPr>
        <w:t>stwierdził, że art. 96 §</w:t>
      </w:r>
      <w:r w:rsidR="00EB0CCB" w:rsidRPr="00264403">
        <w:rPr>
          <w:sz w:val="24"/>
          <w:szCs w:val="24"/>
        </w:rPr>
        <w:t xml:space="preserve"> 3 k.w. </w:t>
      </w:r>
      <w:r w:rsidR="00EB0CCB" w:rsidRPr="00264403">
        <w:rPr>
          <w:rFonts w:ascii="Aptos" w:hAnsi="Aptos" w:cs="Calibri"/>
          <w:sz w:val="24"/>
          <w:szCs w:val="24"/>
        </w:rPr>
        <w:t xml:space="preserve">jest zgodny z art. 2 Konstytucji RP oraz nie jest niezgodny z art. 42 ust. 1 Konstytucji RP. </w:t>
      </w:r>
      <w:r w:rsidR="00AC0298" w:rsidRPr="00264403">
        <w:rPr>
          <w:rFonts w:ascii="Aptos" w:hAnsi="Aptos" w:cs="Calibri"/>
          <w:sz w:val="24"/>
          <w:szCs w:val="24"/>
        </w:rPr>
        <w:t xml:space="preserve">W uzasadnienie do tego wyroku wskazał, że odpowiedzialność za wykroczenie określone w art. 96 § 3 k.w. jest wyłączona w sytuacji, gdy właściciel lub posiadacz pojazdu uchyla się od obowiązku wskazania, komu powierzył pojazd do kierowania lub używania w oznaczonym czasie w ramach prawa do obrony na podstawie art. 74 § 1 ustawy z dnia 6 czerwca 1997 r. - Kodeks postępowania karnego w związku z art. 20 § 3 ustawy z dnia 24 </w:t>
      </w:r>
      <w:r w:rsidR="00AC0298" w:rsidRPr="00264403">
        <w:rPr>
          <w:rFonts w:ascii="Aptos" w:hAnsi="Aptos" w:cs="Calibri"/>
          <w:sz w:val="24"/>
          <w:szCs w:val="24"/>
        </w:rPr>
        <w:lastRenderedPageBreak/>
        <w:t xml:space="preserve">sierpnia 2001 r. Kodeks postępowania w sprawach o wykroczenia. </w:t>
      </w:r>
      <w:r w:rsidR="006F301D" w:rsidRPr="00264403">
        <w:rPr>
          <w:rFonts w:ascii="Aptos" w:hAnsi="Aptos" w:cs="Calibri"/>
          <w:sz w:val="24"/>
          <w:szCs w:val="24"/>
        </w:rPr>
        <w:t>Tym samym Trybunał Konstytucyjny podzielił pogląd wypowiadany w doktrynie, że właściciel lub posiadacz pojazdu nie mają obowiązku wskazania, komu powierzyli pojazd do kierowania lub używania w oznaczonym czasie, jeżeli sami tym pojazdem kierowali lub go używali i dopuścili się np. wykroczenia przekroczenia prędkości zarejestrowanego za pomocą urządzenia rejestrującego</w:t>
      </w:r>
      <w:r w:rsidR="006F301D" w:rsidRPr="00264403">
        <w:rPr>
          <w:rStyle w:val="Odwoanieprzypisudolnego"/>
          <w:rFonts w:ascii="Aptos" w:hAnsi="Aptos" w:cs="Calibri"/>
          <w:sz w:val="24"/>
          <w:szCs w:val="24"/>
        </w:rPr>
        <w:footnoteReference w:id="3"/>
      </w:r>
      <w:r w:rsidR="006F301D" w:rsidRPr="00264403">
        <w:rPr>
          <w:rFonts w:ascii="Aptos" w:hAnsi="Aptos" w:cs="Calibri"/>
          <w:sz w:val="24"/>
          <w:szCs w:val="24"/>
        </w:rPr>
        <w:t>.</w:t>
      </w:r>
    </w:p>
    <w:p w14:paraId="0C5B29D3" w14:textId="2D6CA67C" w:rsidR="00BD4917" w:rsidRPr="00264403" w:rsidRDefault="00680467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>Zbieżne stanowisko zostało zaprezentowane w wyroku T</w:t>
      </w:r>
      <w:r w:rsidR="002375F9" w:rsidRPr="00264403">
        <w:rPr>
          <w:rFonts w:ascii="Aptos" w:hAnsi="Aptos" w:cs="Calibri"/>
          <w:sz w:val="24"/>
          <w:szCs w:val="24"/>
        </w:rPr>
        <w:t xml:space="preserve">K z dnia </w:t>
      </w:r>
      <w:r w:rsidR="00B46DF0" w:rsidRPr="00264403">
        <w:rPr>
          <w:rFonts w:ascii="Aptos" w:hAnsi="Aptos" w:cs="Calibri"/>
          <w:sz w:val="24"/>
          <w:szCs w:val="24"/>
        </w:rPr>
        <w:t>30 września 2015 r., sygn. akt K 3/13</w:t>
      </w:r>
      <w:r w:rsidR="00B46DF0" w:rsidRPr="00264403">
        <w:rPr>
          <w:rStyle w:val="Odwoanieprzypisudolnego"/>
          <w:rFonts w:ascii="Aptos" w:hAnsi="Aptos" w:cs="Calibri"/>
          <w:sz w:val="24"/>
          <w:szCs w:val="24"/>
        </w:rPr>
        <w:footnoteReference w:id="4"/>
      </w:r>
      <w:r w:rsidR="00B46DF0" w:rsidRPr="00264403">
        <w:rPr>
          <w:rFonts w:ascii="Aptos" w:hAnsi="Aptos" w:cs="Calibri"/>
          <w:sz w:val="24"/>
          <w:szCs w:val="24"/>
        </w:rPr>
        <w:t>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E6347B" w:rsidRPr="00264403">
        <w:rPr>
          <w:rFonts w:ascii="Aptos" w:hAnsi="Aptos" w:cs="Calibri"/>
          <w:sz w:val="24"/>
          <w:szCs w:val="24"/>
        </w:rPr>
        <w:t>W uzasadnieniu tego judykatu TK stwierdził, że w postępowaniu wykroczeniowym, w tym w będącym jego szczególną formą postępowaniu mandatowym, gwarantowane jest zarówno prawo do obrony, jak i domniemanie niewinności. Zgodnie z art. 4 § 1 k.p.s.w. „obwinionemu przysługuje prawo do obrony, w tym do korzystania z pomocy jednego obrońcy, o czym</w:t>
      </w:r>
      <w:r w:rsidR="004535B1" w:rsidRPr="00264403">
        <w:rPr>
          <w:rFonts w:ascii="Aptos" w:hAnsi="Aptos" w:cs="Calibri"/>
          <w:sz w:val="24"/>
          <w:szCs w:val="24"/>
        </w:rPr>
        <w:t xml:space="preserve"> </w:t>
      </w:r>
      <w:r w:rsidR="00E6347B" w:rsidRPr="00264403">
        <w:rPr>
          <w:rFonts w:ascii="Aptos" w:hAnsi="Aptos" w:cs="Calibri"/>
          <w:sz w:val="24"/>
          <w:szCs w:val="24"/>
        </w:rPr>
        <w:t>należy go pouczyć”.</w:t>
      </w:r>
      <w:r w:rsidR="004535B1" w:rsidRPr="00264403">
        <w:rPr>
          <w:rFonts w:ascii="Aptos" w:hAnsi="Aptos" w:cs="Calibri"/>
          <w:sz w:val="24"/>
          <w:szCs w:val="24"/>
        </w:rPr>
        <w:t xml:space="preserve"> Przepis ten umożliwia zarówno obronę czynną, jak i obronę bierną, którą można określić jako powstrzymywanie się od aktywności, w tym od przedstawiania dowodów czy też od wypowiadania się. Z kolei art. 8 k.p.s.w. w związku z art. 5 § 1 i 2 k.p.k. statuuje na gruncie wykroczeniowym domniemanie niewinności i zasadę in dubio pro reo. Artykuł 20 § 3 k.p.s.w. w związku z art. 74 § 1 k.p.k. wprowadza</w:t>
      </w:r>
      <w:r w:rsidR="002A02CD" w:rsidRPr="00264403">
        <w:rPr>
          <w:rFonts w:ascii="Aptos" w:hAnsi="Aptos" w:cs="Calibri"/>
          <w:sz w:val="24"/>
          <w:szCs w:val="24"/>
        </w:rPr>
        <w:t xml:space="preserve"> </w:t>
      </w:r>
      <w:r w:rsidR="0091598A" w:rsidRPr="00264403">
        <w:rPr>
          <w:rFonts w:ascii="Aptos" w:hAnsi="Aptos" w:cs="Calibri"/>
          <w:sz w:val="24"/>
          <w:szCs w:val="24"/>
        </w:rPr>
        <w:t>d</w:t>
      </w:r>
      <w:r w:rsidR="002A02CD" w:rsidRPr="00264403">
        <w:rPr>
          <w:rFonts w:ascii="Aptos" w:hAnsi="Aptos" w:cs="Calibri"/>
          <w:sz w:val="24"/>
          <w:szCs w:val="24"/>
        </w:rPr>
        <w:t>o postępowania w sprawach o wykroczenia brak obowiązku dowodzenia swej niewinności oraz dostarczania dowodów na swoją niekorzyść, a art. 20 § 3 k.p.s.w. w związku z art. 175 k.p.k. przyznaje obwinionemu prawo do odmowy odpowiedzi na poszczególne pytania oraz składania wyjaśnień. W konsekwencji TK uznał, że przepis art. 96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2A02CD" w:rsidRPr="00264403">
        <w:rPr>
          <w:rFonts w:ascii="Aptos" w:hAnsi="Aptos" w:cs="Calibri"/>
          <w:sz w:val="24"/>
          <w:szCs w:val="24"/>
        </w:rPr>
        <w:t>3 k.w. ani nie wyłącza wskazanych przepisów gwarancyjnych, ani też ich nie modyfikuje.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C20C8A" w:rsidRPr="00264403">
        <w:rPr>
          <w:rFonts w:ascii="Aptos" w:hAnsi="Aptos" w:cs="Calibri"/>
          <w:sz w:val="24"/>
          <w:szCs w:val="24"/>
        </w:rPr>
        <w:t>Stwierdzi</w:t>
      </w:r>
      <w:r w:rsidR="004740C1" w:rsidRPr="00264403">
        <w:rPr>
          <w:rFonts w:ascii="Aptos" w:hAnsi="Aptos" w:cs="Calibri"/>
          <w:sz w:val="24"/>
          <w:szCs w:val="24"/>
        </w:rPr>
        <w:t>ł</w:t>
      </w:r>
      <w:r w:rsidR="00C20C8A" w:rsidRPr="00264403">
        <w:rPr>
          <w:rFonts w:ascii="Aptos" w:hAnsi="Aptos" w:cs="Calibri"/>
          <w:sz w:val="24"/>
          <w:szCs w:val="24"/>
        </w:rPr>
        <w:t>, że o</w:t>
      </w:r>
      <w:r w:rsidR="00BD4917" w:rsidRPr="00264403">
        <w:rPr>
          <w:rFonts w:ascii="Aptos" w:hAnsi="Aptos" w:cs="Calibri"/>
          <w:sz w:val="24"/>
          <w:szCs w:val="24"/>
        </w:rPr>
        <w:t>dpowiedzialność za</w:t>
      </w:r>
      <w:r w:rsidR="007D5404" w:rsidRPr="00264403">
        <w:rPr>
          <w:rFonts w:ascii="Aptos" w:hAnsi="Aptos" w:cs="Calibri"/>
          <w:sz w:val="24"/>
          <w:szCs w:val="24"/>
        </w:rPr>
        <w:t xml:space="preserve"> </w:t>
      </w:r>
      <w:r w:rsidR="00BD4917" w:rsidRPr="00264403">
        <w:rPr>
          <w:rFonts w:ascii="Aptos" w:hAnsi="Aptos" w:cs="Calibri"/>
          <w:sz w:val="24"/>
          <w:szCs w:val="24"/>
        </w:rPr>
        <w:t>wykroczenie określone w art. 96 § 3 k.w. jest wyłączona w sytuacji, gdy</w:t>
      </w:r>
      <w:r w:rsidR="00C20C8A" w:rsidRPr="00264403">
        <w:rPr>
          <w:rFonts w:ascii="Aptos" w:hAnsi="Aptos" w:cs="Calibri"/>
          <w:sz w:val="24"/>
          <w:szCs w:val="24"/>
        </w:rPr>
        <w:t xml:space="preserve"> </w:t>
      </w:r>
      <w:r w:rsidR="00BD4917" w:rsidRPr="00264403">
        <w:rPr>
          <w:rFonts w:ascii="Aptos" w:hAnsi="Aptos" w:cs="Calibri"/>
          <w:sz w:val="24"/>
          <w:szCs w:val="24"/>
        </w:rPr>
        <w:t>właściciel lub posiadacz pojazdu uchyli się od obowiązku wskazania, komu powierzył</w:t>
      </w:r>
      <w:r w:rsidR="00C20C8A" w:rsidRPr="00264403">
        <w:rPr>
          <w:rFonts w:ascii="Aptos" w:hAnsi="Aptos" w:cs="Calibri"/>
          <w:sz w:val="24"/>
          <w:szCs w:val="24"/>
        </w:rPr>
        <w:t xml:space="preserve"> </w:t>
      </w:r>
      <w:r w:rsidR="00BD4917" w:rsidRPr="00264403">
        <w:rPr>
          <w:rFonts w:ascii="Aptos" w:hAnsi="Aptos" w:cs="Calibri"/>
          <w:sz w:val="24"/>
          <w:szCs w:val="24"/>
        </w:rPr>
        <w:t>pojazd do kierowania lub używania w oznaczonym czasie w ramach prawa do obrony</w:t>
      </w:r>
      <w:r w:rsidR="004740C1" w:rsidRPr="00264403">
        <w:rPr>
          <w:rFonts w:ascii="Aptos" w:hAnsi="Aptos" w:cs="Calibri"/>
          <w:sz w:val="24"/>
          <w:szCs w:val="24"/>
        </w:rPr>
        <w:t xml:space="preserve"> na podstawie art. 74 § 1 k.p.k. w związku z art. 20 § 3 k.p.s.w</w:t>
      </w:r>
      <w:r w:rsidR="0091598A" w:rsidRPr="00264403">
        <w:rPr>
          <w:rFonts w:ascii="Aptos" w:hAnsi="Aptos" w:cs="Calibri"/>
          <w:sz w:val="24"/>
          <w:szCs w:val="24"/>
        </w:rPr>
        <w:t>.</w:t>
      </w:r>
    </w:p>
    <w:p w14:paraId="5A19678D" w14:textId="37B8151F" w:rsidR="004740C1" w:rsidRPr="00264403" w:rsidRDefault="00A0589F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 xml:space="preserve">Również w postanowieniu </w:t>
      </w:r>
      <w:r w:rsidR="00425D96" w:rsidRPr="00264403">
        <w:rPr>
          <w:rFonts w:ascii="Aptos" w:hAnsi="Aptos" w:cs="Calibri"/>
          <w:sz w:val="24"/>
          <w:szCs w:val="24"/>
        </w:rPr>
        <w:t>z dnia 3 listopada 2015</w:t>
      </w:r>
      <w:r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r.,</w:t>
      </w:r>
      <w:r w:rsidRPr="00264403">
        <w:rPr>
          <w:rFonts w:ascii="Aptos" w:hAnsi="Aptos" w:cs="Calibri"/>
          <w:sz w:val="24"/>
          <w:szCs w:val="24"/>
        </w:rPr>
        <w:t xml:space="preserve"> sygn. akt</w:t>
      </w:r>
      <w:r w:rsidR="00425D96" w:rsidRPr="00264403">
        <w:rPr>
          <w:rFonts w:ascii="Aptos" w:hAnsi="Aptos" w:cs="Calibri"/>
          <w:sz w:val="24"/>
          <w:szCs w:val="24"/>
        </w:rPr>
        <w:t xml:space="preserve"> SK 64/13</w:t>
      </w:r>
      <w:r w:rsidRPr="00264403">
        <w:rPr>
          <w:rStyle w:val="Odwoanieprzypisudolnego"/>
          <w:rFonts w:ascii="Aptos" w:hAnsi="Aptos" w:cs="Calibri"/>
          <w:sz w:val="24"/>
          <w:szCs w:val="24"/>
        </w:rPr>
        <w:footnoteReference w:id="5"/>
      </w:r>
      <w:r w:rsidRPr="00264403">
        <w:rPr>
          <w:rFonts w:ascii="Aptos" w:hAnsi="Aptos" w:cs="Calibri"/>
          <w:sz w:val="24"/>
          <w:szCs w:val="24"/>
        </w:rPr>
        <w:t>,</w:t>
      </w:r>
      <w:r w:rsidR="007C6956" w:rsidRPr="00264403">
        <w:rPr>
          <w:rFonts w:ascii="Aptos" w:hAnsi="Aptos" w:cs="Calibri"/>
          <w:sz w:val="24"/>
          <w:szCs w:val="24"/>
        </w:rPr>
        <w:t xml:space="preserve"> Trybunał Konstytucyjny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uznał, że właściciel lub posiadacz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 xml:space="preserve">pojazdu, w granicach prawa do obrony, </w:t>
      </w:r>
      <w:r w:rsidR="00425D96" w:rsidRPr="00264403">
        <w:rPr>
          <w:rFonts w:ascii="Aptos" w:hAnsi="Aptos" w:cs="Calibri"/>
          <w:sz w:val="24"/>
          <w:szCs w:val="24"/>
        </w:rPr>
        <w:lastRenderedPageBreak/>
        <w:t>nie ma obowiązku wskazywania komu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powierzył pojazd do kierowania lub używania w oznaczonym czasie, jeżeli on sam nim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kierował, a tym samym powyższa sytuacja nie jest objęta odpowiedzialnością za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wykroczenie z art. 96 § 3 k.w. To oznacza, że elementem treści normy z art. 96 § 3 k.w.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w związku z art. 78 ust. 4 p.r.d. nie jest pociągnięcie do odpowiedzialności za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wykroczenie właściciela lub posiadacza pojazdu, który nie wskazał komu powierzył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pojazd do kierowania lub używania w oznaczonym czasie, jeżeli sam tym pojazdem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kierował lub go używał. Skoro właściciel lub posiadacz pojazdu, korzystając z prawa do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obrony, nie musi realizować obowiązku z art. 78 ust. 4 p.r.d. wskazując siebie jako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osobę, która kierowała lub używała pojazdu w oznaczonym czasie, to tym bardziej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zaistnienie powyższej sytuacji nie jest objęte zakresem zastosowania art. 96 § 3 k.w. i</w:t>
      </w:r>
      <w:r w:rsidR="007C6956" w:rsidRPr="00264403">
        <w:rPr>
          <w:rFonts w:ascii="Aptos" w:hAnsi="Aptos" w:cs="Calibri"/>
          <w:sz w:val="24"/>
          <w:szCs w:val="24"/>
        </w:rPr>
        <w:t xml:space="preserve"> </w:t>
      </w:r>
      <w:r w:rsidR="00425D96" w:rsidRPr="00264403">
        <w:rPr>
          <w:rFonts w:ascii="Aptos" w:hAnsi="Aptos" w:cs="Calibri"/>
          <w:sz w:val="24"/>
          <w:szCs w:val="24"/>
        </w:rPr>
        <w:t>nie może prowadzić do odpowiedzialności wykroczeniow</w:t>
      </w:r>
      <w:r w:rsidR="007C6956" w:rsidRPr="00264403">
        <w:rPr>
          <w:rFonts w:ascii="Aptos" w:hAnsi="Aptos" w:cs="Calibri"/>
          <w:sz w:val="24"/>
          <w:szCs w:val="24"/>
        </w:rPr>
        <w:t>ej.</w:t>
      </w:r>
    </w:p>
    <w:p w14:paraId="5C03196F" w14:textId="73D88224" w:rsidR="00063998" w:rsidRPr="00264403" w:rsidRDefault="006065AA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>3.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81419A" w:rsidRPr="00264403">
        <w:rPr>
          <w:rFonts w:ascii="Aptos" w:hAnsi="Aptos" w:cs="Calibri"/>
          <w:sz w:val="24"/>
          <w:szCs w:val="24"/>
        </w:rPr>
        <w:t xml:space="preserve">Pogląd przyjęty przez Trybunał Konstytucyjnych </w:t>
      </w:r>
      <w:r w:rsidR="00A1649B" w:rsidRPr="00264403">
        <w:rPr>
          <w:rFonts w:ascii="Aptos" w:hAnsi="Aptos" w:cs="Calibri"/>
          <w:sz w:val="24"/>
          <w:szCs w:val="24"/>
        </w:rPr>
        <w:t>znajduje</w:t>
      </w:r>
      <w:r w:rsidR="004266E3" w:rsidRPr="00264403">
        <w:rPr>
          <w:rFonts w:ascii="Aptos" w:hAnsi="Aptos" w:cs="Calibri"/>
          <w:sz w:val="24"/>
          <w:szCs w:val="24"/>
        </w:rPr>
        <w:t xml:space="preserve"> </w:t>
      </w:r>
      <w:r w:rsidR="00DD6F46" w:rsidRPr="00264403">
        <w:rPr>
          <w:rFonts w:ascii="Aptos" w:hAnsi="Aptos" w:cs="Calibri"/>
          <w:sz w:val="24"/>
          <w:szCs w:val="24"/>
        </w:rPr>
        <w:t>odzwierciedlenie</w:t>
      </w:r>
      <w:r w:rsidR="004266E3" w:rsidRPr="00264403">
        <w:rPr>
          <w:rFonts w:ascii="Aptos" w:hAnsi="Aptos" w:cs="Calibri"/>
          <w:sz w:val="24"/>
          <w:szCs w:val="24"/>
        </w:rPr>
        <w:t xml:space="preserve"> w </w:t>
      </w:r>
      <w:r w:rsidR="007843C6" w:rsidRPr="00264403">
        <w:rPr>
          <w:rFonts w:ascii="Aptos" w:hAnsi="Aptos" w:cs="Calibri"/>
          <w:sz w:val="24"/>
          <w:szCs w:val="24"/>
        </w:rPr>
        <w:t>orzecznictwie</w:t>
      </w:r>
      <w:r w:rsidR="004266E3" w:rsidRPr="00264403">
        <w:rPr>
          <w:rFonts w:ascii="Aptos" w:hAnsi="Aptos" w:cs="Calibri"/>
          <w:sz w:val="24"/>
          <w:szCs w:val="24"/>
        </w:rPr>
        <w:t xml:space="preserve"> </w:t>
      </w:r>
      <w:r w:rsidR="00DD6F46" w:rsidRPr="00264403">
        <w:rPr>
          <w:rFonts w:ascii="Aptos" w:hAnsi="Aptos" w:cs="Calibri"/>
          <w:sz w:val="24"/>
          <w:szCs w:val="24"/>
        </w:rPr>
        <w:t xml:space="preserve">sądów </w:t>
      </w:r>
      <w:r w:rsidR="004266E3" w:rsidRPr="00264403">
        <w:rPr>
          <w:rFonts w:ascii="Aptos" w:hAnsi="Aptos" w:cs="Calibri"/>
          <w:sz w:val="24"/>
          <w:szCs w:val="24"/>
        </w:rPr>
        <w:t>powszechn</w:t>
      </w:r>
      <w:r w:rsidR="00DD6F46" w:rsidRPr="00264403">
        <w:rPr>
          <w:rFonts w:ascii="Aptos" w:hAnsi="Aptos" w:cs="Calibri"/>
          <w:sz w:val="24"/>
          <w:szCs w:val="24"/>
        </w:rPr>
        <w:t>ych.</w:t>
      </w:r>
      <w:r w:rsidR="00122143" w:rsidRPr="00264403">
        <w:rPr>
          <w:rFonts w:ascii="Aptos" w:hAnsi="Aptos" w:cs="Calibri"/>
          <w:sz w:val="24"/>
          <w:szCs w:val="24"/>
        </w:rPr>
        <w:t xml:space="preserve"> </w:t>
      </w:r>
      <w:r w:rsidR="00A950FE" w:rsidRPr="00264403">
        <w:rPr>
          <w:rFonts w:ascii="Aptos" w:hAnsi="Aptos" w:cs="Calibri"/>
          <w:sz w:val="24"/>
          <w:szCs w:val="24"/>
        </w:rPr>
        <w:t xml:space="preserve">Na przykład </w:t>
      </w:r>
      <w:r w:rsidR="00A078CD" w:rsidRPr="00264403">
        <w:rPr>
          <w:rFonts w:ascii="Aptos" w:hAnsi="Aptos" w:cs="Calibri"/>
          <w:sz w:val="24"/>
          <w:szCs w:val="24"/>
        </w:rPr>
        <w:t xml:space="preserve">Sąd Okręgowy w Poznaniu w uzasadnieniu wyroku </w:t>
      </w:r>
      <w:r w:rsidR="00A950FE" w:rsidRPr="00264403">
        <w:rPr>
          <w:rFonts w:ascii="Aptos" w:hAnsi="Aptos" w:cs="Calibri"/>
          <w:sz w:val="24"/>
          <w:szCs w:val="24"/>
        </w:rPr>
        <w:t>z dnia</w:t>
      </w:r>
      <w:r w:rsidR="00A078CD" w:rsidRPr="00264403">
        <w:rPr>
          <w:rFonts w:ascii="Aptos" w:hAnsi="Aptos" w:cs="Calibri"/>
          <w:sz w:val="24"/>
          <w:szCs w:val="24"/>
        </w:rPr>
        <w:t xml:space="preserve"> 11 lipca 2019 r. (sygn. akt IV Ka 510/19</w:t>
      </w:r>
      <w:r w:rsidR="00A950FE" w:rsidRPr="00264403">
        <w:rPr>
          <w:rStyle w:val="Odwoanieprzypisudolnego"/>
          <w:rFonts w:ascii="Aptos" w:hAnsi="Aptos" w:cs="Calibri"/>
          <w:sz w:val="24"/>
          <w:szCs w:val="24"/>
        </w:rPr>
        <w:footnoteReference w:id="6"/>
      </w:r>
      <w:r w:rsidR="00A078CD" w:rsidRPr="00264403">
        <w:rPr>
          <w:rFonts w:ascii="Aptos" w:hAnsi="Aptos" w:cs="Calibri"/>
          <w:sz w:val="24"/>
          <w:szCs w:val="24"/>
        </w:rPr>
        <w:t>) stwierdził m.in.: „Sąd I instancji błędnie jednak założył, że obowiązek wskazania osoby, której pojazd został powierzony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do kierowania lub używania w oznaczonym czasie nie doznaje żadnych ograniczeń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(poza tym wymienionym wprost w treści art. 78 ust. 4 p.r.d.) i wobec tego właściciel lub posiadacz pojazdu musi się do niego bezwzględnie dostosować. Tymczasem w sytuacji</w:t>
      </w:r>
      <w:r w:rsidR="00F273FF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kiedy właściciel lub posiadacz pojazdu sam pojazdem kierował lub go używał i dopuścił się w tym czasie popełnienia wykroczenia drogowego nie ma obowiązku wskazania,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na żądanie uprawnionego organu, komu powierzył pojazd do kierowania lub używania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 xml:space="preserve">w oznaczonym czasie”. </w:t>
      </w:r>
      <w:r w:rsidR="004270E3" w:rsidRPr="00264403">
        <w:rPr>
          <w:rFonts w:ascii="Aptos" w:hAnsi="Aptos" w:cs="Calibri"/>
          <w:sz w:val="24"/>
          <w:szCs w:val="24"/>
        </w:rPr>
        <w:t>W ocenie Sądu Okręgowego w Poznaniu</w:t>
      </w:r>
      <w:r w:rsidR="009B5A01" w:rsidRPr="00264403">
        <w:rPr>
          <w:rFonts w:ascii="Aptos" w:hAnsi="Aptos" w:cs="Calibri"/>
          <w:sz w:val="24"/>
          <w:szCs w:val="24"/>
        </w:rPr>
        <w:t xml:space="preserve">, w </w:t>
      </w:r>
      <w:r w:rsidR="004270E3" w:rsidRPr="00264403">
        <w:rPr>
          <w:rFonts w:ascii="Aptos" w:hAnsi="Aptos" w:cs="Calibri"/>
          <w:sz w:val="24"/>
          <w:szCs w:val="24"/>
        </w:rPr>
        <w:t xml:space="preserve">postępowaniu wykroczeniowym (podobnie jak w postępowaniu karnym sensu stricte) gwarantowane jest zarówno prawo do obrony, jak i domniemanie niewinności. Przepis art. 4 </w:t>
      </w:r>
      <w:r w:rsidR="004C3C84" w:rsidRPr="00264403">
        <w:rPr>
          <w:rFonts w:ascii="Aptos" w:hAnsi="Aptos" w:cs="Calibri"/>
          <w:sz w:val="24"/>
          <w:szCs w:val="24"/>
        </w:rPr>
        <w:t>k.p.s.w.</w:t>
      </w:r>
      <w:r w:rsidR="004270E3" w:rsidRPr="00264403">
        <w:rPr>
          <w:rFonts w:ascii="Aptos" w:hAnsi="Aptos" w:cs="Calibri"/>
          <w:sz w:val="24"/>
          <w:szCs w:val="24"/>
        </w:rPr>
        <w:t xml:space="preserve"> umożliwia zarówno obronę czynną, jak i bierną, którą można określić jako powstrzymywanie się od aktywności, w tym od przedstawiania dowodów, czy też od wypowiadania się. Natomiast art. 20 § 3 </w:t>
      </w:r>
      <w:r w:rsidR="004C3C84" w:rsidRPr="00264403">
        <w:rPr>
          <w:rFonts w:ascii="Aptos" w:hAnsi="Aptos" w:cs="Calibri"/>
          <w:sz w:val="24"/>
          <w:szCs w:val="24"/>
        </w:rPr>
        <w:t>k.p.s.w.</w:t>
      </w:r>
      <w:r w:rsidR="004270E3" w:rsidRPr="00264403">
        <w:rPr>
          <w:rFonts w:ascii="Aptos" w:hAnsi="Aptos" w:cs="Calibri"/>
          <w:sz w:val="24"/>
          <w:szCs w:val="24"/>
        </w:rPr>
        <w:t xml:space="preserve"> w zw. z art. 74 § 1 </w:t>
      </w:r>
      <w:r w:rsidR="004C3C84" w:rsidRPr="00264403">
        <w:rPr>
          <w:rFonts w:ascii="Aptos" w:hAnsi="Aptos" w:cs="Calibri"/>
          <w:sz w:val="24"/>
          <w:szCs w:val="24"/>
        </w:rPr>
        <w:t>k.p.k.</w:t>
      </w:r>
      <w:r w:rsidR="004270E3" w:rsidRPr="00264403">
        <w:rPr>
          <w:rFonts w:ascii="Aptos" w:hAnsi="Aptos" w:cs="Calibri"/>
          <w:sz w:val="24"/>
          <w:szCs w:val="24"/>
        </w:rPr>
        <w:t xml:space="preserve"> wprowadza do postępowania w sprawach o wykroczenia brak obowiązku dowodzenia swej niewinności oraz brak obowiązku dostarczania dowodów na swoją niekorzyść (zasada nemo se ipsum accusare tenetur</w:t>
      </w:r>
      <w:r w:rsidR="004C3C84" w:rsidRPr="00264403">
        <w:rPr>
          <w:rFonts w:ascii="Aptos" w:hAnsi="Aptos" w:cs="Calibri"/>
          <w:sz w:val="24"/>
          <w:szCs w:val="24"/>
        </w:rPr>
        <w:t>).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9B5A01" w:rsidRPr="00264403">
        <w:rPr>
          <w:rFonts w:ascii="Aptos" w:hAnsi="Aptos" w:cs="Calibri"/>
          <w:sz w:val="24"/>
          <w:szCs w:val="24"/>
        </w:rPr>
        <w:t>W uzasadnieniu Sąd Okręgowy w Poznaniu dodał, że „</w:t>
      </w:r>
      <w:r w:rsidR="004C3C84" w:rsidRPr="00264403">
        <w:rPr>
          <w:rFonts w:ascii="Aptos" w:hAnsi="Aptos" w:cs="Calibri"/>
          <w:sz w:val="24"/>
          <w:szCs w:val="24"/>
        </w:rPr>
        <w:t xml:space="preserve">Obwiniony nie </w:t>
      </w:r>
      <w:r w:rsidR="004C3C84" w:rsidRPr="00264403">
        <w:rPr>
          <w:rFonts w:ascii="Aptos" w:hAnsi="Aptos" w:cs="Calibri"/>
          <w:sz w:val="24"/>
          <w:szCs w:val="24"/>
        </w:rPr>
        <w:lastRenderedPageBreak/>
        <w:t>ma obowiązku podejmowania jakichkolwiek działań na swoją niekorzyść i jego brak aktywności w danym procesie w żadnym wypadku nie może być poczytywany dla niego negatywnie. Natomiast według recypowanej do postępowania w sprawach o wykroczenia zasady domniemania niewinności</w:t>
      </w:r>
      <w:r w:rsidR="00264403" w:rsidRPr="00264403">
        <w:rPr>
          <w:rFonts w:ascii="Aptos" w:hAnsi="Aptos" w:cs="Calibri"/>
          <w:sz w:val="24"/>
          <w:szCs w:val="24"/>
        </w:rPr>
        <w:t>,</w:t>
      </w:r>
      <w:r w:rsidR="004C3C84" w:rsidRPr="00264403">
        <w:rPr>
          <w:rFonts w:ascii="Aptos" w:hAnsi="Aptos" w:cs="Calibri"/>
          <w:sz w:val="24"/>
          <w:szCs w:val="24"/>
        </w:rPr>
        <w:t xml:space="preserve"> dopóki w danej sprawie nie zostaną zgromadzone dowody świadczące niewątpliwie o sprawstwie i winie obwinionego w zakresie zarzuconego mu czynu, dopóty uważany jest on za niewinnego określonego wykroczenia. Klarownym jest więc, że nie jest dopuszczalne w polskim porządku prawnym domniemanie, że właściciel (posiadacz) pojazdu, który nie wskazał, komu powierzył pojazd do kierowania (używania), jest sprawcą wykroczenia drogowego. Dla takiej konstatacji niezbędne jest zebranie w toku postępowania dowodów potwierdzających, że do popełnienia danego wykroczenia rzeczywiście doszło i że jego sprawcą jest obwiniony</w:t>
      </w:r>
      <w:r w:rsidR="009B5A01" w:rsidRPr="00264403">
        <w:rPr>
          <w:rFonts w:ascii="Aptos" w:hAnsi="Aptos" w:cs="Calibri"/>
          <w:sz w:val="24"/>
          <w:szCs w:val="24"/>
        </w:rPr>
        <w:t>”.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Z kolei Sąd Okręgowy w Warszawie w uzasadnieniu wyroku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z 25 września 2020 r. (sygn. akt X Ka 508/20</w:t>
      </w:r>
      <w:r w:rsidR="00A81754" w:rsidRPr="00264403">
        <w:rPr>
          <w:rStyle w:val="Odwoanieprzypisudolnego"/>
          <w:rFonts w:ascii="Aptos" w:hAnsi="Aptos" w:cs="Calibri"/>
          <w:sz w:val="24"/>
          <w:szCs w:val="24"/>
        </w:rPr>
        <w:footnoteReference w:id="7"/>
      </w:r>
      <w:r w:rsidR="00A078CD" w:rsidRPr="00264403">
        <w:rPr>
          <w:rFonts w:ascii="Aptos" w:hAnsi="Aptos" w:cs="Calibri"/>
          <w:sz w:val="24"/>
          <w:szCs w:val="24"/>
        </w:rPr>
        <w:t>) wskazał: „Odpowiedzialność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za wykroczenie z art. 96 § 3 k.w. jest wyłączona w sytuacji, gdy właściciel lub posiadacz pojazdu uchyli się od obowiązku wskazania, komu powierzył pojazd do kierowania lub używania w oznaczonym czasie, w ramach prawa do obrony na podstawie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A078CD" w:rsidRPr="00264403">
        <w:rPr>
          <w:rFonts w:ascii="Aptos" w:hAnsi="Aptos" w:cs="Calibri"/>
          <w:sz w:val="24"/>
          <w:szCs w:val="24"/>
        </w:rPr>
        <w:t>art. 74 § 1 k.p.k. w zw. z art. 20 § 3 k.p.w. Właściciel lub posiadacz pojazdu nie ma zatem obowiązku wskazania komu powierzył pojazd do kierowania lub używania w oznaczonym czasie, jeżeli sam tym pojazdem kierował lub go używał i dopuścił się np. wykroczenia przekroczenia prędkości".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</w:p>
    <w:p w14:paraId="146E2C52" w14:textId="4999ECA6" w:rsidR="00784091" w:rsidRPr="00264403" w:rsidRDefault="00AB5180" w:rsidP="00F55491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>Zbieżna konkluzja została wyrażona w wyrokach np.: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Pr="00264403">
        <w:rPr>
          <w:rFonts w:ascii="Aptos" w:hAnsi="Aptos" w:cs="Calibri"/>
          <w:sz w:val="24"/>
          <w:szCs w:val="24"/>
        </w:rPr>
        <w:t>Sądu Okręgowego</w:t>
      </w:r>
      <w:r w:rsidR="004528EA" w:rsidRPr="00264403">
        <w:rPr>
          <w:rFonts w:ascii="Aptos" w:hAnsi="Aptos" w:cs="Calibri"/>
          <w:sz w:val="24"/>
          <w:szCs w:val="24"/>
        </w:rPr>
        <w:t xml:space="preserve"> w Sieradzu z 6 kwietnia 2022, sygn. akt II Ka 11/22</w:t>
      </w:r>
      <w:r w:rsidRPr="00264403">
        <w:rPr>
          <w:rStyle w:val="Odwoanieprzypisudolnego"/>
          <w:rFonts w:ascii="Aptos" w:hAnsi="Aptos" w:cs="Calibri"/>
          <w:sz w:val="24"/>
          <w:szCs w:val="24"/>
        </w:rPr>
        <w:footnoteReference w:id="8"/>
      </w:r>
      <w:r w:rsidR="004528EA" w:rsidRPr="00264403">
        <w:rPr>
          <w:rFonts w:ascii="Aptos" w:hAnsi="Aptos" w:cs="Calibri"/>
          <w:sz w:val="24"/>
          <w:szCs w:val="24"/>
        </w:rPr>
        <w:t>;</w:t>
      </w:r>
      <w:r w:rsidRPr="00264403">
        <w:rPr>
          <w:rFonts w:ascii="Aptos" w:hAnsi="Aptos" w:cs="Calibri"/>
          <w:sz w:val="24"/>
          <w:szCs w:val="24"/>
        </w:rPr>
        <w:t xml:space="preserve"> Sądu Okręgowego </w:t>
      </w:r>
      <w:r w:rsidR="004528EA" w:rsidRPr="00264403">
        <w:rPr>
          <w:rFonts w:ascii="Aptos" w:hAnsi="Aptos" w:cs="Calibri"/>
          <w:sz w:val="24"/>
          <w:szCs w:val="24"/>
        </w:rPr>
        <w:t>w Warszawie z 25 września 2020 r., sygn. akt X Ka 508/20</w:t>
      </w:r>
      <w:r w:rsidRPr="00264403">
        <w:rPr>
          <w:rStyle w:val="Odwoanieprzypisudolnego"/>
          <w:rFonts w:ascii="Aptos" w:hAnsi="Aptos" w:cs="Calibri"/>
          <w:sz w:val="24"/>
          <w:szCs w:val="24"/>
        </w:rPr>
        <w:footnoteReference w:id="9"/>
      </w:r>
      <w:r w:rsidRPr="00264403">
        <w:rPr>
          <w:rFonts w:ascii="Aptos" w:hAnsi="Aptos" w:cs="Calibri"/>
          <w:sz w:val="24"/>
          <w:szCs w:val="24"/>
        </w:rPr>
        <w:t xml:space="preserve">, </w:t>
      </w:r>
      <w:r w:rsidR="00535F4B" w:rsidRPr="00264403">
        <w:rPr>
          <w:rFonts w:ascii="Aptos" w:hAnsi="Aptos" w:cs="Calibri"/>
          <w:sz w:val="24"/>
          <w:szCs w:val="24"/>
        </w:rPr>
        <w:t>Sąd Okręgowy w Gdańsku z 18 czerwca 2019 r., sygn. akt</w:t>
      </w:r>
      <w:r w:rsidR="00552937" w:rsidRPr="00264403">
        <w:rPr>
          <w:sz w:val="24"/>
          <w:szCs w:val="24"/>
        </w:rPr>
        <w:t xml:space="preserve"> </w:t>
      </w:r>
      <w:r w:rsidR="00552937" w:rsidRPr="00264403">
        <w:rPr>
          <w:rFonts w:ascii="Aptos" w:hAnsi="Aptos" w:cs="Calibri"/>
          <w:sz w:val="24"/>
          <w:szCs w:val="24"/>
        </w:rPr>
        <w:t>V Ka 1009/19/W</w:t>
      </w:r>
      <w:r w:rsidR="00552937" w:rsidRPr="00264403">
        <w:rPr>
          <w:rStyle w:val="Odwoanieprzypisudolnego"/>
          <w:rFonts w:ascii="Aptos" w:hAnsi="Aptos" w:cs="Calibri"/>
          <w:sz w:val="24"/>
          <w:szCs w:val="24"/>
        </w:rPr>
        <w:footnoteReference w:id="10"/>
      </w:r>
      <w:r w:rsidR="00552937" w:rsidRPr="00264403">
        <w:rPr>
          <w:rFonts w:ascii="Aptos" w:hAnsi="Aptos" w:cs="Calibri"/>
          <w:sz w:val="24"/>
          <w:szCs w:val="24"/>
        </w:rPr>
        <w:t xml:space="preserve">, </w:t>
      </w:r>
      <w:r w:rsidRPr="00264403">
        <w:rPr>
          <w:rFonts w:ascii="Aptos" w:hAnsi="Aptos" w:cs="Calibri"/>
          <w:sz w:val="24"/>
          <w:szCs w:val="24"/>
        </w:rPr>
        <w:t xml:space="preserve">czy Sądu Okręgowego </w:t>
      </w:r>
      <w:r w:rsidR="004528EA" w:rsidRPr="00264403">
        <w:rPr>
          <w:rFonts w:ascii="Aptos" w:hAnsi="Aptos" w:cs="Calibri"/>
          <w:sz w:val="24"/>
          <w:szCs w:val="24"/>
        </w:rPr>
        <w:t>w Piotrkowie Trybunalskim z 29 kwietnia 2016 r., sygn. akt IV Ka 128/16</w:t>
      </w:r>
      <w:r w:rsidRPr="00264403">
        <w:rPr>
          <w:rStyle w:val="Odwoanieprzypisudolnego"/>
          <w:rFonts w:ascii="Aptos" w:hAnsi="Aptos" w:cs="Calibri"/>
          <w:sz w:val="24"/>
          <w:szCs w:val="24"/>
        </w:rPr>
        <w:footnoteReference w:id="11"/>
      </w:r>
      <w:r w:rsidRPr="00264403">
        <w:rPr>
          <w:rFonts w:ascii="Aptos" w:hAnsi="Aptos" w:cs="Calibri"/>
          <w:sz w:val="24"/>
          <w:szCs w:val="24"/>
        </w:rPr>
        <w:t>.</w:t>
      </w:r>
      <w:r w:rsidR="00ED7118" w:rsidRPr="00264403">
        <w:rPr>
          <w:rFonts w:ascii="Aptos" w:hAnsi="Aptos" w:cs="Calibri"/>
          <w:sz w:val="24"/>
          <w:szCs w:val="24"/>
        </w:rPr>
        <w:t xml:space="preserve"> </w:t>
      </w:r>
    </w:p>
    <w:p w14:paraId="71EAA000" w14:textId="356E8DCC" w:rsidR="00F449D5" w:rsidRPr="00264403" w:rsidRDefault="00247FD6" w:rsidP="00264403">
      <w:pPr>
        <w:spacing w:line="360" w:lineRule="auto"/>
        <w:ind w:firstLine="708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 xml:space="preserve">4. </w:t>
      </w:r>
      <w:r w:rsidR="007216F3" w:rsidRPr="00264403">
        <w:rPr>
          <w:rFonts w:ascii="Aptos" w:hAnsi="Aptos" w:cs="Calibri"/>
          <w:sz w:val="24"/>
          <w:szCs w:val="24"/>
        </w:rPr>
        <w:t>Linia orzecznicza wyznaczona przez Trybunał Konstytucyjny jest realizowana w sądownictwie powszechny</w:t>
      </w:r>
      <w:r w:rsidR="00A420EA" w:rsidRPr="00264403">
        <w:rPr>
          <w:rFonts w:ascii="Aptos" w:hAnsi="Aptos" w:cs="Calibri"/>
          <w:sz w:val="24"/>
          <w:szCs w:val="24"/>
        </w:rPr>
        <w:t>m.</w:t>
      </w:r>
      <w:r w:rsidRPr="00264403">
        <w:rPr>
          <w:rFonts w:ascii="Aptos" w:hAnsi="Aptos" w:cs="Calibri"/>
          <w:sz w:val="24"/>
          <w:szCs w:val="24"/>
        </w:rPr>
        <w:t xml:space="preserve"> Występujące </w:t>
      </w:r>
      <w:r w:rsidR="008A17A9">
        <w:rPr>
          <w:rFonts w:ascii="Aptos" w:hAnsi="Aptos" w:cs="Calibri"/>
          <w:sz w:val="24"/>
          <w:szCs w:val="24"/>
        </w:rPr>
        <w:t>w orzecznictwie poglądy</w:t>
      </w:r>
      <w:r w:rsidR="009F4651" w:rsidRPr="00264403">
        <w:rPr>
          <w:rFonts w:ascii="Aptos" w:hAnsi="Aptos" w:cs="Calibri"/>
          <w:sz w:val="24"/>
          <w:szCs w:val="24"/>
        </w:rPr>
        <w:t xml:space="preserve"> odmienne</w:t>
      </w:r>
      <w:r w:rsidR="008A17A9">
        <w:rPr>
          <w:rFonts w:ascii="Aptos" w:hAnsi="Aptos" w:cs="Calibri"/>
          <w:sz w:val="24"/>
          <w:szCs w:val="24"/>
        </w:rPr>
        <w:t xml:space="preserve">, tj. </w:t>
      </w:r>
      <w:r w:rsidR="00224383" w:rsidRPr="00264403">
        <w:rPr>
          <w:rFonts w:ascii="Aptos" w:hAnsi="Aptos" w:cs="Calibri"/>
          <w:sz w:val="24"/>
          <w:szCs w:val="24"/>
        </w:rPr>
        <w:t xml:space="preserve">przypisujące odpowiedzialność </w:t>
      </w:r>
      <w:r w:rsidR="00CE7A59" w:rsidRPr="00264403">
        <w:rPr>
          <w:rFonts w:ascii="Aptos" w:hAnsi="Aptos" w:cs="Calibri"/>
          <w:sz w:val="24"/>
          <w:szCs w:val="24"/>
        </w:rPr>
        <w:t xml:space="preserve">wykroczeniową </w:t>
      </w:r>
      <w:r w:rsidR="00224383" w:rsidRPr="00264403">
        <w:rPr>
          <w:rFonts w:ascii="Aptos" w:hAnsi="Aptos" w:cs="Calibri"/>
          <w:sz w:val="24"/>
          <w:szCs w:val="24"/>
        </w:rPr>
        <w:t>właściciel</w:t>
      </w:r>
      <w:r w:rsidR="00CE7A59" w:rsidRPr="00264403">
        <w:rPr>
          <w:rFonts w:ascii="Aptos" w:hAnsi="Aptos" w:cs="Calibri"/>
          <w:sz w:val="24"/>
          <w:szCs w:val="24"/>
        </w:rPr>
        <w:t xml:space="preserve">owi </w:t>
      </w:r>
      <w:r w:rsidR="00224383" w:rsidRPr="00264403">
        <w:rPr>
          <w:rFonts w:ascii="Aptos" w:hAnsi="Aptos" w:cs="Calibri"/>
          <w:sz w:val="24"/>
          <w:szCs w:val="24"/>
        </w:rPr>
        <w:t>(posiadacz</w:t>
      </w:r>
      <w:r w:rsidR="00CE7A59" w:rsidRPr="00264403">
        <w:rPr>
          <w:rFonts w:ascii="Aptos" w:hAnsi="Aptos" w:cs="Calibri"/>
          <w:sz w:val="24"/>
          <w:szCs w:val="24"/>
        </w:rPr>
        <w:t>owi</w:t>
      </w:r>
      <w:r w:rsidR="00224383" w:rsidRPr="00264403">
        <w:rPr>
          <w:rFonts w:ascii="Aptos" w:hAnsi="Aptos" w:cs="Calibri"/>
          <w:sz w:val="24"/>
          <w:szCs w:val="24"/>
        </w:rPr>
        <w:t>) pojazdu</w:t>
      </w:r>
      <w:r w:rsidR="0072350E" w:rsidRPr="00264403">
        <w:rPr>
          <w:rFonts w:ascii="Aptos" w:hAnsi="Aptos" w:cs="Calibri"/>
          <w:sz w:val="24"/>
          <w:szCs w:val="24"/>
        </w:rPr>
        <w:t xml:space="preserve">, </w:t>
      </w:r>
      <w:r w:rsidR="008A17A9">
        <w:rPr>
          <w:rFonts w:ascii="Aptos" w:hAnsi="Aptos" w:cs="Calibri"/>
          <w:sz w:val="24"/>
          <w:szCs w:val="24"/>
        </w:rPr>
        <w:lastRenderedPageBreak/>
        <w:t>gdy</w:t>
      </w:r>
      <w:r w:rsidR="00224383" w:rsidRPr="00264403">
        <w:rPr>
          <w:rFonts w:ascii="Aptos" w:hAnsi="Aptos" w:cs="Calibri"/>
          <w:sz w:val="24"/>
          <w:szCs w:val="24"/>
        </w:rPr>
        <w:t xml:space="preserve"> uchyl</w:t>
      </w:r>
      <w:r w:rsidR="008A17A9">
        <w:rPr>
          <w:rFonts w:ascii="Aptos" w:hAnsi="Aptos" w:cs="Calibri"/>
          <w:sz w:val="24"/>
          <w:szCs w:val="24"/>
        </w:rPr>
        <w:t xml:space="preserve">a </w:t>
      </w:r>
      <w:r w:rsidR="00224383" w:rsidRPr="00264403">
        <w:rPr>
          <w:rFonts w:ascii="Aptos" w:hAnsi="Aptos" w:cs="Calibri"/>
          <w:sz w:val="24"/>
          <w:szCs w:val="24"/>
        </w:rPr>
        <w:t>się od wskazania komu</w:t>
      </w:r>
      <w:r w:rsidR="0072350E" w:rsidRPr="00264403">
        <w:rPr>
          <w:rFonts w:ascii="Aptos" w:hAnsi="Aptos" w:cs="Calibri"/>
          <w:sz w:val="24"/>
          <w:szCs w:val="24"/>
        </w:rPr>
        <w:t xml:space="preserve"> </w:t>
      </w:r>
      <w:r w:rsidR="00224383" w:rsidRPr="00264403">
        <w:rPr>
          <w:rFonts w:ascii="Aptos" w:hAnsi="Aptos" w:cs="Calibri"/>
          <w:sz w:val="24"/>
          <w:szCs w:val="24"/>
        </w:rPr>
        <w:t>powierzył pojazd do kierowania lub używania w oznaczonym czasie</w:t>
      </w:r>
      <w:r w:rsidR="008A17A9">
        <w:rPr>
          <w:rFonts w:ascii="Aptos" w:hAnsi="Aptos" w:cs="Calibri"/>
          <w:sz w:val="24"/>
          <w:szCs w:val="24"/>
        </w:rPr>
        <w:t xml:space="preserve">,  </w:t>
      </w:r>
      <w:r w:rsidR="00224383" w:rsidRPr="00264403">
        <w:rPr>
          <w:rFonts w:ascii="Aptos" w:hAnsi="Aptos" w:cs="Calibri"/>
          <w:sz w:val="24"/>
          <w:szCs w:val="24"/>
        </w:rPr>
        <w:t>w sytuacji</w:t>
      </w:r>
      <w:r w:rsidR="00264403" w:rsidRPr="00264403">
        <w:rPr>
          <w:rFonts w:ascii="Aptos" w:hAnsi="Aptos" w:cs="Calibri"/>
          <w:sz w:val="24"/>
          <w:szCs w:val="24"/>
        </w:rPr>
        <w:t>,</w:t>
      </w:r>
      <w:r w:rsidR="00224383" w:rsidRPr="00264403">
        <w:rPr>
          <w:rFonts w:ascii="Aptos" w:hAnsi="Aptos" w:cs="Calibri"/>
          <w:sz w:val="24"/>
          <w:szCs w:val="24"/>
        </w:rPr>
        <w:t xml:space="preserve"> w której pojazdu nikomu nie powierzał, </w:t>
      </w:r>
      <w:r w:rsidR="00CE7A59" w:rsidRPr="00264403">
        <w:rPr>
          <w:rFonts w:ascii="Aptos" w:hAnsi="Aptos" w:cs="Calibri"/>
          <w:sz w:val="24"/>
          <w:szCs w:val="24"/>
        </w:rPr>
        <w:t xml:space="preserve">lecz </w:t>
      </w:r>
      <w:r w:rsidR="00224383" w:rsidRPr="00264403">
        <w:rPr>
          <w:rFonts w:ascii="Aptos" w:hAnsi="Aptos" w:cs="Calibri"/>
          <w:sz w:val="24"/>
          <w:szCs w:val="24"/>
        </w:rPr>
        <w:t>sam tym pojazdem kierował</w:t>
      </w:r>
      <w:r w:rsidR="00CE7A59" w:rsidRPr="00264403">
        <w:rPr>
          <w:rFonts w:ascii="Aptos" w:hAnsi="Aptos" w:cs="Calibri"/>
          <w:sz w:val="24"/>
          <w:szCs w:val="24"/>
        </w:rPr>
        <w:t xml:space="preserve"> </w:t>
      </w:r>
      <w:r w:rsidR="00224383" w:rsidRPr="00264403">
        <w:rPr>
          <w:rFonts w:ascii="Aptos" w:hAnsi="Aptos" w:cs="Calibri"/>
          <w:sz w:val="24"/>
          <w:szCs w:val="24"/>
        </w:rPr>
        <w:t>lub go używał i dopuścił się wykroczeni</w:t>
      </w:r>
      <w:r w:rsidR="00CE7A59" w:rsidRPr="00264403">
        <w:rPr>
          <w:rFonts w:ascii="Aptos" w:hAnsi="Aptos" w:cs="Calibri"/>
          <w:sz w:val="24"/>
          <w:szCs w:val="24"/>
        </w:rPr>
        <w:t xml:space="preserve">, powinny być </w:t>
      </w:r>
      <w:r w:rsidR="0010258B" w:rsidRPr="00264403">
        <w:rPr>
          <w:rFonts w:ascii="Aptos" w:hAnsi="Aptos" w:cs="Calibri"/>
          <w:sz w:val="24"/>
          <w:szCs w:val="24"/>
        </w:rPr>
        <w:t>korygowane na drodze procesowej</w:t>
      </w:r>
      <w:r w:rsidR="001B48BF" w:rsidRPr="00264403">
        <w:rPr>
          <w:rFonts w:ascii="Aptos" w:hAnsi="Aptos" w:cs="Calibri"/>
          <w:sz w:val="24"/>
          <w:szCs w:val="24"/>
        </w:rPr>
        <w:t>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3D35A4" w:rsidRPr="00264403">
        <w:rPr>
          <w:rFonts w:ascii="Aptos" w:hAnsi="Aptos" w:cs="Calibri"/>
          <w:sz w:val="24"/>
          <w:szCs w:val="24"/>
        </w:rPr>
        <w:t xml:space="preserve">Poza tym, na </w:t>
      </w:r>
      <w:r w:rsidR="00A558FD" w:rsidRPr="00264403">
        <w:rPr>
          <w:rFonts w:ascii="Aptos" w:hAnsi="Aptos" w:cs="Calibri"/>
          <w:sz w:val="24"/>
          <w:szCs w:val="24"/>
        </w:rPr>
        <w:t>podstawie art. 16 ust. 2 pkt 4 ustawy z dnia 15 lipca 1987 r. o Rzeczniku Praw</w:t>
      </w:r>
      <w:r w:rsidR="003D35A4" w:rsidRPr="00264403">
        <w:rPr>
          <w:rFonts w:ascii="Aptos" w:hAnsi="Aptos" w:cs="Calibri"/>
          <w:sz w:val="24"/>
          <w:szCs w:val="24"/>
        </w:rPr>
        <w:t xml:space="preserve"> </w:t>
      </w:r>
      <w:r w:rsidR="00A558FD" w:rsidRPr="00264403">
        <w:rPr>
          <w:rFonts w:ascii="Aptos" w:hAnsi="Aptos" w:cs="Calibri"/>
          <w:sz w:val="24"/>
          <w:szCs w:val="24"/>
        </w:rPr>
        <w:t>Obywatelskic</w:t>
      </w:r>
      <w:r w:rsidR="003D35A4" w:rsidRPr="00264403">
        <w:rPr>
          <w:rFonts w:ascii="Aptos" w:hAnsi="Aptos" w:cs="Calibri"/>
          <w:sz w:val="24"/>
          <w:szCs w:val="24"/>
        </w:rPr>
        <w:t>h</w:t>
      </w:r>
      <w:r w:rsidR="003D35A4" w:rsidRPr="00264403">
        <w:rPr>
          <w:rStyle w:val="Odwoanieprzypisudolnego"/>
          <w:rFonts w:ascii="Aptos" w:hAnsi="Aptos" w:cs="Calibri"/>
          <w:sz w:val="24"/>
          <w:szCs w:val="24"/>
        </w:rPr>
        <w:footnoteReference w:id="12"/>
      </w:r>
      <w:r w:rsidR="00A558FD" w:rsidRPr="00264403">
        <w:rPr>
          <w:rFonts w:ascii="Aptos" w:hAnsi="Aptos" w:cs="Calibri"/>
          <w:sz w:val="24"/>
          <w:szCs w:val="24"/>
        </w:rPr>
        <w:t xml:space="preserve">.) oraz art. </w:t>
      </w:r>
      <w:r w:rsidR="00202261" w:rsidRPr="00264403">
        <w:rPr>
          <w:rFonts w:ascii="Aptos" w:hAnsi="Aptos" w:cs="Calibri"/>
          <w:sz w:val="24"/>
          <w:szCs w:val="24"/>
        </w:rPr>
        <w:t>80</w:t>
      </w:r>
      <w:r w:rsidR="00A558FD" w:rsidRPr="00264403">
        <w:rPr>
          <w:rFonts w:ascii="Aptos" w:hAnsi="Aptos" w:cs="Calibri"/>
          <w:sz w:val="24"/>
          <w:szCs w:val="24"/>
        </w:rPr>
        <w:t xml:space="preserve"> § </w:t>
      </w:r>
      <w:r w:rsidR="00202261" w:rsidRPr="00264403">
        <w:rPr>
          <w:rFonts w:ascii="Aptos" w:hAnsi="Aptos" w:cs="Calibri"/>
          <w:sz w:val="24"/>
          <w:szCs w:val="24"/>
        </w:rPr>
        <w:t xml:space="preserve">1 i </w:t>
      </w:r>
      <w:r w:rsidR="00A558FD" w:rsidRPr="00264403">
        <w:rPr>
          <w:rFonts w:ascii="Aptos" w:hAnsi="Aptos" w:cs="Calibri"/>
          <w:sz w:val="24"/>
          <w:szCs w:val="24"/>
        </w:rPr>
        <w:t xml:space="preserve">2 ustawy z dnia </w:t>
      </w:r>
      <w:r w:rsidR="00202261" w:rsidRPr="00264403">
        <w:rPr>
          <w:rFonts w:ascii="Aptos" w:hAnsi="Aptos" w:cs="Calibri"/>
          <w:sz w:val="24"/>
          <w:szCs w:val="24"/>
        </w:rPr>
        <w:t xml:space="preserve">8 grudnia 2017 </w:t>
      </w:r>
      <w:r w:rsidR="00A558FD" w:rsidRPr="00264403">
        <w:rPr>
          <w:rFonts w:ascii="Aptos" w:hAnsi="Aptos" w:cs="Calibri"/>
          <w:sz w:val="24"/>
          <w:szCs w:val="24"/>
        </w:rPr>
        <w:t>r. o Sądzie Najwyższym</w:t>
      </w:r>
      <w:r w:rsidR="00202261" w:rsidRPr="00264403">
        <w:rPr>
          <w:rStyle w:val="Odwoanieprzypisudolnego"/>
          <w:rFonts w:ascii="Aptos" w:hAnsi="Aptos" w:cs="Calibri"/>
          <w:sz w:val="24"/>
          <w:szCs w:val="24"/>
        </w:rPr>
        <w:footnoteReference w:id="13"/>
      </w:r>
      <w:r w:rsidR="00182643" w:rsidRPr="00264403">
        <w:rPr>
          <w:rFonts w:ascii="Aptos" w:hAnsi="Aptos" w:cs="Calibri"/>
          <w:sz w:val="24"/>
          <w:szCs w:val="24"/>
        </w:rPr>
        <w:t xml:space="preserve">, </w:t>
      </w:r>
      <w:r w:rsidR="00EF64DE" w:rsidRPr="00264403">
        <w:rPr>
          <w:rFonts w:ascii="Aptos" w:hAnsi="Aptos" w:cs="Calibri"/>
          <w:sz w:val="24"/>
          <w:szCs w:val="24"/>
        </w:rPr>
        <w:t xml:space="preserve">Rzecznik Praw Obywatelskich </w:t>
      </w:r>
      <w:r w:rsidR="00113078" w:rsidRPr="00264403">
        <w:rPr>
          <w:rFonts w:ascii="Aptos" w:hAnsi="Aptos" w:cs="Calibri"/>
          <w:sz w:val="24"/>
          <w:szCs w:val="24"/>
        </w:rPr>
        <w:t>może wystąpić do Sąd</w:t>
      </w:r>
      <w:r w:rsidR="00182643" w:rsidRPr="00264403">
        <w:rPr>
          <w:rFonts w:ascii="Aptos" w:hAnsi="Aptos" w:cs="Calibri"/>
          <w:sz w:val="24"/>
          <w:szCs w:val="24"/>
        </w:rPr>
        <w:t>u Najwyższego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182643" w:rsidRPr="00264403">
        <w:rPr>
          <w:rFonts w:ascii="Aptos" w:hAnsi="Aptos" w:cs="Calibri"/>
          <w:sz w:val="24"/>
          <w:szCs w:val="24"/>
        </w:rPr>
        <w:t xml:space="preserve">z wnioskiem o </w:t>
      </w:r>
      <w:r w:rsidR="00F16048" w:rsidRPr="00264403">
        <w:rPr>
          <w:rFonts w:ascii="Aptos" w:hAnsi="Aptos" w:cs="Calibri"/>
          <w:sz w:val="24"/>
          <w:szCs w:val="24"/>
        </w:rPr>
        <w:t xml:space="preserve">rozstrzygnięcie rozbieżności w wykładni prawa </w:t>
      </w:r>
      <w:r w:rsidR="00A558FD" w:rsidRPr="00264403">
        <w:rPr>
          <w:rFonts w:ascii="Aptos" w:hAnsi="Aptos" w:cs="Calibri"/>
          <w:sz w:val="24"/>
          <w:szCs w:val="24"/>
        </w:rPr>
        <w:t>w orzecznictwie sądowy</w:t>
      </w:r>
      <w:r w:rsidR="00F16048" w:rsidRPr="00264403">
        <w:rPr>
          <w:rFonts w:ascii="Aptos" w:hAnsi="Aptos" w:cs="Calibri"/>
          <w:sz w:val="24"/>
          <w:szCs w:val="24"/>
        </w:rPr>
        <w:t>m.</w:t>
      </w:r>
      <w:r w:rsidR="008C68F3" w:rsidRPr="00264403">
        <w:rPr>
          <w:rFonts w:ascii="Aptos" w:hAnsi="Aptos" w:cs="Calibri"/>
          <w:sz w:val="24"/>
          <w:szCs w:val="24"/>
        </w:rPr>
        <w:t xml:space="preserve"> </w:t>
      </w:r>
      <w:r w:rsidR="00F16048" w:rsidRPr="00264403">
        <w:rPr>
          <w:rFonts w:ascii="Aptos" w:hAnsi="Aptos" w:cs="Calibri"/>
          <w:sz w:val="24"/>
          <w:szCs w:val="24"/>
        </w:rPr>
        <w:t xml:space="preserve">Mając na względzie powyższe, </w:t>
      </w:r>
      <w:r w:rsidR="001A7FA8" w:rsidRPr="00264403">
        <w:rPr>
          <w:rFonts w:ascii="Aptos" w:hAnsi="Aptos" w:cs="Calibri"/>
          <w:sz w:val="24"/>
          <w:szCs w:val="24"/>
        </w:rPr>
        <w:t xml:space="preserve">Komisja Kodyfikacyjna Prawa Karnego nie uznaje za zasadne wprowadzenie zmian legislacyjnych w treści art. </w:t>
      </w:r>
      <w:r w:rsidR="00F16048" w:rsidRPr="00264403">
        <w:rPr>
          <w:rFonts w:ascii="Aptos" w:hAnsi="Aptos" w:cs="Calibri"/>
          <w:sz w:val="24"/>
          <w:szCs w:val="24"/>
        </w:rPr>
        <w:t xml:space="preserve">96 k.w. </w:t>
      </w:r>
    </w:p>
    <w:p w14:paraId="7C0943DC" w14:textId="58929353" w:rsidR="00081365" w:rsidRPr="00264403" w:rsidRDefault="00F16048" w:rsidP="00F55491">
      <w:pPr>
        <w:spacing w:line="360" w:lineRule="auto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 xml:space="preserve"> </w:t>
      </w:r>
    </w:p>
    <w:p w14:paraId="4C5ABD94" w14:textId="7E460999" w:rsidR="00705D2A" w:rsidRPr="00264403" w:rsidRDefault="00702F1A" w:rsidP="00F55491">
      <w:pPr>
        <w:spacing w:line="360" w:lineRule="auto"/>
        <w:ind w:firstLine="360"/>
        <w:jc w:val="both"/>
        <w:rPr>
          <w:rFonts w:ascii="Aptos" w:hAnsi="Aptos" w:cs="Calibri"/>
          <w:sz w:val="24"/>
          <w:szCs w:val="24"/>
        </w:rPr>
      </w:pPr>
      <w:r w:rsidRPr="00264403">
        <w:rPr>
          <w:rFonts w:ascii="Aptos" w:hAnsi="Aptos" w:cs="Calibri"/>
          <w:sz w:val="24"/>
          <w:szCs w:val="24"/>
        </w:rPr>
        <w:t>Opracował: Andrzej Sakowicz</w:t>
      </w:r>
    </w:p>
    <w:sectPr w:rsidR="00705D2A" w:rsidRPr="00264403" w:rsidSect="00B36C72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BC2BC" w14:textId="77777777" w:rsidR="004D4B18" w:rsidRDefault="004D4B18" w:rsidP="00691D67">
      <w:pPr>
        <w:spacing w:after="0" w:line="240" w:lineRule="auto"/>
      </w:pPr>
      <w:r>
        <w:separator/>
      </w:r>
    </w:p>
  </w:endnote>
  <w:endnote w:type="continuationSeparator" w:id="0">
    <w:p w14:paraId="491A5859" w14:textId="77777777" w:rsidR="004D4B18" w:rsidRDefault="004D4B18" w:rsidP="006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14853518"/>
      <w:docPartObj>
        <w:docPartGallery w:val="Page Numbers (Bottom of Page)"/>
        <w:docPartUnique/>
      </w:docPartObj>
    </w:sdtPr>
    <w:sdtContent>
      <w:p w14:paraId="65AACE33" w14:textId="1BC8A7F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5C019CD" w14:textId="77777777" w:rsidR="00691D67" w:rsidRDefault="00691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633605753"/>
      <w:docPartObj>
        <w:docPartGallery w:val="Page Numbers (Bottom of Page)"/>
        <w:docPartUnique/>
      </w:docPartObj>
    </w:sdtPr>
    <w:sdtContent>
      <w:p w14:paraId="78A8062D" w14:textId="0C9D6301" w:rsidR="00691D67" w:rsidRDefault="00691D67" w:rsidP="004A19D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0ED3F74" w14:textId="77777777" w:rsidR="00691D67" w:rsidRDefault="00691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4110" w14:textId="77777777" w:rsidR="004D4B18" w:rsidRDefault="004D4B18" w:rsidP="00691D67">
      <w:pPr>
        <w:spacing w:after="0" w:line="240" w:lineRule="auto"/>
      </w:pPr>
      <w:r>
        <w:separator/>
      </w:r>
    </w:p>
  </w:footnote>
  <w:footnote w:type="continuationSeparator" w:id="0">
    <w:p w14:paraId="0D742BDC" w14:textId="77777777" w:rsidR="004D4B18" w:rsidRDefault="004D4B18" w:rsidP="00691D67">
      <w:pPr>
        <w:spacing w:after="0" w:line="240" w:lineRule="auto"/>
      </w:pPr>
      <w:r>
        <w:continuationSeparator/>
      </w:r>
    </w:p>
  </w:footnote>
  <w:footnote w:id="1">
    <w:p w14:paraId="5070515B" w14:textId="0165F941" w:rsidR="004648E5" w:rsidRPr="00F55491" w:rsidRDefault="004648E5" w:rsidP="0022707C">
      <w:pPr>
        <w:pStyle w:val="Tekstprzypisudolnego"/>
        <w:jc w:val="both"/>
      </w:pPr>
      <w:r w:rsidRPr="00F55491">
        <w:rPr>
          <w:rStyle w:val="Odwoanieprzypisudolnego"/>
        </w:rPr>
        <w:footnoteRef/>
      </w:r>
      <w:r w:rsidRPr="00F55491">
        <w:t xml:space="preserve"> </w:t>
      </w:r>
      <w:r w:rsidR="0022707C" w:rsidRPr="00F55491">
        <w:t>Zob. wyrok Sądu Okręgowego w Gdańsku z dnia 18 czerwca 2019 r., V Ka 1009/19/W, LEX nr 2772632; wyrok Sądu Okręgowego w Warszawie z dnia 28 października 2021 r., IX Ka 1040/21, LEX nr 3332700</w:t>
      </w:r>
      <w:r w:rsidR="009C1B87" w:rsidRPr="00F55491">
        <w:t xml:space="preserve">; wyrok Sądu Okręgowego Warszawa-Praga w Warszawie z dnia 29 stycznia 2020 r., VI Ka 335/19, LEX nr 2977707. W ostatnim ze wskazanych wyroków </w:t>
      </w:r>
      <w:r w:rsidR="00074802" w:rsidRPr="00F55491">
        <w:t>wskazano, że</w:t>
      </w:r>
      <w:r w:rsidR="00ED407B" w:rsidRPr="00F55491">
        <w:t xml:space="preserve"> o popełnieniu przez obwinionego wykroczenia określonego w art. 96 § 3 k.w. świadczy to, że </w:t>
      </w:r>
      <w:r w:rsidR="00685656" w:rsidRPr="00F55491">
        <w:t>„</w:t>
      </w:r>
      <w:r w:rsidR="00106EB9" w:rsidRPr="00F55491">
        <w:t>obwiniony</w:t>
      </w:r>
      <w:r w:rsidR="00685656" w:rsidRPr="00F55491">
        <w:t xml:space="preserve"> zamiast wskazać na żądanie uprawnionego organu, komu powierzył do kierowania (…) pojazd, którego jest właścicielem, wbrew nałożonemu obowiązkowi wynikającemu z przepisu art. 78 ust. 4 ustawy z dnia 20 czerwca 1997 r. - Prawo o ruchu drogowym - powyższego jednak nie dokonał, poprzestając na biernym oczekiwaniu na dalszy rozwój wypadków. Tymczasem obwiniony znając treść wezwania i pouczenia, powinien wykazać się stosowną reakcją, czego nie uczynił, zasłaniając się prawem do obrony i odmowy odpowiedzi”.</w:t>
      </w:r>
      <w:r w:rsidR="005D2023" w:rsidRPr="00F55491">
        <w:t xml:space="preserve"> Sąd nie podzielił argumentacji obwinionego w zakresie braku podstaw prawnych do udzielenia odpowiedzi na wezwanie uprawnionego organu tylko dlatego, że odpowiedź na wezwanie jakie otrzymał może w efekcie końcowym prowadzić do samooskarżenia lub rzucenia podejrzeń na osobę najbliższą.</w:t>
      </w:r>
    </w:p>
  </w:footnote>
  <w:footnote w:id="2">
    <w:p w14:paraId="5E0440AE" w14:textId="3D46D138" w:rsidR="00481A95" w:rsidRPr="00F55491" w:rsidRDefault="00481A95">
      <w:pPr>
        <w:pStyle w:val="Tekstprzypisudolnego"/>
      </w:pPr>
      <w:r w:rsidRPr="00F55491">
        <w:rPr>
          <w:rStyle w:val="Odwoanieprzypisudolnego"/>
        </w:rPr>
        <w:footnoteRef/>
      </w:r>
      <w:r w:rsidRPr="00F55491">
        <w:t xml:space="preserve"> </w:t>
      </w:r>
      <w:r w:rsidR="004F76BC" w:rsidRPr="00F55491">
        <w:t>OTK-A 2014, nr 3, poz. 30.</w:t>
      </w:r>
    </w:p>
  </w:footnote>
  <w:footnote w:id="3">
    <w:p w14:paraId="2CC62695" w14:textId="78EA893B" w:rsidR="006F301D" w:rsidRPr="00F55491" w:rsidRDefault="006F301D">
      <w:pPr>
        <w:pStyle w:val="Tekstprzypisudolnego"/>
      </w:pPr>
      <w:r w:rsidRPr="00F55491">
        <w:rPr>
          <w:rStyle w:val="Odwoanieprzypisudolnego"/>
        </w:rPr>
        <w:footnoteRef/>
      </w:r>
      <w:r w:rsidRPr="00F55491">
        <w:t xml:space="preserve"> </w:t>
      </w:r>
      <w:r w:rsidR="007D5404" w:rsidRPr="00F55491">
        <w:t>Z</w:t>
      </w:r>
      <w:r w:rsidRPr="00F55491">
        <w:rPr>
          <w:rFonts w:ascii="Aptos" w:hAnsi="Aptos" w:cs="Calibri"/>
        </w:rPr>
        <w:t>ob. R.</w:t>
      </w:r>
      <w:r w:rsidR="000E3C7A" w:rsidRPr="00F55491">
        <w:rPr>
          <w:rFonts w:ascii="Aptos" w:hAnsi="Aptos" w:cs="Calibri"/>
        </w:rPr>
        <w:t xml:space="preserve"> </w:t>
      </w:r>
      <w:r w:rsidRPr="00F55491">
        <w:rPr>
          <w:rFonts w:ascii="Aptos" w:hAnsi="Aptos" w:cs="Calibri"/>
        </w:rPr>
        <w:t xml:space="preserve">A. Stefański, </w:t>
      </w:r>
      <w:r w:rsidR="000E3C7A" w:rsidRPr="00F55491">
        <w:rPr>
          <w:rFonts w:ascii="Aptos" w:hAnsi="Aptos" w:cs="Calibri"/>
        </w:rPr>
        <w:t>K</w:t>
      </w:r>
      <w:r w:rsidRPr="00F55491">
        <w:rPr>
          <w:rFonts w:ascii="Aptos" w:hAnsi="Aptos" w:cs="Calibri"/>
        </w:rPr>
        <w:t xml:space="preserve">omentarz do art. 96, (w:) </w:t>
      </w:r>
      <w:r w:rsidR="00A342A2" w:rsidRPr="00F55491">
        <w:rPr>
          <w:rFonts w:ascii="Aptos" w:hAnsi="Aptos" w:cs="Calibri"/>
        </w:rPr>
        <w:t>Wykroczenia drogowe. Komentarz,</w:t>
      </w:r>
      <w:r w:rsidR="000E3C7A" w:rsidRPr="00F55491">
        <w:rPr>
          <w:rFonts w:ascii="Aptos" w:hAnsi="Aptos" w:cs="Calibri"/>
        </w:rPr>
        <w:t xml:space="preserve"> Warszawa 2011, </w:t>
      </w:r>
      <w:r w:rsidR="00A342A2" w:rsidRPr="00F55491">
        <w:rPr>
          <w:rFonts w:ascii="Aptos" w:hAnsi="Aptos" w:cs="Calibri"/>
        </w:rPr>
        <w:t xml:space="preserve">Lex </w:t>
      </w:r>
      <w:r w:rsidRPr="00F55491">
        <w:rPr>
          <w:rFonts w:ascii="Aptos" w:hAnsi="Aptos" w:cs="Calibri"/>
        </w:rPr>
        <w:t>teza 7.8</w:t>
      </w:r>
      <w:r w:rsidR="00A342A2" w:rsidRPr="00F55491">
        <w:rPr>
          <w:rFonts w:ascii="Aptos" w:hAnsi="Aptos" w:cs="Calibri"/>
        </w:rPr>
        <w:t>.</w:t>
      </w:r>
    </w:p>
  </w:footnote>
  <w:footnote w:id="4">
    <w:p w14:paraId="5EF305ED" w14:textId="7D4B5D14" w:rsidR="00B46DF0" w:rsidRPr="00F55491" w:rsidRDefault="00B46DF0">
      <w:pPr>
        <w:pStyle w:val="Tekstprzypisudolnego"/>
      </w:pPr>
      <w:r w:rsidRPr="00F55491">
        <w:rPr>
          <w:rStyle w:val="Odwoanieprzypisudolnego"/>
        </w:rPr>
        <w:footnoteRef/>
      </w:r>
      <w:r w:rsidRPr="00F55491">
        <w:t xml:space="preserve"> </w:t>
      </w:r>
      <w:r w:rsidR="00D32F25" w:rsidRPr="00F55491">
        <w:t>OTK-A 2015, nr 8, poz. 125.</w:t>
      </w:r>
    </w:p>
  </w:footnote>
  <w:footnote w:id="5">
    <w:p w14:paraId="57DD81E5" w14:textId="709A94D8" w:rsidR="00A0589F" w:rsidRPr="00F55491" w:rsidRDefault="00A0589F">
      <w:pPr>
        <w:pStyle w:val="Tekstprzypisudolnego"/>
      </w:pPr>
      <w:r w:rsidRPr="00F55491">
        <w:rPr>
          <w:rStyle w:val="Odwoanieprzypisudolnego"/>
        </w:rPr>
        <w:footnoteRef/>
      </w:r>
      <w:r w:rsidRPr="00F55491">
        <w:t xml:space="preserve"> </w:t>
      </w:r>
      <w:r w:rsidR="007C6956" w:rsidRPr="00F55491">
        <w:t>OTK-A 2015, nr 10, poz. 169.</w:t>
      </w:r>
    </w:p>
  </w:footnote>
  <w:footnote w:id="6">
    <w:p w14:paraId="1FEAA343" w14:textId="14781C0E" w:rsidR="00A950FE" w:rsidRPr="008A17A9" w:rsidRDefault="00A950FE">
      <w:pPr>
        <w:pStyle w:val="Tekstprzypisudolnego"/>
        <w:rPr>
          <w:lang w:val="en-GB"/>
        </w:rPr>
      </w:pPr>
      <w:r w:rsidRPr="00F55491">
        <w:rPr>
          <w:rStyle w:val="Odwoanieprzypisudolnego"/>
        </w:rPr>
        <w:footnoteRef/>
      </w:r>
      <w:r w:rsidRPr="008A17A9">
        <w:rPr>
          <w:lang w:val="en-GB"/>
        </w:rPr>
        <w:t xml:space="preserve"> </w:t>
      </w:r>
      <w:r w:rsidRPr="008A17A9">
        <w:rPr>
          <w:rFonts w:ascii="Aptos" w:hAnsi="Aptos" w:cs="Calibri"/>
          <w:lang w:val="en-GB"/>
        </w:rPr>
        <w:t>Legalis</w:t>
      </w:r>
      <w:r w:rsidR="000472C5" w:rsidRPr="008A17A9">
        <w:rPr>
          <w:rFonts w:ascii="Aptos" w:hAnsi="Aptos" w:cs="Calibri"/>
          <w:lang w:val="en-GB"/>
        </w:rPr>
        <w:t xml:space="preserve"> nr</w:t>
      </w:r>
      <w:r w:rsidR="000472C5" w:rsidRPr="008A17A9">
        <w:rPr>
          <w:lang w:val="en-GB"/>
        </w:rPr>
        <w:t xml:space="preserve"> </w:t>
      </w:r>
      <w:r w:rsidR="000472C5" w:rsidRPr="008A17A9">
        <w:rPr>
          <w:rFonts w:ascii="Aptos" w:hAnsi="Aptos" w:cs="Calibri"/>
          <w:lang w:val="en-GB"/>
        </w:rPr>
        <w:t>2243090.</w:t>
      </w:r>
    </w:p>
  </w:footnote>
  <w:footnote w:id="7">
    <w:p w14:paraId="7642CC8F" w14:textId="3E1C516A" w:rsidR="00A81754" w:rsidRPr="008A17A9" w:rsidRDefault="00A81754">
      <w:pPr>
        <w:pStyle w:val="Tekstprzypisudolnego"/>
        <w:rPr>
          <w:lang w:val="en-GB"/>
        </w:rPr>
      </w:pPr>
      <w:r w:rsidRPr="00F55491">
        <w:rPr>
          <w:rStyle w:val="Odwoanieprzypisudolnego"/>
        </w:rPr>
        <w:footnoteRef/>
      </w:r>
      <w:r w:rsidRPr="008A17A9">
        <w:rPr>
          <w:lang w:val="en-GB"/>
        </w:rPr>
        <w:t xml:space="preserve"> </w:t>
      </w:r>
      <w:r w:rsidRPr="008A17A9">
        <w:rPr>
          <w:rFonts w:ascii="Aptos" w:hAnsi="Aptos" w:cs="Calibri"/>
          <w:lang w:val="en-GB"/>
        </w:rPr>
        <w:t>Legalis</w:t>
      </w:r>
      <w:r w:rsidR="001E5BD4" w:rsidRPr="008A17A9">
        <w:rPr>
          <w:rFonts w:ascii="Aptos" w:hAnsi="Aptos" w:cs="Calibri"/>
          <w:lang w:val="en-GB"/>
        </w:rPr>
        <w:t xml:space="preserve"> nr 2505712.</w:t>
      </w:r>
    </w:p>
  </w:footnote>
  <w:footnote w:id="8">
    <w:p w14:paraId="66DB77F9" w14:textId="3D7BA6CE" w:rsidR="00AB5180" w:rsidRPr="008A17A9" w:rsidRDefault="00AB5180">
      <w:pPr>
        <w:pStyle w:val="Tekstprzypisudolnego"/>
        <w:rPr>
          <w:lang w:val="en-GB"/>
        </w:rPr>
      </w:pPr>
      <w:r w:rsidRPr="00F55491">
        <w:rPr>
          <w:rStyle w:val="Odwoanieprzypisudolnego"/>
        </w:rPr>
        <w:footnoteRef/>
      </w:r>
      <w:r w:rsidRPr="008A17A9">
        <w:rPr>
          <w:lang w:val="en-GB"/>
        </w:rPr>
        <w:t xml:space="preserve"> </w:t>
      </w:r>
      <w:r w:rsidRPr="008A17A9">
        <w:rPr>
          <w:rFonts w:ascii="Aptos" w:hAnsi="Aptos" w:cs="Calibri"/>
          <w:lang w:val="en-GB"/>
        </w:rPr>
        <w:t>Legalis nr 2685086.</w:t>
      </w:r>
    </w:p>
  </w:footnote>
  <w:footnote w:id="9">
    <w:p w14:paraId="0AD337A0" w14:textId="098C7D19" w:rsidR="00AB5180" w:rsidRPr="008A17A9" w:rsidRDefault="00AB5180">
      <w:pPr>
        <w:pStyle w:val="Tekstprzypisudolnego"/>
        <w:rPr>
          <w:lang w:val="en-GB"/>
        </w:rPr>
      </w:pPr>
      <w:r w:rsidRPr="00F55491">
        <w:rPr>
          <w:rStyle w:val="Odwoanieprzypisudolnego"/>
        </w:rPr>
        <w:footnoteRef/>
      </w:r>
      <w:r w:rsidRPr="008A17A9">
        <w:rPr>
          <w:lang w:val="en-GB"/>
        </w:rPr>
        <w:t xml:space="preserve"> </w:t>
      </w:r>
      <w:r w:rsidRPr="008A17A9">
        <w:rPr>
          <w:rFonts w:ascii="Aptos" w:hAnsi="Aptos" w:cs="Calibri"/>
          <w:lang w:val="en-GB"/>
        </w:rPr>
        <w:t>Legalis nr 2505712.</w:t>
      </w:r>
    </w:p>
  </w:footnote>
  <w:footnote w:id="10">
    <w:p w14:paraId="196B39B3" w14:textId="17B543B8" w:rsidR="00552937" w:rsidRPr="008A17A9" w:rsidRDefault="00552937">
      <w:pPr>
        <w:pStyle w:val="Tekstprzypisudolnego"/>
        <w:rPr>
          <w:lang w:val="en-GB"/>
        </w:rPr>
      </w:pPr>
      <w:r w:rsidRPr="00F55491">
        <w:rPr>
          <w:rStyle w:val="Odwoanieprzypisudolnego"/>
        </w:rPr>
        <w:footnoteRef/>
      </w:r>
      <w:r w:rsidRPr="008A17A9">
        <w:rPr>
          <w:lang w:val="en-GB"/>
        </w:rPr>
        <w:t xml:space="preserve"> Legalis nr 2279344.</w:t>
      </w:r>
    </w:p>
  </w:footnote>
  <w:footnote w:id="11">
    <w:p w14:paraId="5CB5F9D5" w14:textId="6B83E279" w:rsidR="00AB5180" w:rsidRPr="008A17A9" w:rsidRDefault="00AB5180">
      <w:pPr>
        <w:pStyle w:val="Tekstprzypisudolnego"/>
        <w:rPr>
          <w:lang w:val="en-GB"/>
        </w:rPr>
      </w:pPr>
      <w:r w:rsidRPr="00F55491">
        <w:rPr>
          <w:rStyle w:val="Odwoanieprzypisudolnego"/>
        </w:rPr>
        <w:footnoteRef/>
      </w:r>
      <w:r w:rsidRPr="008A17A9">
        <w:rPr>
          <w:lang w:val="en-GB"/>
        </w:rPr>
        <w:t xml:space="preserve"> </w:t>
      </w:r>
      <w:r w:rsidRPr="008A17A9">
        <w:rPr>
          <w:rFonts w:ascii="Aptos" w:hAnsi="Aptos" w:cs="Calibri"/>
          <w:lang w:val="en-GB"/>
        </w:rPr>
        <w:t>Legalis nr 208640.</w:t>
      </w:r>
    </w:p>
  </w:footnote>
  <w:footnote w:id="12">
    <w:p w14:paraId="2A3AD37C" w14:textId="5ABE3F6D" w:rsidR="003D35A4" w:rsidRPr="00F55491" w:rsidRDefault="003D35A4">
      <w:pPr>
        <w:pStyle w:val="Tekstprzypisudolnego"/>
      </w:pPr>
      <w:r w:rsidRPr="00F55491">
        <w:rPr>
          <w:rStyle w:val="Odwoanieprzypisudolnego"/>
        </w:rPr>
        <w:footnoteRef/>
      </w:r>
      <w:r w:rsidRPr="00F55491">
        <w:t xml:space="preserve"> </w:t>
      </w:r>
      <w:r w:rsidRPr="00F55491">
        <w:rPr>
          <w:rFonts w:ascii="Aptos" w:hAnsi="Aptos" w:cs="Calibri"/>
        </w:rPr>
        <w:t xml:space="preserve">Dz. U. 2024 r., poz. 1264 t.j. z dnia </w:t>
      </w:r>
      <w:r w:rsidR="00BF71ED" w:rsidRPr="00F55491">
        <w:rPr>
          <w:rFonts w:ascii="Aptos" w:hAnsi="Aptos" w:cs="Calibri"/>
        </w:rPr>
        <w:t xml:space="preserve">21 sierpnia 2024 r. </w:t>
      </w:r>
    </w:p>
  </w:footnote>
  <w:footnote w:id="13">
    <w:p w14:paraId="0057CAC4" w14:textId="401EDD5D" w:rsidR="00202261" w:rsidRPr="00F55491" w:rsidRDefault="00202261">
      <w:pPr>
        <w:pStyle w:val="Tekstprzypisudolnego"/>
      </w:pPr>
      <w:r w:rsidRPr="00F55491">
        <w:rPr>
          <w:rStyle w:val="Odwoanieprzypisudolnego"/>
        </w:rPr>
        <w:footnoteRef/>
      </w:r>
      <w:r w:rsidRPr="00F55491">
        <w:t xml:space="preserve"> Dz. U. 2024 r., poz. </w:t>
      </w:r>
      <w:r w:rsidR="00EF64DE" w:rsidRPr="00F55491">
        <w:t>622 t.j. z dnia 23 kwietnia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9E0"/>
    <w:multiLevelType w:val="hybridMultilevel"/>
    <w:tmpl w:val="8A16EA32"/>
    <w:lvl w:ilvl="0" w:tplc="17A2E15E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770887"/>
    <w:multiLevelType w:val="hybridMultilevel"/>
    <w:tmpl w:val="BFF6EC9A"/>
    <w:lvl w:ilvl="0" w:tplc="799E1F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45789">
    <w:abstractNumId w:val="1"/>
  </w:num>
  <w:num w:numId="2" w16cid:durableId="1365061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2B"/>
    <w:rsid w:val="00003D11"/>
    <w:rsid w:val="0001234B"/>
    <w:rsid w:val="00013328"/>
    <w:rsid w:val="00017365"/>
    <w:rsid w:val="0001763A"/>
    <w:rsid w:val="00017EA2"/>
    <w:rsid w:val="0002331E"/>
    <w:rsid w:val="00030031"/>
    <w:rsid w:val="00034E7E"/>
    <w:rsid w:val="00040DC3"/>
    <w:rsid w:val="000427F5"/>
    <w:rsid w:val="00042F05"/>
    <w:rsid w:val="00044E15"/>
    <w:rsid w:val="000472C5"/>
    <w:rsid w:val="00050609"/>
    <w:rsid w:val="000506F1"/>
    <w:rsid w:val="00052933"/>
    <w:rsid w:val="0005299D"/>
    <w:rsid w:val="000535AB"/>
    <w:rsid w:val="00062F3B"/>
    <w:rsid w:val="00063998"/>
    <w:rsid w:val="0006522F"/>
    <w:rsid w:val="00066F14"/>
    <w:rsid w:val="00074802"/>
    <w:rsid w:val="00076B42"/>
    <w:rsid w:val="00080E6E"/>
    <w:rsid w:val="00081365"/>
    <w:rsid w:val="00085911"/>
    <w:rsid w:val="00091724"/>
    <w:rsid w:val="000963E9"/>
    <w:rsid w:val="000B1848"/>
    <w:rsid w:val="000B4F58"/>
    <w:rsid w:val="000C7AF8"/>
    <w:rsid w:val="000D2B39"/>
    <w:rsid w:val="000E1F96"/>
    <w:rsid w:val="000E3C7A"/>
    <w:rsid w:val="000E5024"/>
    <w:rsid w:val="000F159A"/>
    <w:rsid w:val="000F7A26"/>
    <w:rsid w:val="0010258B"/>
    <w:rsid w:val="00106EB9"/>
    <w:rsid w:val="00107FAA"/>
    <w:rsid w:val="00113078"/>
    <w:rsid w:val="0012034F"/>
    <w:rsid w:val="00120785"/>
    <w:rsid w:val="00122143"/>
    <w:rsid w:val="00125113"/>
    <w:rsid w:val="001456CB"/>
    <w:rsid w:val="00145A7B"/>
    <w:rsid w:val="00175A98"/>
    <w:rsid w:val="00182643"/>
    <w:rsid w:val="00187785"/>
    <w:rsid w:val="001A7FA8"/>
    <w:rsid w:val="001B0A40"/>
    <w:rsid w:val="001B48BF"/>
    <w:rsid w:val="001C628F"/>
    <w:rsid w:val="001D1F13"/>
    <w:rsid w:val="001D2CAE"/>
    <w:rsid w:val="001D4A99"/>
    <w:rsid w:val="001E0F3B"/>
    <w:rsid w:val="001E5BD4"/>
    <w:rsid w:val="001F40C5"/>
    <w:rsid w:val="00202261"/>
    <w:rsid w:val="002031F6"/>
    <w:rsid w:val="002164BB"/>
    <w:rsid w:val="00222560"/>
    <w:rsid w:val="00224383"/>
    <w:rsid w:val="00224C20"/>
    <w:rsid w:val="0022707C"/>
    <w:rsid w:val="00232AB4"/>
    <w:rsid w:val="002341F2"/>
    <w:rsid w:val="002372DD"/>
    <w:rsid w:val="002375F9"/>
    <w:rsid w:val="0024543B"/>
    <w:rsid w:val="00246899"/>
    <w:rsid w:val="00247FD6"/>
    <w:rsid w:val="00264403"/>
    <w:rsid w:val="00280621"/>
    <w:rsid w:val="00281D5E"/>
    <w:rsid w:val="0029392B"/>
    <w:rsid w:val="00294459"/>
    <w:rsid w:val="002979A5"/>
    <w:rsid w:val="002A02CD"/>
    <w:rsid w:val="002A2D70"/>
    <w:rsid w:val="002A7E9D"/>
    <w:rsid w:val="002B3680"/>
    <w:rsid w:val="002B69B6"/>
    <w:rsid w:val="002B7C61"/>
    <w:rsid w:val="002C17C8"/>
    <w:rsid w:val="002D4BD7"/>
    <w:rsid w:val="002E0FC9"/>
    <w:rsid w:val="002E2AFE"/>
    <w:rsid w:val="002E305E"/>
    <w:rsid w:val="002E6B00"/>
    <w:rsid w:val="002F7055"/>
    <w:rsid w:val="0030002D"/>
    <w:rsid w:val="00302F5E"/>
    <w:rsid w:val="00314FA0"/>
    <w:rsid w:val="00333509"/>
    <w:rsid w:val="003375BB"/>
    <w:rsid w:val="00386622"/>
    <w:rsid w:val="00390BFB"/>
    <w:rsid w:val="0039502C"/>
    <w:rsid w:val="003B24B9"/>
    <w:rsid w:val="003C6ECC"/>
    <w:rsid w:val="003D2783"/>
    <w:rsid w:val="003D35A4"/>
    <w:rsid w:val="003F7395"/>
    <w:rsid w:val="0040502B"/>
    <w:rsid w:val="00406275"/>
    <w:rsid w:val="00415226"/>
    <w:rsid w:val="00424D44"/>
    <w:rsid w:val="00425179"/>
    <w:rsid w:val="00425D96"/>
    <w:rsid w:val="004266E3"/>
    <w:rsid w:val="004270E3"/>
    <w:rsid w:val="004311EE"/>
    <w:rsid w:val="00437E8E"/>
    <w:rsid w:val="004447B9"/>
    <w:rsid w:val="004528EA"/>
    <w:rsid w:val="00452AF7"/>
    <w:rsid w:val="004535B1"/>
    <w:rsid w:val="00455547"/>
    <w:rsid w:val="00461F13"/>
    <w:rsid w:val="004648E5"/>
    <w:rsid w:val="00467248"/>
    <w:rsid w:val="004740C1"/>
    <w:rsid w:val="00481A95"/>
    <w:rsid w:val="004949BA"/>
    <w:rsid w:val="00497D59"/>
    <w:rsid w:val="004B576A"/>
    <w:rsid w:val="004C3C84"/>
    <w:rsid w:val="004D4B18"/>
    <w:rsid w:val="004E7048"/>
    <w:rsid w:val="004F28FC"/>
    <w:rsid w:val="004F366B"/>
    <w:rsid w:val="004F4C23"/>
    <w:rsid w:val="004F630C"/>
    <w:rsid w:val="004F76BC"/>
    <w:rsid w:val="00501113"/>
    <w:rsid w:val="00507234"/>
    <w:rsid w:val="00531B52"/>
    <w:rsid w:val="00535F4B"/>
    <w:rsid w:val="0053724E"/>
    <w:rsid w:val="005477C7"/>
    <w:rsid w:val="00552937"/>
    <w:rsid w:val="00556D3E"/>
    <w:rsid w:val="005610E0"/>
    <w:rsid w:val="00562944"/>
    <w:rsid w:val="00565E78"/>
    <w:rsid w:val="00581D89"/>
    <w:rsid w:val="00582B1D"/>
    <w:rsid w:val="00583C2F"/>
    <w:rsid w:val="005866EE"/>
    <w:rsid w:val="005874B6"/>
    <w:rsid w:val="005878DA"/>
    <w:rsid w:val="005953C6"/>
    <w:rsid w:val="005A49F8"/>
    <w:rsid w:val="005B1062"/>
    <w:rsid w:val="005D2023"/>
    <w:rsid w:val="005E0823"/>
    <w:rsid w:val="005E45E8"/>
    <w:rsid w:val="005F06F1"/>
    <w:rsid w:val="005F2087"/>
    <w:rsid w:val="00603BBA"/>
    <w:rsid w:val="0060515F"/>
    <w:rsid w:val="0060659F"/>
    <w:rsid w:val="006065AA"/>
    <w:rsid w:val="00613240"/>
    <w:rsid w:val="00613EA5"/>
    <w:rsid w:val="00622D13"/>
    <w:rsid w:val="0062735D"/>
    <w:rsid w:val="00634548"/>
    <w:rsid w:val="0065441A"/>
    <w:rsid w:val="006557AB"/>
    <w:rsid w:val="00657F46"/>
    <w:rsid w:val="006729D5"/>
    <w:rsid w:val="0067616C"/>
    <w:rsid w:val="00680467"/>
    <w:rsid w:val="00685656"/>
    <w:rsid w:val="00686AF6"/>
    <w:rsid w:val="00691D67"/>
    <w:rsid w:val="00694B05"/>
    <w:rsid w:val="006B3D40"/>
    <w:rsid w:val="006C4D29"/>
    <w:rsid w:val="006D00C0"/>
    <w:rsid w:val="006D4AA2"/>
    <w:rsid w:val="006E1D67"/>
    <w:rsid w:val="006E5136"/>
    <w:rsid w:val="006F1B50"/>
    <w:rsid w:val="006F301D"/>
    <w:rsid w:val="00702F1A"/>
    <w:rsid w:val="007049E4"/>
    <w:rsid w:val="00705D2A"/>
    <w:rsid w:val="0071348A"/>
    <w:rsid w:val="0071441D"/>
    <w:rsid w:val="007216F3"/>
    <w:rsid w:val="00722032"/>
    <w:rsid w:val="0072334F"/>
    <w:rsid w:val="0072350E"/>
    <w:rsid w:val="00723AFB"/>
    <w:rsid w:val="00737319"/>
    <w:rsid w:val="00746C73"/>
    <w:rsid w:val="007479FE"/>
    <w:rsid w:val="00752D1E"/>
    <w:rsid w:val="00756F02"/>
    <w:rsid w:val="00770B2D"/>
    <w:rsid w:val="007766E3"/>
    <w:rsid w:val="00784091"/>
    <w:rsid w:val="007843C6"/>
    <w:rsid w:val="0078454A"/>
    <w:rsid w:val="007A44C7"/>
    <w:rsid w:val="007B5AB9"/>
    <w:rsid w:val="007C6956"/>
    <w:rsid w:val="007C7B26"/>
    <w:rsid w:val="007D5404"/>
    <w:rsid w:val="007E486C"/>
    <w:rsid w:val="007F2309"/>
    <w:rsid w:val="007F791E"/>
    <w:rsid w:val="00800787"/>
    <w:rsid w:val="00805993"/>
    <w:rsid w:val="0081419A"/>
    <w:rsid w:val="0081476B"/>
    <w:rsid w:val="008212DD"/>
    <w:rsid w:val="00822AC9"/>
    <w:rsid w:val="008368C7"/>
    <w:rsid w:val="00845E04"/>
    <w:rsid w:val="00850A6C"/>
    <w:rsid w:val="008547B8"/>
    <w:rsid w:val="00855126"/>
    <w:rsid w:val="00863A21"/>
    <w:rsid w:val="0089208E"/>
    <w:rsid w:val="00896590"/>
    <w:rsid w:val="008A17A9"/>
    <w:rsid w:val="008B7A5E"/>
    <w:rsid w:val="008C68F3"/>
    <w:rsid w:val="008D2638"/>
    <w:rsid w:val="008F1157"/>
    <w:rsid w:val="008F32B4"/>
    <w:rsid w:val="0090097F"/>
    <w:rsid w:val="009069C8"/>
    <w:rsid w:val="0091505B"/>
    <w:rsid w:val="0091598A"/>
    <w:rsid w:val="00916711"/>
    <w:rsid w:val="00921271"/>
    <w:rsid w:val="009235CB"/>
    <w:rsid w:val="009245A7"/>
    <w:rsid w:val="00931C94"/>
    <w:rsid w:val="00934E36"/>
    <w:rsid w:val="00945ACA"/>
    <w:rsid w:val="009505A2"/>
    <w:rsid w:val="00955389"/>
    <w:rsid w:val="00963946"/>
    <w:rsid w:val="009713E9"/>
    <w:rsid w:val="00971A6C"/>
    <w:rsid w:val="0098118B"/>
    <w:rsid w:val="00982780"/>
    <w:rsid w:val="009B5A01"/>
    <w:rsid w:val="009B5C62"/>
    <w:rsid w:val="009C1B87"/>
    <w:rsid w:val="009C3DA1"/>
    <w:rsid w:val="009C6ADE"/>
    <w:rsid w:val="009E0899"/>
    <w:rsid w:val="009E3BC5"/>
    <w:rsid w:val="009F4651"/>
    <w:rsid w:val="00A04ED0"/>
    <w:rsid w:val="00A0589F"/>
    <w:rsid w:val="00A0756C"/>
    <w:rsid w:val="00A078CD"/>
    <w:rsid w:val="00A1649B"/>
    <w:rsid w:val="00A2085B"/>
    <w:rsid w:val="00A342A2"/>
    <w:rsid w:val="00A34F38"/>
    <w:rsid w:val="00A41DC8"/>
    <w:rsid w:val="00A420EA"/>
    <w:rsid w:val="00A47BDA"/>
    <w:rsid w:val="00A558FD"/>
    <w:rsid w:val="00A56111"/>
    <w:rsid w:val="00A57853"/>
    <w:rsid w:val="00A6510F"/>
    <w:rsid w:val="00A65137"/>
    <w:rsid w:val="00A700D8"/>
    <w:rsid w:val="00A75AA8"/>
    <w:rsid w:val="00A81754"/>
    <w:rsid w:val="00A83072"/>
    <w:rsid w:val="00A950FE"/>
    <w:rsid w:val="00AA677B"/>
    <w:rsid w:val="00AB0C0C"/>
    <w:rsid w:val="00AB1DA7"/>
    <w:rsid w:val="00AB1DB8"/>
    <w:rsid w:val="00AB34B1"/>
    <w:rsid w:val="00AB5180"/>
    <w:rsid w:val="00AC0298"/>
    <w:rsid w:val="00AC14C1"/>
    <w:rsid w:val="00AC6D43"/>
    <w:rsid w:val="00AE579D"/>
    <w:rsid w:val="00AE6512"/>
    <w:rsid w:val="00B00BF3"/>
    <w:rsid w:val="00B03F1C"/>
    <w:rsid w:val="00B07D5C"/>
    <w:rsid w:val="00B107DD"/>
    <w:rsid w:val="00B20E85"/>
    <w:rsid w:val="00B34437"/>
    <w:rsid w:val="00B34B63"/>
    <w:rsid w:val="00B36C72"/>
    <w:rsid w:val="00B4108F"/>
    <w:rsid w:val="00B4130B"/>
    <w:rsid w:val="00B46DF0"/>
    <w:rsid w:val="00B53598"/>
    <w:rsid w:val="00B54D23"/>
    <w:rsid w:val="00B609B8"/>
    <w:rsid w:val="00B63F51"/>
    <w:rsid w:val="00B70444"/>
    <w:rsid w:val="00B72A68"/>
    <w:rsid w:val="00B770E6"/>
    <w:rsid w:val="00B837B5"/>
    <w:rsid w:val="00B867C6"/>
    <w:rsid w:val="00BA12AE"/>
    <w:rsid w:val="00BB3210"/>
    <w:rsid w:val="00BD4917"/>
    <w:rsid w:val="00BD4C23"/>
    <w:rsid w:val="00BD6DED"/>
    <w:rsid w:val="00BE7C5E"/>
    <w:rsid w:val="00BF71ED"/>
    <w:rsid w:val="00C1311C"/>
    <w:rsid w:val="00C14179"/>
    <w:rsid w:val="00C159D5"/>
    <w:rsid w:val="00C20C8A"/>
    <w:rsid w:val="00C2177A"/>
    <w:rsid w:val="00C27702"/>
    <w:rsid w:val="00C404BA"/>
    <w:rsid w:val="00C55BDD"/>
    <w:rsid w:val="00C57312"/>
    <w:rsid w:val="00C603BF"/>
    <w:rsid w:val="00C65856"/>
    <w:rsid w:val="00C66CF3"/>
    <w:rsid w:val="00C66D2B"/>
    <w:rsid w:val="00C75F30"/>
    <w:rsid w:val="00C83C3C"/>
    <w:rsid w:val="00CB0070"/>
    <w:rsid w:val="00CB347B"/>
    <w:rsid w:val="00CD2743"/>
    <w:rsid w:val="00CE480F"/>
    <w:rsid w:val="00CE7A59"/>
    <w:rsid w:val="00CF60CB"/>
    <w:rsid w:val="00D13312"/>
    <w:rsid w:val="00D166DF"/>
    <w:rsid w:val="00D2658D"/>
    <w:rsid w:val="00D32F25"/>
    <w:rsid w:val="00D362CF"/>
    <w:rsid w:val="00D37A48"/>
    <w:rsid w:val="00D37BFC"/>
    <w:rsid w:val="00D462D9"/>
    <w:rsid w:val="00D51F53"/>
    <w:rsid w:val="00D9308E"/>
    <w:rsid w:val="00D931E0"/>
    <w:rsid w:val="00D9339B"/>
    <w:rsid w:val="00D96F3D"/>
    <w:rsid w:val="00DA34DC"/>
    <w:rsid w:val="00DB09EB"/>
    <w:rsid w:val="00DD4AF1"/>
    <w:rsid w:val="00DD4D4F"/>
    <w:rsid w:val="00DD5348"/>
    <w:rsid w:val="00DD5DAB"/>
    <w:rsid w:val="00DD6F46"/>
    <w:rsid w:val="00DE2832"/>
    <w:rsid w:val="00DE7D2D"/>
    <w:rsid w:val="00DF230F"/>
    <w:rsid w:val="00E2570E"/>
    <w:rsid w:val="00E6347B"/>
    <w:rsid w:val="00E70C67"/>
    <w:rsid w:val="00E80C89"/>
    <w:rsid w:val="00E8776F"/>
    <w:rsid w:val="00E929F8"/>
    <w:rsid w:val="00EA1C0F"/>
    <w:rsid w:val="00EB0CCB"/>
    <w:rsid w:val="00EB5362"/>
    <w:rsid w:val="00EC03FA"/>
    <w:rsid w:val="00EC2592"/>
    <w:rsid w:val="00ED407B"/>
    <w:rsid w:val="00ED7118"/>
    <w:rsid w:val="00EE654D"/>
    <w:rsid w:val="00EF64DE"/>
    <w:rsid w:val="00EF6CC3"/>
    <w:rsid w:val="00F1374D"/>
    <w:rsid w:val="00F14BA9"/>
    <w:rsid w:val="00F16048"/>
    <w:rsid w:val="00F273FF"/>
    <w:rsid w:val="00F449D5"/>
    <w:rsid w:val="00F55491"/>
    <w:rsid w:val="00F83493"/>
    <w:rsid w:val="00FA1E96"/>
    <w:rsid w:val="00FB7F8C"/>
    <w:rsid w:val="00FC45F4"/>
    <w:rsid w:val="00FC480C"/>
    <w:rsid w:val="00FC51A9"/>
    <w:rsid w:val="00FC7D31"/>
    <w:rsid w:val="00FD7DA7"/>
    <w:rsid w:val="00FE169B"/>
    <w:rsid w:val="00FE39B9"/>
    <w:rsid w:val="00FF04E3"/>
    <w:rsid w:val="00FF2F07"/>
    <w:rsid w:val="00FF45BB"/>
    <w:rsid w:val="00FF7DBA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B8D7"/>
  <w15:chartTrackingRefBased/>
  <w15:docId w15:val="{27124B51-81DC-F14D-9ED2-CCC87324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color w:val="000000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E15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392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92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92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92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92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92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9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9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92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92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92B"/>
    <w:pPr>
      <w:spacing w:before="160" w:line="240" w:lineRule="auto"/>
      <w:jc w:val="center"/>
    </w:pPr>
    <w:rPr>
      <w:rFonts w:ascii="Cambria" w:hAnsi="Cambria" w:cs="Times New Roman"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293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92B"/>
    <w:pPr>
      <w:spacing w:after="0" w:line="240" w:lineRule="auto"/>
      <w:ind w:left="720"/>
      <w:contextualSpacing/>
    </w:pPr>
    <w:rPr>
      <w:rFonts w:ascii="Cambria" w:hAnsi="Cambria" w:cs="Times New Roman"/>
      <w:color w:val="000000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93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92B"/>
    <w:rPr>
      <w:b/>
      <w:bCs/>
      <w:smallCaps/>
      <w:color w:val="0F4761" w:themeColor="accent1" w:themeShade="BF"/>
      <w:spacing w:val="5"/>
    </w:rPr>
  </w:style>
  <w:style w:type="character" w:customStyle="1" w:styleId="IGindeksgrny">
    <w:name w:val="_IG_ – indeks górny"/>
    <w:basedOn w:val="Domylnaczcionkaakapitu"/>
    <w:uiPriority w:val="2"/>
    <w:qFormat/>
    <w:rsid w:val="0029392B"/>
    <w:rPr>
      <w:b w:val="0"/>
      <w:i w:val="0"/>
      <w:vanish w:val="0"/>
      <w:spacing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9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D67"/>
    <w:rPr>
      <w:rFonts w:asciiTheme="minorHAnsi" w:hAnsiTheme="minorHAnsi" w:cstheme="minorBidi"/>
      <w:color w:val="auto"/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691D67"/>
  </w:style>
  <w:style w:type="character" w:styleId="Hipercze">
    <w:name w:val="Hyperlink"/>
    <w:basedOn w:val="Domylnaczcionkaakapitu"/>
    <w:uiPriority w:val="99"/>
    <w:unhideWhenUsed/>
    <w:rsid w:val="008212D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12D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D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D67"/>
    <w:rPr>
      <w:rFonts w:asciiTheme="minorHAnsi" w:hAnsiTheme="minorHAnsi" w:cstheme="minorBid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D6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6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2944"/>
    <w:rPr>
      <w:rFonts w:asciiTheme="minorHAnsi" w:hAnsiTheme="minorHAnsi" w:cstheme="minorBidi"/>
      <w:color w:val="auto"/>
      <w:sz w:val="22"/>
      <w:szCs w:val="22"/>
    </w:rPr>
  </w:style>
  <w:style w:type="paragraph" w:styleId="Bezodstpw">
    <w:name w:val="No Spacing"/>
    <w:uiPriority w:val="1"/>
    <w:qFormat/>
    <w:rsid w:val="00224C20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9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7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Steinborn</dc:creator>
  <cp:keywords/>
  <dc:description/>
  <cp:lastModifiedBy>Wiraszka-Bereza Beata  (DPK)</cp:lastModifiedBy>
  <cp:revision>6</cp:revision>
  <dcterms:created xsi:type="dcterms:W3CDTF">2026-02-10T11:12:00Z</dcterms:created>
  <dcterms:modified xsi:type="dcterms:W3CDTF">2026-02-16T12:48:00Z</dcterms:modified>
</cp:coreProperties>
</file>