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CC0B" w14:textId="77777777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65F706CA" w14:textId="77777777" w:rsidR="00036ACD" w:rsidRPr="009748BD" w:rsidRDefault="00036ACD" w:rsidP="00A4543A">
      <w:pPr>
        <w:keepNext/>
        <w:spacing w:before="240" w:after="60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2659919B" w14:textId="50CC602E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9748BD">
        <w:rPr>
          <w:rFonts w:ascii="Roboto" w:eastAsia="Times New Roman" w:hAnsi="Roboto"/>
          <w:b/>
          <w:bCs/>
          <w:kern w:val="32"/>
          <w:sz w:val="32"/>
          <w:szCs w:val="32"/>
        </w:rPr>
        <w:t>RAPORT NA TEMAT OBYWATELI UKRAINY</w:t>
      </w:r>
    </w:p>
    <w:p w14:paraId="5533B862" w14:textId="66952924" w:rsidR="00036ACD" w:rsidRPr="009748BD" w:rsidRDefault="00036ACD" w:rsidP="00036AC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9748BD">
        <w:rPr>
          <w:rFonts w:ascii="Roboto" w:eastAsia="Times New Roman" w:hAnsi="Roboto"/>
        </w:rPr>
        <w:t xml:space="preserve"> (wg stanu </w:t>
      </w:r>
      <w:r w:rsidRPr="00090A5D">
        <w:rPr>
          <w:rFonts w:ascii="Roboto" w:eastAsia="Times New Roman" w:hAnsi="Roboto"/>
        </w:rPr>
        <w:t xml:space="preserve">na </w:t>
      </w:r>
      <w:r w:rsidRPr="0077458C">
        <w:rPr>
          <w:rFonts w:ascii="Roboto" w:eastAsia="Times New Roman" w:hAnsi="Roboto"/>
        </w:rPr>
        <w:t>dzie</w:t>
      </w:r>
      <w:r w:rsidRPr="00B855D5">
        <w:rPr>
          <w:rFonts w:ascii="Roboto" w:eastAsia="Times New Roman" w:hAnsi="Roboto"/>
        </w:rPr>
        <w:t>ń</w:t>
      </w:r>
      <w:r w:rsidR="006B29FF" w:rsidRPr="00B855D5">
        <w:rPr>
          <w:rFonts w:ascii="Roboto" w:eastAsia="Times New Roman" w:hAnsi="Roboto"/>
        </w:rPr>
        <w:t xml:space="preserve"> </w:t>
      </w:r>
      <w:r w:rsidR="000F0A35" w:rsidRPr="00B855D5">
        <w:rPr>
          <w:rFonts w:ascii="Roboto" w:eastAsia="Times New Roman" w:hAnsi="Roboto"/>
        </w:rPr>
        <w:t>1</w:t>
      </w:r>
      <w:r w:rsidR="004C2FA7" w:rsidRPr="00B855D5">
        <w:rPr>
          <w:rFonts w:ascii="Roboto" w:eastAsia="Times New Roman" w:hAnsi="Roboto"/>
        </w:rPr>
        <w:t xml:space="preserve"> </w:t>
      </w:r>
      <w:r w:rsidR="00E16BC0">
        <w:rPr>
          <w:rFonts w:ascii="Roboto" w:eastAsia="Times New Roman" w:hAnsi="Roboto"/>
        </w:rPr>
        <w:t>maja</w:t>
      </w:r>
      <w:r w:rsidR="00211990" w:rsidRPr="00AD794C">
        <w:rPr>
          <w:rFonts w:ascii="Roboto" w:eastAsia="Times New Roman" w:hAnsi="Roboto"/>
        </w:rPr>
        <w:t xml:space="preserve"> </w:t>
      </w:r>
      <w:r w:rsidRPr="00AD794C">
        <w:rPr>
          <w:rFonts w:ascii="Roboto" w:eastAsiaTheme="minorEastAsia" w:hAnsi="Roboto" w:cs="Roboto"/>
          <w:color w:val="000000"/>
          <w:lang w:eastAsia="en-CA"/>
        </w:rPr>
        <w:t>202</w:t>
      </w:r>
      <w:r w:rsidR="00FB3E3A">
        <w:rPr>
          <w:rFonts w:ascii="Roboto" w:eastAsiaTheme="minorEastAsia" w:hAnsi="Roboto" w:cs="Roboto"/>
          <w:color w:val="000000"/>
          <w:lang w:eastAsia="en-CA"/>
        </w:rPr>
        <w:t>6</w:t>
      </w:r>
      <w:r w:rsidRPr="00AD794C">
        <w:rPr>
          <w:rFonts w:ascii="Roboto" w:eastAsiaTheme="minorEastAsia" w:hAnsi="Roboto" w:cs="Roboto"/>
          <w:color w:val="000000"/>
          <w:lang w:eastAsia="en-CA"/>
        </w:rPr>
        <w:t xml:space="preserve"> r.)</w:t>
      </w:r>
    </w:p>
    <w:p w14:paraId="3C355B1C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65F518B0" w14:textId="6CC7F436" w:rsidR="00036AC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4DF0A81D" w14:textId="77777777" w:rsidR="00595C1F" w:rsidRPr="009748BD" w:rsidRDefault="00595C1F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6C0F7C6" w14:textId="77777777" w:rsidR="00036ACD" w:rsidRPr="009748BD" w:rsidRDefault="00036ACD" w:rsidP="00036ACD">
      <w:pPr>
        <w:spacing w:after="0" w:line="240" w:lineRule="auto"/>
        <w:ind w:left="360"/>
        <w:rPr>
          <w:rStyle w:val="Nagwek3Znak"/>
          <w:rFonts w:ascii="Roboto" w:eastAsia="Calibri" w:hAnsi="Roboto"/>
        </w:rPr>
      </w:pPr>
    </w:p>
    <w:p w14:paraId="524C645F" w14:textId="695F8378" w:rsidR="00036ACD" w:rsidRPr="00C206E4" w:rsidRDefault="00036ACD" w:rsidP="00FC6ACB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 w:cs="Arial"/>
          <w:b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 xml:space="preserve">Wnioski </w:t>
      </w:r>
    </w:p>
    <w:p w14:paraId="57B37CB5" w14:textId="437FFE09" w:rsidR="00036ACD" w:rsidRPr="009748BD" w:rsidRDefault="00036ACD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78CFEE86" w14:textId="24F07BD6" w:rsidR="00925B44" w:rsidRDefault="002F0E8A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38CB8680" wp14:editId="72F3BA75">
            <wp:extent cx="6755040" cy="3605238"/>
            <wp:effectExtent l="0" t="0" r="8255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A35C58" w14:textId="5C1A9C2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03E615BC" w14:textId="2CDC874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45AFD2D3" w14:textId="7BDA5A57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Wnioski o udzielenie ochrony</w:t>
      </w:r>
    </w:p>
    <w:p w14:paraId="02C8AED9" w14:textId="77777777" w:rsidR="00981AFF" w:rsidRDefault="00981AFF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434A5DAA" w14:textId="06801CB7" w:rsidR="00981AFF" w:rsidRPr="00AA575E" w:rsidRDefault="00981AFF" w:rsidP="00981AFF">
      <w:pPr>
        <w:pStyle w:val="Akapitzlist"/>
        <w:spacing w:after="0"/>
        <w:ind w:left="708"/>
        <w:jc w:val="both"/>
        <w:rPr>
          <w:rFonts w:ascii="Roboto" w:hAnsi="Roboto"/>
        </w:rPr>
      </w:pPr>
      <w:r w:rsidRPr="00AA575E">
        <w:rPr>
          <w:rFonts w:ascii="Roboto" w:hAnsi="Roboto"/>
        </w:rPr>
        <w:t>W 2026 roku obywatele Ukrainy pozostają najliczniejszą grupą wnioskującą o ochronę (37% ogółu – 803 osoby). Mimo dużej liczby wniosków, wskaźnik uznawalności dla tej grupy jest niski i wynosi 5%, co jest skutkiem znacznej liczby decyzji negatywnych (1,3 tys. w analizowanym okresie). Obecnie w toku pozostają sprawy dotyczące ok. 3,2 tys. obywateli Ukrainy.</w:t>
      </w:r>
    </w:p>
    <w:p w14:paraId="0537B11D" w14:textId="77777777" w:rsidR="002F4041" w:rsidRPr="002F4041" w:rsidRDefault="002F4041" w:rsidP="00981AFF">
      <w:pPr>
        <w:pStyle w:val="Akapitzlist"/>
        <w:shd w:val="clear" w:color="auto" w:fill="FFFFFF"/>
        <w:spacing w:after="0" w:line="420" w:lineRule="atLeast"/>
        <w:ind w:left="1144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</w:p>
    <w:p w14:paraId="233F125A" w14:textId="77777777" w:rsidR="002F4041" w:rsidRPr="006759D4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4F620F01" w14:textId="38E7C905" w:rsidR="00925B44" w:rsidRDefault="00925B44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2F179BF6" w14:textId="37C6E95C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1BC410AF" w14:textId="77777777" w:rsidR="00036ACD" w:rsidRPr="009748BD" w:rsidRDefault="00036ACD" w:rsidP="00036ACD">
      <w:pPr>
        <w:pStyle w:val="Akapitzlist"/>
        <w:spacing w:after="0" w:line="240" w:lineRule="auto"/>
        <w:ind w:left="0"/>
        <w:rPr>
          <w:rFonts w:ascii="Roboto" w:hAnsi="Roboto"/>
          <w:sz w:val="18"/>
          <w:szCs w:val="18"/>
        </w:rPr>
      </w:pPr>
    </w:p>
    <w:p w14:paraId="16C6CEE5" w14:textId="5CA4F4C0" w:rsidR="00036ACD" w:rsidRPr="00AD335F" w:rsidRDefault="00036ACD" w:rsidP="0017601E">
      <w:pPr>
        <w:pStyle w:val="Akapitzlist"/>
        <w:spacing w:after="0" w:line="240" w:lineRule="auto"/>
        <w:ind w:left="0" w:firstLine="284"/>
        <w:rPr>
          <w:rFonts w:ascii="Roboto" w:hAnsi="Roboto"/>
          <w:b/>
          <w:sz w:val="18"/>
          <w:szCs w:val="18"/>
        </w:rPr>
      </w:pPr>
      <w:r w:rsidRPr="00AD335F">
        <w:rPr>
          <w:rFonts w:ascii="Roboto" w:hAnsi="Roboto"/>
          <w:b/>
          <w:sz w:val="18"/>
          <w:szCs w:val="18"/>
        </w:rPr>
        <w:t>Tabela 1: Liczba obywateli Ukrainy, którzy w latach 201</w:t>
      </w:r>
      <w:r w:rsidR="00B21907">
        <w:rPr>
          <w:rFonts w:ascii="Roboto" w:hAnsi="Roboto"/>
          <w:b/>
          <w:sz w:val="18"/>
          <w:szCs w:val="18"/>
        </w:rPr>
        <w:t>7</w:t>
      </w:r>
      <w:r w:rsidRPr="00AD335F">
        <w:rPr>
          <w:rFonts w:ascii="Roboto" w:hAnsi="Roboto"/>
          <w:b/>
          <w:sz w:val="18"/>
          <w:szCs w:val="18"/>
        </w:rPr>
        <w:t>-202</w:t>
      </w:r>
      <w:r w:rsidR="00B21907">
        <w:rPr>
          <w:rFonts w:ascii="Roboto" w:hAnsi="Roboto"/>
          <w:b/>
          <w:sz w:val="18"/>
          <w:szCs w:val="18"/>
        </w:rPr>
        <w:t>6</w:t>
      </w:r>
      <w:r w:rsidRPr="00AD335F">
        <w:rPr>
          <w:rFonts w:ascii="Roboto" w:hAnsi="Roboto"/>
          <w:b/>
          <w:sz w:val="18"/>
          <w:szCs w:val="18"/>
        </w:rPr>
        <w:t xml:space="preserve"> złożyli wniosek o udzielenie ochrony międzynarodowej w RP</w:t>
      </w:r>
    </w:p>
    <w:p w14:paraId="478C1E72" w14:textId="77777777" w:rsidR="00035571" w:rsidRPr="00AD335F" w:rsidRDefault="00035571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</w:p>
    <w:tbl>
      <w:tblPr>
        <w:tblW w:w="3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</w:tblGrid>
      <w:tr w:rsidR="00953750" w:rsidRPr="00953750" w14:paraId="0DADC620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FE59BB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C523FE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027E91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E82D4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</w:tr>
      <w:tr w:rsidR="00953750" w:rsidRPr="00953750" w14:paraId="7E8B3523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67B8F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728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D30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243E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5 078</w:t>
            </w:r>
          </w:p>
        </w:tc>
      </w:tr>
      <w:tr w:rsidR="00953750" w:rsidRPr="00953750" w14:paraId="07F88255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827F05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ADAB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6491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AA6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4 135</w:t>
            </w:r>
          </w:p>
        </w:tc>
      </w:tr>
      <w:tr w:rsidR="00953750" w:rsidRPr="00953750" w14:paraId="5F358262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ACAA0E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B73F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5C3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6A4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4 096</w:t>
            </w:r>
          </w:p>
        </w:tc>
      </w:tr>
      <w:tr w:rsidR="00953750" w:rsidRPr="00953750" w14:paraId="2362195D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D7DD85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EAB7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5F8C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5B5E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2 803</w:t>
            </w:r>
          </w:p>
        </w:tc>
      </w:tr>
      <w:tr w:rsidR="00953750" w:rsidRPr="00953750" w14:paraId="3689A7AA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73D423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03E7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8FCF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B857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7 699</w:t>
            </w:r>
          </w:p>
        </w:tc>
      </w:tr>
      <w:tr w:rsidR="00953750" w:rsidRPr="00953750" w14:paraId="308D3652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9F1F83A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B03F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3F4B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1B5B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9 933</w:t>
            </w:r>
          </w:p>
        </w:tc>
      </w:tr>
      <w:tr w:rsidR="00953750" w:rsidRPr="00953750" w14:paraId="1D30DBE2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469AD79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D1F3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2CB2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8534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9 513</w:t>
            </w:r>
          </w:p>
        </w:tc>
      </w:tr>
      <w:tr w:rsidR="00953750" w:rsidRPr="00953750" w14:paraId="466E9C67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6702538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76B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0A4D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9 993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EB10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17 053</w:t>
            </w:r>
          </w:p>
        </w:tc>
      </w:tr>
      <w:tr w:rsidR="00953750" w:rsidRPr="00953750" w14:paraId="0ECDB96C" w14:textId="77777777" w:rsidTr="00953750">
        <w:trPr>
          <w:trHeight w:val="24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C730239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0047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66C7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C8F9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13 232</w:t>
            </w:r>
          </w:p>
        </w:tc>
      </w:tr>
      <w:tr w:rsidR="00953750" w:rsidRPr="00953750" w14:paraId="0F60B06E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4F2A39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2D8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B3C5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1 379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443C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2 182</w:t>
            </w:r>
          </w:p>
        </w:tc>
      </w:tr>
      <w:tr w:rsidR="00953750" w:rsidRPr="00953750" w14:paraId="3576F0B5" w14:textId="77777777" w:rsidTr="00953750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5D1E8B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E695EEA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20 570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B6AF51F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55 154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14A965B" w14:textId="77777777" w:rsidR="00953750" w:rsidRPr="00953750" w:rsidRDefault="00953750" w:rsidP="009537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375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75 724</w:t>
            </w:r>
          </w:p>
        </w:tc>
      </w:tr>
    </w:tbl>
    <w:p w14:paraId="63FBF1AB" w14:textId="1BC83DBB" w:rsidR="00036ACD" w:rsidRPr="00AD335F" w:rsidRDefault="00036ACD" w:rsidP="00036ACD">
      <w:pPr>
        <w:pStyle w:val="Akapitzlist"/>
        <w:spacing w:after="0" w:line="240" w:lineRule="auto"/>
        <w:ind w:left="0"/>
        <w:rPr>
          <w:rFonts w:ascii="Roboto" w:eastAsiaTheme="minorHAnsi" w:hAnsi="Roboto" w:cstheme="minorBidi"/>
        </w:rPr>
      </w:pPr>
    </w:p>
    <w:p w14:paraId="5250193E" w14:textId="0442C712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Pomoc socjalna</w:t>
      </w:r>
    </w:p>
    <w:p w14:paraId="10DBA4A8" w14:textId="77777777" w:rsidR="00EF1943" w:rsidRDefault="00EF1943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155CDEFA" w14:textId="14F92756" w:rsidR="00EF1943" w:rsidRPr="00711077" w:rsidRDefault="00EF1943" w:rsidP="00EF1943">
      <w:pPr>
        <w:spacing w:after="0"/>
        <w:ind w:left="708"/>
        <w:jc w:val="both"/>
        <w:rPr>
          <w:rFonts w:ascii="Roboto" w:hAnsi="Roboto"/>
        </w:rPr>
      </w:pPr>
      <w:r w:rsidRPr="00711077">
        <w:rPr>
          <w:rFonts w:ascii="Roboto" w:hAnsi="Roboto"/>
        </w:rPr>
        <w:t>Systemem pomocy socjalnej Szefa UdSC objętych jest 2,5 tys. obywateli Ukrainy. W przeciwieństwie do populacji beneficjentów ochrony czasowej w Polsce, w tej grupie odnotowuje się przewagę mężczyzn (56%) nad kobietami (44%).</w:t>
      </w:r>
    </w:p>
    <w:p w14:paraId="5D309DD0" w14:textId="77777777" w:rsidR="002F4041" w:rsidRPr="00711077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sz w:val="24"/>
          <w:szCs w:val="24"/>
          <w:lang w:eastAsia="en-GB"/>
        </w:rPr>
      </w:pPr>
    </w:p>
    <w:p w14:paraId="11120DE8" w14:textId="77777777" w:rsidR="00EF1943" w:rsidRPr="00711077" w:rsidRDefault="00EF1943" w:rsidP="00EF1943">
      <w:pPr>
        <w:shd w:val="clear" w:color="auto" w:fill="FFFFFF"/>
        <w:spacing w:after="0"/>
        <w:ind w:left="708"/>
        <w:rPr>
          <w:rFonts w:ascii="Roboto" w:hAnsi="Roboto"/>
          <w:u w:val="single"/>
        </w:rPr>
      </w:pPr>
      <w:r w:rsidRPr="00711077">
        <w:rPr>
          <w:rFonts w:ascii="Roboto" w:hAnsi="Roboto"/>
          <w:u w:val="single"/>
        </w:rPr>
        <w:t>Formy wsparcia:</w:t>
      </w:r>
    </w:p>
    <w:p w14:paraId="201BA83E" w14:textId="77777777" w:rsidR="00EF1943" w:rsidRPr="00711077" w:rsidRDefault="00EF1943" w:rsidP="00EF1943">
      <w:pPr>
        <w:pStyle w:val="Akapitzlist"/>
        <w:numPr>
          <w:ilvl w:val="0"/>
          <w:numId w:val="20"/>
        </w:numPr>
        <w:shd w:val="clear" w:color="auto" w:fill="FFFFFF"/>
        <w:spacing w:after="0"/>
        <w:rPr>
          <w:rFonts w:ascii="Roboto" w:hAnsi="Roboto"/>
        </w:rPr>
      </w:pPr>
      <w:r w:rsidRPr="00711077">
        <w:rPr>
          <w:rFonts w:ascii="Roboto" w:hAnsi="Roboto"/>
        </w:rPr>
        <w:t>Ośrodki dla cudzoziemców: 1,3 tys. osób (zapewnione pełne utrzymanie).</w:t>
      </w:r>
    </w:p>
    <w:p w14:paraId="78319396" w14:textId="70239518" w:rsidR="00595C1F" w:rsidRPr="00711077" w:rsidRDefault="00EF1943" w:rsidP="00EF1943">
      <w:pPr>
        <w:pStyle w:val="Akapitzlist"/>
        <w:numPr>
          <w:ilvl w:val="0"/>
          <w:numId w:val="20"/>
        </w:numPr>
        <w:shd w:val="clear" w:color="auto" w:fill="FFFFFF"/>
        <w:spacing w:after="0"/>
        <w:rPr>
          <w:rFonts w:ascii="Roboto" w:hAnsi="Roboto"/>
        </w:rPr>
      </w:pPr>
      <w:r w:rsidRPr="00711077">
        <w:rPr>
          <w:rFonts w:ascii="Roboto" w:hAnsi="Roboto"/>
        </w:rPr>
        <w:t>Pobyt samodzielny: 1,2 tys. osób (ekwiwalent pieniężny na wynajem i wyżywienie).</w:t>
      </w:r>
    </w:p>
    <w:p w14:paraId="7472B8AC" w14:textId="77777777" w:rsidR="00EF1943" w:rsidRPr="00711077" w:rsidRDefault="00EF1943" w:rsidP="00595C1F">
      <w:pPr>
        <w:shd w:val="clear" w:color="auto" w:fill="FFFFFF"/>
        <w:spacing w:after="0"/>
        <w:ind w:left="360"/>
        <w:rPr>
          <w:rFonts w:ascii="Roboto" w:hAnsi="Roboto"/>
          <w:u w:val="single"/>
        </w:rPr>
      </w:pPr>
    </w:p>
    <w:p w14:paraId="6478CDE1" w14:textId="77777777" w:rsidR="00EF1943" w:rsidRPr="00711077" w:rsidRDefault="00EF1943" w:rsidP="00EF1943">
      <w:pPr>
        <w:shd w:val="clear" w:color="auto" w:fill="FFFFFF"/>
        <w:spacing w:after="0" w:line="360" w:lineRule="atLeast"/>
        <w:ind w:left="708"/>
        <w:rPr>
          <w:rFonts w:ascii="Roboto" w:hAnsi="Roboto"/>
          <w:u w:val="single"/>
        </w:rPr>
      </w:pPr>
      <w:r w:rsidRPr="00711077">
        <w:rPr>
          <w:rFonts w:ascii="Roboto" w:hAnsi="Roboto"/>
          <w:u w:val="single"/>
        </w:rPr>
        <w:t>Demografia:</w:t>
      </w:r>
    </w:p>
    <w:p w14:paraId="76C6EE1E" w14:textId="77777777" w:rsidR="00EF1943" w:rsidRPr="00711077" w:rsidRDefault="00EF1943" w:rsidP="00EF1943">
      <w:pPr>
        <w:pStyle w:val="Akapitzlist"/>
        <w:numPr>
          <w:ilvl w:val="0"/>
          <w:numId w:val="21"/>
        </w:numPr>
        <w:shd w:val="clear" w:color="auto" w:fill="FFFFFF"/>
        <w:spacing w:after="0" w:line="360" w:lineRule="atLeast"/>
        <w:rPr>
          <w:rFonts w:ascii="Roboto" w:hAnsi="Roboto"/>
        </w:rPr>
      </w:pPr>
      <w:r w:rsidRPr="00711077">
        <w:rPr>
          <w:rFonts w:ascii="Roboto" w:hAnsi="Roboto"/>
        </w:rPr>
        <w:t xml:space="preserve">Systemem objętych jest 0,7 tys. dzieci i młodzieży (28% grupy). </w:t>
      </w:r>
    </w:p>
    <w:p w14:paraId="0E5C8080" w14:textId="03644806" w:rsidR="0017601E" w:rsidRPr="00711077" w:rsidRDefault="00EF1943" w:rsidP="00EF1943">
      <w:pPr>
        <w:pStyle w:val="Akapitzlist"/>
        <w:numPr>
          <w:ilvl w:val="0"/>
          <w:numId w:val="21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11077">
        <w:rPr>
          <w:rFonts w:ascii="Roboto" w:hAnsi="Roboto"/>
        </w:rPr>
        <w:t>Pozostałe 72% to osoby dorosłe</w:t>
      </w:r>
    </w:p>
    <w:p w14:paraId="418B0A8B" w14:textId="73BC5109" w:rsidR="001845DC" w:rsidRDefault="00900440" w:rsidP="00ED6391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1A7DA98D" wp14:editId="0708FA2C">
            <wp:extent cx="6858000" cy="294005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20A6E4" w14:textId="77777777" w:rsidR="0017601E" w:rsidRDefault="0017601E" w:rsidP="00DE484B">
      <w:pPr>
        <w:spacing w:after="0" w:line="240" w:lineRule="auto"/>
        <w:ind w:firstLine="708"/>
        <w:rPr>
          <w:rStyle w:val="Nagwek3Znak"/>
          <w:rFonts w:ascii="Roboto" w:eastAsia="Calibri" w:hAnsi="Roboto"/>
        </w:rPr>
      </w:pPr>
    </w:p>
    <w:p w14:paraId="6E1A8AF4" w14:textId="2FFDFEB1" w:rsidR="00036ACD" w:rsidRPr="009720C2" w:rsidRDefault="009720C2" w:rsidP="00DE484B">
      <w:pPr>
        <w:spacing w:after="0" w:line="240" w:lineRule="auto"/>
        <w:ind w:firstLine="708"/>
        <w:rPr>
          <w:rFonts w:ascii="Roboto" w:hAnsi="Roboto"/>
          <w:b/>
          <w:bCs/>
          <w:sz w:val="26"/>
          <w:szCs w:val="26"/>
        </w:rPr>
      </w:pPr>
      <w:r>
        <w:rPr>
          <w:rStyle w:val="Nagwek3Znak"/>
          <w:rFonts w:ascii="Roboto" w:eastAsia="Calibri" w:hAnsi="Roboto"/>
        </w:rPr>
        <w:t xml:space="preserve">2. </w:t>
      </w:r>
      <w:r w:rsidR="00036ACD" w:rsidRPr="009720C2">
        <w:rPr>
          <w:rStyle w:val="Nagwek3Znak"/>
          <w:rFonts w:ascii="Roboto" w:eastAsia="Calibri" w:hAnsi="Roboto"/>
        </w:rPr>
        <w:t>Decyzje</w:t>
      </w:r>
    </w:p>
    <w:p w14:paraId="0B5199F8" w14:textId="45186236" w:rsidR="00036ACD" w:rsidRPr="009748BD" w:rsidRDefault="00036ACD" w:rsidP="00137683">
      <w:pPr>
        <w:spacing w:after="0" w:line="240" w:lineRule="auto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548C8527" w14:textId="46DF6666" w:rsidR="00036ACD" w:rsidRDefault="00276B63" w:rsidP="00CA4269">
      <w:pPr>
        <w:spacing w:after="0" w:line="240" w:lineRule="auto"/>
        <w:jc w:val="center"/>
        <w:rPr>
          <w:rFonts w:ascii="Roboto" w:eastAsia="Times New Roman" w:hAnsi="Roboto" w:cs="Arial"/>
          <w:color w:val="000000"/>
          <w:sz w:val="18"/>
          <w:lang w:eastAsia="pl-PL"/>
        </w:rPr>
      </w:pPr>
      <w:r>
        <w:rPr>
          <w:noProof/>
        </w:rPr>
        <w:drawing>
          <wp:inline distT="0" distB="0" distL="0" distR="0" wp14:anchorId="03683505" wp14:editId="7D28271A">
            <wp:extent cx="6858000" cy="402653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D94583" w14:textId="695441C5" w:rsidR="00595C1F" w:rsidRPr="005762BC" w:rsidRDefault="00993CCC" w:rsidP="00595C1F">
      <w:pPr>
        <w:spacing w:before="240" w:after="0"/>
        <w:ind w:left="360"/>
        <w:jc w:val="both"/>
        <w:rPr>
          <w:rFonts w:ascii="Roboto" w:hAnsi="Roboto"/>
          <w:u w:val="single"/>
        </w:rPr>
      </w:pPr>
      <w:r w:rsidRPr="005762BC">
        <w:rPr>
          <w:rFonts w:ascii="Roboto" w:hAnsi="Roboto"/>
          <w:u w:val="single"/>
        </w:rPr>
        <w:t xml:space="preserve">Dominacja decyzji negatywnych: </w:t>
      </w:r>
      <w:r w:rsidRPr="005762BC">
        <w:rPr>
          <w:rFonts w:ascii="Roboto" w:hAnsi="Roboto"/>
        </w:rPr>
        <w:t>Rok 2026 przyniósł kontynuację trendu z roku poprzedniego. Decyzje odmowne stanowią obecnie główny model rozstrzygnięć – do 1 maja wydano ich aż 1 318, co stanowi blisko 89% wszystkich decyzji merytorycznych. To znaczący wzrost w porównaniu do lat 2022–2024.</w:t>
      </w:r>
    </w:p>
    <w:p w14:paraId="2D0384D3" w14:textId="30770645" w:rsidR="00993CCC" w:rsidRPr="005762BC" w:rsidRDefault="00993CCC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Ochrona uzupełniająca:</w:t>
      </w:r>
      <w:r w:rsidRPr="005762BC">
        <w:rPr>
          <w:rFonts w:ascii="Roboto" w:hAnsi="Roboto"/>
        </w:rPr>
        <w:t xml:space="preserve"> Po rekordowym 2024 roku (3 897 decyzji), nastąpił wyraźny spadek. W pierwszych czterech miesiącach 2026 r. tę formę ochrony przyznano jedynie 66 osobom</w:t>
      </w:r>
      <w:r w:rsidR="00243880" w:rsidRPr="005762BC">
        <w:rPr>
          <w:rFonts w:ascii="Roboto" w:hAnsi="Roboto"/>
        </w:rPr>
        <w:t>.</w:t>
      </w:r>
    </w:p>
    <w:p w14:paraId="6415CFF0" w14:textId="0D124657" w:rsidR="0017601E" w:rsidRPr="005762BC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Status uchodźcy:</w:t>
      </w:r>
      <w:r w:rsidRPr="005762BC">
        <w:rPr>
          <w:rFonts w:ascii="Roboto" w:hAnsi="Roboto"/>
        </w:rPr>
        <w:t xml:space="preserve"> Pozostaje rzadką formą ochrony dla obywateli Ukrainy. W 2026 roku (do 1 </w:t>
      </w:r>
      <w:r w:rsidR="00D22C76" w:rsidRPr="005762BC">
        <w:rPr>
          <w:rFonts w:ascii="Roboto" w:hAnsi="Roboto"/>
        </w:rPr>
        <w:t>maja</w:t>
      </w:r>
      <w:r w:rsidRPr="005762BC">
        <w:rPr>
          <w:rFonts w:ascii="Roboto" w:hAnsi="Roboto"/>
        </w:rPr>
        <w:t>) przyznano go jedynie 1 osob</w:t>
      </w:r>
      <w:r w:rsidR="009E3D94" w:rsidRPr="005762BC">
        <w:rPr>
          <w:rFonts w:ascii="Roboto" w:hAnsi="Roboto"/>
        </w:rPr>
        <w:t>ie</w:t>
      </w:r>
      <w:r w:rsidRPr="005762BC">
        <w:rPr>
          <w:rFonts w:ascii="Roboto" w:hAnsi="Roboto"/>
        </w:rPr>
        <w:t xml:space="preserve">, co jest zbieżne z niskimi wartościami z lat ubiegłych (np. 6 osób w 2025 r., </w:t>
      </w:r>
      <w:r w:rsidR="00A92DE2" w:rsidRPr="005762BC">
        <w:rPr>
          <w:rFonts w:ascii="Roboto" w:hAnsi="Roboto"/>
        </w:rPr>
        <w:br/>
      </w:r>
      <w:r w:rsidRPr="005762BC">
        <w:rPr>
          <w:rFonts w:ascii="Roboto" w:hAnsi="Roboto"/>
        </w:rPr>
        <w:t>5 osób w 2024 r.).</w:t>
      </w:r>
    </w:p>
    <w:p w14:paraId="3FF92EB3" w14:textId="7A980A56" w:rsidR="0017601E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Umorzenia postępowań:</w:t>
      </w:r>
      <w:r w:rsidRPr="005762BC">
        <w:rPr>
          <w:rFonts w:ascii="Roboto" w:hAnsi="Roboto"/>
        </w:rPr>
        <w:t xml:space="preserve"> W 2025 r. odnotowano rekordową liczbę umorzeń (987). W pierwszy</w:t>
      </w:r>
      <w:r w:rsidR="00EF032F" w:rsidRPr="005762BC">
        <w:rPr>
          <w:rFonts w:ascii="Roboto" w:hAnsi="Roboto"/>
        </w:rPr>
        <w:t>ch czterech miesiącach</w:t>
      </w:r>
      <w:r w:rsidRPr="005762BC">
        <w:rPr>
          <w:rFonts w:ascii="Roboto" w:hAnsi="Roboto"/>
        </w:rPr>
        <w:t xml:space="preserve"> 2026 r. umorzono 2</w:t>
      </w:r>
      <w:r w:rsidR="00EF032F" w:rsidRPr="005762BC">
        <w:rPr>
          <w:rFonts w:ascii="Roboto" w:hAnsi="Roboto"/>
        </w:rPr>
        <w:t>29 postępowań</w:t>
      </w:r>
      <w:r w:rsidRPr="005762BC">
        <w:rPr>
          <w:rFonts w:ascii="Roboto" w:hAnsi="Roboto"/>
        </w:rPr>
        <w:t>, co sugeruje, że znaczna część wnioskodawców rezygnuje z procedury lub opuszcza terytorium RP przed jej zakończeniem</w:t>
      </w:r>
      <w:r w:rsidRPr="00CE4C89">
        <w:rPr>
          <w:rFonts w:ascii="Roboto" w:hAnsi="Roboto"/>
        </w:rPr>
        <w:t>.</w:t>
      </w:r>
    </w:p>
    <w:p w14:paraId="6DB79297" w14:textId="77777777" w:rsidR="007A393F" w:rsidRPr="009748BD" w:rsidRDefault="007A393F" w:rsidP="00036AC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18"/>
          <w:lang w:eastAsia="pl-PL"/>
        </w:rPr>
      </w:pPr>
    </w:p>
    <w:p w14:paraId="11D4E065" w14:textId="2044F1FA" w:rsidR="00036ACD" w:rsidRPr="007067AD" w:rsidRDefault="00036ACD" w:rsidP="005773B4">
      <w:pPr>
        <w:spacing w:after="0" w:line="240" w:lineRule="auto"/>
        <w:jc w:val="center"/>
        <w:rPr>
          <w:rFonts w:ascii="Roboto" w:eastAsia="Times New Roman" w:hAnsi="Roboto" w:cs="Arial"/>
          <w:b/>
          <w:u w:val="single"/>
          <w:lang w:eastAsia="pl-PL"/>
        </w:rPr>
      </w:pPr>
    </w:p>
    <w:p w14:paraId="2494FED0" w14:textId="53D7F0EB" w:rsidR="00036ACD" w:rsidRPr="009748BD" w:rsidRDefault="001E66B1" w:rsidP="00CA4269">
      <w:pPr>
        <w:spacing w:after="0" w:line="360" w:lineRule="auto"/>
        <w:jc w:val="center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1E42584A" wp14:editId="7698C64B">
            <wp:extent cx="6858000" cy="3185795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002651" w14:textId="77777777" w:rsidR="00036ACD" w:rsidRPr="009748B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i/>
          <w:iCs/>
          <w:sz w:val="28"/>
          <w:szCs w:val="28"/>
        </w:rPr>
        <w:t>Legalizacja pobytu</w:t>
      </w:r>
    </w:p>
    <w:p w14:paraId="070EAE3E" w14:textId="10659F21" w:rsidR="007B5739" w:rsidRPr="00535474" w:rsidRDefault="007B5739" w:rsidP="00396F1E">
      <w:pPr>
        <w:keepNext/>
        <w:spacing w:before="240" w:after="60"/>
        <w:ind w:left="708"/>
        <w:outlineLvl w:val="1"/>
        <w:rPr>
          <w:rFonts w:ascii="Roboto" w:hAnsi="Roboto"/>
        </w:rPr>
      </w:pPr>
      <w:r w:rsidRPr="00535474">
        <w:rPr>
          <w:rFonts w:ascii="Roboto" w:hAnsi="Roboto"/>
        </w:rPr>
        <w:t>Dane za pierwsze cztery miesiące 2026 r. wykazują bezprecedensową dynamikę w obszarze legalizacji pobytu obywateli Ukrainy, co potwierdza masowe przechodzenie z ochrony czasowej na zezwolenia pobytowe.</w:t>
      </w:r>
    </w:p>
    <w:p w14:paraId="1AD4C5FC" w14:textId="78973F2B" w:rsidR="002A3A5A" w:rsidRPr="00E22FB5" w:rsidRDefault="00036ACD" w:rsidP="00396F1E">
      <w:pPr>
        <w:keepNext/>
        <w:numPr>
          <w:ilvl w:val="0"/>
          <w:numId w:val="2"/>
        </w:numPr>
        <w:spacing w:before="240" w:after="60"/>
        <w:ind w:left="1428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>Wnioski i decyzje</w:t>
      </w:r>
    </w:p>
    <w:p w14:paraId="5D5F5C3D" w14:textId="77777777" w:rsidR="00E22FB5" w:rsidRPr="009748BD" w:rsidRDefault="00E22FB5" w:rsidP="00E22FB5">
      <w:pPr>
        <w:keepNext/>
        <w:spacing w:before="240" w:after="60"/>
        <w:ind w:left="72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</w:p>
    <w:p w14:paraId="4958E9E8" w14:textId="1C72114D" w:rsidR="007F6179" w:rsidRDefault="00105C8C" w:rsidP="000D0D82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5F0E78D5" wp14:editId="5F8A5105">
            <wp:extent cx="6762750" cy="356616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1032AE" w14:textId="19E21BB1" w:rsidR="009E3D94" w:rsidRPr="00EE6C34" w:rsidRDefault="009E3D94" w:rsidP="00396F1E">
      <w:pPr>
        <w:keepNext/>
        <w:spacing w:before="240" w:after="60"/>
        <w:ind w:left="708"/>
        <w:outlineLvl w:val="1"/>
        <w:rPr>
          <w:rFonts w:ascii="Roboto" w:hAnsi="Roboto"/>
          <w:b/>
        </w:rPr>
      </w:pPr>
      <w:r w:rsidRPr="00EE6C34">
        <w:rPr>
          <w:rFonts w:ascii="Roboto" w:hAnsi="Roboto"/>
          <w:b/>
        </w:rPr>
        <w:lastRenderedPageBreak/>
        <w:t>Wnioski o udzielenie zezwoleń</w:t>
      </w:r>
    </w:p>
    <w:p w14:paraId="76751D91" w14:textId="01A58344" w:rsidR="009E3D94" w:rsidRPr="0053547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czasowy</w:t>
      </w:r>
      <w:r w:rsidR="00717A02" w:rsidRPr="00535474">
        <w:rPr>
          <w:rFonts w:ascii="Roboto" w:hAnsi="Roboto"/>
          <w:u w:val="single"/>
        </w:rPr>
        <w:t xml:space="preserve"> (głównie praca i rodzina)</w:t>
      </w:r>
      <w:r w:rsidRPr="00535474">
        <w:rPr>
          <w:rFonts w:ascii="Roboto" w:hAnsi="Roboto"/>
          <w:u w:val="single"/>
        </w:rPr>
        <w:t>:</w:t>
      </w:r>
      <w:r w:rsidRPr="00535474">
        <w:rPr>
          <w:rFonts w:ascii="Roboto" w:hAnsi="Roboto"/>
        </w:rPr>
        <w:t xml:space="preserve"> </w:t>
      </w:r>
      <w:r w:rsidR="00717A02" w:rsidRPr="00535474">
        <w:rPr>
          <w:rFonts w:ascii="Roboto" w:hAnsi="Roboto"/>
        </w:rPr>
        <w:t>Z</w:t>
      </w:r>
      <w:r w:rsidRPr="00535474">
        <w:rPr>
          <w:rFonts w:ascii="Roboto" w:hAnsi="Roboto"/>
        </w:rPr>
        <w:t>łożono już 1</w:t>
      </w:r>
      <w:r w:rsidR="00C50AC3" w:rsidRPr="00535474">
        <w:rPr>
          <w:rFonts w:ascii="Roboto" w:hAnsi="Roboto"/>
        </w:rPr>
        <w:t>42</w:t>
      </w:r>
      <w:r w:rsidRPr="00535474">
        <w:rPr>
          <w:rFonts w:ascii="Roboto" w:hAnsi="Roboto"/>
        </w:rPr>
        <w:t>,</w:t>
      </w:r>
      <w:r w:rsidR="00C50AC3" w:rsidRPr="00535474">
        <w:rPr>
          <w:rFonts w:ascii="Roboto" w:hAnsi="Roboto"/>
        </w:rPr>
        <w:t>1</w:t>
      </w:r>
      <w:r w:rsidRPr="00535474">
        <w:rPr>
          <w:rFonts w:ascii="Roboto" w:hAnsi="Roboto"/>
        </w:rPr>
        <w:t xml:space="preserve"> tys. wniosków</w:t>
      </w:r>
      <w:r w:rsidR="00717A02" w:rsidRPr="00535474">
        <w:rPr>
          <w:rFonts w:ascii="Roboto" w:hAnsi="Roboto"/>
        </w:rPr>
        <w:t>.</w:t>
      </w:r>
      <w:r w:rsidRPr="00535474">
        <w:rPr>
          <w:rFonts w:ascii="Roboto" w:hAnsi="Roboto"/>
        </w:rPr>
        <w:t xml:space="preserve"> </w:t>
      </w:r>
      <w:r w:rsidR="00717A02" w:rsidRPr="00535474">
        <w:rPr>
          <w:rFonts w:ascii="Roboto" w:hAnsi="Roboto"/>
        </w:rPr>
        <w:t>Przy obecnym tempie rok 2026 może stać się rekordowym pod względem liczby postępowań o pobyt czasowy w całej historii zestawienia.</w:t>
      </w:r>
    </w:p>
    <w:p w14:paraId="361CB77D" w14:textId="10B170FB" w:rsidR="00717A02" w:rsidRPr="00535474" w:rsidRDefault="00717A02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rezydenta długoterminowego UE</w:t>
      </w:r>
      <w:r w:rsidRPr="00535474">
        <w:rPr>
          <w:rFonts w:ascii="Roboto" w:hAnsi="Roboto"/>
        </w:rPr>
        <w:t>: Odnotowano bardzo silny trend wzrostowy (8 123 wnioski). Liczba ta po zaledwie czterech miesiącach zbliża się do rocznych wyników z lat przedwojennych, co świadczy o głębokiej integracji i chęci osiedlenia się w Polsce na stałe</w:t>
      </w:r>
    </w:p>
    <w:p w14:paraId="58F3BDA4" w14:textId="4B403BE9" w:rsidR="009E3D94" w:rsidRPr="0053547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stały</w:t>
      </w:r>
      <w:r w:rsidRPr="00535474">
        <w:rPr>
          <w:rFonts w:ascii="Roboto" w:hAnsi="Roboto"/>
        </w:rPr>
        <w:t xml:space="preserve">: </w:t>
      </w:r>
      <w:r w:rsidR="00717A02" w:rsidRPr="00535474">
        <w:rPr>
          <w:rFonts w:ascii="Roboto" w:hAnsi="Roboto"/>
        </w:rPr>
        <w:t>Utrzymuje się na stabilnym poziomie (4,5 tys. wniosków), stanowiąc uzupełnienie głównego nurtu legalizacji opartego na pracy (pobyt czasowy).</w:t>
      </w:r>
    </w:p>
    <w:p w14:paraId="772EF2F9" w14:textId="5628BE73" w:rsidR="000358CD" w:rsidRPr="00894B30" w:rsidRDefault="009B66AF" w:rsidP="00894B30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41F361A" wp14:editId="32081543">
            <wp:extent cx="6743700" cy="3530600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B52C61" w14:textId="78E4A63A" w:rsidR="00717A02" w:rsidRPr="00535474" w:rsidRDefault="00717A02" w:rsidP="00396F1E">
      <w:pPr>
        <w:spacing w:before="240" w:after="0"/>
        <w:ind w:left="708"/>
        <w:jc w:val="both"/>
        <w:rPr>
          <w:rFonts w:ascii="Roboto" w:hAnsi="Roboto"/>
          <w:b/>
        </w:rPr>
      </w:pPr>
      <w:r w:rsidRPr="00535474">
        <w:rPr>
          <w:rFonts w:ascii="Roboto" w:hAnsi="Roboto"/>
          <w:b/>
        </w:rPr>
        <w:t>Decyzje pozytywne</w:t>
      </w:r>
    </w:p>
    <w:p w14:paraId="7742FDA1" w14:textId="57244D45" w:rsidR="00717A02" w:rsidRPr="00535474" w:rsidRDefault="00717A02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</w:rPr>
        <w:t>Analiza decyzji potwierdza, że rok 2026 jest okresem intensywnego procesowania spraw nagromadzonych w latach ubiegłych oraz spraw bieżących</w:t>
      </w:r>
    </w:p>
    <w:p w14:paraId="3E922F55" w14:textId="5B06A55D" w:rsidR="00717A02" w:rsidRPr="00535474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czasowy (</w:t>
      </w:r>
      <w:r w:rsidR="00717A02" w:rsidRPr="00535474">
        <w:rPr>
          <w:rFonts w:ascii="Roboto" w:hAnsi="Roboto"/>
          <w:u w:val="single"/>
        </w:rPr>
        <w:t>Skala masowa</w:t>
      </w:r>
      <w:r w:rsidRPr="00535474">
        <w:rPr>
          <w:rFonts w:ascii="Roboto" w:hAnsi="Roboto"/>
          <w:u w:val="single"/>
        </w:rPr>
        <w:t>):</w:t>
      </w:r>
      <w:r w:rsidRPr="00535474">
        <w:rPr>
          <w:rFonts w:ascii="Roboto" w:hAnsi="Roboto"/>
        </w:rPr>
        <w:t xml:space="preserve"> </w:t>
      </w:r>
      <w:r w:rsidR="00717A02" w:rsidRPr="00535474">
        <w:rPr>
          <w:rFonts w:ascii="Roboto" w:hAnsi="Roboto"/>
        </w:rPr>
        <w:t>Pozostaje głównym kanałem legalizacji. Do 1 maja wydano 61 tys. zezwoleń. Mimo że stanowi to ok. 28% wyniku z rekordowego 2025 roku, dynamika ta odzwierciedla ogromne obciążenie pracą organów administracyjnych przy rozpatrywaniu wniosków o pobyt czasowy.</w:t>
      </w:r>
    </w:p>
    <w:p w14:paraId="193BF351" w14:textId="72133780" w:rsidR="00717A02" w:rsidRPr="00535474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rezydenta długoterminowego UE (</w:t>
      </w:r>
      <w:r w:rsidR="00EE6C34" w:rsidRPr="00535474">
        <w:rPr>
          <w:rFonts w:ascii="Roboto" w:hAnsi="Roboto"/>
          <w:u w:val="single"/>
        </w:rPr>
        <w:t>tendencja osiedleńcza</w:t>
      </w:r>
      <w:r w:rsidRPr="00535474">
        <w:rPr>
          <w:rFonts w:ascii="Roboto" w:hAnsi="Roboto"/>
          <w:u w:val="single"/>
        </w:rPr>
        <w:t>):</w:t>
      </w:r>
      <w:r w:rsidRPr="00535474">
        <w:rPr>
          <w:rFonts w:ascii="Roboto" w:hAnsi="Roboto"/>
        </w:rPr>
        <w:t xml:space="preserve"> </w:t>
      </w:r>
      <w:r w:rsidR="00717A02" w:rsidRPr="00535474">
        <w:rPr>
          <w:rFonts w:ascii="Roboto" w:hAnsi="Roboto"/>
        </w:rPr>
        <w:t xml:space="preserve">To najbardziej znaczący wskaźnik integracji. Wydanie </w:t>
      </w:r>
      <w:r w:rsidR="00EE6C34" w:rsidRPr="00535474">
        <w:rPr>
          <w:rFonts w:ascii="Roboto" w:hAnsi="Roboto"/>
        </w:rPr>
        <w:t>blisko 6 tys.</w:t>
      </w:r>
      <w:r w:rsidR="00717A02" w:rsidRPr="00535474">
        <w:rPr>
          <w:rFonts w:ascii="Roboto" w:hAnsi="Roboto"/>
        </w:rPr>
        <w:t xml:space="preserve"> </w:t>
      </w:r>
      <w:r w:rsidR="00EE6C34" w:rsidRPr="00535474">
        <w:rPr>
          <w:rFonts w:ascii="Roboto" w:hAnsi="Roboto"/>
        </w:rPr>
        <w:t>zezwoleń</w:t>
      </w:r>
      <w:r w:rsidR="00717A02" w:rsidRPr="00535474">
        <w:rPr>
          <w:rFonts w:ascii="Roboto" w:hAnsi="Roboto"/>
        </w:rPr>
        <w:t xml:space="preserve"> w zaledwie 4 miesiące wskazuje na to, że rok 2026 będzie czwartym z rzędu rokiem rekordowym w tej kategorii. Potwierdza to ewolucję profilu obywatela Ukrainy w Polsce: z migranta czasowego w stałego mieszkańca dążącego do uzyskania pełnych praw </w:t>
      </w:r>
      <w:proofErr w:type="spellStart"/>
      <w:r w:rsidR="00717A02" w:rsidRPr="00535474">
        <w:rPr>
          <w:rFonts w:ascii="Roboto" w:hAnsi="Roboto"/>
        </w:rPr>
        <w:t>rezydenckich</w:t>
      </w:r>
      <w:proofErr w:type="spellEnd"/>
      <w:r w:rsidR="00EE6C34" w:rsidRPr="00535474">
        <w:rPr>
          <w:rFonts w:ascii="Roboto" w:hAnsi="Roboto"/>
        </w:rPr>
        <w:t>.</w:t>
      </w:r>
    </w:p>
    <w:p w14:paraId="322B3B59" w14:textId="36EC508F" w:rsidR="00EE6C34" w:rsidRPr="00535474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stały (Stabilizacja):</w:t>
      </w:r>
      <w:r w:rsidRPr="00535474">
        <w:rPr>
          <w:rFonts w:ascii="Roboto" w:hAnsi="Roboto"/>
        </w:rPr>
        <w:t xml:space="preserve"> </w:t>
      </w:r>
      <w:r w:rsidR="00EE6C34" w:rsidRPr="00535474">
        <w:rPr>
          <w:rFonts w:ascii="Roboto" w:hAnsi="Roboto"/>
        </w:rPr>
        <w:t>Utrzymuje się na stałym poziomie (2,7 tys. zezwoleń), pełniąc funkcję uzupełniającą wobec rosnącej popularności statusu rezydenta długoterminowego UE.</w:t>
      </w:r>
    </w:p>
    <w:p w14:paraId="77A9FE8D" w14:textId="5F65A848" w:rsidR="00036ACD" w:rsidRPr="00C11C4B" w:rsidRDefault="009B67E7" w:rsidP="00C11C4B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11C4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lastRenderedPageBreak/>
        <w:t>Tabela 2: Liczba osób objętych wnioskami o udzielenie zezwolenia na pobyt czasowy według celu złożenia wniosku:</w:t>
      </w:r>
    </w:p>
    <w:p w14:paraId="13612416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b/>
          <w:lang w:eastAsia="pl-P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79"/>
        <w:gridCol w:w="1120"/>
        <w:gridCol w:w="1120"/>
        <w:gridCol w:w="1120"/>
        <w:gridCol w:w="1120"/>
        <w:gridCol w:w="1120"/>
      </w:tblGrid>
      <w:tr w:rsidR="00FC041C" w:rsidRPr="00FC041C" w14:paraId="27158FA1" w14:textId="77777777" w:rsidTr="00FC041C">
        <w:trPr>
          <w:trHeight w:val="300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2D7F0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Cel pobytu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E2F252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770F59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94C82F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AD0A0C6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0B47C6A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FC041C" w:rsidRPr="00FC041C" w14:paraId="0D6B922A" w14:textId="77777777" w:rsidTr="00FC041C">
        <w:trPr>
          <w:trHeight w:val="300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33D1E9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87C06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FF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86 511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5DB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467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7 605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555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45F24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112 903</w:t>
            </w:r>
          </w:p>
        </w:tc>
      </w:tr>
      <w:tr w:rsidR="00FC041C" w:rsidRPr="00FC041C" w14:paraId="5A213B4B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313F8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21292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01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45A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458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4F05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5C39C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57 252</w:t>
            </w:r>
          </w:p>
        </w:tc>
      </w:tr>
      <w:tr w:rsidR="00FC041C" w:rsidRPr="00FC041C" w14:paraId="08D4A4CC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C8855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3707C8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27AD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122 693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A0701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F9DDBB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C16A3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CBD64E5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170 155</w:t>
            </w:r>
          </w:p>
        </w:tc>
      </w:tr>
      <w:tr w:rsidR="00FC041C" w:rsidRPr="00FC041C" w14:paraId="2A997F7C" w14:textId="77777777" w:rsidTr="00FC041C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2E679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108AEC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46D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107 297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8E6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FA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80C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83427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140 268</w:t>
            </w:r>
          </w:p>
        </w:tc>
      </w:tr>
      <w:tr w:rsidR="00FC041C" w:rsidRPr="00FC041C" w14:paraId="033116F4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C90FC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1304B1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86B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AA9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A59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954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BBB58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64 374</w:t>
            </w:r>
          </w:p>
        </w:tc>
      </w:tr>
      <w:tr w:rsidR="00FC041C" w:rsidRPr="00FC041C" w14:paraId="64763524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A469E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83C2CF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D584D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56DEC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ADB05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51F177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A91423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204 642</w:t>
            </w:r>
          </w:p>
        </w:tc>
      </w:tr>
      <w:tr w:rsidR="00FC041C" w:rsidRPr="00FC041C" w14:paraId="4E5CF059" w14:textId="77777777" w:rsidTr="00FC041C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E18949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C7BE0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2FB7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120 389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7C8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3C0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80B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46B364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162 191</w:t>
            </w:r>
          </w:p>
        </w:tc>
      </w:tr>
      <w:tr w:rsidR="00FC041C" w:rsidRPr="00FC041C" w14:paraId="06E6F0B7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D6B2F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85D6A6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595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8A44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31D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B8F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FB833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67 762</w:t>
            </w:r>
          </w:p>
        </w:tc>
      </w:tr>
      <w:tr w:rsidR="00FC041C" w:rsidRPr="00FC041C" w14:paraId="6700DEE3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D5473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8DB3EA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3C06A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8FF8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D0A2D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49535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DCF070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229 953</w:t>
            </w:r>
          </w:p>
        </w:tc>
      </w:tr>
      <w:tr w:rsidR="00FC041C" w:rsidRPr="00FC041C" w14:paraId="25002FF8" w14:textId="77777777" w:rsidTr="00FC041C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3A161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02C3D5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81B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4FC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1F8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20E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938FCB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191 939</w:t>
            </w:r>
          </w:p>
        </w:tc>
      </w:tr>
      <w:tr w:rsidR="00FC041C" w:rsidRPr="00FC041C" w14:paraId="4757B003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D130A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102739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7F3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BB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71A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1D22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606D8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68 151</w:t>
            </w:r>
          </w:p>
        </w:tc>
      </w:tr>
      <w:tr w:rsidR="00FC041C" w:rsidRPr="00FC041C" w14:paraId="20980C73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82B40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FE6A7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07B8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197 721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C06C7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E23C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7FE150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F3873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260 090</w:t>
            </w:r>
          </w:p>
        </w:tc>
      </w:tr>
      <w:tr w:rsidR="00FC041C" w:rsidRPr="00FC041C" w14:paraId="36F1B820" w14:textId="77777777" w:rsidTr="00FC041C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250BA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7FA4D8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D1E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204 143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5AA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4FB3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705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00FCD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261 822</w:t>
            </w:r>
          </w:p>
        </w:tc>
      </w:tr>
      <w:tr w:rsidR="00FC041C" w:rsidRPr="00FC041C" w14:paraId="70115888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1779E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6D9FD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6D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372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DEF0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875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65BD0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98 657</w:t>
            </w:r>
          </w:p>
        </w:tc>
      </w:tr>
      <w:tr w:rsidR="00FC041C" w:rsidRPr="00FC041C" w14:paraId="3DAB0D5B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7E52F0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40B301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003D5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280 578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3FCD6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6FB9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FE67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38 818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9A408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360 479</w:t>
            </w:r>
          </w:p>
        </w:tc>
      </w:tr>
      <w:tr w:rsidR="00FC041C" w:rsidRPr="00FC041C" w14:paraId="1BC4D8F7" w14:textId="77777777" w:rsidTr="00FC041C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2C355F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86B22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C73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C7AB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F5E3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EE9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DBEA9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290 584</w:t>
            </w:r>
          </w:p>
        </w:tc>
      </w:tr>
      <w:tr w:rsidR="00FC041C" w:rsidRPr="00FC041C" w14:paraId="4D16BB7E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4314D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A4524E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536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128 206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554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BA4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E687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27989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186 689</w:t>
            </w:r>
          </w:p>
        </w:tc>
      </w:tr>
      <w:tr w:rsidR="00FC041C" w:rsidRPr="00FC041C" w14:paraId="0A180A61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39F4C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A30E3B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65F5B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367 408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90C9F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A204F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A65773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757BB7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477 273</w:t>
            </w:r>
          </w:p>
        </w:tc>
      </w:tr>
      <w:tr w:rsidR="00FC041C" w:rsidRPr="00FC041C" w14:paraId="73937A2E" w14:textId="77777777" w:rsidTr="00FC041C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52D81F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9EF89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1F2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217 670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FB55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BAA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8A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51 567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D06A8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295 978</w:t>
            </w:r>
          </w:p>
        </w:tc>
      </w:tr>
      <w:tr w:rsidR="00FC041C" w:rsidRPr="00FC041C" w14:paraId="4ED52F74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33F4D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07246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04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164 487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7EA4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3D4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07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49 661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BB8474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257 079</w:t>
            </w:r>
          </w:p>
        </w:tc>
      </w:tr>
      <w:tr w:rsidR="00FC041C" w:rsidRPr="00FC041C" w14:paraId="4B5270B2" w14:textId="77777777" w:rsidTr="00FC041C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A62C2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BA2B6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E121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382 157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28940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3E00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7666A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101 228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4DD789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553 057</w:t>
            </w:r>
          </w:p>
        </w:tc>
      </w:tr>
      <w:tr w:rsidR="00FC041C" w:rsidRPr="00FC041C" w14:paraId="7A981FAE" w14:textId="77777777" w:rsidTr="00FC041C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BA32E8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3FCABE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BA6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211 308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0A63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534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9AE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6C236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252 823</w:t>
            </w:r>
          </w:p>
        </w:tc>
      </w:tr>
      <w:tr w:rsidR="00FC041C" w:rsidRPr="00FC041C" w14:paraId="092CE78C" w14:textId="77777777" w:rsidTr="00FC041C">
        <w:trPr>
          <w:trHeight w:val="353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4458E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ED2F6D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567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160 951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11F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770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61A7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F925D2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208 093</w:t>
            </w:r>
          </w:p>
        </w:tc>
      </w:tr>
      <w:tr w:rsidR="00FC041C" w:rsidRPr="00FC041C" w14:paraId="58BA42D8" w14:textId="77777777" w:rsidTr="00FC041C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B9BE3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80585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D87FA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372 259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A7112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42 021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4AB275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ACF472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2A66E5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460 916</w:t>
            </w:r>
          </w:p>
        </w:tc>
      </w:tr>
      <w:tr w:rsidR="00FC041C" w:rsidRPr="00FC041C" w14:paraId="1E98F9F9" w14:textId="77777777" w:rsidTr="00FC041C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A348A2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266BD6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A352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231 123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4B9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E2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E43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D5CFF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287 806</w:t>
            </w:r>
          </w:p>
        </w:tc>
      </w:tr>
      <w:tr w:rsidR="00FC041C" w:rsidRPr="00FC041C" w14:paraId="4B10F65F" w14:textId="77777777" w:rsidTr="00FC041C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A8FDC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2DD2ED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8611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146 837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2E50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1B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67B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4696B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220 303</w:t>
            </w:r>
          </w:p>
        </w:tc>
      </w:tr>
      <w:tr w:rsidR="00FC041C" w:rsidRPr="00FC041C" w14:paraId="0A250CF3" w14:textId="77777777" w:rsidTr="00FC041C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87912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98A37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9868A7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377 960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38E22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A0826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83B6F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CCCEC4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508 109</w:t>
            </w:r>
          </w:p>
        </w:tc>
      </w:tr>
      <w:tr w:rsidR="00FC041C" w:rsidRPr="00FC041C" w14:paraId="79B46000" w14:textId="77777777" w:rsidTr="00FC041C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6E6E4A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9E693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5924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121 425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55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A4D0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6BF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67E476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142 149</w:t>
            </w:r>
          </w:p>
        </w:tc>
      </w:tr>
      <w:tr w:rsidR="00FC041C" w:rsidRPr="00FC041C" w14:paraId="72C2A98A" w14:textId="77777777" w:rsidTr="00FC041C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3D7BD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82B54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FBC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57 881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A97B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D4D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B75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55E1C2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69 894</w:t>
            </w:r>
          </w:p>
        </w:tc>
      </w:tr>
      <w:tr w:rsidR="00FC041C" w:rsidRPr="00FC041C" w14:paraId="49A809EA" w14:textId="77777777" w:rsidTr="00FC041C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EF9B6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EE8838" w14:textId="77777777" w:rsidR="00FC041C" w:rsidRPr="00FC041C" w:rsidRDefault="00FC041C" w:rsidP="00FC041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CA2A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179 306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2910D4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749EB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B78FE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3D59BA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212 043</w:t>
            </w:r>
          </w:p>
        </w:tc>
      </w:tr>
      <w:tr w:rsidR="00FC041C" w:rsidRPr="00FC041C" w14:paraId="2EFF3BB6" w14:textId="77777777" w:rsidTr="00FC041C">
        <w:trPr>
          <w:trHeight w:val="315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912B93" w14:textId="77777777" w:rsidR="00FC041C" w:rsidRPr="00FC041C" w:rsidRDefault="00FC041C" w:rsidP="00FC04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190E0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2 591 074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5FBF7D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347 986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41D748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157 295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ECB9D3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340 362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A1B73C" w14:textId="77777777" w:rsidR="00FC041C" w:rsidRPr="00FC041C" w:rsidRDefault="00FC041C" w:rsidP="00FC041C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041C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3 436 717</w:t>
            </w:r>
          </w:p>
        </w:tc>
      </w:tr>
    </w:tbl>
    <w:p w14:paraId="10B216B1" w14:textId="77777777" w:rsidR="00036ACD" w:rsidRPr="009748BD" w:rsidRDefault="00036ACD" w:rsidP="009C4737">
      <w:pPr>
        <w:spacing w:after="0" w:line="240" w:lineRule="auto"/>
        <w:jc w:val="center"/>
        <w:rPr>
          <w:rFonts w:ascii="Roboto" w:hAnsi="Roboto"/>
          <w:lang w:eastAsia="pl-PL"/>
        </w:rPr>
      </w:pPr>
    </w:p>
    <w:p w14:paraId="4B5C87FC" w14:textId="77777777" w:rsidR="00036ACD" w:rsidRPr="009748BD" w:rsidRDefault="00036ACD" w:rsidP="00036ACD">
      <w:pPr>
        <w:spacing w:after="0" w:line="240" w:lineRule="auto"/>
        <w:jc w:val="both"/>
        <w:rPr>
          <w:rStyle w:val="Odwoaniedokomentarza"/>
          <w:rFonts w:ascii="Roboto" w:hAnsi="Roboto"/>
        </w:rPr>
      </w:pPr>
    </w:p>
    <w:p w14:paraId="37D99D86" w14:textId="77777777" w:rsidR="00036ACD" w:rsidRPr="009748BD" w:rsidRDefault="00036ACD" w:rsidP="00036ACD">
      <w:pPr>
        <w:spacing w:after="0" w:line="240" w:lineRule="auto"/>
        <w:jc w:val="both"/>
        <w:rPr>
          <w:rStyle w:val="Odwoaniedokomentarza"/>
          <w:rFonts w:ascii="Roboto" w:hAnsi="Roboto"/>
        </w:rPr>
      </w:pPr>
    </w:p>
    <w:p w14:paraId="619E4671" w14:textId="1001535E" w:rsidR="009B67E7" w:rsidRPr="00A57586" w:rsidRDefault="009B67E7" w:rsidP="00FF72AF">
      <w:pPr>
        <w:spacing w:after="0"/>
        <w:jc w:val="both"/>
        <w:rPr>
          <w:rFonts w:ascii="Roboto" w:eastAsia="Times New Roman" w:hAnsi="Roboto" w:cs="Calibri"/>
          <w:b/>
          <w:bCs/>
          <w:sz w:val="16"/>
          <w:szCs w:val="16"/>
          <w:lang w:eastAsia="pl-PL"/>
        </w:rPr>
      </w:pPr>
    </w:p>
    <w:p w14:paraId="6E8C2698" w14:textId="3D622E13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  <w:r w:rsidRPr="00A57586">
        <w:rPr>
          <w:rFonts w:ascii="Roboto" w:hAnsi="Roboto"/>
          <w:b/>
        </w:rPr>
        <w:t xml:space="preserve">Struktura celów pobytowych </w:t>
      </w:r>
    </w:p>
    <w:p w14:paraId="7A8E7208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634D8EC5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</w:rPr>
        <w:t>Analiza danych z lat 2017–2026 wskazuje na postępującą dominację celów zawodowych w procesie legalizacji pobytu obywateli Ukrainy. Dane za pierwsze cztery miesiące 2026 r. potwierdzają ten trend:</w:t>
      </w:r>
    </w:p>
    <w:p w14:paraId="72F2FECF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0F6601BE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Praca jako fundament (85%):</w:t>
      </w:r>
      <w:r w:rsidRPr="00A57586">
        <w:rPr>
          <w:rFonts w:ascii="Roboto" w:hAnsi="Roboto"/>
        </w:rPr>
        <w:t xml:space="preserve"> Na łączną liczbę 142 tys. wniosków złożonych przez obywateli Ukrainy, aż 121 tys. dotyczyło wykonywania pracy. Jest to najwyższy odsetek w historii, co świadczy o pełnej integracji z polskim rynkiem pracy.</w:t>
      </w:r>
    </w:p>
    <w:p w14:paraId="38CA382F" w14:textId="77777777" w:rsidR="00EE6C34" w:rsidRPr="00EE6C34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color w:val="002060"/>
        </w:rPr>
      </w:pPr>
    </w:p>
    <w:p w14:paraId="1D1BB892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Rodzina (12%):</w:t>
      </w:r>
      <w:r w:rsidRPr="00A57586">
        <w:rPr>
          <w:rFonts w:ascii="Roboto" w:hAnsi="Roboto"/>
        </w:rPr>
        <w:t xml:space="preserve"> Pozostaje drugim najważniejszym celem (blisko 17 tys. wniosków). Stabilna liczba wniosków w tej kategorii wskazuje na postępujący proces łączenia rodzin i stabilizacji życia w Polsce.</w:t>
      </w:r>
    </w:p>
    <w:p w14:paraId="32EA8E20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24A0A5F1" w14:textId="79744BEF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Edukacja (marginalizacja):</w:t>
      </w:r>
      <w:r w:rsidRPr="00A57586">
        <w:rPr>
          <w:rFonts w:ascii="Roboto" w:hAnsi="Roboto"/>
        </w:rPr>
        <w:t xml:space="preserve"> Odnotowano historycznie najniższą liczbę wniosków w tej kategorii (702), co stanowi ułamek wartości z lat ubiegłych. Spadek ten jest efektem optymalizacji. Ukraińcy wybierają te ścieżki legalizacji, które dają im więcej praw (Praca) lub są łatwiejsze (Ochrona czasowa), rezygnując z wąskiej i wymagającej dodatkowych dokumentów kategorii „Edukacja”.</w:t>
      </w:r>
    </w:p>
    <w:p w14:paraId="338E4386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18E98F7B" w14:textId="0349B2EF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Pozostałe:</w:t>
      </w:r>
      <w:r w:rsidRPr="00A57586">
        <w:rPr>
          <w:rFonts w:ascii="Roboto" w:hAnsi="Roboto"/>
        </w:rPr>
        <w:t xml:space="preserve"> Obejmują zaledwie 3 tys. wniosków, co pokazuje, że cudzoziemcy precyzyjnie dopasowują cel pobytu do dwóch głównych ścieżek: pracy lub więzi rodzinnych.</w:t>
      </w:r>
    </w:p>
    <w:p w14:paraId="0E6424F6" w14:textId="77777777" w:rsidR="00EE6C34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37BFEAA" w14:textId="77777777" w:rsidR="00595C1F" w:rsidRPr="00F10A5F" w:rsidRDefault="00595C1F" w:rsidP="00595C1F">
      <w:pPr>
        <w:pStyle w:val="Akapitzlist"/>
        <w:shd w:val="clear" w:color="auto" w:fill="FFFFFF"/>
        <w:spacing w:after="0"/>
        <w:ind w:left="1428"/>
        <w:jc w:val="both"/>
        <w:rPr>
          <w:rFonts w:ascii="Roboto" w:hAnsi="Roboto"/>
        </w:rPr>
      </w:pPr>
    </w:p>
    <w:p w14:paraId="5B4851A5" w14:textId="57965F64" w:rsidR="00036ACD" w:rsidRPr="00DE7093" w:rsidRDefault="00036ACD" w:rsidP="00DE7093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3: Liczba osób, wobec których w latach 201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7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-202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6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 xml:space="preserve"> wydano decyzję o udzieleniu zezwolenia na pobyt czasowy</w:t>
      </w:r>
      <w:r w:rsidR="00802C22"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:</w:t>
      </w:r>
    </w:p>
    <w:p w14:paraId="3C8E6E5A" w14:textId="2CE08A78" w:rsidR="00036ACD" w:rsidRDefault="00036ACD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3D2CEEE4" w14:textId="77777777" w:rsidR="00D40FC2" w:rsidRPr="009748BD" w:rsidRDefault="00D40FC2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tbl>
      <w:tblPr>
        <w:tblW w:w="6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846"/>
        <w:gridCol w:w="725"/>
        <w:gridCol w:w="984"/>
        <w:gridCol w:w="984"/>
        <w:gridCol w:w="984"/>
        <w:gridCol w:w="1305"/>
      </w:tblGrid>
      <w:tr w:rsidR="00F949EB" w:rsidRPr="00F949EB" w14:paraId="75CB53DB" w14:textId="77777777" w:rsidTr="002724AC">
        <w:trPr>
          <w:trHeight w:val="352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131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289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486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81F4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4F6B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DA5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F949EB" w:rsidRPr="00F949EB" w14:paraId="1D9AB840" w14:textId="77777777" w:rsidTr="002724AC">
        <w:trPr>
          <w:trHeight w:val="422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5CEE80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365461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E9B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576A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39C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53 391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5616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673F2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70 268</w:t>
            </w:r>
          </w:p>
        </w:tc>
      </w:tr>
      <w:tr w:rsidR="00F949EB" w:rsidRPr="00F949EB" w14:paraId="149F34FE" w14:textId="77777777" w:rsidTr="002724AC">
        <w:trPr>
          <w:trHeight w:val="422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1E9B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1F25C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62E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4 720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FE15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5 325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44B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19 689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1F8E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28D30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32 951</w:t>
            </w:r>
          </w:p>
        </w:tc>
      </w:tr>
      <w:tr w:rsidR="002724AC" w:rsidRPr="00F949EB" w14:paraId="33787E52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C3D9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631EE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61FA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07FE64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B6FDD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73 080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3443A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4E3EA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103 219</w:t>
            </w:r>
          </w:p>
        </w:tc>
      </w:tr>
      <w:tr w:rsidR="00F949EB" w:rsidRPr="00F949EB" w14:paraId="313534CD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92E25C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02C3B5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B9E4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301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3758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58 394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147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8 236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C99CD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80 231</w:t>
            </w:r>
          </w:p>
        </w:tc>
      </w:tr>
      <w:tr w:rsidR="00F949EB" w:rsidRPr="00F949EB" w14:paraId="35C59159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6274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8EF02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E4A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056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253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17 874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AD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3AD21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33 824</w:t>
            </w:r>
          </w:p>
        </w:tc>
      </w:tr>
      <w:tr w:rsidR="002724AC" w:rsidRPr="00F949EB" w14:paraId="062B2D3A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CC4F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BEFC2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099F1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294FB5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E3B37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76 268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988FF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95628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114 055</w:t>
            </w:r>
          </w:p>
        </w:tc>
      </w:tr>
      <w:tr w:rsidR="00F949EB" w:rsidRPr="00F949EB" w14:paraId="02A5EE15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72C4BD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F2691D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714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10 648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62E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055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71 831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A065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013D6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99 936</w:t>
            </w:r>
          </w:p>
        </w:tc>
      </w:tr>
      <w:tr w:rsidR="00F949EB" w:rsidRPr="00F949EB" w14:paraId="18BDF210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07D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A1727A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5B7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0678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EAC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21 915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58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B1BFF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39 431</w:t>
            </w:r>
          </w:p>
        </w:tc>
      </w:tr>
      <w:tr w:rsidR="002724AC" w:rsidRPr="00F949EB" w14:paraId="436BDE03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FCEB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22AA8C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F59B45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17 666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27AD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E41C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D2176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9AD57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139 367</w:t>
            </w:r>
          </w:p>
        </w:tc>
      </w:tr>
      <w:tr w:rsidR="00F949EB" w:rsidRPr="00F949EB" w14:paraId="7B104A77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30F93A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D5DB46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BE8F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3B4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100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74 824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977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11 047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12E76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103 347</w:t>
            </w:r>
          </w:p>
        </w:tc>
      </w:tr>
      <w:tr w:rsidR="00F949EB" w:rsidRPr="00F949EB" w14:paraId="2C259AAC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31F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B5AE5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ECD8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D24A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4716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24 804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E78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27D17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41 046</w:t>
            </w:r>
          </w:p>
        </w:tc>
      </w:tr>
      <w:tr w:rsidR="002724AC" w:rsidRPr="00F949EB" w14:paraId="531452B0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7E9E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254DD7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27EDC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21 745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DA89E6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10 907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E8FE6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113 481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751BBF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16 789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6562A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144 393</w:t>
            </w:r>
          </w:p>
        </w:tc>
      </w:tr>
      <w:tr w:rsidR="00F949EB" w:rsidRPr="00F949EB" w14:paraId="04B29980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B50413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6A3A73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16AE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13 759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074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D2A5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100 025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A3D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8174C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130 740</w:t>
            </w:r>
          </w:p>
        </w:tc>
      </w:tr>
      <w:tr w:rsidR="00F949EB" w:rsidRPr="00F949EB" w14:paraId="550D3DEB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83A3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1F0A2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70B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D0C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42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29 766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DDA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DA0C4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33 225</w:t>
            </w:r>
          </w:p>
        </w:tc>
      </w:tr>
      <w:tr w:rsidR="002724AC" w:rsidRPr="00F949EB" w14:paraId="4D6D5C6F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3B7B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AFD918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8277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7FC1F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4145F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129 791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5429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17 762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93184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163 965</w:t>
            </w:r>
          </w:p>
        </w:tc>
      </w:tr>
      <w:tr w:rsidR="00F949EB" w:rsidRPr="00F949EB" w14:paraId="38C6EA03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7FF31A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E120D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3BE4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5207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A9DA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178 434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084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18638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213 298</w:t>
            </w:r>
          </w:p>
        </w:tc>
      </w:tr>
      <w:tr w:rsidR="00F949EB" w:rsidRPr="00F949EB" w14:paraId="053DEDDA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3C7F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79B1F2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AA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11 447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A45E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8 751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8C3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60 845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845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D777F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89 183</w:t>
            </w:r>
          </w:p>
        </w:tc>
      </w:tr>
      <w:tr w:rsidR="002724AC" w:rsidRPr="00F949EB" w14:paraId="16145A44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65D7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81C8EE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6294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27 643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69ECE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B2DDB2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EFC5D7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24 322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58A38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302 481</w:t>
            </w:r>
          </w:p>
        </w:tc>
      </w:tr>
      <w:tr w:rsidR="00F949EB" w:rsidRPr="00F949EB" w14:paraId="1EAEFFF5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D7A6F7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2D176A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1480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47E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2 669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DEE8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153 554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50A2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26 366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43556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199 848</w:t>
            </w:r>
          </w:p>
        </w:tc>
      </w:tr>
      <w:tr w:rsidR="00F949EB" w:rsidRPr="00F949EB" w14:paraId="24019FC0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1A11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5AE3A1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6F14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3912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13 061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231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C2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10 540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B7198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134 530</w:t>
            </w:r>
          </w:p>
        </w:tc>
      </w:tr>
      <w:tr w:rsidR="002724AC" w:rsidRPr="00F949EB" w14:paraId="23F0602E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3FD2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4F4889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9E8351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34 483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08234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15 730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30058A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247 259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17AB1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9FEF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334 378</w:t>
            </w:r>
          </w:p>
        </w:tc>
      </w:tr>
      <w:tr w:rsidR="00F949EB" w:rsidRPr="00F949EB" w14:paraId="799278AC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A67BB5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E4B508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CB6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18 793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CE12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483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148 731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C20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27 052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B0C44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195 904</w:t>
            </w:r>
          </w:p>
        </w:tc>
      </w:tr>
      <w:tr w:rsidR="00F949EB" w:rsidRPr="00F949EB" w14:paraId="5FA90B32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54E0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C0C88D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A56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14 829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17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9 064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F58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77 506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9DA2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D2172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114 281</w:t>
            </w:r>
          </w:p>
        </w:tc>
      </w:tr>
      <w:tr w:rsidR="002724AC" w:rsidRPr="00F949EB" w14:paraId="7EE2719E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75DF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9DDC1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BD04C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33 622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6C89E7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10 392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32D53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226 237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1E8ACA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39 934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F45B9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310 185</w:t>
            </w:r>
          </w:p>
        </w:tc>
      </w:tr>
      <w:tr w:rsidR="00F949EB" w:rsidRPr="00F949EB" w14:paraId="735E4F70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2DA912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BBECE3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6FA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31 320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DD98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0554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172 197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40B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13 434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4F600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218 134</w:t>
            </w:r>
          </w:p>
        </w:tc>
      </w:tr>
      <w:tr w:rsidR="00F949EB" w:rsidRPr="00F949EB" w14:paraId="638BD892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7C0B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156B52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DA8A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D15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8 411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2EC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78 822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444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8 878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624BA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110 291</w:t>
            </w:r>
          </w:p>
        </w:tc>
      </w:tr>
      <w:tr w:rsidR="002724AC" w:rsidRPr="00F949EB" w14:paraId="4CDA4B56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38D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91FB06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57F4D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45 500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99A67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852C46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251 019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003E85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22 312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B138F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328 425</w:t>
            </w:r>
          </w:p>
        </w:tc>
      </w:tr>
      <w:tr w:rsidR="00F949EB" w:rsidRPr="00F949EB" w14:paraId="2371047B" w14:textId="77777777" w:rsidTr="002724AC">
        <w:trPr>
          <w:trHeight w:val="281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8912C8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27C1E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F4E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5D52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E18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45 963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414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3 867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DFC9E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61 303</w:t>
            </w:r>
          </w:p>
        </w:tc>
      </w:tr>
      <w:tr w:rsidR="00F949EB" w:rsidRPr="00F949EB" w14:paraId="741B7F9D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964F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24344F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8BDA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D2CF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1 693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13E9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23 458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9AC6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1 938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6828F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31 330</w:t>
            </w:r>
          </w:p>
        </w:tc>
      </w:tr>
      <w:tr w:rsidR="002724AC" w:rsidRPr="00F949EB" w14:paraId="76A28C7A" w14:textId="77777777" w:rsidTr="002724AC">
        <w:trPr>
          <w:trHeight w:val="281"/>
          <w:jc w:val="center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97CE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B97B9" w14:textId="77777777" w:rsidR="00F949EB" w:rsidRPr="00F949EB" w:rsidRDefault="00F949EB" w:rsidP="00F949EB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85E8A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15 443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F8EC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1 964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630ED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69 421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E7DC" w14:textId="77777777" w:rsidR="00F949EB" w:rsidRPr="00F949EB" w:rsidRDefault="00F949EB" w:rsidP="00F949EB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5 805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ED51C" w14:textId="77777777" w:rsidR="00F949EB" w:rsidRPr="00F949EB" w:rsidRDefault="00F949EB" w:rsidP="00F949E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49E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92 633</w:t>
            </w:r>
          </w:p>
        </w:tc>
      </w:tr>
    </w:tbl>
    <w:p w14:paraId="3F2C5381" w14:textId="361A5E84" w:rsidR="00036ACD" w:rsidRPr="009748BD" w:rsidRDefault="00036ACD" w:rsidP="0045103B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0A8129CD" w14:textId="77777777" w:rsidR="000E6753" w:rsidRPr="009748BD" w:rsidRDefault="000E6753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70274543" w14:textId="77777777" w:rsidR="00B666F5" w:rsidRDefault="00B666F5" w:rsidP="00595C1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3739772" w14:textId="20E088B4" w:rsidR="00C70267" w:rsidRPr="00A57586" w:rsidRDefault="00C70267" w:rsidP="00C70267">
      <w:pPr>
        <w:spacing w:line="240" w:lineRule="auto"/>
        <w:ind w:left="708"/>
        <w:rPr>
          <w:rFonts w:ascii="Roboto" w:hAnsi="Roboto"/>
          <w:b/>
        </w:rPr>
      </w:pPr>
      <w:r w:rsidRPr="00A57586">
        <w:rPr>
          <w:rFonts w:ascii="Roboto" w:hAnsi="Roboto"/>
          <w:b/>
        </w:rPr>
        <w:t xml:space="preserve">Decyzje pozytywne według celu </w:t>
      </w:r>
    </w:p>
    <w:p w14:paraId="4485C169" w14:textId="10A6F852" w:rsidR="00C70267" w:rsidRPr="00A57586" w:rsidRDefault="00C70267" w:rsidP="00C70267">
      <w:pPr>
        <w:spacing w:line="240" w:lineRule="auto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</w:rPr>
        <w:t>Przez pierwsze cztery miesiące 2026 r. wydano 61 tys. zezwoleń na pobyt czasowy dla obywateli Ukrainy. Struktura tych rozstrzygnięć potwierdza transformację modelu migracji.</w:t>
      </w:r>
    </w:p>
    <w:p w14:paraId="5A59C08B" w14:textId="3B2C1F7F" w:rsidR="00C70267" w:rsidRPr="00A57586" w:rsidRDefault="00C70267" w:rsidP="00C70267">
      <w:pPr>
        <w:numPr>
          <w:ilvl w:val="0"/>
          <w:numId w:val="22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Dominacja pracy (78%):</w:t>
      </w:r>
      <w:r w:rsidRPr="00A57586">
        <w:rPr>
          <w:rFonts w:ascii="Roboto" w:hAnsi="Roboto"/>
        </w:rPr>
        <w:t xml:space="preserve"> Wydanie blisko 48 tys. decyzji na podstawie pracy umacnia ten cel jako fundament obecności Ukraińców w Polsce.</w:t>
      </w:r>
    </w:p>
    <w:p w14:paraId="26C11731" w14:textId="77777777" w:rsidR="00C70267" w:rsidRPr="00A57586" w:rsidRDefault="00C70267" w:rsidP="00C70267">
      <w:pPr>
        <w:spacing w:after="0" w:line="240" w:lineRule="auto"/>
        <w:ind w:left="708"/>
        <w:jc w:val="both"/>
        <w:rPr>
          <w:rFonts w:ascii="Roboto" w:hAnsi="Roboto"/>
        </w:rPr>
      </w:pPr>
    </w:p>
    <w:p w14:paraId="403C87D0" w14:textId="58A37449" w:rsidR="00C70267" w:rsidRPr="00A57586" w:rsidRDefault="00C70267" w:rsidP="00C70267">
      <w:pPr>
        <w:numPr>
          <w:ilvl w:val="0"/>
          <w:numId w:val="22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Stabilizacja więzi rodzinnych:</w:t>
      </w:r>
      <w:r w:rsidRPr="00A57586">
        <w:rPr>
          <w:rFonts w:ascii="Roboto" w:hAnsi="Roboto"/>
        </w:rPr>
        <w:t xml:space="preserve"> Wydano 9 tys. decyzji w celu połączenia z rodziną. Utrzymanie tego tempa (blisko 30% wyniku z ubiegłego, rekordowego roku) dowodzi, że proces sprowadzania rodzin i osiedlania się na stałe jest zjawiskiem trwałym.</w:t>
      </w:r>
    </w:p>
    <w:p w14:paraId="27BEB1AB" w14:textId="77777777" w:rsidR="00C70267" w:rsidRPr="00A57586" w:rsidRDefault="00C70267" w:rsidP="00C70267">
      <w:pPr>
        <w:spacing w:after="0" w:line="240" w:lineRule="auto"/>
        <w:ind w:left="708"/>
        <w:jc w:val="both"/>
        <w:rPr>
          <w:rFonts w:ascii="Roboto" w:hAnsi="Roboto"/>
        </w:rPr>
      </w:pPr>
    </w:p>
    <w:p w14:paraId="6D32FEF1" w14:textId="59B2A83D" w:rsidR="00C70267" w:rsidRPr="00A57586" w:rsidRDefault="00C70267" w:rsidP="00C70267">
      <w:pPr>
        <w:numPr>
          <w:ilvl w:val="0"/>
          <w:numId w:val="22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Edukacja w regresie:</w:t>
      </w:r>
      <w:r w:rsidRPr="00A57586">
        <w:rPr>
          <w:rFonts w:ascii="Roboto" w:hAnsi="Roboto"/>
        </w:rPr>
        <w:t xml:space="preserve"> Podobnie jak w przypadku wniosków, liczba decyzji pozytywnych w celu nauki jest śladowa (234), co potwierdza, że studenci korzystają z innych ścieżek legalizacji (np. praca lub specustawa).</w:t>
      </w:r>
    </w:p>
    <w:p w14:paraId="157CCA40" w14:textId="77777777" w:rsidR="00C70267" w:rsidRPr="00A57586" w:rsidRDefault="00C70267" w:rsidP="00C70267">
      <w:pPr>
        <w:spacing w:line="240" w:lineRule="auto"/>
        <w:ind w:left="708"/>
        <w:jc w:val="both"/>
        <w:rPr>
          <w:rFonts w:ascii="Roboto" w:hAnsi="Roboto"/>
        </w:rPr>
      </w:pPr>
    </w:p>
    <w:p w14:paraId="586B4F39" w14:textId="7EA4DB44" w:rsidR="00C70267" w:rsidRPr="00A57586" w:rsidRDefault="00C70267" w:rsidP="00C70267">
      <w:pPr>
        <w:spacing w:line="240" w:lineRule="auto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</w:rPr>
        <w:t>Migracja ukraińska w 2026 r. jest całkowicie oparta na dwóch filarach: ekonomicznym (praca) oraz społecznym (rodzina). Systematyczne wydawanie decyzji w tych kategoriach sprzyja stabilizacji statusu cudzoziemców i ich długofalowej integracji.</w:t>
      </w:r>
    </w:p>
    <w:p w14:paraId="028995FD" w14:textId="4346FD27" w:rsidR="00BB09AE" w:rsidRDefault="00BB09AE" w:rsidP="00BB09AE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BB09A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 xml:space="preserve">Ochrona czasowa </w:t>
      </w:r>
    </w:p>
    <w:p w14:paraId="4A84E13F" w14:textId="37AB678A" w:rsidR="00C70267" w:rsidRPr="00737785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</w:rPr>
        <w:t>Ochrona czasowa pozostaje fundamentem legalizacji pobytu dla osób uciekających przed wojną. Mimo masowego przechodzenia na pobyt czasowy (oparty na pracy), aktywny status ochrony posiada wciąż 969 tys. obywateli Ukrainy.</w:t>
      </w:r>
    </w:p>
    <w:p w14:paraId="16DFAEA8" w14:textId="45AFDB98" w:rsidR="00004E12" w:rsidRPr="00737785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</w:rPr>
        <w:t>Struktura demograficzna:</w:t>
      </w:r>
    </w:p>
    <w:p w14:paraId="4D1B2CBB" w14:textId="77777777" w:rsidR="00C70267" w:rsidRPr="00737785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Dominacja kobiet:</w:t>
      </w:r>
      <w:r w:rsidRPr="00737785">
        <w:rPr>
          <w:rFonts w:ascii="Roboto" w:hAnsi="Roboto"/>
        </w:rPr>
        <w:t xml:space="preserve"> Populacja jest silnie sfeminizowana – kobiety stanowią 58% ogółu (564,5 tys.). Wśród osób dorosłych przewaga ta jest jeszcze wyraźniejsza: kobiety stanowią 69% pełnoletnich beneficjentów.</w:t>
      </w:r>
    </w:p>
    <w:p w14:paraId="7AAF4CEA" w14:textId="77777777" w:rsidR="00C70267" w:rsidRPr="00737785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Wysoki udział dzieci:</w:t>
      </w:r>
      <w:r w:rsidRPr="00737785">
        <w:rPr>
          <w:rFonts w:ascii="Roboto" w:hAnsi="Roboto"/>
        </w:rPr>
        <w:t xml:space="preserve"> Osoby niepełnoletnie stanowią 46% całej populacji objętej ochroną (444,3 tys. osób).</w:t>
      </w:r>
    </w:p>
    <w:p w14:paraId="0688347B" w14:textId="13D2DD71" w:rsidR="00C70267" w:rsidRPr="00737785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Specyfika płciowa w grupach wiekowych:</w:t>
      </w:r>
      <w:r w:rsidRPr="00737785">
        <w:rPr>
          <w:rFonts w:ascii="Roboto" w:hAnsi="Roboto"/>
        </w:rPr>
        <w:t xml:space="preserve"> Wśród kobiet dominują osoby dorosłe (64% populacji kobiet). Wśród mężczyzn sytuacja jest odwrotna – przeważają dzieci i młodzież, stanowiąc aż 59% populacji męskiej.</w:t>
      </w:r>
    </w:p>
    <w:p w14:paraId="60A332C5" w14:textId="2B129567" w:rsidR="00BB09AE" w:rsidRPr="00737785" w:rsidRDefault="00C70267" w:rsidP="00C70267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</w:rPr>
        <w:t>Dane te potwierdzają, że ochrona czasowa jest „parasolem” głównie dla matek z dziećmi oraz niepełnoletnich chłopców. Mężczyźni w wieku produkcyjnym, jeśli przebywają w Polsce, znacznie częściej wybierają ścieżkę legalizacji przez pracę (pobyt czasowy)</w:t>
      </w:r>
    </w:p>
    <w:p w14:paraId="55CEDDFF" w14:textId="36243D0E" w:rsidR="001A52E6" w:rsidRDefault="001A52E6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</w:p>
    <w:p w14:paraId="37F14A52" w14:textId="271D2A8C" w:rsidR="001A52E6" w:rsidRDefault="00BF5BB4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24F60099" wp14:editId="5BC684BB">
            <wp:extent cx="6191250" cy="5287645"/>
            <wp:effectExtent l="0" t="0" r="0" b="0"/>
            <wp:docPr id="17" name="Wykres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10314A" w14:textId="77777777" w:rsidR="00B90DA8" w:rsidRDefault="00B90DA8" w:rsidP="00B90DA8">
      <w:pPr>
        <w:spacing w:after="0" w:line="360" w:lineRule="auto"/>
        <w:ind w:left="708"/>
        <w:rPr>
          <w:rFonts w:ascii="Roboto" w:hAnsi="Roboto"/>
        </w:rPr>
      </w:pPr>
    </w:p>
    <w:p w14:paraId="3D2B3C23" w14:textId="77777777" w:rsidR="00004E12" w:rsidRDefault="00004E12" w:rsidP="002B37FC">
      <w:pPr>
        <w:spacing w:after="0"/>
        <w:ind w:left="708"/>
        <w:jc w:val="both"/>
        <w:rPr>
          <w:rFonts w:ascii="Roboto" w:hAnsi="Roboto"/>
          <w:b/>
          <w:color w:val="0070C0"/>
        </w:rPr>
      </w:pPr>
    </w:p>
    <w:p w14:paraId="6521C55F" w14:textId="77777777" w:rsidR="00207178" w:rsidRPr="00737785" w:rsidRDefault="00207178" w:rsidP="00207178">
      <w:pPr>
        <w:spacing w:after="180" w:line="240" w:lineRule="auto"/>
        <w:ind w:left="708"/>
        <w:jc w:val="both"/>
        <w:rPr>
          <w:rFonts w:ascii="Roboto" w:hAnsi="Roboto"/>
          <w:b/>
        </w:rPr>
      </w:pPr>
      <w:r w:rsidRPr="00737785">
        <w:rPr>
          <w:rFonts w:ascii="Roboto" w:hAnsi="Roboto"/>
          <w:b/>
        </w:rPr>
        <w:t>Ewolucja statusu prawnego i wygaszanie specustawy</w:t>
      </w:r>
    </w:p>
    <w:p w14:paraId="5B9DBFC7" w14:textId="77777777" w:rsidR="00207178" w:rsidRPr="00737785" w:rsidRDefault="00207178" w:rsidP="00207178">
      <w:pPr>
        <w:spacing w:line="240" w:lineRule="auto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</w:rPr>
        <w:t>Rok 2026 to okres kluczowej transformacji prawnej dla obywateli Ukrainy w Polsce. Proces ten opiera się na stopniowym odchodzeniu od doraźnej pomocy na rzecz stabilizacji systemowej:</w:t>
      </w:r>
    </w:p>
    <w:p w14:paraId="4DD30F35" w14:textId="26ADDA74" w:rsidR="00207178" w:rsidRPr="00737785" w:rsidRDefault="00207178" w:rsidP="00207178">
      <w:pPr>
        <w:spacing w:after="0" w:line="240" w:lineRule="auto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Przedłużenie ochrony:</w:t>
      </w:r>
      <w:r w:rsidRPr="00737785">
        <w:rPr>
          <w:rFonts w:ascii="Roboto" w:hAnsi="Roboto"/>
        </w:rPr>
        <w:t xml:space="preserve"> Na mocy najnowszych przepisów, ochrona czasowa dla obywateli Ukrainy (potwierdzona statusem PESEL UKR) została przedłużona do 4 marca 2027 r. Zapewnia to ciągłość legalnego pobytu, dostępu do opieki medycznej oraz rynku pracy.</w:t>
      </w:r>
    </w:p>
    <w:p w14:paraId="76A269A1" w14:textId="77777777" w:rsidR="00207178" w:rsidRPr="00737785" w:rsidRDefault="00207178" w:rsidP="00207178">
      <w:pPr>
        <w:spacing w:after="0" w:line="240" w:lineRule="auto"/>
        <w:ind w:left="708"/>
        <w:jc w:val="both"/>
        <w:rPr>
          <w:rFonts w:ascii="Roboto" w:hAnsi="Roboto"/>
        </w:rPr>
      </w:pPr>
    </w:p>
    <w:p w14:paraId="34FB3CE5" w14:textId="6C281566" w:rsidR="00207178" w:rsidRPr="00737785" w:rsidRDefault="00207178" w:rsidP="00207178">
      <w:pPr>
        <w:spacing w:after="0" w:line="240" w:lineRule="auto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Wprowadzenie CUKR</w:t>
      </w:r>
      <w:r w:rsidRPr="00737785">
        <w:rPr>
          <w:rFonts w:ascii="Roboto" w:hAnsi="Roboto"/>
        </w:rPr>
        <w:t xml:space="preserve"> (nowy rodzaj Karta Pobytu): To najważniejsza nowość. Osoby, które chcą zrezygnować z doraźnej ochrony czasowej na rzecz bardziej stabilnego statusu, mogą ubiegać się </w:t>
      </w:r>
      <w:r w:rsidRPr="00737785">
        <w:rPr>
          <w:rFonts w:ascii="Roboto" w:hAnsi="Roboto"/>
        </w:rPr>
        <w:br/>
        <w:t>o dedykowaną kartę pobytu CUKR.</w:t>
      </w:r>
    </w:p>
    <w:p w14:paraId="255BF276" w14:textId="77777777" w:rsidR="00207178" w:rsidRPr="00737785" w:rsidRDefault="00207178" w:rsidP="00207178">
      <w:pPr>
        <w:numPr>
          <w:ilvl w:val="2"/>
          <w:numId w:val="23"/>
        </w:numPr>
        <w:spacing w:after="0" w:line="240" w:lineRule="auto"/>
        <w:jc w:val="both"/>
        <w:rPr>
          <w:rFonts w:ascii="Roboto" w:hAnsi="Roboto"/>
        </w:rPr>
      </w:pPr>
      <w:r w:rsidRPr="00737785">
        <w:rPr>
          <w:rFonts w:ascii="Roboto" w:hAnsi="Roboto"/>
        </w:rPr>
        <w:t>Jest ona wydawana na 3 lata.</w:t>
      </w:r>
    </w:p>
    <w:p w14:paraId="53716777" w14:textId="77777777" w:rsidR="00207178" w:rsidRPr="00737785" w:rsidRDefault="00207178" w:rsidP="00207178">
      <w:pPr>
        <w:numPr>
          <w:ilvl w:val="2"/>
          <w:numId w:val="23"/>
        </w:numPr>
        <w:spacing w:after="0" w:line="240" w:lineRule="auto"/>
        <w:jc w:val="both"/>
        <w:rPr>
          <w:rFonts w:ascii="Roboto" w:hAnsi="Roboto"/>
        </w:rPr>
      </w:pPr>
      <w:r w:rsidRPr="00737785">
        <w:rPr>
          <w:rFonts w:ascii="Roboto" w:hAnsi="Roboto"/>
        </w:rPr>
        <w:t>Przyznawana jest osobom, które posiadały status UKR nieprzerwanie przez co najmniej 365 dni.</w:t>
      </w:r>
    </w:p>
    <w:p w14:paraId="409B2ED3" w14:textId="0BA53045" w:rsidR="00207178" w:rsidRPr="00737785" w:rsidRDefault="00207178" w:rsidP="00207178">
      <w:pPr>
        <w:numPr>
          <w:ilvl w:val="2"/>
          <w:numId w:val="23"/>
        </w:numPr>
        <w:spacing w:after="0" w:line="240" w:lineRule="auto"/>
        <w:jc w:val="both"/>
        <w:rPr>
          <w:rFonts w:ascii="Roboto" w:hAnsi="Roboto"/>
        </w:rPr>
      </w:pPr>
      <w:r w:rsidRPr="00737785">
        <w:rPr>
          <w:rFonts w:ascii="Roboto" w:hAnsi="Roboto"/>
        </w:rPr>
        <w:t>Przekształca ona status ochrony czasowej w pobyt czasowy, dając posiadaczowi większą swobodę i pewność prawną.</w:t>
      </w:r>
    </w:p>
    <w:p w14:paraId="5B398841" w14:textId="77777777" w:rsidR="00207178" w:rsidRPr="00737785" w:rsidRDefault="00207178" w:rsidP="00207178">
      <w:pPr>
        <w:spacing w:after="0" w:line="240" w:lineRule="auto"/>
        <w:ind w:left="2160"/>
        <w:jc w:val="both"/>
        <w:rPr>
          <w:rFonts w:ascii="Roboto" w:hAnsi="Roboto"/>
        </w:rPr>
      </w:pPr>
    </w:p>
    <w:p w14:paraId="1C603264" w14:textId="492D0080" w:rsidR="00207178" w:rsidRPr="00737785" w:rsidRDefault="00207178" w:rsidP="00207178">
      <w:pPr>
        <w:spacing w:after="0" w:line="240" w:lineRule="auto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Moduł Obsługi Spraw (MOS):</w:t>
      </w:r>
      <w:r w:rsidRPr="00737785">
        <w:rPr>
          <w:rFonts w:ascii="Roboto" w:hAnsi="Roboto"/>
        </w:rPr>
        <w:t xml:space="preserve"> System ten stał się głównym narzędziem cyfryzacji procesu legalizacji.</w:t>
      </w:r>
    </w:p>
    <w:p w14:paraId="3179E2B9" w14:textId="32094A00" w:rsidR="00207178" w:rsidRPr="00737785" w:rsidRDefault="00207178" w:rsidP="00207178">
      <w:pPr>
        <w:numPr>
          <w:ilvl w:val="2"/>
          <w:numId w:val="23"/>
        </w:numPr>
        <w:spacing w:after="0" w:line="240" w:lineRule="auto"/>
        <w:jc w:val="both"/>
        <w:rPr>
          <w:rFonts w:ascii="Roboto" w:hAnsi="Roboto"/>
        </w:rPr>
      </w:pPr>
      <w:r w:rsidRPr="00737785">
        <w:rPr>
          <w:rFonts w:ascii="Roboto" w:hAnsi="Roboto"/>
        </w:rPr>
        <w:lastRenderedPageBreak/>
        <w:t xml:space="preserve">Przez portal MOS cudzoziemcy mogą składać wnioski o pobyt czasowy w sposób elektroniczny, co powinno przyspieszyć procedury </w:t>
      </w:r>
    </w:p>
    <w:p w14:paraId="2BFB961F" w14:textId="1E3698B1" w:rsidR="00207178" w:rsidRPr="00737785" w:rsidRDefault="00207178" w:rsidP="00207178">
      <w:pPr>
        <w:numPr>
          <w:ilvl w:val="2"/>
          <w:numId w:val="23"/>
        </w:numPr>
        <w:spacing w:after="0" w:line="240" w:lineRule="auto"/>
        <w:jc w:val="both"/>
        <w:rPr>
          <w:rFonts w:ascii="Roboto" w:hAnsi="Roboto"/>
        </w:rPr>
      </w:pPr>
      <w:r w:rsidRPr="00737785">
        <w:rPr>
          <w:rFonts w:ascii="Roboto" w:hAnsi="Roboto"/>
        </w:rPr>
        <w:t>System automatyzuje weryfikację dokumentów i pozwala na bieżąco śledzić status sprawy, co odciąży urzędy wojewódzkie.</w:t>
      </w:r>
    </w:p>
    <w:p w14:paraId="2F8C7CB8" w14:textId="77777777" w:rsidR="00207178" w:rsidRPr="00737785" w:rsidRDefault="00207178" w:rsidP="00207178">
      <w:pPr>
        <w:spacing w:after="0" w:line="240" w:lineRule="auto"/>
        <w:ind w:left="2160"/>
        <w:jc w:val="both"/>
        <w:rPr>
          <w:rFonts w:ascii="Roboto" w:hAnsi="Roboto"/>
        </w:rPr>
      </w:pPr>
    </w:p>
    <w:p w14:paraId="6DBADE9A" w14:textId="77777777" w:rsidR="00207178" w:rsidRPr="00737785" w:rsidRDefault="00207178" w:rsidP="00207178">
      <w:pPr>
        <w:spacing w:after="0" w:line="240" w:lineRule="auto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Wygaszanie świadczeń (tzw. "pakiety pomocowe</w:t>
      </w:r>
      <w:r w:rsidRPr="00737785">
        <w:rPr>
          <w:rFonts w:ascii="Roboto" w:hAnsi="Roboto"/>
        </w:rPr>
        <w:t>"): Zgodnie z ustawą z marca 2026 r., wygaszono część świadczeń socjalnych (np. dopłaty do zakwaterowania w prywatnych domach), co skłoniło beneficjentów do usamodzielnienia się i przejścia na rynkowe zasady najmu oraz legalne zatrudnienie.</w:t>
      </w:r>
    </w:p>
    <w:p w14:paraId="05E73660" w14:textId="77777777" w:rsidR="00207178" w:rsidRDefault="00207178" w:rsidP="00207178">
      <w:pPr>
        <w:spacing w:after="0"/>
        <w:ind w:left="708"/>
        <w:jc w:val="both"/>
        <w:rPr>
          <w:rFonts w:ascii="Roboto" w:hAnsi="Roboto"/>
          <w:b/>
        </w:rPr>
      </w:pPr>
    </w:p>
    <w:p w14:paraId="302D43EF" w14:textId="77777777" w:rsidR="00B90DA8" w:rsidRPr="00B90DA8" w:rsidRDefault="00B90DA8" w:rsidP="00B90DA8">
      <w:pPr>
        <w:spacing w:after="0" w:line="360" w:lineRule="auto"/>
        <w:ind w:left="708"/>
        <w:jc w:val="both"/>
        <w:rPr>
          <w:rFonts w:ascii="Roboto" w:hAnsi="Roboto"/>
        </w:rPr>
      </w:pPr>
    </w:p>
    <w:p w14:paraId="6FA1BF45" w14:textId="30D2BE2A" w:rsidR="001A52E6" w:rsidRPr="00004E12" w:rsidRDefault="001A52E6" w:rsidP="00004E12">
      <w:pPr>
        <w:spacing w:after="0" w:line="240" w:lineRule="auto"/>
        <w:ind w:left="708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004E12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4: TOP10 najliczniejszych obywatelstw wg sumy osób zarejestrowanych na ochronę czasową w 2026 r.</w:t>
      </w:r>
    </w:p>
    <w:p w14:paraId="2B33BAF2" w14:textId="77777777" w:rsidR="001A52E6" w:rsidRPr="009748BD" w:rsidRDefault="001A52E6" w:rsidP="001A52E6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40"/>
        <w:gridCol w:w="1320"/>
        <w:gridCol w:w="960"/>
      </w:tblGrid>
      <w:tr w:rsidR="007A0A39" w:rsidRPr="007A0A39" w14:paraId="47C743C7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422E683D" w14:textId="77777777" w:rsidR="007A0A39" w:rsidRPr="007A0A39" w:rsidRDefault="007A0A39" w:rsidP="007A0A3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0961D597" w14:textId="77777777" w:rsidR="007A0A39" w:rsidRPr="007A0A39" w:rsidRDefault="007A0A39" w:rsidP="007A0A3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094BA4C7" w14:textId="77777777" w:rsidR="007A0A39" w:rsidRPr="007A0A39" w:rsidRDefault="007A0A39" w:rsidP="007A0A3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MĘŻCZYŻNI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35FD0C22" w14:textId="77777777" w:rsidR="007A0A39" w:rsidRPr="007A0A39" w:rsidRDefault="007A0A39" w:rsidP="007A0A3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7A0A39" w:rsidRPr="007A0A39" w14:paraId="7513005F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7FF173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9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5E9F8B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16 025</w:t>
            </w:r>
          </w:p>
        </w:tc>
        <w:tc>
          <w:tcPr>
            <w:tcW w:w="13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61B7E5F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17 290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CBEB69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33 315</w:t>
            </w:r>
          </w:p>
        </w:tc>
      </w:tr>
      <w:tr w:rsidR="007A0A39" w:rsidRPr="007A0A39" w14:paraId="1CB37640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02258F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ROSJA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67D243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FA4329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EF483F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7A0A39" w:rsidRPr="007A0A39" w14:paraId="36F00BF4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BCC352A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42063C6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9A082C3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C558E5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7A0A39" w:rsidRPr="007A0A39" w14:paraId="4FCDC43A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076369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07D8FD4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C03AC4E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F60294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7A0A39" w:rsidRPr="007A0A39" w14:paraId="315E0B2C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EDC475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STANY ZJEDNOCZONE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39678BE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A312B9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122D3C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7A0A39" w:rsidRPr="007A0A39" w14:paraId="2701B8A6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DF6F8C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ARMENIA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9C74E06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091DAA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C3C24C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7A0A39" w:rsidRPr="007A0A39" w14:paraId="26396CF9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8158662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CD11B6B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D15AC17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377CE7E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7A0A39" w:rsidRPr="007A0A39" w14:paraId="11F7421B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1664F4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ARGENTYNA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2B859B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B18884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CEF770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7E9B0739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5AFC50C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BEZ OBYWATELSTWA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2742E3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43DDD07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45511DB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09EADC3E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7121E6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2E48B3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A7D430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843B7C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413E5437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20FE1FC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FRANCJA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65D4183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A70493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C6747E8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03F7FFAE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F31A005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KANADA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D491B7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E718A2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A8E221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328B94FE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C187B12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NIEOKREŚLONE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236389B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5266EB1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E717B15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228BBDFC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DFAF3D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SŁOWACJA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3527E45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EC2DF00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4F1FD36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45FDCEE0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6043D51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TADŻYKISTAN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BB14549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ABBDAD5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C70B00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709CD57D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4F632FB" w14:textId="77777777" w:rsidR="007A0A39" w:rsidRPr="007A0A39" w:rsidRDefault="007A0A39" w:rsidP="007A0A3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WIETNAM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40E8539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19C4D5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A0F327" w14:textId="77777777" w:rsidR="007A0A39" w:rsidRPr="007A0A39" w:rsidRDefault="007A0A39" w:rsidP="007A0A39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A0A39" w:rsidRPr="007A0A39" w14:paraId="19901235" w14:textId="77777777" w:rsidTr="007A0A3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BB710B3" w14:textId="77777777" w:rsidR="007A0A39" w:rsidRPr="007A0A39" w:rsidRDefault="007A0A39" w:rsidP="007A0A3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9087945" w14:textId="77777777" w:rsidR="007A0A39" w:rsidRPr="007A0A39" w:rsidRDefault="007A0A39" w:rsidP="007A0A3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16 053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65212887" w14:textId="77777777" w:rsidR="007A0A39" w:rsidRPr="007A0A39" w:rsidRDefault="007A0A39" w:rsidP="007A0A3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17 322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41CA26D" w14:textId="77777777" w:rsidR="007A0A39" w:rsidRPr="007A0A39" w:rsidRDefault="007A0A39" w:rsidP="007A0A3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A0A39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33 375</w:t>
            </w:r>
          </w:p>
        </w:tc>
      </w:tr>
    </w:tbl>
    <w:p w14:paraId="4B1A9C8C" w14:textId="77777777" w:rsidR="006B6E1D" w:rsidRDefault="006B6E1D" w:rsidP="00F7622C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4A1D19EA" w14:textId="0B2E0D38" w:rsidR="00207178" w:rsidRPr="00700000" w:rsidRDefault="00207178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700000">
        <w:rPr>
          <w:rFonts w:ascii="Roboto" w:hAnsi="Roboto"/>
          <w:b/>
        </w:rPr>
        <w:t>Nowe rejestracje ochrony czasowej (2026)</w:t>
      </w:r>
    </w:p>
    <w:p w14:paraId="0F9BBBF6" w14:textId="773ABD0F" w:rsidR="00207178" w:rsidRPr="00700000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00000">
        <w:rPr>
          <w:rFonts w:ascii="Roboto" w:hAnsi="Roboto"/>
        </w:rPr>
        <w:t>W pierwszy</w:t>
      </w:r>
      <w:r w:rsidR="00E9536C" w:rsidRPr="00700000">
        <w:rPr>
          <w:rFonts w:ascii="Roboto" w:hAnsi="Roboto"/>
        </w:rPr>
        <w:t>ch</w:t>
      </w:r>
      <w:r w:rsidRPr="00700000">
        <w:rPr>
          <w:rFonts w:ascii="Roboto" w:hAnsi="Roboto"/>
        </w:rPr>
        <w:t xml:space="preserve"> </w:t>
      </w:r>
      <w:r w:rsidR="00E9536C" w:rsidRPr="00700000">
        <w:rPr>
          <w:rFonts w:ascii="Roboto" w:hAnsi="Roboto"/>
        </w:rPr>
        <w:t>czterech miesiącach</w:t>
      </w:r>
      <w:r w:rsidRPr="00700000">
        <w:rPr>
          <w:rFonts w:ascii="Roboto" w:hAnsi="Roboto"/>
        </w:rPr>
        <w:t xml:space="preserve"> 2026 r. status ochrony czasowej uzyskało łącznie </w:t>
      </w:r>
      <w:r w:rsidR="008B69EB" w:rsidRPr="00700000">
        <w:rPr>
          <w:rFonts w:ascii="Roboto" w:hAnsi="Roboto"/>
        </w:rPr>
        <w:t>33</w:t>
      </w:r>
      <w:r w:rsidRPr="00700000">
        <w:rPr>
          <w:rFonts w:ascii="Roboto" w:hAnsi="Roboto"/>
        </w:rPr>
        <w:t>,</w:t>
      </w:r>
      <w:r w:rsidR="008B69EB" w:rsidRPr="00700000">
        <w:rPr>
          <w:rFonts w:ascii="Roboto" w:hAnsi="Roboto"/>
        </w:rPr>
        <w:t>4</w:t>
      </w:r>
      <w:r w:rsidRPr="00700000">
        <w:rPr>
          <w:rFonts w:ascii="Roboto" w:hAnsi="Roboto"/>
        </w:rPr>
        <w:t xml:space="preserve"> tys. osób.</w:t>
      </w:r>
      <w:r w:rsidR="00207178" w:rsidRPr="00700000">
        <w:rPr>
          <w:rFonts w:ascii="Roboto" w:hAnsi="Roboto"/>
        </w:rPr>
        <w:t xml:space="preserve"> Dane te wykazują dwa istotne zjawiska: niemal całkowitą dominację obywateli Ukrainy oraz zmianę profilu demograficznego nowych zarejestrowanych</w:t>
      </w:r>
    </w:p>
    <w:p w14:paraId="2F1EB286" w14:textId="5F9B9EAB" w:rsidR="00207178" w:rsidRPr="00700000" w:rsidRDefault="00207178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00000">
        <w:rPr>
          <w:rFonts w:ascii="Roboto" w:hAnsi="Roboto"/>
          <w:u w:val="single"/>
        </w:rPr>
        <w:t>Struktura narodowościowa:</w:t>
      </w:r>
      <w:r w:rsidRPr="00700000">
        <w:rPr>
          <w:rFonts w:ascii="Roboto" w:hAnsi="Roboto"/>
        </w:rPr>
        <w:t xml:space="preserve"> Obywatele Ukrainy stanowią 99,8% rejestracji (33</w:t>
      </w:r>
      <w:r w:rsidR="0019496F" w:rsidRPr="00700000">
        <w:rPr>
          <w:rFonts w:ascii="Roboto" w:hAnsi="Roboto"/>
        </w:rPr>
        <w:t>,3 tys.</w:t>
      </w:r>
      <w:r w:rsidRPr="00700000">
        <w:rPr>
          <w:rFonts w:ascii="Roboto" w:hAnsi="Roboto"/>
        </w:rPr>
        <w:t xml:space="preserve"> osób). Pozostałe grupy to głównie obywatele Rosji (31 osób), Gruzji (6), Mołdawii (6) oraz USA (4). Obecność obywateli państw trzecich wynika niemal wyłącznie z więzi rodzinnych z Ukraińcami.</w:t>
      </w:r>
    </w:p>
    <w:p w14:paraId="7022E581" w14:textId="035AAC4B" w:rsidR="0019496F" w:rsidRPr="00700000" w:rsidRDefault="0019496F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00000">
        <w:rPr>
          <w:rFonts w:ascii="Roboto" w:hAnsi="Roboto"/>
          <w:u w:val="single"/>
        </w:rPr>
        <w:t>Zmiana trendu płci (Przewaga mężczyzn):</w:t>
      </w:r>
      <w:r w:rsidRPr="00700000">
        <w:rPr>
          <w:rFonts w:ascii="Roboto" w:hAnsi="Roboto"/>
        </w:rPr>
        <w:t xml:space="preserve"> W przeciwieństwie do ogólnego, silnie sfeminizowanego rejestru PESEL UKR, wśród nowych rejestracji w 2026 r. odnotowano przewagę mężczyzn (51,9% – 17,3 tys. osób).</w:t>
      </w:r>
    </w:p>
    <w:p w14:paraId="677A7CE5" w14:textId="77943D23" w:rsidR="0019496F" w:rsidRPr="00297978" w:rsidRDefault="0019496F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 w:rsidRPr="00297978">
        <w:rPr>
          <w:rFonts w:ascii="Roboto" w:hAnsi="Roboto"/>
        </w:rPr>
        <w:lastRenderedPageBreak/>
        <w:t>Nowy napływ uciekinierów w 2026 r. traci swój pierwotny charakter (matki z dziećmi) na rzecz bardziej zrównoważonej struktury płci, przy jednoczesnym utrzymaniu marginalnego znaczenia obywateli innych państw niż Ukraina.</w:t>
      </w:r>
    </w:p>
    <w:p w14:paraId="7FADB6A5" w14:textId="6B66F2B8" w:rsidR="00491996" w:rsidRDefault="003E4860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5616F261" wp14:editId="43503213">
            <wp:extent cx="6286500" cy="2952750"/>
            <wp:effectExtent l="0" t="0" r="0" b="0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B10CD09" w14:textId="77777777" w:rsidR="001A52E6" w:rsidRDefault="001A52E6" w:rsidP="004C14C0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2E7CD9D3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  <w:r w:rsidRPr="00A154BB">
        <w:rPr>
          <w:rFonts w:ascii="Roboto" w:hAnsi="Roboto"/>
          <w:b/>
        </w:rPr>
        <w:t>Rejestracja młodych mężczyzn (18–22 lata) w systemie PESEL</w:t>
      </w:r>
    </w:p>
    <w:p w14:paraId="23F7331E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207DC37" w14:textId="23A39A2B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154BB">
        <w:rPr>
          <w:rFonts w:ascii="Roboto" w:hAnsi="Roboto"/>
        </w:rPr>
        <w:t xml:space="preserve">Dane za pierwsze cztery miesiące 2026 r. potwierdzają trwałą zmianę dynamiki rejestracji mężczyzn </w:t>
      </w:r>
      <w:r w:rsidRPr="00A154BB">
        <w:rPr>
          <w:rFonts w:ascii="Roboto" w:hAnsi="Roboto"/>
        </w:rPr>
        <w:br/>
        <w:t>w wieku 18–22 lata. Jest to bezpośredni skutek złagodzenia ukraińskich przepisów wyjazdowych dla tej kategorii wiekowej w sierpniu 2025 r.</w:t>
      </w:r>
    </w:p>
    <w:p w14:paraId="565E33CB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50C190A0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154BB">
        <w:rPr>
          <w:rFonts w:ascii="Roboto" w:hAnsi="Roboto"/>
          <w:u w:val="single"/>
        </w:rPr>
        <w:t>Utrzymanie wysokiego poziomu</w:t>
      </w:r>
      <w:r w:rsidRPr="00A154BB">
        <w:rPr>
          <w:rFonts w:ascii="Roboto" w:hAnsi="Roboto"/>
        </w:rPr>
        <w:t>: Mimo naturalnego spadku po rekordowym wrześniu 2025 r. (11,4 tys.), liczba rejestracji w kwietniu 2026 r. (1 334) jest wciąż o 134% wyższa niż w analogicznym okresie roku poprzedniego (570 osób).</w:t>
      </w:r>
    </w:p>
    <w:p w14:paraId="30B26F6F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1DD014D9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154BB">
        <w:rPr>
          <w:rFonts w:ascii="Roboto" w:hAnsi="Roboto"/>
          <w:u w:val="single"/>
        </w:rPr>
        <w:t>Skala zjawiska</w:t>
      </w:r>
      <w:r w:rsidRPr="00A154BB">
        <w:rPr>
          <w:rFonts w:ascii="Roboto" w:hAnsi="Roboto"/>
        </w:rPr>
        <w:t>: Średnia miesięczna dla pierwszego kwartału 2026 r. wynosi ok. 2,1 tys. osób. W porównaniu do średniej z pierwszego półrocza 2025 r. (ok. 0,6 tys.), mamy do czynienia z ponad trzykrotnym wzrostem natężenia napływu młodych mężczyzn.</w:t>
      </w:r>
    </w:p>
    <w:p w14:paraId="24612FB8" w14:textId="77777777" w:rsidR="0019496F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1ECD8517" w14:textId="4DF6DAEB" w:rsidR="001A52E6" w:rsidRPr="00CA7212" w:rsidRDefault="00C91639" w:rsidP="00CA7212">
      <w:pPr>
        <w:spacing w:after="0" w:line="360" w:lineRule="auto"/>
        <w:ind w:left="708"/>
        <w:jc w:val="both"/>
        <w:rPr>
          <w:rFonts w:ascii="Roboto" w:hAnsi="Roboto" w:cstheme="minorHAnsi"/>
        </w:rPr>
      </w:pPr>
      <w:r>
        <w:rPr>
          <w:noProof/>
        </w:rPr>
        <w:drawing>
          <wp:inline distT="0" distB="0" distL="0" distR="0" wp14:anchorId="12394A68" wp14:editId="6B59104A">
            <wp:extent cx="6400800" cy="2565400"/>
            <wp:effectExtent l="0" t="0" r="0" b="0"/>
            <wp:docPr id="20" name="Wykres 20">
              <a:extLst xmlns:a="http://schemas.openxmlformats.org/drawingml/2006/main">
                <a:ext uri="{FF2B5EF4-FFF2-40B4-BE49-F238E27FC236}">
                  <a16:creationId xmlns:a16="http://schemas.microsoft.com/office/drawing/2014/main" id="{0CFE668B-E69E-412B-A144-E9EEDC04E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0D33D5" w14:textId="77777777" w:rsidR="00C33BF0" w:rsidRDefault="00C33BF0" w:rsidP="00C33BF0">
      <w:pPr>
        <w:shd w:val="clear" w:color="auto" w:fill="FFFFFF"/>
        <w:tabs>
          <w:tab w:val="num" w:pos="1428"/>
          <w:tab w:val="num" w:pos="2148"/>
        </w:tabs>
        <w:spacing w:before="240" w:after="0" w:line="360" w:lineRule="atLeast"/>
        <w:ind w:left="708"/>
        <w:jc w:val="both"/>
        <w:rPr>
          <w:rFonts w:ascii="Roboto" w:hAnsi="Roboto"/>
          <w:b/>
          <w:color w:val="0070C0"/>
        </w:rPr>
      </w:pPr>
    </w:p>
    <w:p w14:paraId="4E1BB878" w14:textId="5B81C270" w:rsidR="00C33BF0" w:rsidRPr="00EC311C" w:rsidRDefault="00C33BF0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EC311C">
        <w:rPr>
          <w:rFonts w:ascii="Roboto" w:hAnsi="Roboto"/>
          <w:b/>
        </w:rPr>
        <w:t>Wyzwania i bariery integracyjne w 2026 r.</w:t>
      </w:r>
    </w:p>
    <w:p w14:paraId="48E57581" w14:textId="7F8C007E" w:rsidR="00604E53" w:rsidRPr="00EC311C" w:rsidRDefault="00604E53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>W obliczu ewolucji charakteru migracji – z dominującej dotychczas formy uchodźczej na osiedleńczą (co znajduje odzwierciedlenie w rekordowej liczbie wniosków o pobyt rezydenta długoterminowego UE oraz pobyt czasowy) – zidentyfikowano następujące bariery strukturalne:</w:t>
      </w:r>
    </w:p>
    <w:p w14:paraId="23C19B8D" w14:textId="5579427E" w:rsidR="00604E53" w:rsidRPr="00EC311C" w:rsidRDefault="00604E53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u w:val="single"/>
        </w:rPr>
      </w:pPr>
      <w:r w:rsidRPr="00EC311C">
        <w:rPr>
          <w:rFonts w:ascii="Roboto" w:hAnsi="Roboto"/>
          <w:u w:val="single"/>
        </w:rPr>
        <w:t xml:space="preserve">Marnotrawstwo kapitału ludzkiego (Brain Waste): </w:t>
      </w:r>
      <w:r w:rsidRPr="00EC311C">
        <w:rPr>
          <w:rFonts w:ascii="Roboto" w:hAnsi="Roboto"/>
        </w:rPr>
        <w:t xml:space="preserve">Skomplikowane i przewlekłe procedury nostryfikacji dyplomów oraz uznawania kwalifikacji zawodowych stanowią istotną barierę wejścia na rynek pracy. </w:t>
      </w:r>
      <w:r w:rsidRPr="00EC311C">
        <w:rPr>
          <w:rFonts w:ascii="Roboto" w:hAnsi="Roboto"/>
        </w:rPr>
        <w:br/>
        <w:t>W rezultacie znaczny odsetek obywateli Ukrainy podejmuje zatrudnienie poniżej swoich kompetencji, co generuje straty dla gospodarki i ogranicza wzrost PKB.</w:t>
      </w:r>
    </w:p>
    <w:p w14:paraId="019662A0" w14:textId="12D23661" w:rsidR="00604E53" w:rsidRPr="00EC311C" w:rsidRDefault="00604E53" w:rsidP="00604E53">
      <w:pPr>
        <w:shd w:val="clear" w:color="auto" w:fill="FFFFFF"/>
        <w:tabs>
          <w:tab w:val="num" w:pos="1428"/>
          <w:tab w:val="num" w:pos="2148"/>
        </w:tabs>
        <w:spacing w:before="24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Deficyt kompetencji językowych: </w:t>
      </w:r>
      <w:r w:rsidRPr="00EC311C">
        <w:rPr>
          <w:rFonts w:ascii="Roboto" w:hAnsi="Roboto"/>
        </w:rPr>
        <w:t xml:space="preserve">Brak znajomości języka polskiego na poziomie zaawansowanym </w:t>
      </w:r>
      <w:r w:rsidRPr="00EC311C">
        <w:rPr>
          <w:rFonts w:ascii="Roboto" w:hAnsi="Roboto"/>
        </w:rPr>
        <w:br/>
        <w:t>i specjalistycznym (B2/C1) pozostaje główną przeszkodą w dostępie do zawodów regulowanych, a także wyższych stanowisk w administracji publicznej oraz sektorze menedżerskim.</w:t>
      </w:r>
    </w:p>
    <w:p w14:paraId="0BC8961A" w14:textId="027DF417" w:rsidR="00604E53" w:rsidRDefault="00604E53" w:rsidP="00604E53">
      <w:pPr>
        <w:pStyle w:val="Akapitzlist"/>
        <w:shd w:val="clear" w:color="auto" w:fill="FFFFFF"/>
        <w:spacing w:after="0"/>
        <w:jc w:val="both"/>
        <w:rPr>
          <w:rFonts w:ascii="Roboto" w:hAnsi="Roboto"/>
          <w:u w:val="single"/>
        </w:rPr>
      </w:pPr>
      <w:r w:rsidRPr="00EC311C">
        <w:rPr>
          <w:rFonts w:ascii="Roboto" w:hAnsi="Roboto"/>
          <w:u w:val="single"/>
        </w:rPr>
        <w:t xml:space="preserve">Obciążenia opiekuńcze (Dual </w:t>
      </w:r>
      <w:proofErr w:type="spellStart"/>
      <w:r w:rsidRPr="00EC311C">
        <w:rPr>
          <w:rFonts w:ascii="Roboto" w:hAnsi="Roboto"/>
          <w:u w:val="single"/>
        </w:rPr>
        <w:t>Burden</w:t>
      </w:r>
      <w:proofErr w:type="spellEnd"/>
      <w:r w:rsidRPr="00EC311C">
        <w:rPr>
          <w:rFonts w:ascii="Roboto" w:hAnsi="Roboto"/>
          <w:u w:val="single"/>
        </w:rPr>
        <w:t xml:space="preserve">): </w:t>
      </w:r>
      <w:r w:rsidRPr="00EC311C">
        <w:rPr>
          <w:rFonts w:ascii="Roboto" w:hAnsi="Roboto"/>
        </w:rPr>
        <w:t>Ze względu na wyraźną feminizację populacji uciekinierów (69% kobiet w rejestrze PESEL UKR), pełna aktywizacja zawodowa tej grupy jest bezpośrednio uwarunkowana dostępnością infrastruktury opiekuńczej nad dziećmi. Brak systemowych rozwiązań w tym zakresie zmusza kobiety do rezygnacji z pracy lub podejmowania zatrudnienia w niepełnym wymiarze godzin</w:t>
      </w:r>
      <w:r w:rsidRPr="00604E53">
        <w:rPr>
          <w:rFonts w:ascii="Roboto" w:hAnsi="Roboto"/>
        </w:rPr>
        <w:t>.</w:t>
      </w:r>
    </w:p>
    <w:p w14:paraId="2AEBABEA" w14:textId="77777777" w:rsidR="00604E53" w:rsidRDefault="00604E53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3DC80AA5" w14:textId="29332A54" w:rsidR="001A52E6" w:rsidRDefault="001A52E6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491996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Ogólna charakterystyka diaspory</w:t>
      </w:r>
    </w:p>
    <w:p w14:paraId="394AA38F" w14:textId="7F7186E0" w:rsidR="001A52E6" w:rsidRDefault="001A52E6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56396F00" w14:textId="77777777" w:rsidR="00604E53" w:rsidRPr="00EC311C" w:rsidRDefault="00604E53" w:rsidP="00604E53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>Polska utrzymuje status jednego z głównych państw rezydencji dla obywateli Ukrainy w Unii Europejskiej. Zgodnie ze stanem na 1 maja 2026 r., ważne dokumenty pobytowe posiada 1,56 mln obywateli Ukrainy, co stanowi blisko 78% ogółu cudzoziemców ujętych w rejestrach migracyjnych.</w:t>
      </w:r>
    </w:p>
    <w:p w14:paraId="2BB26C05" w14:textId="6D50F7A5" w:rsidR="00595C1F" w:rsidRDefault="00153173" w:rsidP="00C33BF0">
      <w:pPr>
        <w:spacing w:line="360" w:lineRule="auto"/>
        <w:ind w:left="708"/>
        <w:jc w:val="both"/>
        <w:rPr>
          <w:rFonts w:ascii="Roboto" w:hAnsi="Roboto"/>
          <w:color w:val="0070C0"/>
        </w:rPr>
      </w:pPr>
      <w:r>
        <w:rPr>
          <w:noProof/>
        </w:rPr>
        <w:drawing>
          <wp:inline distT="0" distB="0" distL="0" distR="0" wp14:anchorId="19E031FA" wp14:editId="5D889570">
            <wp:extent cx="6334125" cy="2906395"/>
            <wp:effectExtent l="0" t="0" r="0" b="8255"/>
            <wp:docPr id="21" name="Wykres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61F1ADF" w14:textId="3256CA09" w:rsidR="00604E53" w:rsidRPr="00EC311C" w:rsidRDefault="00604E53" w:rsidP="00B666F5">
      <w:pPr>
        <w:ind w:left="708"/>
        <w:jc w:val="both"/>
        <w:rPr>
          <w:rFonts w:ascii="Roboto" w:hAnsi="Roboto"/>
          <w:u w:val="single"/>
        </w:rPr>
      </w:pPr>
      <w:r w:rsidRPr="00EC311C">
        <w:rPr>
          <w:rFonts w:ascii="Roboto" w:hAnsi="Roboto"/>
          <w:u w:val="single"/>
        </w:rPr>
        <w:t xml:space="preserve">Stabilizacja populacji: </w:t>
      </w:r>
      <w:r w:rsidRPr="00EC311C">
        <w:rPr>
          <w:rFonts w:ascii="Roboto" w:hAnsi="Roboto"/>
        </w:rPr>
        <w:t xml:space="preserve">Po okresie gwałtownej dynamiki wzrostu wywołanej wybuchem </w:t>
      </w:r>
      <w:proofErr w:type="spellStart"/>
      <w:r w:rsidRPr="00EC311C">
        <w:rPr>
          <w:rFonts w:ascii="Roboto" w:hAnsi="Roboto"/>
        </w:rPr>
        <w:t>pełnoskalowego</w:t>
      </w:r>
      <w:proofErr w:type="spellEnd"/>
      <w:r w:rsidRPr="00EC311C">
        <w:rPr>
          <w:rFonts w:ascii="Roboto" w:hAnsi="Roboto"/>
        </w:rPr>
        <w:t xml:space="preserve"> konfliktu (wzrost o ok. 1,1 mln osób między 2021 a 2022 rokiem), dane za pierwsze cztery miesiące </w:t>
      </w:r>
      <w:r w:rsidRPr="00EC311C">
        <w:rPr>
          <w:rFonts w:ascii="Roboto" w:hAnsi="Roboto"/>
        </w:rPr>
        <w:br/>
        <w:t>2026 r. potwierdzają stabilizację liczebności diaspory w przedziale 1,5–1,6 mln osób.</w:t>
      </w:r>
    </w:p>
    <w:p w14:paraId="55928734" w14:textId="0207CC12" w:rsidR="00C33BF0" w:rsidRPr="00EC311C" w:rsidRDefault="00C33BF0" w:rsidP="00B666F5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lastRenderedPageBreak/>
        <w:t>Dynamika rok do roku:</w:t>
      </w:r>
      <w:r w:rsidRPr="00EC311C">
        <w:rPr>
          <w:rFonts w:ascii="Roboto" w:hAnsi="Roboto"/>
        </w:rPr>
        <w:t xml:space="preserve"> Odnotowano nieznaczny </w:t>
      </w:r>
      <w:r w:rsidR="00E4584D" w:rsidRPr="00EC311C">
        <w:rPr>
          <w:rFonts w:ascii="Roboto" w:hAnsi="Roboto"/>
        </w:rPr>
        <w:t>wzrost</w:t>
      </w:r>
      <w:r w:rsidRPr="00EC311C">
        <w:rPr>
          <w:rFonts w:ascii="Roboto" w:hAnsi="Roboto"/>
        </w:rPr>
        <w:t xml:space="preserve"> liczby aktywnych dokumentów o ok. </w:t>
      </w:r>
      <w:r w:rsidRPr="00EC311C">
        <w:rPr>
          <w:rFonts w:ascii="Roboto" w:hAnsi="Roboto"/>
          <w:b/>
        </w:rPr>
        <w:t>0,4%</w:t>
      </w:r>
      <w:r w:rsidRPr="00EC311C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br/>
        <w:t>w porównaniu do roku 2025 (z 1,5</w:t>
      </w:r>
      <w:r w:rsidR="00E4584D" w:rsidRPr="00EC311C">
        <w:rPr>
          <w:rFonts w:ascii="Roboto" w:hAnsi="Roboto"/>
        </w:rPr>
        <w:t>5</w:t>
      </w:r>
      <w:r w:rsidRPr="00EC311C">
        <w:rPr>
          <w:rFonts w:ascii="Roboto" w:hAnsi="Roboto"/>
        </w:rPr>
        <w:t xml:space="preserve"> mln do 1,5</w:t>
      </w:r>
      <w:r w:rsidR="00E4584D" w:rsidRPr="00EC311C">
        <w:rPr>
          <w:rFonts w:ascii="Roboto" w:hAnsi="Roboto"/>
        </w:rPr>
        <w:t>6</w:t>
      </w:r>
      <w:r w:rsidRPr="00EC311C">
        <w:rPr>
          <w:rFonts w:ascii="Roboto" w:hAnsi="Roboto"/>
        </w:rPr>
        <w:t xml:space="preserve"> mln)</w:t>
      </w:r>
      <w:r w:rsidR="00984441" w:rsidRPr="00EC311C">
        <w:rPr>
          <w:rFonts w:ascii="Roboto" w:hAnsi="Roboto"/>
        </w:rPr>
        <w:t>.</w:t>
      </w:r>
      <w:r w:rsidRPr="00EC311C">
        <w:rPr>
          <w:rFonts w:ascii="Roboto" w:hAnsi="Roboto"/>
        </w:rPr>
        <w:t xml:space="preserve"> </w:t>
      </w:r>
      <w:r w:rsidR="00984441" w:rsidRPr="00EC311C">
        <w:rPr>
          <w:rFonts w:ascii="Roboto" w:hAnsi="Roboto"/>
        </w:rPr>
        <w:t>Tak niska dynamika przy jednoczesnym napływie nowych wniosków sugeruje równoległe procesy odpływu z rejestrów, m.in. poprzez naturalizację (nabywanie obywatelstwa polskiego) lub migracje powrotne i dalsze.</w:t>
      </w:r>
    </w:p>
    <w:p w14:paraId="42407E74" w14:textId="360F5597" w:rsidR="00984441" w:rsidRPr="00EC311C" w:rsidRDefault="00984441" w:rsidP="00B666F5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Dominacja narodowościowa:</w:t>
      </w:r>
      <w:r w:rsidRPr="00EC311C">
        <w:rPr>
          <w:rFonts w:ascii="Roboto" w:hAnsi="Roboto"/>
        </w:rPr>
        <w:t xml:space="preserve"> Populacja obywateli Ukrainy jest obecnie ponad </w:t>
      </w:r>
      <w:r w:rsidRPr="00EC311C">
        <w:rPr>
          <w:rFonts w:ascii="Roboto" w:hAnsi="Roboto"/>
          <w:b/>
        </w:rPr>
        <w:t>3,5-krotnie liczniejsza</w:t>
      </w:r>
      <w:r w:rsidRPr="00EC311C">
        <w:rPr>
          <w:rFonts w:ascii="Roboto" w:hAnsi="Roboto"/>
        </w:rPr>
        <w:t xml:space="preserve"> niż suma wszystkich pozostałych cudzoziemców posiadających ważne dokumenty pobytowe w Polsce (445,8 tys. osób).</w:t>
      </w:r>
    </w:p>
    <w:p w14:paraId="1E3DA1CF" w14:textId="145D8DC8" w:rsidR="009870BD" w:rsidRPr="00BA22BC" w:rsidRDefault="009870BD" w:rsidP="001A52E6">
      <w:pPr>
        <w:spacing w:after="0" w:line="360" w:lineRule="auto"/>
        <w:ind w:left="708"/>
        <w:rPr>
          <w:rFonts w:ascii="Roboto" w:hAnsi="Roboto"/>
        </w:rPr>
      </w:pPr>
    </w:p>
    <w:p w14:paraId="43174C16" w14:textId="1D8CA0B2" w:rsidR="00B666F5" w:rsidRPr="00571027" w:rsidRDefault="00361D4C" w:rsidP="00571027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36FD9FE9" wp14:editId="26777D37">
            <wp:extent cx="6343650" cy="2845435"/>
            <wp:effectExtent l="0" t="0" r="0" b="0"/>
            <wp:docPr id="22" name="Wykres 22">
              <a:extLst xmlns:a="http://schemas.openxmlformats.org/drawingml/2006/main">
                <a:ext uri="{FF2B5EF4-FFF2-40B4-BE49-F238E27FC236}">
                  <a16:creationId xmlns:a16="http://schemas.microsoft.com/office/drawing/2014/main" id="{782E4770-A019-43BD-9604-4C2947087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A5F630" w14:textId="77777777" w:rsidR="00984441" w:rsidRDefault="00984441" w:rsidP="00B666F5">
      <w:pPr>
        <w:spacing w:after="0"/>
        <w:ind w:left="708"/>
        <w:jc w:val="both"/>
        <w:rPr>
          <w:rFonts w:ascii="Roboto" w:hAnsi="Roboto"/>
          <w:b/>
        </w:rPr>
      </w:pPr>
    </w:p>
    <w:p w14:paraId="6C7DF687" w14:textId="0FD8AE5E" w:rsidR="00595C1F" w:rsidRPr="00EC311C" w:rsidRDefault="00595C1F" w:rsidP="00B666F5">
      <w:pPr>
        <w:spacing w:after="0"/>
        <w:ind w:left="708"/>
        <w:jc w:val="both"/>
        <w:rPr>
          <w:rFonts w:ascii="Roboto" w:hAnsi="Roboto"/>
          <w:b/>
        </w:rPr>
      </w:pPr>
      <w:r w:rsidRPr="00EC311C">
        <w:rPr>
          <w:rFonts w:ascii="Roboto" w:hAnsi="Roboto"/>
          <w:b/>
        </w:rPr>
        <w:t xml:space="preserve">Struktura dokumentów uprawniających do pobytu </w:t>
      </w:r>
    </w:p>
    <w:p w14:paraId="36487FA6" w14:textId="77777777" w:rsidR="00984441" w:rsidRPr="00EC311C" w:rsidRDefault="00984441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>System legalizacji pobytu obywateli Ukrainy ewoluuje w stronę modelu hybrydowego, łączącego instrumenty nadzwyczajne z procedurami standardowymi (opartymi głównie na aktywności zawodowej).</w:t>
      </w:r>
    </w:p>
    <w:p w14:paraId="677B81C9" w14:textId="41D7211F" w:rsidR="00595C1F" w:rsidRPr="00EC311C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Ochrona czasowa:</w:t>
      </w:r>
      <w:r w:rsidRPr="00EC311C">
        <w:rPr>
          <w:rFonts w:ascii="Roboto" w:hAnsi="Roboto"/>
        </w:rPr>
        <w:t xml:space="preserve"> 9</w:t>
      </w:r>
      <w:r w:rsidR="009B4FFE" w:rsidRPr="00EC311C">
        <w:rPr>
          <w:rFonts w:ascii="Roboto" w:hAnsi="Roboto"/>
        </w:rPr>
        <w:t>68</w:t>
      </w:r>
      <w:r w:rsidRPr="00EC311C">
        <w:rPr>
          <w:rFonts w:ascii="Roboto" w:hAnsi="Roboto"/>
        </w:rPr>
        <w:t xml:space="preserve"> </w:t>
      </w:r>
      <w:r w:rsidR="009B4FFE" w:rsidRPr="00EC311C">
        <w:rPr>
          <w:rFonts w:ascii="Roboto" w:hAnsi="Roboto"/>
        </w:rPr>
        <w:t>997</w:t>
      </w:r>
      <w:r w:rsidRPr="00EC311C">
        <w:rPr>
          <w:rFonts w:ascii="Roboto" w:hAnsi="Roboto"/>
        </w:rPr>
        <w:t xml:space="preserve"> osób (61,6%) – </w:t>
      </w:r>
      <w:r w:rsidR="00984441" w:rsidRPr="00EC311C">
        <w:rPr>
          <w:rFonts w:ascii="Roboto" w:hAnsi="Roboto"/>
        </w:rPr>
        <w:t>mimo upływu czasu, pozostaje główną podstawą legalnego pobytu dla uciekinierów wojennych.</w:t>
      </w:r>
    </w:p>
    <w:p w14:paraId="082EE8E5" w14:textId="77261D60" w:rsidR="00595C1F" w:rsidRPr="00EC311C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Pobyt czasowy:</w:t>
      </w:r>
      <w:r w:rsidRPr="00EC311C">
        <w:rPr>
          <w:rFonts w:ascii="Roboto" w:hAnsi="Roboto"/>
        </w:rPr>
        <w:t xml:space="preserve"> 4</w:t>
      </w:r>
      <w:r w:rsidR="009B4FFE" w:rsidRPr="00EC311C">
        <w:rPr>
          <w:rFonts w:ascii="Roboto" w:hAnsi="Roboto"/>
        </w:rPr>
        <w:t>78</w:t>
      </w:r>
      <w:r w:rsidRPr="00EC311C">
        <w:rPr>
          <w:rFonts w:ascii="Roboto" w:hAnsi="Roboto"/>
        </w:rPr>
        <w:t xml:space="preserve"> </w:t>
      </w:r>
      <w:r w:rsidR="009B4FFE" w:rsidRPr="00EC311C">
        <w:rPr>
          <w:rFonts w:ascii="Roboto" w:hAnsi="Roboto"/>
        </w:rPr>
        <w:t>413</w:t>
      </w:r>
      <w:r w:rsidRPr="00EC311C">
        <w:rPr>
          <w:rFonts w:ascii="Roboto" w:hAnsi="Roboto"/>
        </w:rPr>
        <w:t xml:space="preserve"> osób (30,</w:t>
      </w:r>
      <w:r w:rsidR="009B4FFE" w:rsidRPr="00EC311C">
        <w:rPr>
          <w:rFonts w:ascii="Roboto" w:hAnsi="Roboto"/>
        </w:rPr>
        <w:t>6</w:t>
      </w:r>
      <w:r w:rsidRPr="00EC311C">
        <w:rPr>
          <w:rFonts w:ascii="Roboto" w:hAnsi="Roboto"/>
        </w:rPr>
        <w:t xml:space="preserve">%) – </w:t>
      </w:r>
      <w:r w:rsidR="00984441" w:rsidRPr="00EC311C">
        <w:rPr>
          <w:rFonts w:ascii="Roboto" w:hAnsi="Roboto"/>
        </w:rPr>
        <w:t>kluczowy instrument migracji zarobkowej i łączenia rodzin; grupa ta sukcesywnie rośnie kosztem ochrony czasowej.</w:t>
      </w:r>
    </w:p>
    <w:p w14:paraId="0AA949C0" w14:textId="789692F7" w:rsidR="00595C1F" w:rsidRPr="00EC311C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Pobyt stały:</w:t>
      </w:r>
      <w:r w:rsidRPr="00EC311C">
        <w:rPr>
          <w:rFonts w:ascii="Roboto" w:hAnsi="Roboto"/>
        </w:rPr>
        <w:t xml:space="preserve"> 58 4</w:t>
      </w:r>
      <w:r w:rsidR="00041E19" w:rsidRPr="00EC311C">
        <w:rPr>
          <w:rFonts w:ascii="Roboto" w:hAnsi="Roboto"/>
        </w:rPr>
        <w:t>95</w:t>
      </w:r>
      <w:r w:rsidRPr="00EC311C">
        <w:rPr>
          <w:rFonts w:ascii="Roboto" w:hAnsi="Roboto"/>
        </w:rPr>
        <w:t xml:space="preserve"> os</w:t>
      </w:r>
      <w:r w:rsidR="00041E19" w:rsidRPr="00EC311C">
        <w:rPr>
          <w:rFonts w:ascii="Roboto" w:hAnsi="Roboto"/>
        </w:rPr>
        <w:t>ób</w:t>
      </w:r>
      <w:r w:rsidRPr="00EC311C">
        <w:rPr>
          <w:rFonts w:ascii="Roboto" w:hAnsi="Roboto"/>
        </w:rPr>
        <w:t xml:space="preserve"> (3,</w:t>
      </w:r>
      <w:r w:rsidR="00041E19" w:rsidRPr="00EC311C">
        <w:rPr>
          <w:rFonts w:ascii="Roboto" w:hAnsi="Roboto"/>
        </w:rPr>
        <w:t>7</w:t>
      </w:r>
      <w:r w:rsidRPr="00EC311C">
        <w:rPr>
          <w:rFonts w:ascii="Roboto" w:hAnsi="Roboto"/>
        </w:rPr>
        <w:t xml:space="preserve">%) – </w:t>
      </w:r>
      <w:r w:rsidR="00984441" w:rsidRPr="00EC311C">
        <w:rPr>
          <w:rFonts w:ascii="Roboto" w:hAnsi="Roboto"/>
        </w:rPr>
        <w:t>obejmuje osoby o najsilniejszych, ugruntowanych więziach z Polską (np. posiadaczy Karty Polaka).</w:t>
      </w:r>
    </w:p>
    <w:p w14:paraId="1B7EF2D7" w14:textId="0F9F9C56" w:rsidR="00595C1F" w:rsidRPr="00EC311C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Rezydent długoterminowy UE:</w:t>
      </w:r>
      <w:r w:rsidRPr="00EC311C">
        <w:rPr>
          <w:rFonts w:ascii="Roboto" w:hAnsi="Roboto"/>
        </w:rPr>
        <w:t xml:space="preserve"> </w:t>
      </w:r>
      <w:r w:rsidR="007A543E" w:rsidRPr="00EC311C">
        <w:rPr>
          <w:rFonts w:ascii="Roboto" w:hAnsi="Roboto"/>
        </w:rPr>
        <w:t>50</w:t>
      </w:r>
      <w:r w:rsidRPr="00EC311C">
        <w:rPr>
          <w:rFonts w:ascii="Roboto" w:hAnsi="Roboto"/>
        </w:rPr>
        <w:t xml:space="preserve"> 9</w:t>
      </w:r>
      <w:r w:rsidR="007A543E" w:rsidRPr="00EC311C">
        <w:rPr>
          <w:rFonts w:ascii="Roboto" w:hAnsi="Roboto"/>
        </w:rPr>
        <w:t>91</w:t>
      </w:r>
      <w:r w:rsidRPr="00EC311C">
        <w:rPr>
          <w:rFonts w:ascii="Roboto" w:hAnsi="Roboto"/>
        </w:rPr>
        <w:t xml:space="preserve"> os</w:t>
      </w:r>
      <w:r w:rsidR="007A543E" w:rsidRPr="00EC311C">
        <w:rPr>
          <w:rFonts w:ascii="Roboto" w:hAnsi="Roboto"/>
        </w:rPr>
        <w:t>ób</w:t>
      </w:r>
      <w:r w:rsidRPr="00EC311C">
        <w:rPr>
          <w:rFonts w:ascii="Roboto" w:hAnsi="Roboto"/>
        </w:rPr>
        <w:t xml:space="preserve"> (3,</w:t>
      </w:r>
      <w:r w:rsidR="007A543E" w:rsidRPr="00EC311C">
        <w:rPr>
          <w:rFonts w:ascii="Roboto" w:hAnsi="Roboto"/>
        </w:rPr>
        <w:t>3</w:t>
      </w:r>
      <w:r w:rsidRPr="00EC311C">
        <w:rPr>
          <w:rFonts w:ascii="Roboto" w:hAnsi="Roboto"/>
        </w:rPr>
        <w:t xml:space="preserve">%) – </w:t>
      </w:r>
      <w:r w:rsidR="00984441" w:rsidRPr="00EC311C">
        <w:rPr>
          <w:rFonts w:ascii="Roboto" w:hAnsi="Roboto"/>
        </w:rPr>
        <w:t>kategoria o strategicznym znaczeniu, dokumentująca postępujący proces stabilizacji i wieloletniego osiedlania się w Polsce.</w:t>
      </w:r>
    </w:p>
    <w:p w14:paraId="18C0F2AE" w14:textId="7F0C8AE7" w:rsidR="00984441" w:rsidRPr="00EC311C" w:rsidRDefault="00984441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Ochrona uzupełniająca:</w:t>
      </w:r>
      <w:r w:rsidRPr="00EC311C">
        <w:rPr>
          <w:rFonts w:ascii="Roboto" w:hAnsi="Roboto"/>
        </w:rPr>
        <w:t xml:space="preserve"> 6 481 osób (0,4%) – przyznawana w ramach indywidualnych postępowań o udzielenie ochrony międzynarodowej.</w:t>
      </w:r>
    </w:p>
    <w:p w14:paraId="0B50C4C1" w14:textId="1976DFFA" w:rsidR="00595C1F" w:rsidRPr="00EC311C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Pozostałe:</w:t>
      </w:r>
      <w:r w:rsidRPr="00EC311C">
        <w:rPr>
          <w:rFonts w:ascii="Roboto" w:hAnsi="Roboto"/>
        </w:rPr>
        <w:t xml:space="preserve"> 1 2</w:t>
      </w:r>
      <w:r w:rsidR="005D56C7" w:rsidRPr="00EC311C">
        <w:rPr>
          <w:rFonts w:ascii="Roboto" w:hAnsi="Roboto"/>
        </w:rPr>
        <w:t>50</w:t>
      </w:r>
      <w:r w:rsidRPr="00EC311C">
        <w:rPr>
          <w:rFonts w:ascii="Roboto" w:hAnsi="Roboto"/>
        </w:rPr>
        <w:t xml:space="preserve"> osób (0,1%).</w:t>
      </w:r>
    </w:p>
    <w:p w14:paraId="25E14965" w14:textId="77777777" w:rsidR="001A52E6" w:rsidRDefault="001A52E6" w:rsidP="00AD7F93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1AB25563" w14:textId="3B938850" w:rsidR="004B16FB" w:rsidRDefault="00036ACD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  <w:r w:rsidRPr="009748BD">
        <w:rPr>
          <w:rFonts w:ascii="Roboto" w:hAnsi="Roboto"/>
          <w:b/>
          <w:bCs/>
        </w:rPr>
        <w:lastRenderedPageBreak/>
        <w:t>Dane Ministerstwa Spraw Zagranicznych</w:t>
      </w:r>
    </w:p>
    <w:p w14:paraId="3EDAA012" w14:textId="77777777" w:rsidR="00811C96" w:rsidRPr="00AD7F93" w:rsidRDefault="00811C96" w:rsidP="00AD7F93">
      <w:pPr>
        <w:spacing w:after="0" w:line="360" w:lineRule="auto"/>
        <w:jc w:val="both"/>
        <w:rPr>
          <w:rFonts w:ascii="Roboto" w:hAnsi="Roboto"/>
        </w:rPr>
      </w:pPr>
    </w:p>
    <w:p w14:paraId="771C292A" w14:textId="5F97E641" w:rsidR="003717DD" w:rsidRPr="00E55764" w:rsidRDefault="007B632D" w:rsidP="001A52E6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616930EA" wp14:editId="177C988F">
            <wp:extent cx="6362700" cy="2752090"/>
            <wp:effectExtent l="0" t="0" r="0" b="0"/>
            <wp:docPr id="23" name="Wykres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457866D" w14:textId="77777777" w:rsidR="00963EED" w:rsidRPr="00EC311C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 xml:space="preserve">Dane Ministerstwa Spraw Zagranicznych wskazują na gwałtowny regres liczby wydawanych wiz po 2021 roku. Trend ten jest wypadkową kilku kluczowych czynników o charakterze strategicznym </w:t>
      </w:r>
      <w:r w:rsidR="00963EED" w:rsidRPr="00EC311C">
        <w:rPr>
          <w:rFonts w:ascii="Roboto" w:hAnsi="Roboto"/>
        </w:rPr>
        <w:br/>
      </w:r>
      <w:r w:rsidRPr="00EC311C">
        <w:rPr>
          <w:rFonts w:ascii="Roboto" w:hAnsi="Roboto"/>
        </w:rPr>
        <w:t>i systemowym:</w:t>
      </w:r>
    </w:p>
    <w:p w14:paraId="7A2145D0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77D31B15" w14:textId="77777777" w:rsidR="00963EED" w:rsidRPr="00EC311C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Zmiana modelu legalizacji:</w:t>
      </w:r>
      <w:r w:rsidRPr="00EC311C">
        <w:rPr>
          <w:rFonts w:ascii="Roboto" w:hAnsi="Roboto"/>
        </w:rPr>
        <w:t xml:space="preserve"> Wybuch </w:t>
      </w:r>
      <w:proofErr w:type="spellStart"/>
      <w:r w:rsidRPr="00EC311C">
        <w:rPr>
          <w:rFonts w:ascii="Roboto" w:hAnsi="Roboto"/>
        </w:rPr>
        <w:t>pełnoskalowego</w:t>
      </w:r>
      <w:proofErr w:type="spellEnd"/>
      <w:r w:rsidRPr="00EC311C">
        <w:rPr>
          <w:rFonts w:ascii="Roboto" w:hAnsi="Roboto"/>
        </w:rPr>
        <w:t xml:space="preserve"> konfliktu zbrojnego w 2022 r. spowodował masowe przejście obywateli Ukrainy na mechanizm ochrony czasowej, co wyeliminowało konieczność posiadania wizy przy przekraczaniu granicy i legalizacji pobytu.</w:t>
      </w:r>
    </w:p>
    <w:p w14:paraId="68B91266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6EBB7471" w14:textId="77777777" w:rsidR="00963EED" w:rsidRPr="00EC311C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Marginalizacja wiz </w:t>
      </w:r>
      <w:proofErr w:type="spellStart"/>
      <w:r w:rsidRPr="00EC311C">
        <w:rPr>
          <w:rFonts w:ascii="Roboto" w:hAnsi="Roboto"/>
          <w:u w:val="single"/>
        </w:rPr>
        <w:t>Schengen</w:t>
      </w:r>
      <w:proofErr w:type="spellEnd"/>
      <w:r w:rsidRPr="00EC311C">
        <w:rPr>
          <w:rFonts w:ascii="Roboto" w:hAnsi="Roboto"/>
          <w:u w:val="single"/>
        </w:rPr>
        <w:t>:</w:t>
      </w:r>
      <w:r w:rsidRPr="00EC311C">
        <w:rPr>
          <w:rFonts w:ascii="Roboto" w:hAnsi="Roboto"/>
        </w:rPr>
        <w:t xml:space="preserve"> Od 2018 roku obserwuje się niemal całkowity zanik wydawanych wiz typu </w:t>
      </w:r>
      <w:proofErr w:type="spellStart"/>
      <w:r w:rsidRPr="00EC311C">
        <w:rPr>
          <w:rFonts w:ascii="Roboto" w:hAnsi="Roboto"/>
        </w:rPr>
        <w:t>Schengen</w:t>
      </w:r>
      <w:proofErr w:type="spellEnd"/>
      <w:r w:rsidRPr="00EC311C">
        <w:rPr>
          <w:rFonts w:ascii="Roboto" w:hAnsi="Roboto"/>
        </w:rPr>
        <w:t xml:space="preserve"> (z poziomu blisko 260 tys. w 2017 r. do wartości śladowych). Jest to bezpośredni efekt pełnego wdrożenia ruchu bezwizowego dla posiadaczy paszportów biometrycznych.</w:t>
      </w:r>
    </w:p>
    <w:p w14:paraId="46D846A8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428E753B" w14:textId="4D8BD2EE" w:rsidR="00643330" w:rsidRPr="00EC311C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Ewolucja wiz krajowych:</w:t>
      </w:r>
      <w:r w:rsidRPr="00EC311C">
        <w:rPr>
          <w:rFonts w:ascii="Roboto" w:hAnsi="Roboto"/>
        </w:rPr>
        <w:t xml:space="preserve"> Liczba wydanych wiz krajowych spadła z poziomu ok. 757 tys. w 2021 r. do ok. 104 tys. w roku 2025. Dane za pierwsze miesiące 2026 r. (40 </w:t>
      </w:r>
      <w:r w:rsidR="00963EED" w:rsidRPr="00EC311C">
        <w:rPr>
          <w:rFonts w:ascii="Roboto" w:hAnsi="Roboto"/>
        </w:rPr>
        <w:t>tys.</w:t>
      </w:r>
      <w:r w:rsidRPr="00EC311C">
        <w:rPr>
          <w:rFonts w:ascii="Roboto" w:hAnsi="Roboto"/>
        </w:rPr>
        <w:t xml:space="preserve"> wiz) sugerują utrzymanie się tego niskiego trendu, co potwierdza, że instrument wizowy przestał być głównym kanałem migracji z Ukrainy do Polski na rzecz zezwoleń na pobyt czasowy wydawanych już wewnątrz kraju.</w:t>
      </w:r>
    </w:p>
    <w:sectPr w:rsidR="00643330" w:rsidRPr="00EC311C" w:rsidSect="002F4041">
      <w:headerReference w:type="first" r:id="rId20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3056" w14:textId="77777777" w:rsidR="00BE5F56" w:rsidRDefault="00BE5F56">
      <w:pPr>
        <w:spacing w:after="0" w:line="240" w:lineRule="auto"/>
      </w:pPr>
      <w:r>
        <w:separator/>
      </w:r>
    </w:p>
  </w:endnote>
  <w:endnote w:type="continuationSeparator" w:id="0">
    <w:p w14:paraId="6E077271" w14:textId="77777777" w:rsidR="00BE5F56" w:rsidRDefault="00BE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C02C" w14:textId="77777777" w:rsidR="00BE5F56" w:rsidRDefault="00BE5F56">
      <w:pPr>
        <w:spacing w:after="0" w:line="240" w:lineRule="auto"/>
      </w:pPr>
      <w:r>
        <w:separator/>
      </w:r>
    </w:p>
  </w:footnote>
  <w:footnote w:type="continuationSeparator" w:id="0">
    <w:p w14:paraId="110ACF6F" w14:textId="77777777" w:rsidR="00BE5F56" w:rsidRDefault="00BE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B7E8" w14:textId="77777777" w:rsidR="00604E53" w:rsidRDefault="00604E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342565" wp14:editId="2B8B6CA2">
          <wp:simplePos x="0" y="0"/>
          <wp:positionH relativeFrom="column">
            <wp:posOffset>-217805</wp:posOffset>
          </wp:positionH>
          <wp:positionV relativeFrom="paragraph">
            <wp:posOffset>-243205</wp:posOffset>
          </wp:positionV>
          <wp:extent cx="2414905" cy="12115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ogo_u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C43"/>
    <w:multiLevelType w:val="hybridMultilevel"/>
    <w:tmpl w:val="312821D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E7199F"/>
    <w:multiLevelType w:val="hybridMultilevel"/>
    <w:tmpl w:val="3C5C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1FCD"/>
    <w:multiLevelType w:val="hybridMultilevel"/>
    <w:tmpl w:val="7804AB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F702FF"/>
    <w:multiLevelType w:val="hybridMultilevel"/>
    <w:tmpl w:val="4C9425A0"/>
    <w:lvl w:ilvl="0" w:tplc="E9C2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9420E"/>
    <w:multiLevelType w:val="hybridMultilevel"/>
    <w:tmpl w:val="C60C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130A"/>
    <w:multiLevelType w:val="hybridMultilevel"/>
    <w:tmpl w:val="5A42E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92B15"/>
    <w:multiLevelType w:val="multilevel"/>
    <w:tmpl w:val="DE5A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81346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466B62"/>
    <w:multiLevelType w:val="hybridMultilevel"/>
    <w:tmpl w:val="C542041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92378"/>
    <w:multiLevelType w:val="hybridMultilevel"/>
    <w:tmpl w:val="D8AE0DD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A93B2C"/>
    <w:multiLevelType w:val="hybridMultilevel"/>
    <w:tmpl w:val="7B44675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3540E1A"/>
    <w:multiLevelType w:val="hybridMultilevel"/>
    <w:tmpl w:val="37D2D58A"/>
    <w:lvl w:ilvl="0" w:tplc="A25C4A2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D58A5"/>
    <w:multiLevelType w:val="multilevel"/>
    <w:tmpl w:val="D36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23B94"/>
    <w:multiLevelType w:val="hybridMultilevel"/>
    <w:tmpl w:val="B9822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327AD"/>
    <w:multiLevelType w:val="multilevel"/>
    <w:tmpl w:val="834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12E09"/>
    <w:multiLevelType w:val="hybridMultilevel"/>
    <w:tmpl w:val="A2D0729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985EBA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983BC1"/>
    <w:multiLevelType w:val="hybridMultilevel"/>
    <w:tmpl w:val="23B89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54E01"/>
    <w:multiLevelType w:val="hybridMultilevel"/>
    <w:tmpl w:val="7A3CAC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0DC090B"/>
    <w:multiLevelType w:val="hybridMultilevel"/>
    <w:tmpl w:val="73FC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1115"/>
    <w:multiLevelType w:val="multilevel"/>
    <w:tmpl w:val="EF2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D6870"/>
    <w:multiLevelType w:val="multilevel"/>
    <w:tmpl w:val="A0E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6487F"/>
    <w:multiLevelType w:val="multilevel"/>
    <w:tmpl w:val="C1E0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13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14"/>
  </w:num>
  <w:num w:numId="12">
    <w:abstractNumId w:val="6"/>
  </w:num>
  <w:num w:numId="13">
    <w:abstractNumId w:val="0"/>
  </w:num>
  <w:num w:numId="14">
    <w:abstractNumId w:val="9"/>
  </w:num>
  <w:num w:numId="15">
    <w:abstractNumId w:val="12"/>
  </w:num>
  <w:num w:numId="16">
    <w:abstractNumId w:val="17"/>
  </w:num>
  <w:num w:numId="17">
    <w:abstractNumId w:val="8"/>
  </w:num>
  <w:num w:numId="18">
    <w:abstractNumId w:val="4"/>
  </w:num>
  <w:num w:numId="19">
    <w:abstractNumId w:val="5"/>
  </w:num>
  <w:num w:numId="20">
    <w:abstractNumId w:val="15"/>
  </w:num>
  <w:num w:numId="21">
    <w:abstractNumId w:val="10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7B"/>
    <w:rsid w:val="000007FE"/>
    <w:rsid w:val="00001E56"/>
    <w:rsid w:val="00002EA9"/>
    <w:rsid w:val="00004E12"/>
    <w:rsid w:val="00005E88"/>
    <w:rsid w:val="00006D29"/>
    <w:rsid w:val="00010D39"/>
    <w:rsid w:val="000113D5"/>
    <w:rsid w:val="0001224F"/>
    <w:rsid w:val="0001290E"/>
    <w:rsid w:val="000129A3"/>
    <w:rsid w:val="0001307F"/>
    <w:rsid w:val="000136B2"/>
    <w:rsid w:val="00013983"/>
    <w:rsid w:val="00013BC3"/>
    <w:rsid w:val="0001409E"/>
    <w:rsid w:val="000154DE"/>
    <w:rsid w:val="0001657D"/>
    <w:rsid w:val="000167D8"/>
    <w:rsid w:val="00017258"/>
    <w:rsid w:val="00017556"/>
    <w:rsid w:val="000210F0"/>
    <w:rsid w:val="00022489"/>
    <w:rsid w:val="00023C71"/>
    <w:rsid w:val="00024E69"/>
    <w:rsid w:val="000265D0"/>
    <w:rsid w:val="00034155"/>
    <w:rsid w:val="000342EA"/>
    <w:rsid w:val="00034D62"/>
    <w:rsid w:val="00035571"/>
    <w:rsid w:val="000358CD"/>
    <w:rsid w:val="00036ACD"/>
    <w:rsid w:val="00037B45"/>
    <w:rsid w:val="000406D5"/>
    <w:rsid w:val="00040FF5"/>
    <w:rsid w:val="000415F9"/>
    <w:rsid w:val="00041E19"/>
    <w:rsid w:val="000420EF"/>
    <w:rsid w:val="00046683"/>
    <w:rsid w:val="00046C7F"/>
    <w:rsid w:val="00047890"/>
    <w:rsid w:val="00047A92"/>
    <w:rsid w:val="00050EB4"/>
    <w:rsid w:val="00053D30"/>
    <w:rsid w:val="0005432C"/>
    <w:rsid w:val="000558AB"/>
    <w:rsid w:val="00061657"/>
    <w:rsid w:val="000632B3"/>
    <w:rsid w:val="00065391"/>
    <w:rsid w:val="000662C9"/>
    <w:rsid w:val="00066E5E"/>
    <w:rsid w:val="000670BF"/>
    <w:rsid w:val="000705CA"/>
    <w:rsid w:val="00073726"/>
    <w:rsid w:val="000739A6"/>
    <w:rsid w:val="00074205"/>
    <w:rsid w:val="0007523B"/>
    <w:rsid w:val="00077F9D"/>
    <w:rsid w:val="00080F69"/>
    <w:rsid w:val="000812D1"/>
    <w:rsid w:val="00081BA4"/>
    <w:rsid w:val="000820C5"/>
    <w:rsid w:val="0008277B"/>
    <w:rsid w:val="00082BA7"/>
    <w:rsid w:val="00084607"/>
    <w:rsid w:val="00085604"/>
    <w:rsid w:val="00085994"/>
    <w:rsid w:val="00086BD8"/>
    <w:rsid w:val="00090A5D"/>
    <w:rsid w:val="00090AD7"/>
    <w:rsid w:val="000921AE"/>
    <w:rsid w:val="00093B59"/>
    <w:rsid w:val="00094E4D"/>
    <w:rsid w:val="00096517"/>
    <w:rsid w:val="000967FC"/>
    <w:rsid w:val="000A0117"/>
    <w:rsid w:val="000A01F2"/>
    <w:rsid w:val="000A0B2B"/>
    <w:rsid w:val="000A29CD"/>
    <w:rsid w:val="000A4344"/>
    <w:rsid w:val="000A552C"/>
    <w:rsid w:val="000A65A9"/>
    <w:rsid w:val="000A739F"/>
    <w:rsid w:val="000B00E9"/>
    <w:rsid w:val="000B0528"/>
    <w:rsid w:val="000B08A1"/>
    <w:rsid w:val="000B1F18"/>
    <w:rsid w:val="000B5952"/>
    <w:rsid w:val="000B5DA5"/>
    <w:rsid w:val="000B6669"/>
    <w:rsid w:val="000B6DFF"/>
    <w:rsid w:val="000B74B9"/>
    <w:rsid w:val="000C2639"/>
    <w:rsid w:val="000C3969"/>
    <w:rsid w:val="000C5489"/>
    <w:rsid w:val="000C5F76"/>
    <w:rsid w:val="000C6211"/>
    <w:rsid w:val="000C685B"/>
    <w:rsid w:val="000C7DC7"/>
    <w:rsid w:val="000D034E"/>
    <w:rsid w:val="000D07CD"/>
    <w:rsid w:val="000D0D82"/>
    <w:rsid w:val="000D2666"/>
    <w:rsid w:val="000D34C2"/>
    <w:rsid w:val="000D46EB"/>
    <w:rsid w:val="000D549B"/>
    <w:rsid w:val="000D5EC3"/>
    <w:rsid w:val="000D6946"/>
    <w:rsid w:val="000D7CA3"/>
    <w:rsid w:val="000E038A"/>
    <w:rsid w:val="000E0C56"/>
    <w:rsid w:val="000E16D5"/>
    <w:rsid w:val="000E1C13"/>
    <w:rsid w:val="000E33A8"/>
    <w:rsid w:val="000E3CA2"/>
    <w:rsid w:val="000E471B"/>
    <w:rsid w:val="000E4FA2"/>
    <w:rsid w:val="000E6753"/>
    <w:rsid w:val="000F0A35"/>
    <w:rsid w:val="000F1268"/>
    <w:rsid w:val="000F20F9"/>
    <w:rsid w:val="000F40B1"/>
    <w:rsid w:val="000F4559"/>
    <w:rsid w:val="000F7792"/>
    <w:rsid w:val="000F7C40"/>
    <w:rsid w:val="000F7DD8"/>
    <w:rsid w:val="001001C8"/>
    <w:rsid w:val="001003CC"/>
    <w:rsid w:val="00100F19"/>
    <w:rsid w:val="00101416"/>
    <w:rsid w:val="00103002"/>
    <w:rsid w:val="001051B3"/>
    <w:rsid w:val="00105C8C"/>
    <w:rsid w:val="00110196"/>
    <w:rsid w:val="00110288"/>
    <w:rsid w:val="00113275"/>
    <w:rsid w:val="001134C0"/>
    <w:rsid w:val="00114DAB"/>
    <w:rsid w:val="0011640C"/>
    <w:rsid w:val="001165FF"/>
    <w:rsid w:val="001166FD"/>
    <w:rsid w:val="00116CAE"/>
    <w:rsid w:val="001204FE"/>
    <w:rsid w:val="00121689"/>
    <w:rsid w:val="00121C91"/>
    <w:rsid w:val="00122C75"/>
    <w:rsid w:val="00123A3C"/>
    <w:rsid w:val="00123A88"/>
    <w:rsid w:val="00124B51"/>
    <w:rsid w:val="00125565"/>
    <w:rsid w:val="00127C06"/>
    <w:rsid w:val="00127DC6"/>
    <w:rsid w:val="001328D5"/>
    <w:rsid w:val="001342D3"/>
    <w:rsid w:val="001348D2"/>
    <w:rsid w:val="001348DF"/>
    <w:rsid w:val="00135160"/>
    <w:rsid w:val="00137683"/>
    <w:rsid w:val="00140694"/>
    <w:rsid w:val="00140D06"/>
    <w:rsid w:val="00140F0E"/>
    <w:rsid w:val="001414D5"/>
    <w:rsid w:val="001419A3"/>
    <w:rsid w:val="00141F57"/>
    <w:rsid w:val="001435D4"/>
    <w:rsid w:val="00143A61"/>
    <w:rsid w:val="00147D78"/>
    <w:rsid w:val="00147DFA"/>
    <w:rsid w:val="00147E98"/>
    <w:rsid w:val="00150317"/>
    <w:rsid w:val="001520D2"/>
    <w:rsid w:val="00152403"/>
    <w:rsid w:val="00152580"/>
    <w:rsid w:val="0015258A"/>
    <w:rsid w:val="00153173"/>
    <w:rsid w:val="00154DE8"/>
    <w:rsid w:val="00155674"/>
    <w:rsid w:val="001560DD"/>
    <w:rsid w:val="001573E3"/>
    <w:rsid w:val="00157A68"/>
    <w:rsid w:val="00161530"/>
    <w:rsid w:val="00162473"/>
    <w:rsid w:val="00162629"/>
    <w:rsid w:val="001630AC"/>
    <w:rsid w:val="00165F61"/>
    <w:rsid w:val="0016647A"/>
    <w:rsid w:val="0016718D"/>
    <w:rsid w:val="001706F8"/>
    <w:rsid w:val="00171FAF"/>
    <w:rsid w:val="001738DA"/>
    <w:rsid w:val="0017523F"/>
    <w:rsid w:val="0017601E"/>
    <w:rsid w:val="0017781C"/>
    <w:rsid w:val="00180A20"/>
    <w:rsid w:val="00182989"/>
    <w:rsid w:val="00182CBF"/>
    <w:rsid w:val="00183EB7"/>
    <w:rsid w:val="001845DC"/>
    <w:rsid w:val="00186AC5"/>
    <w:rsid w:val="00186D44"/>
    <w:rsid w:val="001909E1"/>
    <w:rsid w:val="001924E5"/>
    <w:rsid w:val="001926AC"/>
    <w:rsid w:val="00193795"/>
    <w:rsid w:val="0019496F"/>
    <w:rsid w:val="00194D1F"/>
    <w:rsid w:val="00195080"/>
    <w:rsid w:val="001A066B"/>
    <w:rsid w:val="001A16DA"/>
    <w:rsid w:val="001A29FA"/>
    <w:rsid w:val="001A2E10"/>
    <w:rsid w:val="001A4E69"/>
    <w:rsid w:val="001A52E6"/>
    <w:rsid w:val="001A551D"/>
    <w:rsid w:val="001A6738"/>
    <w:rsid w:val="001B0023"/>
    <w:rsid w:val="001B061B"/>
    <w:rsid w:val="001B16B5"/>
    <w:rsid w:val="001B16B8"/>
    <w:rsid w:val="001B37A4"/>
    <w:rsid w:val="001B3C72"/>
    <w:rsid w:val="001B4578"/>
    <w:rsid w:val="001B6243"/>
    <w:rsid w:val="001B6FE8"/>
    <w:rsid w:val="001B7714"/>
    <w:rsid w:val="001B7938"/>
    <w:rsid w:val="001B7AB6"/>
    <w:rsid w:val="001C026B"/>
    <w:rsid w:val="001C09F0"/>
    <w:rsid w:val="001C106A"/>
    <w:rsid w:val="001C2455"/>
    <w:rsid w:val="001C2DE6"/>
    <w:rsid w:val="001C3DDC"/>
    <w:rsid w:val="001C702C"/>
    <w:rsid w:val="001C70A5"/>
    <w:rsid w:val="001C741E"/>
    <w:rsid w:val="001D018D"/>
    <w:rsid w:val="001D1416"/>
    <w:rsid w:val="001D26E2"/>
    <w:rsid w:val="001D45D4"/>
    <w:rsid w:val="001D4A34"/>
    <w:rsid w:val="001D4D38"/>
    <w:rsid w:val="001D4FCF"/>
    <w:rsid w:val="001D50CD"/>
    <w:rsid w:val="001D5889"/>
    <w:rsid w:val="001D61C4"/>
    <w:rsid w:val="001D6837"/>
    <w:rsid w:val="001D6D75"/>
    <w:rsid w:val="001D758D"/>
    <w:rsid w:val="001D7E7B"/>
    <w:rsid w:val="001D7FDE"/>
    <w:rsid w:val="001E118D"/>
    <w:rsid w:val="001E20F8"/>
    <w:rsid w:val="001E2BEA"/>
    <w:rsid w:val="001E4702"/>
    <w:rsid w:val="001E5C45"/>
    <w:rsid w:val="001E66B1"/>
    <w:rsid w:val="001E70F5"/>
    <w:rsid w:val="001E7F3E"/>
    <w:rsid w:val="001F08EC"/>
    <w:rsid w:val="001F1383"/>
    <w:rsid w:val="001F1629"/>
    <w:rsid w:val="001F1C25"/>
    <w:rsid w:val="001F21B2"/>
    <w:rsid w:val="001F2209"/>
    <w:rsid w:val="001F3309"/>
    <w:rsid w:val="001F3E3D"/>
    <w:rsid w:val="001F40DC"/>
    <w:rsid w:val="001F4431"/>
    <w:rsid w:val="001F51F5"/>
    <w:rsid w:val="001F530C"/>
    <w:rsid w:val="001F629B"/>
    <w:rsid w:val="001F6834"/>
    <w:rsid w:val="001F6E20"/>
    <w:rsid w:val="001F78C4"/>
    <w:rsid w:val="001F7D02"/>
    <w:rsid w:val="00200289"/>
    <w:rsid w:val="00201738"/>
    <w:rsid w:val="00202717"/>
    <w:rsid w:val="002029A3"/>
    <w:rsid w:val="00202E00"/>
    <w:rsid w:val="00204319"/>
    <w:rsid w:val="0020470A"/>
    <w:rsid w:val="00206098"/>
    <w:rsid w:val="00206A28"/>
    <w:rsid w:val="00206C99"/>
    <w:rsid w:val="00207178"/>
    <w:rsid w:val="00211284"/>
    <w:rsid w:val="00211396"/>
    <w:rsid w:val="002117E1"/>
    <w:rsid w:val="00211990"/>
    <w:rsid w:val="002135D5"/>
    <w:rsid w:val="0021573E"/>
    <w:rsid w:val="00215FD8"/>
    <w:rsid w:val="0021612C"/>
    <w:rsid w:val="002168D5"/>
    <w:rsid w:val="002219EB"/>
    <w:rsid w:val="00221D56"/>
    <w:rsid w:val="00221FD2"/>
    <w:rsid w:val="002222C5"/>
    <w:rsid w:val="00222DCA"/>
    <w:rsid w:val="00224B8B"/>
    <w:rsid w:val="00224BEF"/>
    <w:rsid w:val="00224E2D"/>
    <w:rsid w:val="00226725"/>
    <w:rsid w:val="00230386"/>
    <w:rsid w:val="002337E0"/>
    <w:rsid w:val="00233BCD"/>
    <w:rsid w:val="002373E6"/>
    <w:rsid w:val="002374D6"/>
    <w:rsid w:val="00237780"/>
    <w:rsid w:val="00237F7E"/>
    <w:rsid w:val="00241E44"/>
    <w:rsid w:val="0024309F"/>
    <w:rsid w:val="002433C1"/>
    <w:rsid w:val="00243880"/>
    <w:rsid w:val="00243A16"/>
    <w:rsid w:val="00245BEA"/>
    <w:rsid w:val="002464B6"/>
    <w:rsid w:val="00247272"/>
    <w:rsid w:val="00247282"/>
    <w:rsid w:val="0024768A"/>
    <w:rsid w:val="00247A70"/>
    <w:rsid w:val="00247FF4"/>
    <w:rsid w:val="00251EB9"/>
    <w:rsid w:val="00252499"/>
    <w:rsid w:val="0025347E"/>
    <w:rsid w:val="00253FA2"/>
    <w:rsid w:val="0025414E"/>
    <w:rsid w:val="002541E8"/>
    <w:rsid w:val="002549BC"/>
    <w:rsid w:val="002566B5"/>
    <w:rsid w:val="0025687B"/>
    <w:rsid w:val="00257250"/>
    <w:rsid w:val="00257B09"/>
    <w:rsid w:val="00261A04"/>
    <w:rsid w:val="00264E8C"/>
    <w:rsid w:val="00267592"/>
    <w:rsid w:val="00271C20"/>
    <w:rsid w:val="002724AC"/>
    <w:rsid w:val="002730C0"/>
    <w:rsid w:val="002748DC"/>
    <w:rsid w:val="00274C12"/>
    <w:rsid w:val="0027601C"/>
    <w:rsid w:val="002760A2"/>
    <w:rsid w:val="00276B63"/>
    <w:rsid w:val="002808E6"/>
    <w:rsid w:val="00281BFA"/>
    <w:rsid w:val="00281D20"/>
    <w:rsid w:val="002822FD"/>
    <w:rsid w:val="00282A3C"/>
    <w:rsid w:val="00282E85"/>
    <w:rsid w:val="00283643"/>
    <w:rsid w:val="00283926"/>
    <w:rsid w:val="0028436F"/>
    <w:rsid w:val="00284732"/>
    <w:rsid w:val="00285E6C"/>
    <w:rsid w:val="00286987"/>
    <w:rsid w:val="00286A7F"/>
    <w:rsid w:val="002873B9"/>
    <w:rsid w:val="002874F9"/>
    <w:rsid w:val="002918ED"/>
    <w:rsid w:val="00291CF8"/>
    <w:rsid w:val="00292A8A"/>
    <w:rsid w:val="00292C2E"/>
    <w:rsid w:val="00294A1E"/>
    <w:rsid w:val="002959A4"/>
    <w:rsid w:val="00296159"/>
    <w:rsid w:val="0029696F"/>
    <w:rsid w:val="00297978"/>
    <w:rsid w:val="002A038B"/>
    <w:rsid w:val="002A0B1F"/>
    <w:rsid w:val="002A202C"/>
    <w:rsid w:val="002A2924"/>
    <w:rsid w:val="002A292E"/>
    <w:rsid w:val="002A3A5A"/>
    <w:rsid w:val="002A5580"/>
    <w:rsid w:val="002A57A8"/>
    <w:rsid w:val="002A5D09"/>
    <w:rsid w:val="002A5E32"/>
    <w:rsid w:val="002A6266"/>
    <w:rsid w:val="002B1D90"/>
    <w:rsid w:val="002B26F8"/>
    <w:rsid w:val="002B2B10"/>
    <w:rsid w:val="002B37FC"/>
    <w:rsid w:val="002B3965"/>
    <w:rsid w:val="002B4F0D"/>
    <w:rsid w:val="002B68A9"/>
    <w:rsid w:val="002B6C96"/>
    <w:rsid w:val="002B72EE"/>
    <w:rsid w:val="002C0E64"/>
    <w:rsid w:val="002C1EB1"/>
    <w:rsid w:val="002C210C"/>
    <w:rsid w:val="002C27AD"/>
    <w:rsid w:val="002C4EF7"/>
    <w:rsid w:val="002D1667"/>
    <w:rsid w:val="002D1E79"/>
    <w:rsid w:val="002D2400"/>
    <w:rsid w:val="002D2F58"/>
    <w:rsid w:val="002D316C"/>
    <w:rsid w:val="002D5496"/>
    <w:rsid w:val="002D758D"/>
    <w:rsid w:val="002D7F21"/>
    <w:rsid w:val="002E00A4"/>
    <w:rsid w:val="002E03C8"/>
    <w:rsid w:val="002E0B2B"/>
    <w:rsid w:val="002E3F46"/>
    <w:rsid w:val="002E55B1"/>
    <w:rsid w:val="002E6D7C"/>
    <w:rsid w:val="002E7B6A"/>
    <w:rsid w:val="002F05D5"/>
    <w:rsid w:val="002F0ACB"/>
    <w:rsid w:val="002F0E8A"/>
    <w:rsid w:val="002F10B8"/>
    <w:rsid w:val="002F2634"/>
    <w:rsid w:val="002F3917"/>
    <w:rsid w:val="002F4041"/>
    <w:rsid w:val="002F45AB"/>
    <w:rsid w:val="002F537A"/>
    <w:rsid w:val="002F5CDD"/>
    <w:rsid w:val="00302C7E"/>
    <w:rsid w:val="003052ED"/>
    <w:rsid w:val="003064CE"/>
    <w:rsid w:val="003069EA"/>
    <w:rsid w:val="0030700C"/>
    <w:rsid w:val="003100D9"/>
    <w:rsid w:val="003117D3"/>
    <w:rsid w:val="00312CE7"/>
    <w:rsid w:val="00312EA7"/>
    <w:rsid w:val="003130AD"/>
    <w:rsid w:val="0031397A"/>
    <w:rsid w:val="00314000"/>
    <w:rsid w:val="00314B61"/>
    <w:rsid w:val="003162D3"/>
    <w:rsid w:val="0031735C"/>
    <w:rsid w:val="00320BF3"/>
    <w:rsid w:val="00321822"/>
    <w:rsid w:val="00323003"/>
    <w:rsid w:val="00323244"/>
    <w:rsid w:val="00325C40"/>
    <w:rsid w:val="003278B4"/>
    <w:rsid w:val="003300B0"/>
    <w:rsid w:val="0033050E"/>
    <w:rsid w:val="003309E9"/>
    <w:rsid w:val="003311CF"/>
    <w:rsid w:val="003314EC"/>
    <w:rsid w:val="0033328D"/>
    <w:rsid w:val="003345E7"/>
    <w:rsid w:val="00334926"/>
    <w:rsid w:val="0034136C"/>
    <w:rsid w:val="00341AB9"/>
    <w:rsid w:val="003421C3"/>
    <w:rsid w:val="00342EC4"/>
    <w:rsid w:val="00344BAF"/>
    <w:rsid w:val="0034511F"/>
    <w:rsid w:val="003452E6"/>
    <w:rsid w:val="00346033"/>
    <w:rsid w:val="00347AFE"/>
    <w:rsid w:val="00350032"/>
    <w:rsid w:val="00350DDA"/>
    <w:rsid w:val="00351071"/>
    <w:rsid w:val="003510B7"/>
    <w:rsid w:val="00351F9F"/>
    <w:rsid w:val="00352423"/>
    <w:rsid w:val="0035374B"/>
    <w:rsid w:val="00355182"/>
    <w:rsid w:val="003557EC"/>
    <w:rsid w:val="00357D11"/>
    <w:rsid w:val="0036149C"/>
    <w:rsid w:val="00361913"/>
    <w:rsid w:val="00361D4C"/>
    <w:rsid w:val="0036455A"/>
    <w:rsid w:val="003646D9"/>
    <w:rsid w:val="003658A0"/>
    <w:rsid w:val="003679E0"/>
    <w:rsid w:val="003717DD"/>
    <w:rsid w:val="003721B8"/>
    <w:rsid w:val="00372680"/>
    <w:rsid w:val="00372891"/>
    <w:rsid w:val="00373E37"/>
    <w:rsid w:val="00375D0C"/>
    <w:rsid w:val="0037706F"/>
    <w:rsid w:val="00380737"/>
    <w:rsid w:val="00380A3B"/>
    <w:rsid w:val="00381047"/>
    <w:rsid w:val="00382E3C"/>
    <w:rsid w:val="00383186"/>
    <w:rsid w:val="00383DAE"/>
    <w:rsid w:val="00384755"/>
    <w:rsid w:val="0038488C"/>
    <w:rsid w:val="0039055B"/>
    <w:rsid w:val="0039186F"/>
    <w:rsid w:val="00392586"/>
    <w:rsid w:val="00392A2A"/>
    <w:rsid w:val="00392EB7"/>
    <w:rsid w:val="00393213"/>
    <w:rsid w:val="00393B7A"/>
    <w:rsid w:val="00394AB6"/>
    <w:rsid w:val="00394C59"/>
    <w:rsid w:val="00394F93"/>
    <w:rsid w:val="0039649C"/>
    <w:rsid w:val="00396858"/>
    <w:rsid w:val="00396F1E"/>
    <w:rsid w:val="003A1045"/>
    <w:rsid w:val="003A2153"/>
    <w:rsid w:val="003A3398"/>
    <w:rsid w:val="003A3B37"/>
    <w:rsid w:val="003A66E4"/>
    <w:rsid w:val="003A66EB"/>
    <w:rsid w:val="003A71FD"/>
    <w:rsid w:val="003B2BF5"/>
    <w:rsid w:val="003B30B3"/>
    <w:rsid w:val="003B4339"/>
    <w:rsid w:val="003B491B"/>
    <w:rsid w:val="003B6803"/>
    <w:rsid w:val="003B78B5"/>
    <w:rsid w:val="003C0096"/>
    <w:rsid w:val="003C16FC"/>
    <w:rsid w:val="003C1AF7"/>
    <w:rsid w:val="003C22A9"/>
    <w:rsid w:val="003C2D35"/>
    <w:rsid w:val="003C40E4"/>
    <w:rsid w:val="003C427C"/>
    <w:rsid w:val="003C46B9"/>
    <w:rsid w:val="003C4E20"/>
    <w:rsid w:val="003C5065"/>
    <w:rsid w:val="003C69E4"/>
    <w:rsid w:val="003C769B"/>
    <w:rsid w:val="003C7C14"/>
    <w:rsid w:val="003D14E7"/>
    <w:rsid w:val="003D17B3"/>
    <w:rsid w:val="003D23BD"/>
    <w:rsid w:val="003D36CE"/>
    <w:rsid w:val="003D5FF4"/>
    <w:rsid w:val="003D6358"/>
    <w:rsid w:val="003D6BCC"/>
    <w:rsid w:val="003D7660"/>
    <w:rsid w:val="003E1148"/>
    <w:rsid w:val="003E1A06"/>
    <w:rsid w:val="003E1E07"/>
    <w:rsid w:val="003E2BA3"/>
    <w:rsid w:val="003E2C40"/>
    <w:rsid w:val="003E3C92"/>
    <w:rsid w:val="003E4403"/>
    <w:rsid w:val="003E4860"/>
    <w:rsid w:val="003E51DA"/>
    <w:rsid w:val="003E5FFF"/>
    <w:rsid w:val="003F027C"/>
    <w:rsid w:val="003F0AFF"/>
    <w:rsid w:val="003F11FC"/>
    <w:rsid w:val="003F2FC7"/>
    <w:rsid w:val="003F3214"/>
    <w:rsid w:val="003F3480"/>
    <w:rsid w:val="003F3A84"/>
    <w:rsid w:val="003F489F"/>
    <w:rsid w:val="003F595C"/>
    <w:rsid w:val="003F6801"/>
    <w:rsid w:val="00401745"/>
    <w:rsid w:val="00401B67"/>
    <w:rsid w:val="00402ADC"/>
    <w:rsid w:val="00404A9F"/>
    <w:rsid w:val="00405810"/>
    <w:rsid w:val="00405FCE"/>
    <w:rsid w:val="0040639C"/>
    <w:rsid w:val="00406B32"/>
    <w:rsid w:val="0040732D"/>
    <w:rsid w:val="00411196"/>
    <w:rsid w:val="0041381A"/>
    <w:rsid w:val="004143FC"/>
    <w:rsid w:val="00416ADD"/>
    <w:rsid w:val="00417114"/>
    <w:rsid w:val="0041764F"/>
    <w:rsid w:val="004223D3"/>
    <w:rsid w:val="0042249F"/>
    <w:rsid w:val="00423778"/>
    <w:rsid w:val="0042433F"/>
    <w:rsid w:val="00425D02"/>
    <w:rsid w:val="00426198"/>
    <w:rsid w:val="00426648"/>
    <w:rsid w:val="004277E3"/>
    <w:rsid w:val="00427DD7"/>
    <w:rsid w:val="00431DD5"/>
    <w:rsid w:val="004320F8"/>
    <w:rsid w:val="00432184"/>
    <w:rsid w:val="00432F25"/>
    <w:rsid w:val="00433E00"/>
    <w:rsid w:val="004363B6"/>
    <w:rsid w:val="00436DB3"/>
    <w:rsid w:val="00437287"/>
    <w:rsid w:val="004407B5"/>
    <w:rsid w:val="00442918"/>
    <w:rsid w:val="00442D76"/>
    <w:rsid w:val="004453AD"/>
    <w:rsid w:val="00445DA5"/>
    <w:rsid w:val="0045103B"/>
    <w:rsid w:val="0045223B"/>
    <w:rsid w:val="004525BA"/>
    <w:rsid w:val="00452673"/>
    <w:rsid w:val="00454809"/>
    <w:rsid w:val="00455609"/>
    <w:rsid w:val="0045585D"/>
    <w:rsid w:val="00457390"/>
    <w:rsid w:val="00457CC6"/>
    <w:rsid w:val="00457F94"/>
    <w:rsid w:val="004624CB"/>
    <w:rsid w:val="00462A9F"/>
    <w:rsid w:val="00463737"/>
    <w:rsid w:val="00463E65"/>
    <w:rsid w:val="00465F9D"/>
    <w:rsid w:val="004668BC"/>
    <w:rsid w:val="004675CA"/>
    <w:rsid w:val="004701F4"/>
    <w:rsid w:val="00470490"/>
    <w:rsid w:val="00471992"/>
    <w:rsid w:val="00473C45"/>
    <w:rsid w:val="0047633D"/>
    <w:rsid w:val="00477724"/>
    <w:rsid w:val="004839B6"/>
    <w:rsid w:val="00484D0D"/>
    <w:rsid w:val="00485256"/>
    <w:rsid w:val="00491722"/>
    <w:rsid w:val="00491841"/>
    <w:rsid w:val="00491996"/>
    <w:rsid w:val="00491ABC"/>
    <w:rsid w:val="00495551"/>
    <w:rsid w:val="004968E2"/>
    <w:rsid w:val="004A0613"/>
    <w:rsid w:val="004A0B2C"/>
    <w:rsid w:val="004A16AA"/>
    <w:rsid w:val="004A16DB"/>
    <w:rsid w:val="004A1CAB"/>
    <w:rsid w:val="004A371C"/>
    <w:rsid w:val="004A4F9D"/>
    <w:rsid w:val="004A727B"/>
    <w:rsid w:val="004B0519"/>
    <w:rsid w:val="004B16FB"/>
    <w:rsid w:val="004B20CC"/>
    <w:rsid w:val="004B2144"/>
    <w:rsid w:val="004B21BC"/>
    <w:rsid w:val="004B263F"/>
    <w:rsid w:val="004B3009"/>
    <w:rsid w:val="004B40C1"/>
    <w:rsid w:val="004B4D75"/>
    <w:rsid w:val="004B5617"/>
    <w:rsid w:val="004B5C31"/>
    <w:rsid w:val="004B6423"/>
    <w:rsid w:val="004B6889"/>
    <w:rsid w:val="004B7D53"/>
    <w:rsid w:val="004C068E"/>
    <w:rsid w:val="004C1099"/>
    <w:rsid w:val="004C14C0"/>
    <w:rsid w:val="004C158C"/>
    <w:rsid w:val="004C165D"/>
    <w:rsid w:val="004C1C7E"/>
    <w:rsid w:val="004C1E32"/>
    <w:rsid w:val="004C2463"/>
    <w:rsid w:val="004C2FA7"/>
    <w:rsid w:val="004C3516"/>
    <w:rsid w:val="004C6AD5"/>
    <w:rsid w:val="004C6C40"/>
    <w:rsid w:val="004C6D3B"/>
    <w:rsid w:val="004C7437"/>
    <w:rsid w:val="004D135F"/>
    <w:rsid w:val="004D1A06"/>
    <w:rsid w:val="004D2B44"/>
    <w:rsid w:val="004D31A5"/>
    <w:rsid w:val="004D449A"/>
    <w:rsid w:val="004D6292"/>
    <w:rsid w:val="004D6B4C"/>
    <w:rsid w:val="004E2653"/>
    <w:rsid w:val="004E2B3A"/>
    <w:rsid w:val="004E2BFD"/>
    <w:rsid w:val="004E2E05"/>
    <w:rsid w:val="004E4AAE"/>
    <w:rsid w:val="004E5311"/>
    <w:rsid w:val="004E5DDA"/>
    <w:rsid w:val="004E6666"/>
    <w:rsid w:val="004E6FF5"/>
    <w:rsid w:val="004E72DB"/>
    <w:rsid w:val="004E7CEB"/>
    <w:rsid w:val="004F05FC"/>
    <w:rsid w:val="004F12AA"/>
    <w:rsid w:val="004F1C66"/>
    <w:rsid w:val="004F2C1F"/>
    <w:rsid w:val="004F3664"/>
    <w:rsid w:val="004F377D"/>
    <w:rsid w:val="004F401B"/>
    <w:rsid w:val="004F4229"/>
    <w:rsid w:val="004F4340"/>
    <w:rsid w:val="004F54B1"/>
    <w:rsid w:val="004F5E2C"/>
    <w:rsid w:val="004F6B63"/>
    <w:rsid w:val="004F70D2"/>
    <w:rsid w:val="004F7CDD"/>
    <w:rsid w:val="0050235E"/>
    <w:rsid w:val="0050474C"/>
    <w:rsid w:val="00504D37"/>
    <w:rsid w:val="005062FF"/>
    <w:rsid w:val="00510B25"/>
    <w:rsid w:val="0051430C"/>
    <w:rsid w:val="005179BA"/>
    <w:rsid w:val="00521287"/>
    <w:rsid w:val="00521642"/>
    <w:rsid w:val="00521663"/>
    <w:rsid w:val="005222BE"/>
    <w:rsid w:val="00522418"/>
    <w:rsid w:val="005247DD"/>
    <w:rsid w:val="005247F1"/>
    <w:rsid w:val="00525550"/>
    <w:rsid w:val="00526539"/>
    <w:rsid w:val="00527B25"/>
    <w:rsid w:val="00531D38"/>
    <w:rsid w:val="005325F3"/>
    <w:rsid w:val="005328DB"/>
    <w:rsid w:val="00534075"/>
    <w:rsid w:val="00534459"/>
    <w:rsid w:val="00535474"/>
    <w:rsid w:val="00536425"/>
    <w:rsid w:val="00536E50"/>
    <w:rsid w:val="005370EE"/>
    <w:rsid w:val="0053770A"/>
    <w:rsid w:val="00537714"/>
    <w:rsid w:val="00540489"/>
    <w:rsid w:val="00541524"/>
    <w:rsid w:val="0054168A"/>
    <w:rsid w:val="00543DBC"/>
    <w:rsid w:val="005440A1"/>
    <w:rsid w:val="005458BA"/>
    <w:rsid w:val="00545DBF"/>
    <w:rsid w:val="00547A8C"/>
    <w:rsid w:val="00551313"/>
    <w:rsid w:val="0055179E"/>
    <w:rsid w:val="00552E7C"/>
    <w:rsid w:val="00555536"/>
    <w:rsid w:val="005557B6"/>
    <w:rsid w:val="00556381"/>
    <w:rsid w:val="00556C62"/>
    <w:rsid w:val="00557217"/>
    <w:rsid w:val="00562A40"/>
    <w:rsid w:val="00562CDC"/>
    <w:rsid w:val="00563206"/>
    <w:rsid w:val="00565E4F"/>
    <w:rsid w:val="005671FB"/>
    <w:rsid w:val="00570962"/>
    <w:rsid w:val="00571027"/>
    <w:rsid w:val="0057154B"/>
    <w:rsid w:val="00571D8E"/>
    <w:rsid w:val="00571E5F"/>
    <w:rsid w:val="00571EB1"/>
    <w:rsid w:val="00571EF5"/>
    <w:rsid w:val="005736EA"/>
    <w:rsid w:val="0057441A"/>
    <w:rsid w:val="00574FE4"/>
    <w:rsid w:val="005756F5"/>
    <w:rsid w:val="00575DB5"/>
    <w:rsid w:val="00576268"/>
    <w:rsid w:val="005762BC"/>
    <w:rsid w:val="005773B4"/>
    <w:rsid w:val="00577905"/>
    <w:rsid w:val="00580246"/>
    <w:rsid w:val="005819D5"/>
    <w:rsid w:val="005830A3"/>
    <w:rsid w:val="0058338E"/>
    <w:rsid w:val="00583572"/>
    <w:rsid w:val="005835A8"/>
    <w:rsid w:val="005840E7"/>
    <w:rsid w:val="005863A6"/>
    <w:rsid w:val="00586D50"/>
    <w:rsid w:val="00587BBF"/>
    <w:rsid w:val="00587DB3"/>
    <w:rsid w:val="005920AA"/>
    <w:rsid w:val="005941BC"/>
    <w:rsid w:val="00595C1F"/>
    <w:rsid w:val="00595D4D"/>
    <w:rsid w:val="00596322"/>
    <w:rsid w:val="005967DF"/>
    <w:rsid w:val="00597A56"/>
    <w:rsid w:val="005A203E"/>
    <w:rsid w:val="005A2AD6"/>
    <w:rsid w:val="005A49A1"/>
    <w:rsid w:val="005A547E"/>
    <w:rsid w:val="005A691A"/>
    <w:rsid w:val="005A6D65"/>
    <w:rsid w:val="005B0CD9"/>
    <w:rsid w:val="005B1662"/>
    <w:rsid w:val="005B1D5B"/>
    <w:rsid w:val="005B2557"/>
    <w:rsid w:val="005B286D"/>
    <w:rsid w:val="005B308E"/>
    <w:rsid w:val="005B3D85"/>
    <w:rsid w:val="005B3ED9"/>
    <w:rsid w:val="005B436C"/>
    <w:rsid w:val="005B5916"/>
    <w:rsid w:val="005B5ADE"/>
    <w:rsid w:val="005B5EBA"/>
    <w:rsid w:val="005B659C"/>
    <w:rsid w:val="005B6B7C"/>
    <w:rsid w:val="005B708E"/>
    <w:rsid w:val="005C69D9"/>
    <w:rsid w:val="005C729F"/>
    <w:rsid w:val="005D0FA3"/>
    <w:rsid w:val="005D1B68"/>
    <w:rsid w:val="005D2483"/>
    <w:rsid w:val="005D33B5"/>
    <w:rsid w:val="005D3BD6"/>
    <w:rsid w:val="005D3CC2"/>
    <w:rsid w:val="005D49B8"/>
    <w:rsid w:val="005D56C7"/>
    <w:rsid w:val="005D5C79"/>
    <w:rsid w:val="005D668B"/>
    <w:rsid w:val="005D7384"/>
    <w:rsid w:val="005D7A9F"/>
    <w:rsid w:val="005D7E7C"/>
    <w:rsid w:val="005E07B0"/>
    <w:rsid w:val="005E23F3"/>
    <w:rsid w:val="005E27AC"/>
    <w:rsid w:val="005E3766"/>
    <w:rsid w:val="005E58D8"/>
    <w:rsid w:val="005E5E26"/>
    <w:rsid w:val="005E7155"/>
    <w:rsid w:val="005E789B"/>
    <w:rsid w:val="005F044A"/>
    <w:rsid w:val="005F0ABB"/>
    <w:rsid w:val="005F22B9"/>
    <w:rsid w:val="005F2F1F"/>
    <w:rsid w:val="005F35AC"/>
    <w:rsid w:val="005F3AB9"/>
    <w:rsid w:val="005F4CEB"/>
    <w:rsid w:val="005F4DEC"/>
    <w:rsid w:val="005F500F"/>
    <w:rsid w:val="005F71E7"/>
    <w:rsid w:val="005F7902"/>
    <w:rsid w:val="005F7935"/>
    <w:rsid w:val="00600337"/>
    <w:rsid w:val="006008FB"/>
    <w:rsid w:val="00601EEC"/>
    <w:rsid w:val="0060267D"/>
    <w:rsid w:val="00603377"/>
    <w:rsid w:val="00603765"/>
    <w:rsid w:val="00603BDA"/>
    <w:rsid w:val="00603C9D"/>
    <w:rsid w:val="00604245"/>
    <w:rsid w:val="00604BF6"/>
    <w:rsid w:val="00604E53"/>
    <w:rsid w:val="0061040D"/>
    <w:rsid w:val="006106E1"/>
    <w:rsid w:val="0061075D"/>
    <w:rsid w:val="00610CF8"/>
    <w:rsid w:val="006144A0"/>
    <w:rsid w:val="006146E5"/>
    <w:rsid w:val="006209E9"/>
    <w:rsid w:val="00623386"/>
    <w:rsid w:val="00623798"/>
    <w:rsid w:val="00624A2F"/>
    <w:rsid w:val="00627A6E"/>
    <w:rsid w:val="00630358"/>
    <w:rsid w:val="006317AC"/>
    <w:rsid w:val="00632D11"/>
    <w:rsid w:val="0063332F"/>
    <w:rsid w:val="00634B37"/>
    <w:rsid w:val="006366B9"/>
    <w:rsid w:val="006379E7"/>
    <w:rsid w:val="00637FB8"/>
    <w:rsid w:val="00637FBC"/>
    <w:rsid w:val="00640A00"/>
    <w:rsid w:val="00640DB0"/>
    <w:rsid w:val="006410BB"/>
    <w:rsid w:val="00642B68"/>
    <w:rsid w:val="00643330"/>
    <w:rsid w:val="00643512"/>
    <w:rsid w:val="00643D51"/>
    <w:rsid w:val="00643F13"/>
    <w:rsid w:val="0064409D"/>
    <w:rsid w:val="00644139"/>
    <w:rsid w:val="006460EF"/>
    <w:rsid w:val="0064617E"/>
    <w:rsid w:val="0064645E"/>
    <w:rsid w:val="00646656"/>
    <w:rsid w:val="00646EA9"/>
    <w:rsid w:val="00647B17"/>
    <w:rsid w:val="00651F1E"/>
    <w:rsid w:val="00654420"/>
    <w:rsid w:val="006558C3"/>
    <w:rsid w:val="00655D84"/>
    <w:rsid w:val="00656905"/>
    <w:rsid w:val="006572B2"/>
    <w:rsid w:val="00657A4F"/>
    <w:rsid w:val="006602E5"/>
    <w:rsid w:val="00661C63"/>
    <w:rsid w:val="006640A0"/>
    <w:rsid w:val="0066432B"/>
    <w:rsid w:val="0066442D"/>
    <w:rsid w:val="00664D55"/>
    <w:rsid w:val="00665159"/>
    <w:rsid w:val="00667F0E"/>
    <w:rsid w:val="00671180"/>
    <w:rsid w:val="006722DA"/>
    <w:rsid w:val="00672425"/>
    <w:rsid w:val="00672EAA"/>
    <w:rsid w:val="006738C0"/>
    <w:rsid w:val="00674833"/>
    <w:rsid w:val="00674DF4"/>
    <w:rsid w:val="006759D4"/>
    <w:rsid w:val="00676100"/>
    <w:rsid w:val="006813F9"/>
    <w:rsid w:val="006816B1"/>
    <w:rsid w:val="006853FC"/>
    <w:rsid w:val="00685A02"/>
    <w:rsid w:val="00685CE8"/>
    <w:rsid w:val="00685D57"/>
    <w:rsid w:val="00685FA2"/>
    <w:rsid w:val="0069088A"/>
    <w:rsid w:val="00690B13"/>
    <w:rsid w:val="00690E92"/>
    <w:rsid w:val="006919A4"/>
    <w:rsid w:val="00691FC3"/>
    <w:rsid w:val="00692EAE"/>
    <w:rsid w:val="00692FC1"/>
    <w:rsid w:val="006944AC"/>
    <w:rsid w:val="00695386"/>
    <w:rsid w:val="006953F4"/>
    <w:rsid w:val="0069564A"/>
    <w:rsid w:val="00696594"/>
    <w:rsid w:val="006977B0"/>
    <w:rsid w:val="006A0AC6"/>
    <w:rsid w:val="006A0C59"/>
    <w:rsid w:val="006A1E6D"/>
    <w:rsid w:val="006A1F58"/>
    <w:rsid w:val="006A2FF4"/>
    <w:rsid w:val="006A58D4"/>
    <w:rsid w:val="006A657B"/>
    <w:rsid w:val="006A7777"/>
    <w:rsid w:val="006B05C6"/>
    <w:rsid w:val="006B12A3"/>
    <w:rsid w:val="006B29FF"/>
    <w:rsid w:val="006B2C6F"/>
    <w:rsid w:val="006B3941"/>
    <w:rsid w:val="006B3AE5"/>
    <w:rsid w:val="006B59C5"/>
    <w:rsid w:val="006B617A"/>
    <w:rsid w:val="006B6E1D"/>
    <w:rsid w:val="006B75DC"/>
    <w:rsid w:val="006C07C8"/>
    <w:rsid w:val="006C2C05"/>
    <w:rsid w:val="006C61F1"/>
    <w:rsid w:val="006C7906"/>
    <w:rsid w:val="006C7F9A"/>
    <w:rsid w:val="006D04DA"/>
    <w:rsid w:val="006D082F"/>
    <w:rsid w:val="006D1016"/>
    <w:rsid w:val="006D172C"/>
    <w:rsid w:val="006D2AF4"/>
    <w:rsid w:val="006D3740"/>
    <w:rsid w:val="006D3862"/>
    <w:rsid w:val="006D3F27"/>
    <w:rsid w:val="006D474E"/>
    <w:rsid w:val="006D4AE6"/>
    <w:rsid w:val="006D5AD2"/>
    <w:rsid w:val="006D5C61"/>
    <w:rsid w:val="006D5EA6"/>
    <w:rsid w:val="006E02A9"/>
    <w:rsid w:val="006E275D"/>
    <w:rsid w:val="006E3256"/>
    <w:rsid w:val="006E33A5"/>
    <w:rsid w:val="006E4891"/>
    <w:rsid w:val="006E5866"/>
    <w:rsid w:val="006E6276"/>
    <w:rsid w:val="006E668C"/>
    <w:rsid w:val="006E701D"/>
    <w:rsid w:val="006E7F50"/>
    <w:rsid w:val="006F00B8"/>
    <w:rsid w:val="006F0261"/>
    <w:rsid w:val="006F1ECE"/>
    <w:rsid w:val="006F217E"/>
    <w:rsid w:val="006F5857"/>
    <w:rsid w:val="006F62B9"/>
    <w:rsid w:val="006F6831"/>
    <w:rsid w:val="006F70D3"/>
    <w:rsid w:val="006F73EB"/>
    <w:rsid w:val="006F7C21"/>
    <w:rsid w:val="00700000"/>
    <w:rsid w:val="00700123"/>
    <w:rsid w:val="00700387"/>
    <w:rsid w:val="007010CB"/>
    <w:rsid w:val="007018E5"/>
    <w:rsid w:val="00702C0C"/>
    <w:rsid w:val="007046FE"/>
    <w:rsid w:val="0070550F"/>
    <w:rsid w:val="007067AD"/>
    <w:rsid w:val="00710123"/>
    <w:rsid w:val="00711077"/>
    <w:rsid w:val="00711EF4"/>
    <w:rsid w:val="00715CF1"/>
    <w:rsid w:val="00717A02"/>
    <w:rsid w:val="007204A6"/>
    <w:rsid w:val="00721AE4"/>
    <w:rsid w:val="007229D7"/>
    <w:rsid w:val="00722CF9"/>
    <w:rsid w:val="007243B6"/>
    <w:rsid w:val="0072513B"/>
    <w:rsid w:val="00726F49"/>
    <w:rsid w:val="007303D6"/>
    <w:rsid w:val="007307E9"/>
    <w:rsid w:val="007335C7"/>
    <w:rsid w:val="00734938"/>
    <w:rsid w:val="00736617"/>
    <w:rsid w:val="00737138"/>
    <w:rsid w:val="00737785"/>
    <w:rsid w:val="00740C89"/>
    <w:rsid w:val="007419E3"/>
    <w:rsid w:val="007433CD"/>
    <w:rsid w:val="007457A0"/>
    <w:rsid w:val="007462D9"/>
    <w:rsid w:val="00750A72"/>
    <w:rsid w:val="007510A9"/>
    <w:rsid w:val="007516B4"/>
    <w:rsid w:val="007519B2"/>
    <w:rsid w:val="00751ACD"/>
    <w:rsid w:val="00751B89"/>
    <w:rsid w:val="00751BBB"/>
    <w:rsid w:val="00752470"/>
    <w:rsid w:val="00752B1D"/>
    <w:rsid w:val="00753F34"/>
    <w:rsid w:val="0075429C"/>
    <w:rsid w:val="0075663F"/>
    <w:rsid w:val="00756A83"/>
    <w:rsid w:val="00756A98"/>
    <w:rsid w:val="00757F4F"/>
    <w:rsid w:val="007610E3"/>
    <w:rsid w:val="00761D21"/>
    <w:rsid w:val="00763727"/>
    <w:rsid w:val="007638D3"/>
    <w:rsid w:val="00764794"/>
    <w:rsid w:val="00764949"/>
    <w:rsid w:val="0076548C"/>
    <w:rsid w:val="007670A5"/>
    <w:rsid w:val="007674D2"/>
    <w:rsid w:val="007675D9"/>
    <w:rsid w:val="00770A30"/>
    <w:rsid w:val="00770A7E"/>
    <w:rsid w:val="00770C58"/>
    <w:rsid w:val="00772BF2"/>
    <w:rsid w:val="00774204"/>
    <w:rsid w:val="0077458C"/>
    <w:rsid w:val="0078007A"/>
    <w:rsid w:val="00780DB9"/>
    <w:rsid w:val="007819C6"/>
    <w:rsid w:val="007826BB"/>
    <w:rsid w:val="007844C2"/>
    <w:rsid w:val="007845B2"/>
    <w:rsid w:val="00785A3F"/>
    <w:rsid w:val="00786053"/>
    <w:rsid w:val="007870DA"/>
    <w:rsid w:val="00790D5C"/>
    <w:rsid w:val="00792E56"/>
    <w:rsid w:val="00793834"/>
    <w:rsid w:val="00796EAB"/>
    <w:rsid w:val="00797966"/>
    <w:rsid w:val="007979CD"/>
    <w:rsid w:val="007A0A39"/>
    <w:rsid w:val="007A20B8"/>
    <w:rsid w:val="007A393F"/>
    <w:rsid w:val="007A425E"/>
    <w:rsid w:val="007A4397"/>
    <w:rsid w:val="007A4605"/>
    <w:rsid w:val="007A543E"/>
    <w:rsid w:val="007A5463"/>
    <w:rsid w:val="007A5566"/>
    <w:rsid w:val="007A6513"/>
    <w:rsid w:val="007A71C0"/>
    <w:rsid w:val="007B0ED7"/>
    <w:rsid w:val="007B21BD"/>
    <w:rsid w:val="007B5739"/>
    <w:rsid w:val="007B5872"/>
    <w:rsid w:val="007B632D"/>
    <w:rsid w:val="007B6E5F"/>
    <w:rsid w:val="007B7F40"/>
    <w:rsid w:val="007C0132"/>
    <w:rsid w:val="007C222C"/>
    <w:rsid w:val="007C30B5"/>
    <w:rsid w:val="007C32D2"/>
    <w:rsid w:val="007C4211"/>
    <w:rsid w:val="007C4523"/>
    <w:rsid w:val="007C4611"/>
    <w:rsid w:val="007C5BFD"/>
    <w:rsid w:val="007C5E87"/>
    <w:rsid w:val="007C6A09"/>
    <w:rsid w:val="007C78DF"/>
    <w:rsid w:val="007C7FC5"/>
    <w:rsid w:val="007D061E"/>
    <w:rsid w:val="007D149A"/>
    <w:rsid w:val="007D1667"/>
    <w:rsid w:val="007D23B6"/>
    <w:rsid w:val="007D2D1E"/>
    <w:rsid w:val="007D346F"/>
    <w:rsid w:val="007D3C35"/>
    <w:rsid w:val="007D5143"/>
    <w:rsid w:val="007D576C"/>
    <w:rsid w:val="007D7FAC"/>
    <w:rsid w:val="007E0B60"/>
    <w:rsid w:val="007E0FA7"/>
    <w:rsid w:val="007E1B7F"/>
    <w:rsid w:val="007E1DC2"/>
    <w:rsid w:val="007E7298"/>
    <w:rsid w:val="007E7B1E"/>
    <w:rsid w:val="007F27DF"/>
    <w:rsid w:val="007F3D63"/>
    <w:rsid w:val="007F430B"/>
    <w:rsid w:val="007F4525"/>
    <w:rsid w:val="007F4962"/>
    <w:rsid w:val="007F6179"/>
    <w:rsid w:val="007F61A6"/>
    <w:rsid w:val="007F6BCA"/>
    <w:rsid w:val="007F79E3"/>
    <w:rsid w:val="007F7FE0"/>
    <w:rsid w:val="00802C22"/>
    <w:rsid w:val="00805754"/>
    <w:rsid w:val="008070BC"/>
    <w:rsid w:val="00807BFB"/>
    <w:rsid w:val="008105E3"/>
    <w:rsid w:val="00811680"/>
    <w:rsid w:val="008119A8"/>
    <w:rsid w:val="00811C96"/>
    <w:rsid w:val="0081625C"/>
    <w:rsid w:val="00816474"/>
    <w:rsid w:val="00816CD3"/>
    <w:rsid w:val="008201FD"/>
    <w:rsid w:val="0082117A"/>
    <w:rsid w:val="00823B05"/>
    <w:rsid w:val="00823CBF"/>
    <w:rsid w:val="0082415B"/>
    <w:rsid w:val="008246A4"/>
    <w:rsid w:val="00824A65"/>
    <w:rsid w:val="00824D2E"/>
    <w:rsid w:val="008254CA"/>
    <w:rsid w:val="0082581E"/>
    <w:rsid w:val="0082727F"/>
    <w:rsid w:val="00827FB3"/>
    <w:rsid w:val="00830788"/>
    <w:rsid w:val="00830FCB"/>
    <w:rsid w:val="008326E1"/>
    <w:rsid w:val="008334DF"/>
    <w:rsid w:val="008341E7"/>
    <w:rsid w:val="008349BD"/>
    <w:rsid w:val="0083521F"/>
    <w:rsid w:val="00835DC4"/>
    <w:rsid w:val="0083688C"/>
    <w:rsid w:val="008379CD"/>
    <w:rsid w:val="008400A6"/>
    <w:rsid w:val="00840E18"/>
    <w:rsid w:val="00842C8B"/>
    <w:rsid w:val="00843A9C"/>
    <w:rsid w:val="008454CB"/>
    <w:rsid w:val="00850B9C"/>
    <w:rsid w:val="00852546"/>
    <w:rsid w:val="00854E8E"/>
    <w:rsid w:val="008554BE"/>
    <w:rsid w:val="008564AF"/>
    <w:rsid w:val="00857F31"/>
    <w:rsid w:val="00860609"/>
    <w:rsid w:val="008608BC"/>
    <w:rsid w:val="008625BC"/>
    <w:rsid w:val="00862CDD"/>
    <w:rsid w:val="00862F79"/>
    <w:rsid w:val="00864F20"/>
    <w:rsid w:val="008654BA"/>
    <w:rsid w:val="00865B79"/>
    <w:rsid w:val="008661A7"/>
    <w:rsid w:val="0086684B"/>
    <w:rsid w:val="00866E6C"/>
    <w:rsid w:val="00867A25"/>
    <w:rsid w:val="008702D4"/>
    <w:rsid w:val="00870519"/>
    <w:rsid w:val="0087155D"/>
    <w:rsid w:val="00873918"/>
    <w:rsid w:val="00873BA4"/>
    <w:rsid w:val="00874223"/>
    <w:rsid w:val="00874EBE"/>
    <w:rsid w:val="00874F4A"/>
    <w:rsid w:val="00874F7C"/>
    <w:rsid w:val="008754AF"/>
    <w:rsid w:val="00877303"/>
    <w:rsid w:val="008804DB"/>
    <w:rsid w:val="0088059E"/>
    <w:rsid w:val="008809E5"/>
    <w:rsid w:val="00882882"/>
    <w:rsid w:val="00883E12"/>
    <w:rsid w:val="0088525E"/>
    <w:rsid w:val="0088538F"/>
    <w:rsid w:val="00885901"/>
    <w:rsid w:val="00885CCB"/>
    <w:rsid w:val="00886121"/>
    <w:rsid w:val="00887237"/>
    <w:rsid w:val="00890CBE"/>
    <w:rsid w:val="00894B30"/>
    <w:rsid w:val="00895298"/>
    <w:rsid w:val="00895F1B"/>
    <w:rsid w:val="008968AC"/>
    <w:rsid w:val="008973CB"/>
    <w:rsid w:val="008978C2"/>
    <w:rsid w:val="008A0C72"/>
    <w:rsid w:val="008A1B4D"/>
    <w:rsid w:val="008A4F4B"/>
    <w:rsid w:val="008A52D0"/>
    <w:rsid w:val="008A5447"/>
    <w:rsid w:val="008A612A"/>
    <w:rsid w:val="008A6F9B"/>
    <w:rsid w:val="008A753E"/>
    <w:rsid w:val="008B1426"/>
    <w:rsid w:val="008B1513"/>
    <w:rsid w:val="008B3625"/>
    <w:rsid w:val="008B3A31"/>
    <w:rsid w:val="008B4CCB"/>
    <w:rsid w:val="008B5838"/>
    <w:rsid w:val="008B5A94"/>
    <w:rsid w:val="008B66CD"/>
    <w:rsid w:val="008B69EB"/>
    <w:rsid w:val="008B77D6"/>
    <w:rsid w:val="008C068A"/>
    <w:rsid w:val="008C5682"/>
    <w:rsid w:val="008D03A4"/>
    <w:rsid w:val="008D115C"/>
    <w:rsid w:val="008D1BBF"/>
    <w:rsid w:val="008D4911"/>
    <w:rsid w:val="008D4B93"/>
    <w:rsid w:val="008D5915"/>
    <w:rsid w:val="008D630A"/>
    <w:rsid w:val="008D640B"/>
    <w:rsid w:val="008D6F96"/>
    <w:rsid w:val="008D7036"/>
    <w:rsid w:val="008D7410"/>
    <w:rsid w:val="008E0177"/>
    <w:rsid w:val="008E0944"/>
    <w:rsid w:val="008E202C"/>
    <w:rsid w:val="008E3ADF"/>
    <w:rsid w:val="008E426E"/>
    <w:rsid w:val="008E55AA"/>
    <w:rsid w:val="008E5F6B"/>
    <w:rsid w:val="008E6A98"/>
    <w:rsid w:val="008F3108"/>
    <w:rsid w:val="008F342D"/>
    <w:rsid w:val="008F3C62"/>
    <w:rsid w:val="008F62EF"/>
    <w:rsid w:val="008F7C36"/>
    <w:rsid w:val="00900440"/>
    <w:rsid w:val="0090331A"/>
    <w:rsid w:val="009035B4"/>
    <w:rsid w:val="00904A53"/>
    <w:rsid w:val="00906532"/>
    <w:rsid w:val="00906B07"/>
    <w:rsid w:val="00906DCC"/>
    <w:rsid w:val="00907829"/>
    <w:rsid w:val="0091096C"/>
    <w:rsid w:val="00912C43"/>
    <w:rsid w:val="00913340"/>
    <w:rsid w:val="009145E1"/>
    <w:rsid w:val="009146C9"/>
    <w:rsid w:val="0091488F"/>
    <w:rsid w:val="009152F1"/>
    <w:rsid w:val="009163C4"/>
    <w:rsid w:val="0091651E"/>
    <w:rsid w:val="00917D26"/>
    <w:rsid w:val="00920B71"/>
    <w:rsid w:val="009213EE"/>
    <w:rsid w:val="00925B44"/>
    <w:rsid w:val="00930AAA"/>
    <w:rsid w:val="00930F07"/>
    <w:rsid w:val="00931A1E"/>
    <w:rsid w:val="00933D6F"/>
    <w:rsid w:val="00934264"/>
    <w:rsid w:val="009342FD"/>
    <w:rsid w:val="009355FD"/>
    <w:rsid w:val="00936C2C"/>
    <w:rsid w:val="00942BBB"/>
    <w:rsid w:val="009436F6"/>
    <w:rsid w:val="00943C35"/>
    <w:rsid w:val="00943FC1"/>
    <w:rsid w:val="00944B4D"/>
    <w:rsid w:val="0094591A"/>
    <w:rsid w:val="00945F09"/>
    <w:rsid w:val="00946A3B"/>
    <w:rsid w:val="00946D1C"/>
    <w:rsid w:val="00950F91"/>
    <w:rsid w:val="009523DF"/>
    <w:rsid w:val="00953223"/>
    <w:rsid w:val="00953750"/>
    <w:rsid w:val="009537DA"/>
    <w:rsid w:val="00953A91"/>
    <w:rsid w:val="0095528A"/>
    <w:rsid w:val="0095595D"/>
    <w:rsid w:val="00956D66"/>
    <w:rsid w:val="00957C87"/>
    <w:rsid w:val="00962B63"/>
    <w:rsid w:val="00962D6A"/>
    <w:rsid w:val="00963558"/>
    <w:rsid w:val="00963DB1"/>
    <w:rsid w:val="00963EED"/>
    <w:rsid w:val="009656C3"/>
    <w:rsid w:val="00966D6B"/>
    <w:rsid w:val="009720C2"/>
    <w:rsid w:val="009724A2"/>
    <w:rsid w:val="00972C8D"/>
    <w:rsid w:val="009748BD"/>
    <w:rsid w:val="00974C2E"/>
    <w:rsid w:val="00975540"/>
    <w:rsid w:val="009760A7"/>
    <w:rsid w:val="00977955"/>
    <w:rsid w:val="00977C51"/>
    <w:rsid w:val="00977E27"/>
    <w:rsid w:val="00981805"/>
    <w:rsid w:val="00981AFF"/>
    <w:rsid w:val="00982613"/>
    <w:rsid w:val="0098386A"/>
    <w:rsid w:val="00984441"/>
    <w:rsid w:val="0098467E"/>
    <w:rsid w:val="00984B53"/>
    <w:rsid w:val="00985236"/>
    <w:rsid w:val="009860E2"/>
    <w:rsid w:val="00986449"/>
    <w:rsid w:val="00986617"/>
    <w:rsid w:val="009870BD"/>
    <w:rsid w:val="00990046"/>
    <w:rsid w:val="009902FB"/>
    <w:rsid w:val="00990B4F"/>
    <w:rsid w:val="00992B64"/>
    <w:rsid w:val="00993A19"/>
    <w:rsid w:val="00993B88"/>
    <w:rsid w:val="00993CCC"/>
    <w:rsid w:val="00994519"/>
    <w:rsid w:val="00994B06"/>
    <w:rsid w:val="00995289"/>
    <w:rsid w:val="00996A67"/>
    <w:rsid w:val="00997B6C"/>
    <w:rsid w:val="009A238C"/>
    <w:rsid w:val="009A2A8A"/>
    <w:rsid w:val="009A4557"/>
    <w:rsid w:val="009A5185"/>
    <w:rsid w:val="009A6CA1"/>
    <w:rsid w:val="009B02DD"/>
    <w:rsid w:val="009B02E7"/>
    <w:rsid w:val="009B0685"/>
    <w:rsid w:val="009B0FD8"/>
    <w:rsid w:val="009B1C27"/>
    <w:rsid w:val="009B2CB8"/>
    <w:rsid w:val="009B2D71"/>
    <w:rsid w:val="009B32DA"/>
    <w:rsid w:val="009B3411"/>
    <w:rsid w:val="009B4FFE"/>
    <w:rsid w:val="009B507B"/>
    <w:rsid w:val="009B523D"/>
    <w:rsid w:val="009B66AF"/>
    <w:rsid w:val="009B67E7"/>
    <w:rsid w:val="009B7FCB"/>
    <w:rsid w:val="009C0F6D"/>
    <w:rsid w:val="009C151A"/>
    <w:rsid w:val="009C1787"/>
    <w:rsid w:val="009C4737"/>
    <w:rsid w:val="009C5565"/>
    <w:rsid w:val="009C66A8"/>
    <w:rsid w:val="009C6DB4"/>
    <w:rsid w:val="009D1859"/>
    <w:rsid w:val="009D22F2"/>
    <w:rsid w:val="009D234F"/>
    <w:rsid w:val="009D23F7"/>
    <w:rsid w:val="009D3496"/>
    <w:rsid w:val="009D386B"/>
    <w:rsid w:val="009D3DD9"/>
    <w:rsid w:val="009D4978"/>
    <w:rsid w:val="009D6306"/>
    <w:rsid w:val="009D746F"/>
    <w:rsid w:val="009D776E"/>
    <w:rsid w:val="009E0053"/>
    <w:rsid w:val="009E2B42"/>
    <w:rsid w:val="009E33B8"/>
    <w:rsid w:val="009E3881"/>
    <w:rsid w:val="009E3D94"/>
    <w:rsid w:val="009E42F7"/>
    <w:rsid w:val="009F0C61"/>
    <w:rsid w:val="009F1AE3"/>
    <w:rsid w:val="009F26A9"/>
    <w:rsid w:val="009F40AA"/>
    <w:rsid w:val="009F4388"/>
    <w:rsid w:val="009F43E0"/>
    <w:rsid w:val="009F58E3"/>
    <w:rsid w:val="009F727D"/>
    <w:rsid w:val="009F73A8"/>
    <w:rsid w:val="00A0028F"/>
    <w:rsid w:val="00A02EFF"/>
    <w:rsid w:val="00A03099"/>
    <w:rsid w:val="00A04478"/>
    <w:rsid w:val="00A050E8"/>
    <w:rsid w:val="00A057FC"/>
    <w:rsid w:val="00A0782F"/>
    <w:rsid w:val="00A07A0B"/>
    <w:rsid w:val="00A11680"/>
    <w:rsid w:val="00A11F44"/>
    <w:rsid w:val="00A125DA"/>
    <w:rsid w:val="00A12D0C"/>
    <w:rsid w:val="00A12F53"/>
    <w:rsid w:val="00A14DAF"/>
    <w:rsid w:val="00A154BB"/>
    <w:rsid w:val="00A15C41"/>
    <w:rsid w:val="00A15E22"/>
    <w:rsid w:val="00A15F62"/>
    <w:rsid w:val="00A20049"/>
    <w:rsid w:val="00A20B06"/>
    <w:rsid w:val="00A20F64"/>
    <w:rsid w:val="00A21691"/>
    <w:rsid w:val="00A24C55"/>
    <w:rsid w:val="00A2573A"/>
    <w:rsid w:val="00A2734F"/>
    <w:rsid w:val="00A27CAF"/>
    <w:rsid w:val="00A27CDA"/>
    <w:rsid w:val="00A30845"/>
    <w:rsid w:val="00A32118"/>
    <w:rsid w:val="00A323A9"/>
    <w:rsid w:val="00A331AE"/>
    <w:rsid w:val="00A336D7"/>
    <w:rsid w:val="00A33820"/>
    <w:rsid w:val="00A33F7C"/>
    <w:rsid w:val="00A3519D"/>
    <w:rsid w:val="00A35E27"/>
    <w:rsid w:val="00A365CE"/>
    <w:rsid w:val="00A36A50"/>
    <w:rsid w:val="00A41180"/>
    <w:rsid w:val="00A41F43"/>
    <w:rsid w:val="00A42C84"/>
    <w:rsid w:val="00A44013"/>
    <w:rsid w:val="00A4543A"/>
    <w:rsid w:val="00A45954"/>
    <w:rsid w:val="00A4671D"/>
    <w:rsid w:val="00A46A5A"/>
    <w:rsid w:val="00A501AE"/>
    <w:rsid w:val="00A5331C"/>
    <w:rsid w:val="00A53FF1"/>
    <w:rsid w:val="00A541C8"/>
    <w:rsid w:val="00A5521A"/>
    <w:rsid w:val="00A552B1"/>
    <w:rsid w:val="00A552B7"/>
    <w:rsid w:val="00A56F13"/>
    <w:rsid w:val="00A57586"/>
    <w:rsid w:val="00A57B5A"/>
    <w:rsid w:val="00A57BE9"/>
    <w:rsid w:val="00A60950"/>
    <w:rsid w:val="00A60BFB"/>
    <w:rsid w:val="00A61B0F"/>
    <w:rsid w:val="00A6329F"/>
    <w:rsid w:val="00A635F5"/>
    <w:rsid w:val="00A63910"/>
    <w:rsid w:val="00A66DAC"/>
    <w:rsid w:val="00A71114"/>
    <w:rsid w:val="00A72B31"/>
    <w:rsid w:val="00A72BC5"/>
    <w:rsid w:val="00A72F2D"/>
    <w:rsid w:val="00A7372D"/>
    <w:rsid w:val="00A74AA4"/>
    <w:rsid w:val="00A74DC3"/>
    <w:rsid w:val="00A74E66"/>
    <w:rsid w:val="00A75055"/>
    <w:rsid w:val="00A7657D"/>
    <w:rsid w:val="00A76D21"/>
    <w:rsid w:val="00A77086"/>
    <w:rsid w:val="00A81D60"/>
    <w:rsid w:val="00A825FD"/>
    <w:rsid w:val="00A826A3"/>
    <w:rsid w:val="00A8358E"/>
    <w:rsid w:val="00A83717"/>
    <w:rsid w:val="00A853CA"/>
    <w:rsid w:val="00A8555B"/>
    <w:rsid w:val="00A85647"/>
    <w:rsid w:val="00A85E79"/>
    <w:rsid w:val="00A86B5F"/>
    <w:rsid w:val="00A87FB7"/>
    <w:rsid w:val="00A90784"/>
    <w:rsid w:val="00A90A35"/>
    <w:rsid w:val="00A9106C"/>
    <w:rsid w:val="00A9136C"/>
    <w:rsid w:val="00A91AD8"/>
    <w:rsid w:val="00A92C40"/>
    <w:rsid w:val="00A92DE2"/>
    <w:rsid w:val="00A95CBA"/>
    <w:rsid w:val="00A96BDC"/>
    <w:rsid w:val="00A96ECC"/>
    <w:rsid w:val="00AA048B"/>
    <w:rsid w:val="00AA0D1C"/>
    <w:rsid w:val="00AA13E7"/>
    <w:rsid w:val="00AA1A77"/>
    <w:rsid w:val="00AA243F"/>
    <w:rsid w:val="00AA2AF5"/>
    <w:rsid w:val="00AA36E3"/>
    <w:rsid w:val="00AA575E"/>
    <w:rsid w:val="00AA7075"/>
    <w:rsid w:val="00AA7416"/>
    <w:rsid w:val="00AA7C3D"/>
    <w:rsid w:val="00AA7C97"/>
    <w:rsid w:val="00AB022B"/>
    <w:rsid w:val="00AB04DC"/>
    <w:rsid w:val="00AB065A"/>
    <w:rsid w:val="00AB07E5"/>
    <w:rsid w:val="00AB0D61"/>
    <w:rsid w:val="00AB1CC3"/>
    <w:rsid w:val="00AB57F0"/>
    <w:rsid w:val="00AC0691"/>
    <w:rsid w:val="00AC159D"/>
    <w:rsid w:val="00AC29F4"/>
    <w:rsid w:val="00AC3DF6"/>
    <w:rsid w:val="00AC4520"/>
    <w:rsid w:val="00AC48F5"/>
    <w:rsid w:val="00AC70DE"/>
    <w:rsid w:val="00AC7AB5"/>
    <w:rsid w:val="00AD0931"/>
    <w:rsid w:val="00AD0C90"/>
    <w:rsid w:val="00AD0CCD"/>
    <w:rsid w:val="00AD1629"/>
    <w:rsid w:val="00AD21C7"/>
    <w:rsid w:val="00AD335F"/>
    <w:rsid w:val="00AD3B7F"/>
    <w:rsid w:val="00AD4063"/>
    <w:rsid w:val="00AD40F5"/>
    <w:rsid w:val="00AD50E9"/>
    <w:rsid w:val="00AD5446"/>
    <w:rsid w:val="00AD784C"/>
    <w:rsid w:val="00AD794C"/>
    <w:rsid w:val="00AD7BF5"/>
    <w:rsid w:val="00AD7F93"/>
    <w:rsid w:val="00AE01F2"/>
    <w:rsid w:val="00AE0293"/>
    <w:rsid w:val="00AE1B70"/>
    <w:rsid w:val="00AE1C4F"/>
    <w:rsid w:val="00AE1ED1"/>
    <w:rsid w:val="00AE270C"/>
    <w:rsid w:val="00AE4C0C"/>
    <w:rsid w:val="00AE4D9B"/>
    <w:rsid w:val="00AE79DC"/>
    <w:rsid w:val="00AE7C9D"/>
    <w:rsid w:val="00AE7E29"/>
    <w:rsid w:val="00AF1D17"/>
    <w:rsid w:val="00AF2306"/>
    <w:rsid w:val="00AF3F37"/>
    <w:rsid w:val="00AF5C43"/>
    <w:rsid w:val="00AF6636"/>
    <w:rsid w:val="00AF6B66"/>
    <w:rsid w:val="00B0172D"/>
    <w:rsid w:val="00B02D7A"/>
    <w:rsid w:val="00B03B10"/>
    <w:rsid w:val="00B051AF"/>
    <w:rsid w:val="00B06C98"/>
    <w:rsid w:val="00B07722"/>
    <w:rsid w:val="00B10021"/>
    <w:rsid w:val="00B1020A"/>
    <w:rsid w:val="00B109B4"/>
    <w:rsid w:val="00B11B9E"/>
    <w:rsid w:val="00B11EB7"/>
    <w:rsid w:val="00B13456"/>
    <w:rsid w:val="00B139A5"/>
    <w:rsid w:val="00B166D7"/>
    <w:rsid w:val="00B170FB"/>
    <w:rsid w:val="00B17A1A"/>
    <w:rsid w:val="00B21907"/>
    <w:rsid w:val="00B226A1"/>
    <w:rsid w:val="00B235AC"/>
    <w:rsid w:val="00B25543"/>
    <w:rsid w:val="00B25C0B"/>
    <w:rsid w:val="00B261BA"/>
    <w:rsid w:val="00B2782B"/>
    <w:rsid w:val="00B30033"/>
    <w:rsid w:val="00B3143D"/>
    <w:rsid w:val="00B332D6"/>
    <w:rsid w:val="00B36596"/>
    <w:rsid w:val="00B368DC"/>
    <w:rsid w:val="00B37B43"/>
    <w:rsid w:val="00B40479"/>
    <w:rsid w:val="00B415F8"/>
    <w:rsid w:val="00B4492B"/>
    <w:rsid w:val="00B4494B"/>
    <w:rsid w:val="00B46006"/>
    <w:rsid w:val="00B471B2"/>
    <w:rsid w:val="00B47931"/>
    <w:rsid w:val="00B47A7E"/>
    <w:rsid w:val="00B50F09"/>
    <w:rsid w:val="00B524A2"/>
    <w:rsid w:val="00B56251"/>
    <w:rsid w:val="00B6082F"/>
    <w:rsid w:val="00B619B6"/>
    <w:rsid w:val="00B6296A"/>
    <w:rsid w:val="00B637EC"/>
    <w:rsid w:val="00B639B1"/>
    <w:rsid w:val="00B65C28"/>
    <w:rsid w:val="00B666F5"/>
    <w:rsid w:val="00B66827"/>
    <w:rsid w:val="00B67A99"/>
    <w:rsid w:val="00B70930"/>
    <w:rsid w:val="00B7104A"/>
    <w:rsid w:val="00B73852"/>
    <w:rsid w:val="00B73DFF"/>
    <w:rsid w:val="00B74FB6"/>
    <w:rsid w:val="00B760D8"/>
    <w:rsid w:val="00B768EB"/>
    <w:rsid w:val="00B7738D"/>
    <w:rsid w:val="00B77EFD"/>
    <w:rsid w:val="00B801C4"/>
    <w:rsid w:val="00B82EC2"/>
    <w:rsid w:val="00B83D57"/>
    <w:rsid w:val="00B84EA2"/>
    <w:rsid w:val="00B855D5"/>
    <w:rsid w:val="00B8580C"/>
    <w:rsid w:val="00B862A8"/>
    <w:rsid w:val="00B86CFD"/>
    <w:rsid w:val="00B90A18"/>
    <w:rsid w:val="00B90DA8"/>
    <w:rsid w:val="00B917D9"/>
    <w:rsid w:val="00B92558"/>
    <w:rsid w:val="00B9313E"/>
    <w:rsid w:val="00B9410A"/>
    <w:rsid w:val="00B9546E"/>
    <w:rsid w:val="00B95DD1"/>
    <w:rsid w:val="00B95F09"/>
    <w:rsid w:val="00B96689"/>
    <w:rsid w:val="00B97EAA"/>
    <w:rsid w:val="00BA0889"/>
    <w:rsid w:val="00BA22BC"/>
    <w:rsid w:val="00BA2A4C"/>
    <w:rsid w:val="00BA354F"/>
    <w:rsid w:val="00BA44A6"/>
    <w:rsid w:val="00BA52CE"/>
    <w:rsid w:val="00BA6EE2"/>
    <w:rsid w:val="00BA73A4"/>
    <w:rsid w:val="00BA74B0"/>
    <w:rsid w:val="00BA7D4E"/>
    <w:rsid w:val="00BB09AE"/>
    <w:rsid w:val="00BB18FF"/>
    <w:rsid w:val="00BB343C"/>
    <w:rsid w:val="00BB5230"/>
    <w:rsid w:val="00BB56B8"/>
    <w:rsid w:val="00BB7775"/>
    <w:rsid w:val="00BB78ED"/>
    <w:rsid w:val="00BC0314"/>
    <w:rsid w:val="00BC0B4E"/>
    <w:rsid w:val="00BC2096"/>
    <w:rsid w:val="00BC2D36"/>
    <w:rsid w:val="00BC39A1"/>
    <w:rsid w:val="00BC4DAC"/>
    <w:rsid w:val="00BC508C"/>
    <w:rsid w:val="00BC5ECA"/>
    <w:rsid w:val="00BC6080"/>
    <w:rsid w:val="00BD16D8"/>
    <w:rsid w:val="00BD4DEF"/>
    <w:rsid w:val="00BD5BD3"/>
    <w:rsid w:val="00BD6540"/>
    <w:rsid w:val="00BD6ACD"/>
    <w:rsid w:val="00BD6F16"/>
    <w:rsid w:val="00BD7563"/>
    <w:rsid w:val="00BE05FC"/>
    <w:rsid w:val="00BE0B05"/>
    <w:rsid w:val="00BE0D6D"/>
    <w:rsid w:val="00BE12CB"/>
    <w:rsid w:val="00BE1668"/>
    <w:rsid w:val="00BE3371"/>
    <w:rsid w:val="00BE3585"/>
    <w:rsid w:val="00BE5437"/>
    <w:rsid w:val="00BE5F56"/>
    <w:rsid w:val="00BE62A0"/>
    <w:rsid w:val="00BE6972"/>
    <w:rsid w:val="00BE6D50"/>
    <w:rsid w:val="00BE70F7"/>
    <w:rsid w:val="00BF0FB7"/>
    <w:rsid w:val="00BF127A"/>
    <w:rsid w:val="00BF268D"/>
    <w:rsid w:val="00BF2A56"/>
    <w:rsid w:val="00BF3A38"/>
    <w:rsid w:val="00BF4740"/>
    <w:rsid w:val="00BF5BB4"/>
    <w:rsid w:val="00BF5E80"/>
    <w:rsid w:val="00C00459"/>
    <w:rsid w:val="00C00482"/>
    <w:rsid w:val="00C005B9"/>
    <w:rsid w:val="00C01270"/>
    <w:rsid w:val="00C03BD5"/>
    <w:rsid w:val="00C06466"/>
    <w:rsid w:val="00C07445"/>
    <w:rsid w:val="00C07DC7"/>
    <w:rsid w:val="00C11C4B"/>
    <w:rsid w:val="00C121CE"/>
    <w:rsid w:val="00C160A5"/>
    <w:rsid w:val="00C16769"/>
    <w:rsid w:val="00C206E4"/>
    <w:rsid w:val="00C224D1"/>
    <w:rsid w:val="00C22609"/>
    <w:rsid w:val="00C23506"/>
    <w:rsid w:val="00C24016"/>
    <w:rsid w:val="00C27F0E"/>
    <w:rsid w:val="00C32B4D"/>
    <w:rsid w:val="00C32C78"/>
    <w:rsid w:val="00C3313D"/>
    <w:rsid w:val="00C33BF0"/>
    <w:rsid w:val="00C33DF4"/>
    <w:rsid w:val="00C36C03"/>
    <w:rsid w:val="00C374F6"/>
    <w:rsid w:val="00C422A3"/>
    <w:rsid w:val="00C4296B"/>
    <w:rsid w:val="00C42BF7"/>
    <w:rsid w:val="00C42D89"/>
    <w:rsid w:val="00C43498"/>
    <w:rsid w:val="00C4454F"/>
    <w:rsid w:val="00C45CB5"/>
    <w:rsid w:val="00C46456"/>
    <w:rsid w:val="00C464C4"/>
    <w:rsid w:val="00C47D97"/>
    <w:rsid w:val="00C47F05"/>
    <w:rsid w:val="00C50AC3"/>
    <w:rsid w:val="00C55C92"/>
    <w:rsid w:val="00C5683C"/>
    <w:rsid w:val="00C574A1"/>
    <w:rsid w:val="00C576C4"/>
    <w:rsid w:val="00C612B8"/>
    <w:rsid w:val="00C61F24"/>
    <w:rsid w:val="00C63C59"/>
    <w:rsid w:val="00C63F5D"/>
    <w:rsid w:val="00C64A41"/>
    <w:rsid w:val="00C661AA"/>
    <w:rsid w:val="00C67BD0"/>
    <w:rsid w:val="00C70069"/>
    <w:rsid w:val="00C70267"/>
    <w:rsid w:val="00C70317"/>
    <w:rsid w:val="00C70685"/>
    <w:rsid w:val="00C7089B"/>
    <w:rsid w:val="00C7157B"/>
    <w:rsid w:val="00C71CA5"/>
    <w:rsid w:val="00C72FE4"/>
    <w:rsid w:val="00C739A8"/>
    <w:rsid w:val="00C74F00"/>
    <w:rsid w:val="00C77462"/>
    <w:rsid w:val="00C7796E"/>
    <w:rsid w:val="00C80E92"/>
    <w:rsid w:val="00C81C85"/>
    <w:rsid w:val="00C82B26"/>
    <w:rsid w:val="00C83926"/>
    <w:rsid w:val="00C841FD"/>
    <w:rsid w:val="00C84507"/>
    <w:rsid w:val="00C849B6"/>
    <w:rsid w:val="00C84A85"/>
    <w:rsid w:val="00C84AA6"/>
    <w:rsid w:val="00C870DA"/>
    <w:rsid w:val="00C90DB9"/>
    <w:rsid w:val="00C91639"/>
    <w:rsid w:val="00C92098"/>
    <w:rsid w:val="00C92328"/>
    <w:rsid w:val="00C927E1"/>
    <w:rsid w:val="00C929F2"/>
    <w:rsid w:val="00C93690"/>
    <w:rsid w:val="00C937DF"/>
    <w:rsid w:val="00C93CB3"/>
    <w:rsid w:val="00C945F2"/>
    <w:rsid w:val="00C9561C"/>
    <w:rsid w:val="00C958BC"/>
    <w:rsid w:val="00C97D0A"/>
    <w:rsid w:val="00CA057D"/>
    <w:rsid w:val="00CA05D1"/>
    <w:rsid w:val="00CA122B"/>
    <w:rsid w:val="00CA1348"/>
    <w:rsid w:val="00CA14C2"/>
    <w:rsid w:val="00CA1FF7"/>
    <w:rsid w:val="00CA2289"/>
    <w:rsid w:val="00CA2B72"/>
    <w:rsid w:val="00CA3578"/>
    <w:rsid w:val="00CA4269"/>
    <w:rsid w:val="00CA4B2E"/>
    <w:rsid w:val="00CA66F5"/>
    <w:rsid w:val="00CA6D6C"/>
    <w:rsid w:val="00CA7212"/>
    <w:rsid w:val="00CA7307"/>
    <w:rsid w:val="00CA7587"/>
    <w:rsid w:val="00CB2E12"/>
    <w:rsid w:val="00CB440B"/>
    <w:rsid w:val="00CB5630"/>
    <w:rsid w:val="00CB5E63"/>
    <w:rsid w:val="00CB5E65"/>
    <w:rsid w:val="00CB6A7C"/>
    <w:rsid w:val="00CB7C8A"/>
    <w:rsid w:val="00CC2034"/>
    <w:rsid w:val="00CC2640"/>
    <w:rsid w:val="00CC32E6"/>
    <w:rsid w:val="00CC4353"/>
    <w:rsid w:val="00CC465D"/>
    <w:rsid w:val="00CC5B09"/>
    <w:rsid w:val="00CC6C2A"/>
    <w:rsid w:val="00CC70DD"/>
    <w:rsid w:val="00CC73C7"/>
    <w:rsid w:val="00CD0BAC"/>
    <w:rsid w:val="00CD174C"/>
    <w:rsid w:val="00CD1E78"/>
    <w:rsid w:val="00CD321C"/>
    <w:rsid w:val="00CD7AC4"/>
    <w:rsid w:val="00CE1875"/>
    <w:rsid w:val="00CE1DB3"/>
    <w:rsid w:val="00CE2116"/>
    <w:rsid w:val="00CE312A"/>
    <w:rsid w:val="00CE4C89"/>
    <w:rsid w:val="00CE60CD"/>
    <w:rsid w:val="00CE761F"/>
    <w:rsid w:val="00CE7D1E"/>
    <w:rsid w:val="00CF0DAC"/>
    <w:rsid w:val="00CF13C5"/>
    <w:rsid w:val="00CF39B2"/>
    <w:rsid w:val="00CF3F19"/>
    <w:rsid w:val="00CF4F04"/>
    <w:rsid w:val="00CF69AB"/>
    <w:rsid w:val="00CF703E"/>
    <w:rsid w:val="00D0103F"/>
    <w:rsid w:val="00D0352A"/>
    <w:rsid w:val="00D068AD"/>
    <w:rsid w:val="00D07330"/>
    <w:rsid w:val="00D073E1"/>
    <w:rsid w:val="00D11156"/>
    <w:rsid w:val="00D11D13"/>
    <w:rsid w:val="00D12B7C"/>
    <w:rsid w:val="00D12D97"/>
    <w:rsid w:val="00D13137"/>
    <w:rsid w:val="00D137F6"/>
    <w:rsid w:val="00D13B64"/>
    <w:rsid w:val="00D14A1F"/>
    <w:rsid w:val="00D150B6"/>
    <w:rsid w:val="00D15994"/>
    <w:rsid w:val="00D20A4D"/>
    <w:rsid w:val="00D20EC5"/>
    <w:rsid w:val="00D228E1"/>
    <w:rsid w:val="00D228ED"/>
    <w:rsid w:val="00D22C76"/>
    <w:rsid w:val="00D2318B"/>
    <w:rsid w:val="00D23A49"/>
    <w:rsid w:val="00D23DF0"/>
    <w:rsid w:val="00D303A0"/>
    <w:rsid w:val="00D30B43"/>
    <w:rsid w:val="00D32470"/>
    <w:rsid w:val="00D333FD"/>
    <w:rsid w:val="00D33EB6"/>
    <w:rsid w:val="00D36E7C"/>
    <w:rsid w:val="00D3764B"/>
    <w:rsid w:val="00D40FC2"/>
    <w:rsid w:val="00D41299"/>
    <w:rsid w:val="00D41FAD"/>
    <w:rsid w:val="00D42D62"/>
    <w:rsid w:val="00D4371F"/>
    <w:rsid w:val="00D43F97"/>
    <w:rsid w:val="00D448F7"/>
    <w:rsid w:val="00D44C1C"/>
    <w:rsid w:val="00D457CC"/>
    <w:rsid w:val="00D46A2D"/>
    <w:rsid w:val="00D47635"/>
    <w:rsid w:val="00D502CD"/>
    <w:rsid w:val="00D50DCE"/>
    <w:rsid w:val="00D5103D"/>
    <w:rsid w:val="00D5125C"/>
    <w:rsid w:val="00D51855"/>
    <w:rsid w:val="00D51EDA"/>
    <w:rsid w:val="00D51F21"/>
    <w:rsid w:val="00D521D5"/>
    <w:rsid w:val="00D52331"/>
    <w:rsid w:val="00D5370E"/>
    <w:rsid w:val="00D53968"/>
    <w:rsid w:val="00D54C55"/>
    <w:rsid w:val="00D55B0D"/>
    <w:rsid w:val="00D56BD3"/>
    <w:rsid w:val="00D57816"/>
    <w:rsid w:val="00D60140"/>
    <w:rsid w:val="00D604F9"/>
    <w:rsid w:val="00D6079A"/>
    <w:rsid w:val="00D6149C"/>
    <w:rsid w:val="00D6155F"/>
    <w:rsid w:val="00D62602"/>
    <w:rsid w:val="00D63944"/>
    <w:rsid w:val="00D64184"/>
    <w:rsid w:val="00D644E9"/>
    <w:rsid w:val="00D6547A"/>
    <w:rsid w:val="00D66ECB"/>
    <w:rsid w:val="00D703BF"/>
    <w:rsid w:val="00D721D1"/>
    <w:rsid w:val="00D72714"/>
    <w:rsid w:val="00D729CB"/>
    <w:rsid w:val="00D7560A"/>
    <w:rsid w:val="00D7681D"/>
    <w:rsid w:val="00D77DC5"/>
    <w:rsid w:val="00D80726"/>
    <w:rsid w:val="00D81684"/>
    <w:rsid w:val="00D820ED"/>
    <w:rsid w:val="00D8213C"/>
    <w:rsid w:val="00D83482"/>
    <w:rsid w:val="00D842C8"/>
    <w:rsid w:val="00D90B13"/>
    <w:rsid w:val="00D92F70"/>
    <w:rsid w:val="00D930BB"/>
    <w:rsid w:val="00D941BE"/>
    <w:rsid w:val="00D9462E"/>
    <w:rsid w:val="00D96325"/>
    <w:rsid w:val="00D96AF1"/>
    <w:rsid w:val="00D97290"/>
    <w:rsid w:val="00D9779A"/>
    <w:rsid w:val="00DA1E88"/>
    <w:rsid w:val="00DA5C57"/>
    <w:rsid w:val="00DA68F5"/>
    <w:rsid w:val="00DA72AA"/>
    <w:rsid w:val="00DB0064"/>
    <w:rsid w:val="00DB11D6"/>
    <w:rsid w:val="00DB22D1"/>
    <w:rsid w:val="00DB2B4B"/>
    <w:rsid w:val="00DB2B53"/>
    <w:rsid w:val="00DB3697"/>
    <w:rsid w:val="00DB6D33"/>
    <w:rsid w:val="00DB7598"/>
    <w:rsid w:val="00DB7AB9"/>
    <w:rsid w:val="00DB7C80"/>
    <w:rsid w:val="00DC14BF"/>
    <w:rsid w:val="00DC408F"/>
    <w:rsid w:val="00DC47C4"/>
    <w:rsid w:val="00DC5412"/>
    <w:rsid w:val="00DC5736"/>
    <w:rsid w:val="00DD0DF6"/>
    <w:rsid w:val="00DD1B63"/>
    <w:rsid w:val="00DD2033"/>
    <w:rsid w:val="00DD36C4"/>
    <w:rsid w:val="00DD379B"/>
    <w:rsid w:val="00DD5854"/>
    <w:rsid w:val="00DD5DC5"/>
    <w:rsid w:val="00DD670E"/>
    <w:rsid w:val="00DD7451"/>
    <w:rsid w:val="00DE0702"/>
    <w:rsid w:val="00DE07C8"/>
    <w:rsid w:val="00DE0A98"/>
    <w:rsid w:val="00DE1942"/>
    <w:rsid w:val="00DE2A4D"/>
    <w:rsid w:val="00DE33C9"/>
    <w:rsid w:val="00DE3FF6"/>
    <w:rsid w:val="00DE484B"/>
    <w:rsid w:val="00DE7093"/>
    <w:rsid w:val="00DE76F6"/>
    <w:rsid w:val="00DF0D51"/>
    <w:rsid w:val="00DF1420"/>
    <w:rsid w:val="00DF2164"/>
    <w:rsid w:val="00DF2A8E"/>
    <w:rsid w:val="00DF54F9"/>
    <w:rsid w:val="00E0255F"/>
    <w:rsid w:val="00E02788"/>
    <w:rsid w:val="00E027E1"/>
    <w:rsid w:val="00E02F45"/>
    <w:rsid w:val="00E034B5"/>
    <w:rsid w:val="00E03C10"/>
    <w:rsid w:val="00E03E74"/>
    <w:rsid w:val="00E03F2D"/>
    <w:rsid w:val="00E052A8"/>
    <w:rsid w:val="00E05DA0"/>
    <w:rsid w:val="00E077E9"/>
    <w:rsid w:val="00E10DAF"/>
    <w:rsid w:val="00E12C04"/>
    <w:rsid w:val="00E1370B"/>
    <w:rsid w:val="00E154EA"/>
    <w:rsid w:val="00E16BC0"/>
    <w:rsid w:val="00E17654"/>
    <w:rsid w:val="00E21132"/>
    <w:rsid w:val="00E22FB5"/>
    <w:rsid w:val="00E23A98"/>
    <w:rsid w:val="00E24111"/>
    <w:rsid w:val="00E247A1"/>
    <w:rsid w:val="00E2529A"/>
    <w:rsid w:val="00E259A2"/>
    <w:rsid w:val="00E26B34"/>
    <w:rsid w:val="00E30F14"/>
    <w:rsid w:val="00E356F6"/>
    <w:rsid w:val="00E36AE8"/>
    <w:rsid w:val="00E37585"/>
    <w:rsid w:val="00E37E31"/>
    <w:rsid w:val="00E405D2"/>
    <w:rsid w:val="00E40E7B"/>
    <w:rsid w:val="00E41459"/>
    <w:rsid w:val="00E41B30"/>
    <w:rsid w:val="00E41D67"/>
    <w:rsid w:val="00E422AC"/>
    <w:rsid w:val="00E42649"/>
    <w:rsid w:val="00E43464"/>
    <w:rsid w:val="00E438D1"/>
    <w:rsid w:val="00E44565"/>
    <w:rsid w:val="00E447C1"/>
    <w:rsid w:val="00E4502D"/>
    <w:rsid w:val="00E4584D"/>
    <w:rsid w:val="00E504CB"/>
    <w:rsid w:val="00E50D90"/>
    <w:rsid w:val="00E52585"/>
    <w:rsid w:val="00E525EB"/>
    <w:rsid w:val="00E55169"/>
    <w:rsid w:val="00E553ED"/>
    <w:rsid w:val="00E55764"/>
    <w:rsid w:val="00E55CBB"/>
    <w:rsid w:val="00E56B3F"/>
    <w:rsid w:val="00E57439"/>
    <w:rsid w:val="00E6091F"/>
    <w:rsid w:val="00E61F28"/>
    <w:rsid w:val="00E633A6"/>
    <w:rsid w:val="00E63B7B"/>
    <w:rsid w:val="00E63CC7"/>
    <w:rsid w:val="00E657D2"/>
    <w:rsid w:val="00E66606"/>
    <w:rsid w:val="00E66EE6"/>
    <w:rsid w:val="00E70C18"/>
    <w:rsid w:val="00E716AE"/>
    <w:rsid w:val="00E739C8"/>
    <w:rsid w:val="00E744E3"/>
    <w:rsid w:val="00E8020F"/>
    <w:rsid w:val="00E83B61"/>
    <w:rsid w:val="00E857C3"/>
    <w:rsid w:val="00E863BE"/>
    <w:rsid w:val="00E872BE"/>
    <w:rsid w:val="00E906C4"/>
    <w:rsid w:val="00E907B5"/>
    <w:rsid w:val="00E908DA"/>
    <w:rsid w:val="00E90DA9"/>
    <w:rsid w:val="00E9209A"/>
    <w:rsid w:val="00E94C0B"/>
    <w:rsid w:val="00E94C96"/>
    <w:rsid w:val="00E9536C"/>
    <w:rsid w:val="00E95FF5"/>
    <w:rsid w:val="00E96288"/>
    <w:rsid w:val="00E9711A"/>
    <w:rsid w:val="00E97279"/>
    <w:rsid w:val="00EA1159"/>
    <w:rsid w:val="00EA14DC"/>
    <w:rsid w:val="00EA2027"/>
    <w:rsid w:val="00EA2AE6"/>
    <w:rsid w:val="00EA3647"/>
    <w:rsid w:val="00EA3C2B"/>
    <w:rsid w:val="00EB1094"/>
    <w:rsid w:val="00EB2ABC"/>
    <w:rsid w:val="00EB2B6C"/>
    <w:rsid w:val="00EB4EBD"/>
    <w:rsid w:val="00EB5B6C"/>
    <w:rsid w:val="00EB7489"/>
    <w:rsid w:val="00EB78AE"/>
    <w:rsid w:val="00EC0042"/>
    <w:rsid w:val="00EC1151"/>
    <w:rsid w:val="00EC2642"/>
    <w:rsid w:val="00EC311C"/>
    <w:rsid w:val="00EC3437"/>
    <w:rsid w:val="00EC4B23"/>
    <w:rsid w:val="00EC5F40"/>
    <w:rsid w:val="00ED1549"/>
    <w:rsid w:val="00ED6391"/>
    <w:rsid w:val="00ED65EE"/>
    <w:rsid w:val="00ED714D"/>
    <w:rsid w:val="00ED71B4"/>
    <w:rsid w:val="00EE095A"/>
    <w:rsid w:val="00EE0A6D"/>
    <w:rsid w:val="00EE14A4"/>
    <w:rsid w:val="00EE29E6"/>
    <w:rsid w:val="00EE320F"/>
    <w:rsid w:val="00EE438E"/>
    <w:rsid w:val="00EE4847"/>
    <w:rsid w:val="00EE4C77"/>
    <w:rsid w:val="00EE4C7C"/>
    <w:rsid w:val="00EE5EAB"/>
    <w:rsid w:val="00EE6121"/>
    <w:rsid w:val="00EE6C34"/>
    <w:rsid w:val="00EF005B"/>
    <w:rsid w:val="00EF032F"/>
    <w:rsid w:val="00EF0632"/>
    <w:rsid w:val="00EF0C4A"/>
    <w:rsid w:val="00EF1943"/>
    <w:rsid w:val="00EF2078"/>
    <w:rsid w:val="00EF2200"/>
    <w:rsid w:val="00EF4893"/>
    <w:rsid w:val="00EF6E5D"/>
    <w:rsid w:val="00F00272"/>
    <w:rsid w:val="00F00E14"/>
    <w:rsid w:val="00F01D06"/>
    <w:rsid w:val="00F024A1"/>
    <w:rsid w:val="00F02AEA"/>
    <w:rsid w:val="00F030E7"/>
    <w:rsid w:val="00F0397D"/>
    <w:rsid w:val="00F04D20"/>
    <w:rsid w:val="00F051B0"/>
    <w:rsid w:val="00F0618B"/>
    <w:rsid w:val="00F10988"/>
    <w:rsid w:val="00F10A5F"/>
    <w:rsid w:val="00F10D7C"/>
    <w:rsid w:val="00F10ED2"/>
    <w:rsid w:val="00F11F24"/>
    <w:rsid w:val="00F1610C"/>
    <w:rsid w:val="00F17115"/>
    <w:rsid w:val="00F173E6"/>
    <w:rsid w:val="00F20C22"/>
    <w:rsid w:val="00F21B65"/>
    <w:rsid w:val="00F22816"/>
    <w:rsid w:val="00F22E5E"/>
    <w:rsid w:val="00F24A85"/>
    <w:rsid w:val="00F30502"/>
    <w:rsid w:val="00F30E8C"/>
    <w:rsid w:val="00F31312"/>
    <w:rsid w:val="00F31484"/>
    <w:rsid w:val="00F31C3B"/>
    <w:rsid w:val="00F3303F"/>
    <w:rsid w:val="00F33132"/>
    <w:rsid w:val="00F33673"/>
    <w:rsid w:val="00F33BF2"/>
    <w:rsid w:val="00F33FA3"/>
    <w:rsid w:val="00F340BA"/>
    <w:rsid w:val="00F3490F"/>
    <w:rsid w:val="00F36EA2"/>
    <w:rsid w:val="00F402B1"/>
    <w:rsid w:val="00F412B1"/>
    <w:rsid w:val="00F4273A"/>
    <w:rsid w:val="00F43459"/>
    <w:rsid w:val="00F441F8"/>
    <w:rsid w:val="00F45D07"/>
    <w:rsid w:val="00F46066"/>
    <w:rsid w:val="00F4666B"/>
    <w:rsid w:val="00F513A6"/>
    <w:rsid w:val="00F51408"/>
    <w:rsid w:val="00F52323"/>
    <w:rsid w:val="00F54C44"/>
    <w:rsid w:val="00F54E47"/>
    <w:rsid w:val="00F558DC"/>
    <w:rsid w:val="00F565A2"/>
    <w:rsid w:val="00F56E04"/>
    <w:rsid w:val="00F57D10"/>
    <w:rsid w:val="00F60D99"/>
    <w:rsid w:val="00F62B47"/>
    <w:rsid w:val="00F6405A"/>
    <w:rsid w:val="00F64423"/>
    <w:rsid w:val="00F66D2C"/>
    <w:rsid w:val="00F673D8"/>
    <w:rsid w:val="00F711B8"/>
    <w:rsid w:val="00F71321"/>
    <w:rsid w:val="00F7244A"/>
    <w:rsid w:val="00F727BE"/>
    <w:rsid w:val="00F73367"/>
    <w:rsid w:val="00F73FFA"/>
    <w:rsid w:val="00F753B2"/>
    <w:rsid w:val="00F7622C"/>
    <w:rsid w:val="00F76A1F"/>
    <w:rsid w:val="00F77ADC"/>
    <w:rsid w:val="00F821FE"/>
    <w:rsid w:val="00F82C88"/>
    <w:rsid w:val="00F843F8"/>
    <w:rsid w:val="00F844D2"/>
    <w:rsid w:val="00F84B27"/>
    <w:rsid w:val="00F860DE"/>
    <w:rsid w:val="00F86CB9"/>
    <w:rsid w:val="00F907ED"/>
    <w:rsid w:val="00F91A25"/>
    <w:rsid w:val="00F91D05"/>
    <w:rsid w:val="00F924B0"/>
    <w:rsid w:val="00F92966"/>
    <w:rsid w:val="00F92E1B"/>
    <w:rsid w:val="00F93038"/>
    <w:rsid w:val="00F93515"/>
    <w:rsid w:val="00F93C22"/>
    <w:rsid w:val="00F941D5"/>
    <w:rsid w:val="00F949EB"/>
    <w:rsid w:val="00F94E7A"/>
    <w:rsid w:val="00F95480"/>
    <w:rsid w:val="00F97C56"/>
    <w:rsid w:val="00F97D94"/>
    <w:rsid w:val="00F97EC5"/>
    <w:rsid w:val="00FA0596"/>
    <w:rsid w:val="00FA0CE4"/>
    <w:rsid w:val="00FA0E6F"/>
    <w:rsid w:val="00FA0EBA"/>
    <w:rsid w:val="00FA56B7"/>
    <w:rsid w:val="00FA5A31"/>
    <w:rsid w:val="00FA5B38"/>
    <w:rsid w:val="00FA6744"/>
    <w:rsid w:val="00FA6BB0"/>
    <w:rsid w:val="00FB0159"/>
    <w:rsid w:val="00FB0391"/>
    <w:rsid w:val="00FB0E37"/>
    <w:rsid w:val="00FB1627"/>
    <w:rsid w:val="00FB33A2"/>
    <w:rsid w:val="00FB352A"/>
    <w:rsid w:val="00FB3E3A"/>
    <w:rsid w:val="00FB440F"/>
    <w:rsid w:val="00FB4D39"/>
    <w:rsid w:val="00FB4F3F"/>
    <w:rsid w:val="00FB53A6"/>
    <w:rsid w:val="00FB54A7"/>
    <w:rsid w:val="00FB56E2"/>
    <w:rsid w:val="00FB5E7F"/>
    <w:rsid w:val="00FB6F63"/>
    <w:rsid w:val="00FB76D7"/>
    <w:rsid w:val="00FB79F4"/>
    <w:rsid w:val="00FB7C18"/>
    <w:rsid w:val="00FC0134"/>
    <w:rsid w:val="00FC021F"/>
    <w:rsid w:val="00FC041C"/>
    <w:rsid w:val="00FC2FC7"/>
    <w:rsid w:val="00FC3D6B"/>
    <w:rsid w:val="00FC3F40"/>
    <w:rsid w:val="00FC4092"/>
    <w:rsid w:val="00FC439F"/>
    <w:rsid w:val="00FC6ACB"/>
    <w:rsid w:val="00FC7368"/>
    <w:rsid w:val="00FD0211"/>
    <w:rsid w:val="00FD10D0"/>
    <w:rsid w:val="00FD7998"/>
    <w:rsid w:val="00FE0312"/>
    <w:rsid w:val="00FE1551"/>
    <w:rsid w:val="00FE3137"/>
    <w:rsid w:val="00FE41E0"/>
    <w:rsid w:val="00FE58B5"/>
    <w:rsid w:val="00FE5E72"/>
    <w:rsid w:val="00FF2D72"/>
    <w:rsid w:val="00FF35B9"/>
    <w:rsid w:val="00FF3851"/>
    <w:rsid w:val="00FF3890"/>
    <w:rsid w:val="00FF39B5"/>
    <w:rsid w:val="00FF3C4A"/>
    <w:rsid w:val="00FF4EAA"/>
    <w:rsid w:val="00FF5C23"/>
    <w:rsid w:val="00FF72AF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9DC"/>
  <w15:chartTrackingRefBased/>
  <w15:docId w15:val="{B33DA678-04B9-40FC-9A0A-D2D5ABC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AC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6A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ACD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36A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AC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C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A4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6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6C9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E3C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041"/>
    <w:rPr>
      <w:b/>
      <w:bCs/>
    </w:rPr>
  </w:style>
  <w:style w:type="paragraph" w:customStyle="1" w:styleId="df3vjf">
    <w:name w:val="df3vjf"/>
    <w:basedOn w:val="Normalny"/>
    <w:rsid w:val="002F4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286pc">
    <w:name w:val="t286pc"/>
    <w:basedOn w:val="Domylnaczcionkaakapitu"/>
    <w:rsid w:val="002F4041"/>
  </w:style>
  <w:style w:type="paragraph" w:customStyle="1" w:styleId="z1qcye">
    <w:name w:val="z1qcye"/>
    <w:basedOn w:val="Normalny"/>
    <w:rsid w:val="00C70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75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6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7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5.2026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5.2026.xlsm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5.2026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5.2026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5.2026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5.2026.xlsm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5.2026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5.2026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5.2026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5.2026.xlsm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5.2026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5.2026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0"/>
      <c:rotY val="5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457343133031105E-2"/>
          <c:y val="2.5807978847378715E-2"/>
          <c:w val="0.90707614326206221"/>
          <c:h val="0.7928201108659351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słupkowy!$C$9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5900022960019084E-3"/>
                  <c:y val="-1.0976085098365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02-4CCB-81B8-D00FB1404765}"/>
                </c:ext>
              </c:extLst>
            </c:dLbl>
            <c:dLbl>
              <c:idx val="2"/>
              <c:layout>
                <c:manualLayout>
                  <c:x val="-5.9968717323572764E-3"/>
                  <c:y val="-6.0509630290307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02-4CCB-81B8-D00FB1404765}"/>
                </c:ext>
              </c:extLst>
            </c:dLbl>
            <c:dLbl>
              <c:idx val="7"/>
              <c:layout>
                <c:manualLayout>
                  <c:x val="-8.8791791219876154E-3"/>
                  <c:y val="-1.341506014830503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02-4CCB-81B8-D00FB1404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słupkowy!$C$24:$C$33</c:f>
              <c:numCache>
                <c:formatCode>#,##0</c:formatCode>
                <c:ptCount val="10"/>
                <c:pt idx="0">
                  <c:v>671</c:v>
                </c:pt>
                <c:pt idx="1">
                  <c:v>466</c:v>
                </c:pt>
                <c:pt idx="2">
                  <c:v>434</c:v>
                </c:pt>
                <c:pt idx="3">
                  <c:v>318</c:v>
                </c:pt>
                <c:pt idx="4">
                  <c:v>261</c:v>
                </c:pt>
                <c:pt idx="5">
                  <c:v>1778</c:v>
                </c:pt>
                <c:pt idx="6">
                  <c:v>1771</c:v>
                </c:pt>
                <c:pt idx="7">
                  <c:v>7060</c:v>
                </c:pt>
                <c:pt idx="8">
                  <c:v>7008</c:v>
                </c:pt>
                <c:pt idx="9">
                  <c:v>803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9802-4CCB-81B8-D00FB1404765}"/>
            </c:ext>
          </c:extLst>
        </c:ser>
        <c:ser>
          <c:idx val="2"/>
          <c:order val="1"/>
          <c:tx>
            <c:strRef>
              <c:f>słupkowy!$D$9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8"/>
              <c:layout>
                <c:manualLayout>
                  <c:x val="7.4841290057585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02-4CCB-81B8-D00FB1404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słupkowy!$D$24:$D$33</c:f>
              <c:numCache>
                <c:formatCode>#,##0</c:formatCode>
                <c:ptCount val="10"/>
                <c:pt idx="0">
                  <c:v>4407</c:v>
                </c:pt>
                <c:pt idx="1">
                  <c:v>3669</c:v>
                </c:pt>
                <c:pt idx="2">
                  <c:v>3662</c:v>
                </c:pt>
                <c:pt idx="3">
                  <c:v>2485</c:v>
                </c:pt>
                <c:pt idx="4">
                  <c:v>7438</c:v>
                </c:pt>
                <c:pt idx="5">
                  <c:v>8155</c:v>
                </c:pt>
                <c:pt idx="6">
                  <c:v>7742</c:v>
                </c:pt>
                <c:pt idx="7">
                  <c:v>9993</c:v>
                </c:pt>
                <c:pt idx="8">
                  <c:v>6224</c:v>
                </c:pt>
                <c:pt idx="9">
                  <c:v>1379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9802-4CCB-81B8-D00FB14047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68014008"/>
        <c:axId val="66801322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słupkowy!$E$9</c15:sqref>
                        </c15:formulaRef>
                      </c:ext>
                    </c:extLst>
                    <c:strCache>
                      <c:ptCount val="1"/>
                      <c:pt idx="0">
                        <c:v>Suma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słupkowy!$B$24:$B$33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2017</c:v>
                      </c:pt>
                      <c:pt idx="1">
                        <c:v>2018</c:v>
                      </c:pt>
                      <c:pt idx="2">
                        <c:v>2019</c:v>
                      </c:pt>
                      <c:pt idx="3">
                        <c:v>2020</c:v>
                      </c:pt>
                      <c:pt idx="4">
                        <c:v>2021</c:v>
                      </c:pt>
                      <c:pt idx="5">
                        <c:v>2022</c:v>
                      </c:pt>
                      <c:pt idx="6">
                        <c:v>2023</c:v>
                      </c:pt>
                      <c:pt idx="7">
                        <c:v>2024</c:v>
                      </c:pt>
                      <c:pt idx="8">
                        <c:v>2025</c:v>
                      </c:pt>
                      <c:pt idx="9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słupkowy!$E$24:$E$33</c15:sqref>
                        </c15:formulaRef>
                      </c:ext>
                    </c:extLst>
                    <c:numCache>
                      <c:formatCode>#,##0</c:formatCode>
                      <c:ptCount val="10"/>
                      <c:pt idx="0">
                        <c:v>5078</c:v>
                      </c:pt>
                      <c:pt idx="1">
                        <c:v>4135</c:v>
                      </c:pt>
                      <c:pt idx="2">
                        <c:v>4096</c:v>
                      </c:pt>
                      <c:pt idx="3">
                        <c:v>2803</c:v>
                      </c:pt>
                      <c:pt idx="4">
                        <c:v>7699</c:v>
                      </c:pt>
                      <c:pt idx="5">
                        <c:v>9933</c:v>
                      </c:pt>
                      <c:pt idx="6">
                        <c:v>9513</c:v>
                      </c:pt>
                      <c:pt idx="7">
                        <c:v>17053</c:v>
                      </c:pt>
                      <c:pt idx="8">
                        <c:v>13232</c:v>
                      </c:pt>
                      <c:pt idx="9">
                        <c:v>2182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9802-4CCB-81B8-D00FB1404765}"/>
                  </c:ext>
                </c:extLst>
              </c15:ser>
            </c15:filteredBarSeries>
          </c:ext>
        </c:extLst>
      </c:bar3DChart>
      <c:catAx>
        <c:axId val="668014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800"/>
            </a:pPr>
            <a:endParaRPr lang="pl-PL"/>
          </a:p>
        </c:txPr>
        <c:crossAx val="668013224"/>
        <c:crosses val="autoZero"/>
        <c:auto val="0"/>
        <c:lblAlgn val="ctr"/>
        <c:lblOffset val="100"/>
        <c:noMultiLvlLbl val="0"/>
      </c:catAx>
      <c:valAx>
        <c:axId val="668013224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pl-PL"/>
          </a:p>
        </c:txPr>
        <c:crossAx val="6680140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100"/>
            </a:pPr>
            <a:r>
              <a:rPr lang="pl-PL" sz="1100"/>
              <a:t>Liczba osób posiadających aktualny dokument pobytowy wg stanu na 1</a:t>
            </a:r>
            <a:r>
              <a:rPr lang="pl-PL" sz="1100" baseline="0"/>
              <a:t> maja </a:t>
            </a:r>
            <a:r>
              <a:rPr lang="pl-PL" sz="1100"/>
              <a:t>2026 r.</a:t>
            </a:r>
            <a:endParaRPr lang="en-CA" sz="1100"/>
          </a:p>
        </c:rich>
      </c:tx>
      <c:layout>
        <c:manualLayout>
          <c:xMode val="edge"/>
          <c:yMode val="edge"/>
          <c:x val="0.13588127799814498"/>
          <c:y val="2.4632577471403579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col"/>
        <c:grouping val="stacked"/>
        <c:varyColors val="0"/>
        <c:ser>
          <c:idx val="2"/>
          <c:order val="0"/>
          <c:tx>
            <c:strRef>
              <c:f>dokumenty!$A$2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F3-4C15-A5E8-48B7FE622EA5}"/>
                </c:ext>
              </c:extLst>
            </c:dLbl>
            <c:dLbl>
              <c:idx val="4"/>
              <c:layout>
                <c:manualLayout>
                  <c:x val="2.6516407026846889E-3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F3-4C15-A5E8-48B7FE622EA5}"/>
                </c:ext>
              </c:extLst>
            </c:dLbl>
            <c:dLbl>
              <c:idx val="6"/>
              <c:layout>
                <c:manualLayout>
                  <c:x val="-1.0002725626886848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F3-4C15-A5E8-48B7FE622EA5}"/>
                </c:ext>
              </c:extLst>
            </c:dLbl>
            <c:dLbl>
              <c:idx val="7"/>
              <c:layout>
                <c:manualLayout>
                  <c:x val="-1.0002725626886848E-16"/>
                  <c:y val="-7.692307692307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F3-4C15-A5E8-48B7FE622EA5}"/>
                </c:ext>
              </c:extLst>
            </c:dLbl>
            <c:dLbl>
              <c:idx val="8"/>
              <c:layout>
                <c:manualLayout>
                  <c:x val="1.3640237971672985E-3"/>
                  <c:y val="-0.112179487179487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F3-4C15-A5E8-48B7FE622EA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dokumenty!$F$2:$O$2</c:f>
              <c:numCache>
                <c:formatCode>#,##0</c:formatCode>
                <c:ptCount val="10"/>
                <c:pt idx="0">
                  <c:v>145252</c:v>
                </c:pt>
                <c:pt idx="1">
                  <c:v>179154</c:v>
                </c:pt>
                <c:pt idx="2">
                  <c:v>214719</c:v>
                </c:pt>
                <c:pt idx="3">
                  <c:v>246823</c:v>
                </c:pt>
                <c:pt idx="4">
                  <c:v>307735</c:v>
                </c:pt>
                <c:pt idx="5">
                  <c:v>1373461</c:v>
                </c:pt>
                <c:pt idx="6">
                  <c:v>1485050</c:v>
                </c:pt>
                <c:pt idx="7">
                  <c:v>1537859</c:v>
                </c:pt>
                <c:pt idx="8">
                  <c:v>1560849</c:v>
                </c:pt>
                <c:pt idx="9">
                  <c:v>1564627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6AF3-4C15-A5E8-48B7FE622EA5}"/>
            </c:ext>
          </c:extLst>
        </c:ser>
        <c:ser>
          <c:idx val="3"/>
          <c:order val="1"/>
          <c:tx>
            <c:strRef>
              <c:f>dokumenty!$A$3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3258591020492813E-3"/>
                  <c:y val="-6.6567993944747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AF3-4C15-A5E8-48B7FE622EA5}"/>
                </c:ext>
              </c:extLst>
            </c:dLbl>
            <c:dLbl>
              <c:idx val="1"/>
              <c:layout>
                <c:manualLayout>
                  <c:x val="2.6516139124992512E-3"/>
                  <c:y val="-6.333856116097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F3-4C15-A5E8-48B7FE622EA5}"/>
                </c:ext>
              </c:extLst>
            </c:dLbl>
            <c:dLbl>
              <c:idx val="2"/>
              <c:layout>
                <c:manualLayout>
                  <c:x val="2.6516139124992512E-3"/>
                  <c:y val="-6.319313393820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F3-4C15-A5E8-48B7FE622EA5}"/>
                </c:ext>
              </c:extLst>
            </c:dLbl>
            <c:dLbl>
              <c:idx val="3"/>
              <c:layout>
                <c:manualLayout>
                  <c:x val="2.6516139124993484E-3"/>
                  <c:y val="-6.6422303266869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AF3-4C15-A5E8-48B7FE622EA5}"/>
                </c:ext>
              </c:extLst>
            </c:dLbl>
            <c:dLbl>
              <c:idx val="4"/>
              <c:layout>
                <c:manualLayout>
                  <c:x val="1.325820351342393E-3"/>
                  <c:y val="-5.9701492537313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F3-4C15-A5E8-48B7FE622EA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dokumenty!$F$3:$O$3</c:f>
              <c:numCache>
                <c:formatCode>#,##0</c:formatCode>
                <c:ptCount val="10"/>
                <c:pt idx="0">
                  <c:v>179965</c:v>
                </c:pt>
                <c:pt idx="1">
                  <c:v>193085</c:v>
                </c:pt>
                <c:pt idx="2">
                  <c:v>208119</c:v>
                </c:pt>
                <c:pt idx="3">
                  <c:v>213637</c:v>
                </c:pt>
                <c:pt idx="4">
                  <c:v>238259</c:v>
                </c:pt>
                <c:pt idx="5">
                  <c:v>297747</c:v>
                </c:pt>
                <c:pt idx="6">
                  <c:v>391828</c:v>
                </c:pt>
                <c:pt idx="7">
                  <c:v>437132</c:v>
                </c:pt>
                <c:pt idx="8">
                  <c:v>456021</c:v>
                </c:pt>
                <c:pt idx="9">
                  <c:v>445477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6AF3-4C15-A5E8-48B7FE622E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373278304"/>
        <c:axId val="373278696"/>
        <c:axId val="0"/>
      </c:bar3DChart>
      <c:catAx>
        <c:axId val="373278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373278696"/>
        <c:crosses val="autoZero"/>
        <c:auto val="1"/>
        <c:lblAlgn val="ctr"/>
        <c:lblOffset val="200"/>
        <c:noMultiLvlLbl val="0"/>
      </c:catAx>
      <c:valAx>
        <c:axId val="37327869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732783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229738379476759"/>
          <c:y val="0.96136037943913333"/>
          <c:w val="0.19540523241046481"/>
          <c:h val="3.8639620560866644E-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</a:t>
            </a:r>
            <a:r>
              <a:rPr lang="pl-PL" sz="900"/>
              <a:t>Ukrainy</a:t>
            </a:r>
            <a:r>
              <a:rPr lang="en-US" sz="900"/>
              <a:t>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stan na dzień 01.05.2026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'dok. cz.2'!$B$4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'dok. cz.2'!$A$5:$A$10</c:f>
              <c:strCache>
                <c:ptCount val="6"/>
                <c:pt idx="0">
                  <c:v>ochrona czasowa</c:v>
                </c:pt>
                <c:pt idx="1">
                  <c:v>pobyt czasowy</c:v>
                </c:pt>
                <c:pt idx="2">
                  <c:v>pobyt stały</c:v>
                </c:pt>
                <c:pt idx="3">
                  <c:v>rezydent długoterminowy UE</c:v>
                </c:pt>
                <c:pt idx="4">
                  <c:v>ochrona uzupełniająca</c:v>
                </c:pt>
                <c:pt idx="5">
                  <c:v>pozostałe</c:v>
                </c:pt>
              </c:strCache>
            </c:strRef>
          </c:cat>
          <c:val>
            <c:numRef>
              <c:f>'dok. cz.2'!$B$5:$B$10</c:f>
              <c:numCache>
                <c:formatCode>#,##0</c:formatCode>
                <c:ptCount val="6"/>
                <c:pt idx="0">
                  <c:v>968997</c:v>
                </c:pt>
                <c:pt idx="1">
                  <c:v>478413</c:v>
                </c:pt>
                <c:pt idx="2">
                  <c:v>58495</c:v>
                </c:pt>
                <c:pt idx="3">
                  <c:v>50991</c:v>
                </c:pt>
                <c:pt idx="4">
                  <c:v>6481</c:v>
                </c:pt>
                <c:pt idx="5">
                  <c:v>1250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61-4A43-BFCA-A19C994EB58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73281048"/>
        <c:axId val="373280264"/>
      </c:barChart>
      <c:catAx>
        <c:axId val="373281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73280264"/>
        <c:crosses val="autoZero"/>
        <c:auto val="1"/>
        <c:lblAlgn val="ctr"/>
        <c:lblOffset val="100"/>
        <c:noMultiLvlLbl val="0"/>
      </c:catAx>
      <c:valAx>
        <c:axId val="373280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73281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200"/>
              <a:t>Liczba </a:t>
            </a:r>
            <a:r>
              <a:rPr lang="pl-PL" sz="1200" b="1" i="0" u="none" strike="noStrike" baseline="0">
                <a:effectLst/>
              </a:rPr>
              <a:t>wydanych wiz przez polskie placówki na Ukrainie dla obywateli Ukrainy </a:t>
            </a:r>
            <a:endParaRPr lang="en-CA" sz="1200"/>
          </a:p>
        </c:rich>
      </c:tx>
      <c:layout>
        <c:manualLayout>
          <c:xMode val="edge"/>
          <c:yMode val="edge"/>
          <c:x val="0.11707134580721276"/>
          <c:y val="3.7741822273892882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wizy!$B$3</c:f>
              <c:strCache>
                <c:ptCount val="1"/>
                <c:pt idx="0">
                  <c:v>Krajowe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6"/>
              <c:layout>
                <c:manualLayout>
                  <c:x val="4.43583202237614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A3-495B-9C9F-8481D992097B}"/>
                </c:ext>
              </c:extLst>
            </c:dLbl>
            <c:dLbl>
              <c:idx val="7"/>
              <c:layout>
                <c:manualLayout>
                  <c:x val="1.52301834544825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A3-495B-9C9F-8481D992097B}"/>
                </c:ext>
              </c:extLst>
            </c:dLbl>
            <c:dLbl>
              <c:idx val="8"/>
              <c:layout>
                <c:manualLayout>
                  <c:x val="1.9274012206874396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A3-495B-9C9F-8481D992097B}"/>
                </c:ext>
              </c:extLst>
            </c:dLbl>
            <c:dLbl>
              <c:idx val="9"/>
              <c:layout>
                <c:manualLayout>
                  <c:x val="2.8553693358162633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A3-495B-9C9F-8481D99209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wizy!$G$3:$P$3</c:f>
              <c:numCache>
                <c:formatCode>#,##0</c:formatCode>
                <c:ptCount val="10"/>
                <c:pt idx="0">
                  <c:v>909708</c:v>
                </c:pt>
                <c:pt idx="1">
                  <c:v>823144</c:v>
                </c:pt>
                <c:pt idx="2">
                  <c:v>894441</c:v>
                </c:pt>
                <c:pt idx="3">
                  <c:v>638497</c:v>
                </c:pt>
                <c:pt idx="4">
                  <c:v>756960</c:v>
                </c:pt>
                <c:pt idx="5">
                  <c:v>161070</c:v>
                </c:pt>
                <c:pt idx="6">
                  <c:v>123534</c:v>
                </c:pt>
                <c:pt idx="7">
                  <c:v>107625</c:v>
                </c:pt>
                <c:pt idx="8">
                  <c:v>104504</c:v>
                </c:pt>
                <c:pt idx="9">
                  <c:v>40236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ACA3-495B-9C9F-8481D992097B}"/>
            </c:ext>
          </c:extLst>
        </c:ser>
        <c:ser>
          <c:idx val="1"/>
          <c:order val="1"/>
          <c:tx>
            <c:strRef>
              <c:f>wizy!$B$4</c:f>
              <c:strCache>
                <c:ptCount val="1"/>
                <c:pt idx="0">
                  <c:v>Schengen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5"/>
              <c:layout>
                <c:manualLayout>
                  <c:x val="1.48312940304041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A3-495B-9C9F-8481D992097B}"/>
                </c:ext>
              </c:extLst>
            </c:dLbl>
            <c:dLbl>
              <c:idx val="6"/>
              <c:layout>
                <c:manualLayout>
                  <c:x val="2.5136381460131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A3-495B-9C9F-8481D992097B}"/>
                </c:ext>
              </c:extLst>
            </c:dLbl>
            <c:dLbl>
              <c:idx val="7"/>
              <c:layout>
                <c:manualLayout>
                  <c:x val="4.2921426098996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A3-495B-9C9F-8481D992097B}"/>
                </c:ext>
              </c:extLst>
            </c:dLbl>
            <c:dLbl>
              <c:idx val="8"/>
              <c:layout>
                <c:manualLayout>
                  <c:x val="4.8827497590748448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CA3-495B-9C9F-8481D992097B}"/>
                </c:ext>
              </c:extLst>
            </c:dLbl>
            <c:dLbl>
              <c:idx val="9"/>
              <c:layout>
                <c:manualLayout>
                  <c:x val="6.8280571073867161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CA3-495B-9C9F-8481D99209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38100" tIns="19050" rIns="38100" bIns="19050" anchor="ctr" anchorCtr="0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wizy!$G$4:$P$4</c:f>
              <c:numCache>
                <c:formatCode>#,##0</c:formatCode>
                <c:ptCount val="10"/>
                <c:pt idx="0">
                  <c:v>259949</c:v>
                </c:pt>
                <c:pt idx="1">
                  <c:v>23152</c:v>
                </c:pt>
                <c:pt idx="2">
                  <c:v>1964</c:v>
                </c:pt>
                <c:pt idx="3">
                  <c:v>193</c:v>
                </c:pt>
                <c:pt idx="4">
                  <c:v>74</c:v>
                </c:pt>
                <c:pt idx="5">
                  <c:v>1523</c:v>
                </c:pt>
                <c:pt idx="6">
                  <c:v>640</c:v>
                </c:pt>
                <c:pt idx="7">
                  <c:v>150</c:v>
                </c:pt>
                <c:pt idx="8">
                  <c:v>42</c:v>
                </c:pt>
                <c:pt idx="9">
                  <c:v>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ACA3-495B-9C9F-8481D99209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32"/>
        <c:shape val="box"/>
        <c:axId val="373282616"/>
        <c:axId val="631077104"/>
        <c:axId val="0"/>
      </c:bar3DChart>
      <c:catAx>
        <c:axId val="37328261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631077104"/>
        <c:crosses val="autoZero"/>
        <c:auto val="1"/>
        <c:lblAlgn val="ctr"/>
        <c:lblOffset val="200"/>
        <c:noMultiLvlLbl val="0"/>
      </c:catAx>
      <c:valAx>
        <c:axId val="631077104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3732826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753253158791393"/>
          <c:y val="0.92989244226020706"/>
          <c:w val="0.21524483936152275"/>
          <c:h val="4.277270580357409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</a:t>
            </a:r>
            <a:r>
              <a:rPr lang="pl-PL" sz="1000" baseline="0"/>
              <a:t> obywateli Ukrainy ubiegających się o udzielenie ochrony międzynarodowej </a:t>
            </a:r>
          </a:p>
          <a:p>
            <a:pPr>
              <a:defRPr sz="1000"/>
            </a:pPr>
            <a:r>
              <a:rPr lang="pl-PL" sz="1000" baseline="0"/>
              <a:t>w latach 2017-2026</a:t>
            </a:r>
            <a:endParaRPr lang="pl-P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0186260206212488E-2"/>
          <c:y val="0.2053166897827092"/>
          <c:w val="0.93861010242152654"/>
          <c:h val="0.6273996090294538"/>
        </c:manualLayout>
      </c:layout>
      <c:areaChart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elete val="1"/>
          </c:dLbls>
          <c:cat>
            <c:multiLvlStrRef>
              <c:f>liniowy!$A$63:$B$174</c:f>
              <c:multiLvlStrCache>
                <c:ptCount val="112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IV.</c:v>
                  </c:pt>
                  <c:pt idx="4">
                    <c:v>V.</c:v>
                  </c:pt>
                  <c:pt idx="5">
                    <c:v>VI.</c:v>
                  </c:pt>
                  <c:pt idx="6">
                    <c:v>VII.</c:v>
                  </c:pt>
                  <c:pt idx="7">
                    <c:v>VIII.</c:v>
                  </c:pt>
                  <c:pt idx="8">
                    <c:v> IX.</c:v>
                  </c:pt>
                  <c:pt idx="9">
                    <c:v>X.</c:v>
                  </c:pt>
                  <c:pt idx="10">
                    <c:v>XI.</c:v>
                  </c:pt>
                  <c:pt idx="11">
                    <c:v>XII.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IV.</c:v>
                  </c:pt>
                  <c:pt idx="16">
                    <c:v>V.</c:v>
                  </c:pt>
                  <c:pt idx="17">
                    <c:v>VI.</c:v>
                  </c:pt>
                  <c:pt idx="18">
                    <c:v>VII.</c:v>
                  </c:pt>
                  <c:pt idx="19">
                    <c:v>VIII.</c:v>
                  </c:pt>
                  <c:pt idx="20">
                    <c:v> IX.</c:v>
                  </c:pt>
                  <c:pt idx="21">
                    <c:v>X.</c:v>
                  </c:pt>
                  <c:pt idx="22">
                    <c:v>XI.</c:v>
                  </c:pt>
                  <c:pt idx="23">
                    <c:v>XII.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IV.</c:v>
                  </c:pt>
                  <c:pt idx="28">
                    <c:v>V.</c:v>
                  </c:pt>
                  <c:pt idx="29">
                    <c:v>VI.</c:v>
                  </c:pt>
                  <c:pt idx="30">
                    <c:v>VII.</c:v>
                  </c:pt>
                  <c:pt idx="31">
                    <c:v>VIII.</c:v>
                  </c:pt>
                  <c:pt idx="32">
                    <c:v> IX.</c:v>
                  </c:pt>
                  <c:pt idx="33">
                    <c:v>X.</c:v>
                  </c:pt>
                  <c:pt idx="34">
                    <c:v>XI.</c:v>
                  </c:pt>
                  <c:pt idx="35">
                    <c:v>XII.</c:v>
                  </c:pt>
                  <c:pt idx="36">
                    <c:v>I.</c:v>
                  </c:pt>
                  <c:pt idx="37">
                    <c:v>II.</c:v>
                  </c:pt>
                  <c:pt idx="38">
                    <c:v>III.</c:v>
                  </c:pt>
                  <c:pt idx="39">
                    <c:v>IV.</c:v>
                  </c:pt>
                  <c:pt idx="40">
                    <c:v>V.</c:v>
                  </c:pt>
                  <c:pt idx="41">
                    <c:v>VI.</c:v>
                  </c:pt>
                  <c:pt idx="42">
                    <c:v>VII.</c:v>
                  </c:pt>
                  <c:pt idx="43">
                    <c:v>VIII.</c:v>
                  </c:pt>
                  <c:pt idx="44">
                    <c:v> IX.</c:v>
                  </c:pt>
                  <c:pt idx="45">
                    <c:v>X.</c:v>
                  </c:pt>
                  <c:pt idx="46">
                    <c:v>XI.</c:v>
                  </c:pt>
                  <c:pt idx="47">
                    <c:v>XII.</c:v>
                  </c:pt>
                  <c:pt idx="48">
                    <c:v>I.</c:v>
                  </c:pt>
                  <c:pt idx="49">
                    <c:v>II.</c:v>
                  </c:pt>
                  <c:pt idx="50">
                    <c:v>III.</c:v>
                  </c:pt>
                  <c:pt idx="51">
                    <c:v>IV.</c:v>
                  </c:pt>
                  <c:pt idx="52">
                    <c:v>V.</c:v>
                  </c:pt>
                  <c:pt idx="53">
                    <c:v>VI.</c:v>
                  </c:pt>
                  <c:pt idx="54">
                    <c:v>VII.</c:v>
                  </c:pt>
                  <c:pt idx="55">
                    <c:v>VIII.</c:v>
                  </c:pt>
                  <c:pt idx="56">
                    <c:v> IX.</c:v>
                  </c:pt>
                  <c:pt idx="57">
                    <c:v>X.</c:v>
                  </c:pt>
                  <c:pt idx="58">
                    <c:v>XI.</c:v>
                  </c:pt>
                  <c:pt idx="59">
                    <c:v>XII.</c:v>
                  </c:pt>
                  <c:pt idx="60">
                    <c:v>I.</c:v>
                  </c:pt>
                  <c:pt idx="61">
                    <c:v>II.</c:v>
                  </c:pt>
                  <c:pt idx="62">
                    <c:v>III.</c:v>
                  </c:pt>
                  <c:pt idx="63">
                    <c:v>IV.</c:v>
                  </c:pt>
                  <c:pt idx="64">
                    <c:v>V.</c:v>
                  </c:pt>
                  <c:pt idx="65">
                    <c:v>VI.</c:v>
                  </c:pt>
                  <c:pt idx="66">
                    <c:v>VII.</c:v>
                  </c:pt>
                  <c:pt idx="67">
                    <c:v>VIII.</c:v>
                  </c:pt>
                  <c:pt idx="68">
                    <c:v> IX.</c:v>
                  </c:pt>
                  <c:pt idx="69">
                    <c:v>X.</c:v>
                  </c:pt>
                  <c:pt idx="70">
                    <c:v>XI.</c:v>
                  </c:pt>
                  <c:pt idx="71">
                    <c:v>XII.</c:v>
                  </c:pt>
                  <c:pt idx="72">
                    <c:v>I.</c:v>
                  </c:pt>
                  <c:pt idx="73">
                    <c:v>II.</c:v>
                  </c:pt>
                  <c:pt idx="74">
                    <c:v>III.</c:v>
                  </c:pt>
                  <c:pt idx="75">
                    <c:v>IV.</c:v>
                  </c:pt>
                  <c:pt idx="76">
                    <c:v>V.</c:v>
                  </c:pt>
                  <c:pt idx="77">
                    <c:v>VI.</c:v>
                  </c:pt>
                  <c:pt idx="78">
                    <c:v>VII.</c:v>
                  </c:pt>
                  <c:pt idx="79">
                    <c:v>VIII.</c:v>
                  </c:pt>
                  <c:pt idx="80">
                    <c:v> IX.</c:v>
                  </c:pt>
                  <c:pt idx="81">
                    <c:v>X.</c:v>
                  </c:pt>
                  <c:pt idx="82">
                    <c:v>XI.</c:v>
                  </c:pt>
                  <c:pt idx="83">
                    <c:v>XII.</c:v>
                  </c:pt>
                  <c:pt idx="84">
                    <c:v>I.</c:v>
                  </c:pt>
                  <c:pt idx="85">
                    <c:v>II.</c:v>
                  </c:pt>
                  <c:pt idx="86">
                    <c:v>III.</c:v>
                  </c:pt>
                  <c:pt idx="87">
                    <c:v>IV.</c:v>
                  </c:pt>
                  <c:pt idx="88">
                    <c:v>V.</c:v>
                  </c:pt>
                  <c:pt idx="89">
                    <c:v>VI.</c:v>
                  </c:pt>
                  <c:pt idx="90">
                    <c:v>VII.</c:v>
                  </c:pt>
                  <c:pt idx="91">
                    <c:v>VIII.</c:v>
                  </c:pt>
                  <c:pt idx="92">
                    <c:v>IX.</c:v>
                  </c:pt>
                  <c:pt idx="93">
                    <c:v>X.</c:v>
                  </c:pt>
                  <c:pt idx="94">
                    <c:v>XI.</c:v>
                  </c:pt>
                  <c:pt idx="95">
                    <c:v>XII.</c:v>
                  </c:pt>
                  <c:pt idx="96">
                    <c:v>I.</c:v>
                  </c:pt>
                  <c:pt idx="97">
                    <c:v>II.</c:v>
                  </c:pt>
                  <c:pt idx="98">
                    <c:v>III.</c:v>
                  </c:pt>
                  <c:pt idx="99">
                    <c:v>IV.</c:v>
                  </c:pt>
                  <c:pt idx="100">
                    <c:v>V.</c:v>
                  </c:pt>
                  <c:pt idx="101">
                    <c:v>VI.</c:v>
                  </c:pt>
                  <c:pt idx="102">
                    <c:v>VII.</c:v>
                  </c:pt>
                  <c:pt idx="103">
                    <c:v>VIII.</c:v>
                  </c:pt>
                  <c:pt idx="104">
                    <c:v>IX.</c:v>
                  </c:pt>
                  <c:pt idx="105">
                    <c:v>X.</c:v>
                  </c:pt>
                  <c:pt idx="106">
                    <c:v>XI.</c:v>
                  </c:pt>
                  <c:pt idx="107">
                    <c:v>XII.</c:v>
                  </c:pt>
                  <c:pt idx="108">
                    <c:v>I.</c:v>
                  </c:pt>
                  <c:pt idx="109">
                    <c:v>II.</c:v>
                  </c:pt>
                  <c:pt idx="110">
                    <c:v>III.</c:v>
                  </c:pt>
                  <c:pt idx="111">
                    <c:v>IV.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  <c:pt idx="84">
                    <c:v>2024</c:v>
                  </c:pt>
                  <c:pt idx="96">
                    <c:v>2025</c:v>
                  </c:pt>
                  <c:pt idx="108">
                    <c:v>2026</c:v>
                  </c:pt>
                </c:lvl>
              </c:multiLvlStrCache>
            </c:multiLvlStrRef>
          </c:cat>
          <c:val>
            <c:numRef>
              <c:f>liniowy!$C$63:$C$174</c:f>
              <c:numCache>
                <c:formatCode>General</c:formatCode>
                <c:ptCount val="112"/>
                <c:pt idx="0">
                  <c:v>74</c:v>
                </c:pt>
                <c:pt idx="1">
                  <c:v>87</c:v>
                </c:pt>
                <c:pt idx="2">
                  <c:v>80</c:v>
                </c:pt>
                <c:pt idx="3">
                  <c:v>63</c:v>
                </c:pt>
                <c:pt idx="4">
                  <c:v>75</c:v>
                </c:pt>
                <c:pt idx="5">
                  <c:v>22</c:v>
                </c:pt>
                <c:pt idx="6">
                  <c:v>66</c:v>
                </c:pt>
                <c:pt idx="7">
                  <c:v>70</c:v>
                </c:pt>
                <c:pt idx="8">
                  <c:v>37</c:v>
                </c:pt>
                <c:pt idx="9">
                  <c:v>39</c:v>
                </c:pt>
                <c:pt idx="10">
                  <c:v>38</c:v>
                </c:pt>
                <c:pt idx="11">
                  <c:v>20</c:v>
                </c:pt>
                <c:pt idx="12">
                  <c:v>47</c:v>
                </c:pt>
                <c:pt idx="13">
                  <c:v>29</c:v>
                </c:pt>
                <c:pt idx="14">
                  <c:v>28</c:v>
                </c:pt>
                <c:pt idx="15">
                  <c:v>52</c:v>
                </c:pt>
                <c:pt idx="16">
                  <c:v>31</c:v>
                </c:pt>
                <c:pt idx="17">
                  <c:v>29</c:v>
                </c:pt>
                <c:pt idx="18">
                  <c:v>43</c:v>
                </c:pt>
                <c:pt idx="19">
                  <c:v>33</c:v>
                </c:pt>
                <c:pt idx="20">
                  <c:v>38</c:v>
                </c:pt>
                <c:pt idx="21">
                  <c:v>48</c:v>
                </c:pt>
                <c:pt idx="22">
                  <c:v>43</c:v>
                </c:pt>
                <c:pt idx="23">
                  <c:v>45</c:v>
                </c:pt>
                <c:pt idx="24">
                  <c:v>61</c:v>
                </c:pt>
                <c:pt idx="25">
                  <c:v>30</c:v>
                </c:pt>
                <c:pt idx="26">
                  <c:v>39</c:v>
                </c:pt>
                <c:pt idx="27">
                  <c:v>28</c:v>
                </c:pt>
                <c:pt idx="28">
                  <c:v>33</c:v>
                </c:pt>
                <c:pt idx="29">
                  <c:v>29</c:v>
                </c:pt>
                <c:pt idx="30">
                  <c:v>45</c:v>
                </c:pt>
                <c:pt idx="31">
                  <c:v>47</c:v>
                </c:pt>
                <c:pt idx="32">
                  <c:v>36</c:v>
                </c:pt>
                <c:pt idx="33">
                  <c:v>38</c:v>
                </c:pt>
                <c:pt idx="34">
                  <c:v>21</c:v>
                </c:pt>
                <c:pt idx="35">
                  <c:v>27</c:v>
                </c:pt>
                <c:pt idx="36">
                  <c:v>27</c:v>
                </c:pt>
                <c:pt idx="37">
                  <c:v>30</c:v>
                </c:pt>
                <c:pt idx="38">
                  <c:v>11</c:v>
                </c:pt>
                <c:pt idx="39">
                  <c:v>7</c:v>
                </c:pt>
                <c:pt idx="40">
                  <c:v>33</c:v>
                </c:pt>
                <c:pt idx="41">
                  <c:v>39</c:v>
                </c:pt>
                <c:pt idx="42">
                  <c:v>35</c:v>
                </c:pt>
                <c:pt idx="43">
                  <c:v>28</c:v>
                </c:pt>
                <c:pt idx="44">
                  <c:v>22</c:v>
                </c:pt>
                <c:pt idx="45">
                  <c:v>35</c:v>
                </c:pt>
                <c:pt idx="46">
                  <c:v>26</c:v>
                </c:pt>
                <c:pt idx="47">
                  <c:v>25</c:v>
                </c:pt>
                <c:pt idx="48">
                  <c:v>13</c:v>
                </c:pt>
                <c:pt idx="49">
                  <c:v>25</c:v>
                </c:pt>
                <c:pt idx="50">
                  <c:v>17</c:v>
                </c:pt>
                <c:pt idx="51">
                  <c:v>18</c:v>
                </c:pt>
                <c:pt idx="52">
                  <c:v>19</c:v>
                </c:pt>
                <c:pt idx="53">
                  <c:v>21</c:v>
                </c:pt>
                <c:pt idx="54">
                  <c:v>41</c:v>
                </c:pt>
                <c:pt idx="55">
                  <c:v>21</c:v>
                </c:pt>
                <c:pt idx="56">
                  <c:v>19</c:v>
                </c:pt>
                <c:pt idx="57">
                  <c:v>16</c:v>
                </c:pt>
                <c:pt idx="58">
                  <c:v>39</c:v>
                </c:pt>
                <c:pt idx="59">
                  <c:v>12</c:v>
                </c:pt>
                <c:pt idx="60">
                  <c:v>28</c:v>
                </c:pt>
                <c:pt idx="61">
                  <c:v>162</c:v>
                </c:pt>
                <c:pt idx="62">
                  <c:v>741</c:v>
                </c:pt>
                <c:pt idx="63">
                  <c:v>143</c:v>
                </c:pt>
                <c:pt idx="64">
                  <c:v>99</c:v>
                </c:pt>
                <c:pt idx="65">
                  <c:v>72</c:v>
                </c:pt>
                <c:pt idx="66">
                  <c:v>88</c:v>
                </c:pt>
                <c:pt idx="67">
                  <c:v>87</c:v>
                </c:pt>
                <c:pt idx="68">
                  <c:v>69</c:v>
                </c:pt>
                <c:pt idx="69">
                  <c:v>88</c:v>
                </c:pt>
                <c:pt idx="70">
                  <c:v>116</c:v>
                </c:pt>
                <c:pt idx="71">
                  <c:v>85</c:v>
                </c:pt>
                <c:pt idx="72">
                  <c:v>124</c:v>
                </c:pt>
                <c:pt idx="73">
                  <c:v>128</c:v>
                </c:pt>
                <c:pt idx="74">
                  <c:v>142</c:v>
                </c:pt>
                <c:pt idx="75">
                  <c:v>95</c:v>
                </c:pt>
                <c:pt idx="76">
                  <c:v>102</c:v>
                </c:pt>
                <c:pt idx="77">
                  <c:v>145</c:v>
                </c:pt>
                <c:pt idx="78">
                  <c:v>135</c:v>
                </c:pt>
                <c:pt idx="79">
                  <c:v>121</c:v>
                </c:pt>
                <c:pt idx="80">
                  <c:v>152</c:v>
                </c:pt>
                <c:pt idx="81">
                  <c:v>208</c:v>
                </c:pt>
                <c:pt idx="82">
                  <c:v>248</c:v>
                </c:pt>
                <c:pt idx="83">
                  <c:v>170</c:v>
                </c:pt>
                <c:pt idx="84">
                  <c:v>310</c:v>
                </c:pt>
                <c:pt idx="85">
                  <c:v>473</c:v>
                </c:pt>
                <c:pt idx="86">
                  <c:v>418</c:v>
                </c:pt>
                <c:pt idx="87">
                  <c:v>378</c:v>
                </c:pt>
                <c:pt idx="88">
                  <c:v>518</c:v>
                </c:pt>
                <c:pt idx="89">
                  <c:v>580</c:v>
                </c:pt>
                <c:pt idx="90">
                  <c:v>649</c:v>
                </c:pt>
                <c:pt idx="91">
                  <c:v>581</c:v>
                </c:pt>
                <c:pt idx="92">
                  <c:v>617</c:v>
                </c:pt>
                <c:pt idx="93">
                  <c:v>782</c:v>
                </c:pt>
                <c:pt idx="94">
                  <c:v>895</c:v>
                </c:pt>
                <c:pt idx="95">
                  <c:v>809</c:v>
                </c:pt>
                <c:pt idx="96" formatCode="#,##0">
                  <c:v>1084</c:v>
                </c:pt>
                <c:pt idx="97" formatCode="#,##0">
                  <c:v>1062</c:v>
                </c:pt>
                <c:pt idx="98" formatCode="#,##0">
                  <c:v>1056</c:v>
                </c:pt>
                <c:pt idx="99" formatCode="#,##0">
                  <c:v>753</c:v>
                </c:pt>
                <c:pt idx="100" formatCode="#,##0">
                  <c:v>636</c:v>
                </c:pt>
                <c:pt idx="101" formatCode="#,##0">
                  <c:v>493</c:v>
                </c:pt>
                <c:pt idx="102" formatCode="#,##0">
                  <c:v>459</c:v>
                </c:pt>
                <c:pt idx="103" formatCode="#,##0">
                  <c:v>300</c:v>
                </c:pt>
                <c:pt idx="104" formatCode="#,##0">
                  <c:v>395</c:v>
                </c:pt>
                <c:pt idx="105" formatCode="#,##0">
                  <c:v>287</c:v>
                </c:pt>
                <c:pt idx="106" formatCode="#,##0">
                  <c:v>243</c:v>
                </c:pt>
                <c:pt idx="107" formatCode="#,##0">
                  <c:v>224</c:v>
                </c:pt>
                <c:pt idx="108" formatCode="#,##0">
                  <c:v>188</c:v>
                </c:pt>
                <c:pt idx="109" formatCode="#,##0">
                  <c:v>198</c:v>
                </c:pt>
                <c:pt idx="110" formatCode="#,##0">
                  <c:v>223</c:v>
                </c:pt>
                <c:pt idx="111" formatCode="#,##0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F-4727-9982-79572607FA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668023808"/>
        <c:axId val="668024200"/>
      </c:areaChart>
      <c:catAx>
        <c:axId val="668023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68024200"/>
        <c:crosses val="autoZero"/>
        <c:auto val="1"/>
        <c:lblAlgn val="ctr"/>
        <c:lblOffset val="100"/>
        <c:noMultiLvlLbl val="0"/>
      </c:catAx>
      <c:valAx>
        <c:axId val="668024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680238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Szefa UdSC w latach 2017-2026</a:t>
            </a:r>
          </a:p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maja 2026 r.)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57535607111904"/>
          <c:y val="3.7741698224456423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9272763449706679"/>
          <c:w val="0.94006898154954111"/>
          <c:h val="0.59256309021319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'nsuch decyzje'!$A$7</c:f>
              <c:strCache>
                <c:ptCount val="1"/>
                <c:pt idx="0">
                  <c:v>status uchodźcy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decyzje'!$F$7:$O$7</c:f>
              <c:numCache>
                <c:formatCode>#,##0</c:formatCode>
                <c:ptCount val="10"/>
                <c:pt idx="0">
                  <c:v>56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15</c:v>
                </c:pt>
                <c:pt idx="7">
                  <c:v>5</c:v>
                </c:pt>
                <c:pt idx="8">
                  <c:v>6</c:v>
                </c:pt>
                <c:pt idx="9">
                  <c:v>1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A835-4F4D-BF90-84225497B8F5}"/>
            </c:ext>
          </c:extLst>
        </c:ser>
        <c:ser>
          <c:idx val="1"/>
          <c:order val="1"/>
          <c:tx>
            <c:strRef>
              <c:f>'nsuch decyzje'!$A$8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solidFill>
              <a:srgbClr val="E7EFF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decyzje'!$F$8:$O$8</c:f>
              <c:numCache>
                <c:formatCode>#,##0</c:formatCode>
                <c:ptCount val="10"/>
                <c:pt idx="0">
                  <c:v>198</c:v>
                </c:pt>
                <c:pt idx="1">
                  <c:v>74</c:v>
                </c:pt>
                <c:pt idx="2">
                  <c:v>11</c:v>
                </c:pt>
                <c:pt idx="3">
                  <c:v>18</c:v>
                </c:pt>
                <c:pt idx="4">
                  <c:v>5</c:v>
                </c:pt>
                <c:pt idx="5">
                  <c:v>962</c:v>
                </c:pt>
                <c:pt idx="6">
                  <c:v>1126</c:v>
                </c:pt>
                <c:pt idx="7">
                  <c:v>3897</c:v>
                </c:pt>
                <c:pt idx="8">
                  <c:v>1520</c:v>
                </c:pt>
                <c:pt idx="9">
                  <c:v>66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835-4F4D-BF90-84225497B8F5}"/>
            </c:ext>
          </c:extLst>
        </c:ser>
        <c:ser>
          <c:idx val="2"/>
          <c:order val="2"/>
          <c:tx>
            <c:strRef>
              <c:f>'nsuch decyzje'!$A$9</c:f>
              <c:strCache>
                <c:ptCount val="1"/>
                <c:pt idx="0">
                  <c:v>pobyt tolerowany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decyzje'!$F$9:$O$9</c:f>
              <c:numCache>
                <c:formatCode>#,##0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835-4F4D-BF90-84225497B8F5}"/>
            </c:ext>
          </c:extLst>
        </c:ser>
        <c:ser>
          <c:idx val="3"/>
          <c:order val="3"/>
          <c:tx>
            <c:strRef>
              <c:f>'nsuch decyzje'!$A$10</c:f>
              <c:strCache>
                <c:ptCount val="1"/>
                <c:pt idx="0">
                  <c:v>negatywne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7"/>
              <c:layout>
                <c:manualLayout>
                  <c:x val="5.9808762658736534E-3"/>
                  <c:y val="-1.025460685954665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35-4F4D-BF90-84225497B8F5}"/>
                </c:ext>
              </c:extLst>
            </c:dLbl>
            <c:dLbl>
              <c:idx val="8"/>
              <c:layout>
                <c:manualLayout>
                  <c:x val="-1.2612340274066681E-16"/>
                  <c:y val="-8.3902298086145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35-4F4D-BF90-84225497B8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decyzje'!$F$10:$O$10</c:f>
              <c:numCache>
                <c:formatCode>#,##0</c:formatCode>
                <c:ptCount val="10"/>
                <c:pt idx="0">
                  <c:v>354</c:v>
                </c:pt>
                <c:pt idx="1">
                  <c:v>443</c:v>
                </c:pt>
                <c:pt idx="2">
                  <c:v>357</c:v>
                </c:pt>
                <c:pt idx="3">
                  <c:v>314</c:v>
                </c:pt>
                <c:pt idx="4">
                  <c:v>238</c:v>
                </c:pt>
                <c:pt idx="5">
                  <c:v>33</c:v>
                </c:pt>
                <c:pt idx="6">
                  <c:v>88</c:v>
                </c:pt>
                <c:pt idx="7">
                  <c:v>91</c:v>
                </c:pt>
                <c:pt idx="8">
                  <c:v>2846</c:v>
                </c:pt>
                <c:pt idx="9">
                  <c:v>1318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835-4F4D-BF90-84225497B8F5}"/>
            </c:ext>
          </c:extLst>
        </c:ser>
        <c:ser>
          <c:idx val="4"/>
          <c:order val="4"/>
          <c:tx>
            <c:strRef>
              <c:f>'nsuch decyzje'!$A$11</c:f>
              <c:strCache>
                <c:ptCount val="1"/>
                <c:pt idx="0">
                  <c:v>umorzenia</c:v>
                </c:pt>
              </c:strCache>
            </c:strRef>
          </c:tx>
          <c:spPr>
            <a:solidFill>
              <a:srgbClr val="3C689E"/>
            </a:solidFill>
          </c:spPr>
          <c:invertIfNegative val="0"/>
          <c:dLbls>
            <c:dLbl>
              <c:idx val="7"/>
              <c:layout>
                <c:manualLayout>
                  <c:x val="1.19617525317473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835-4F4D-BF90-84225497B8F5}"/>
                </c:ext>
              </c:extLst>
            </c:dLbl>
            <c:dLbl>
              <c:idx val="8"/>
              <c:layout>
                <c:manualLayout>
                  <c:x val="5.1596533525489659E-3"/>
                  <c:y val="-1.3983716347691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835-4F4D-BF90-84225497B8F5}"/>
                </c:ext>
              </c:extLst>
            </c:dLbl>
            <c:dLbl>
              <c:idx val="9"/>
              <c:layout>
                <c:manualLayout>
                  <c:x val="9.5197629404124053E-3"/>
                  <c:y val="-5.4045473946889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835-4F4D-BF90-84225497B8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decyzje'!$F$11:$O$11</c:f>
              <c:numCache>
                <c:formatCode>#,##0</c:formatCode>
                <c:ptCount val="10"/>
                <c:pt idx="0">
                  <c:v>248</c:v>
                </c:pt>
                <c:pt idx="1">
                  <c:v>89</c:v>
                </c:pt>
                <c:pt idx="2">
                  <c:v>86</c:v>
                </c:pt>
                <c:pt idx="3">
                  <c:v>38</c:v>
                </c:pt>
                <c:pt idx="4">
                  <c:v>37</c:v>
                </c:pt>
                <c:pt idx="5">
                  <c:v>557</c:v>
                </c:pt>
                <c:pt idx="6">
                  <c:v>155</c:v>
                </c:pt>
                <c:pt idx="7">
                  <c:v>174</c:v>
                </c:pt>
                <c:pt idx="8">
                  <c:v>987</c:v>
                </c:pt>
                <c:pt idx="9">
                  <c:v>229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A835-4F4D-BF90-84225497B8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02112"/>
        <c:axId val="506103680"/>
        <c:axId val="0"/>
        <c:extLst/>
      </c:bar3DChart>
      <c:catAx>
        <c:axId val="50610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506103680"/>
        <c:crosses val="autoZero"/>
        <c:auto val="1"/>
        <c:lblAlgn val="ctr"/>
        <c:lblOffset val="200"/>
        <c:noMultiLvlLbl val="0"/>
      </c:catAx>
      <c:valAx>
        <c:axId val="50610368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506102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783083742816762E-2"/>
          <c:y val="0.91480056134782128"/>
          <c:w val="0.93643446183870749"/>
          <c:h val="5.134251144655888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Rady ds. Uchodźców w latach 2017-2026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maja 2026 r.) </a:t>
            </a:r>
            <a:endParaRPr lang="en-CA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771986961828821"/>
          <c:y val="3.1047699411840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6358576196296535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'nsuch decyzje'!$F$14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decyzje'!$F$15:$F$16</c:f>
              <c:numCache>
                <c:formatCode>General</c:formatCode>
                <c:ptCount val="2"/>
                <c:pt idx="0">
                  <c:v>0</c:v>
                </c:pt>
                <c:pt idx="1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63E-45DC-836A-00A94B58E627}"/>
            </c:ext>
          </c:extLst>
        </c:ser>
        <c:ser>
          <c:idx val="5"/>
          <c:order val="5"/>
          <c:tx>
            <c:strRef>
              <c:f>'nsuch decyzje'!$G$14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decyzje'!$G$15:$G$16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763E-45DC-836A-00A94B58E627}"/>
            </c:ext>
          </c:extLst>
        </c:ser>
        <c:ser>
          <c:idx val="6"/>
          <c:order val="6"/>
          <c:tx>
            <c:strRef>
              <c:f>'nsuch decyzje'!$H$14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decyzje'!$H$15:$H$16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763E-45DC-836A-00A94B58E627}"/>
            </c:ext>
          </c:extLst>
        </c:ser>
        <c:ser>
          <c:idx val="7"/>
          <c:order val="7"/>
          <c:tx>
            <c:strRef>
              <c:f>'nsuch decyzje'!$I$14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decyzje'!$I$15:$I$16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763E-45DC-836A-00A94B58E627}"/>
            </c:ext>
          </c:extLst>
        </c:ser>
        <c:ser>
          <c:idx val="8"/>
          <c:order val="8"/>
          <c:tx>
            <c:strRef>
              <c:f>'nsuch decyzje'!$J$14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decyzje'!$J$15:$J$16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763E-45DC-836A-00A94B58E627}"/>
            </c:ext>
          </c:extLst>
        </c:ser>
        <c:ser>
          <c:idx val="9"/>
          <c:order val="9"/>
          <c:tx>
            <c:strRef>
              <c:f>'nsuch decyzje'!$K$14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decyzje'!$K$15:$K$16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763E-45DC-836A-00A94B58E627}"/>
            </c:ext>
          </c:extLst>
        </c:ser>
        <c:ser>
          <c:idx val="10"/>
          <c:order val="10"/>
          <c:tx>
            <c:strRef>
              <c:f>'nsuch decyzje'!$L$14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51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decyzje'!$L$15:$L$16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763E-45DC-836A-00A94B58E627}"/>
            </c:ext>
          </c:extLst>
        </c:ser>
        <c:ser>
          <c:idx val="11"/>
          <c:order val="11"/>
          <c:tx>
            <c:strRef>
              <c:f>'nsuch decyzje'!$M$14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decyzje'!$M$15:$M$16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763E-45DC-836A-00A94B58E627}"/>
            </c:ext>
          </c:extLst>
        </c:ser>
        <c:ser>
          <c:idx val="12"/>
          <c:order val="12"/>
          <c:tx>
            <c:strRef>
              <c:f>'nsuch decyzje'!$N$14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decyzje'!$N$15:$N$16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763E-45DC-836A-00A94B58E627}"/>
            </c:ext>
          </c:extLst>
        </c:ser>
        <c:ser>
          <c:idx val="13"/>
          <c:order val="13"/>
          <c:tx>
            <c:strRef>
              <c:f>'nsuch decyzje'!$O$14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>
                <a:shade val="39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decyzje'!$O$15:$O$16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763E-45DC-836A-00A94B58E6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12696"/>
        <c:axId val="50610838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'nsuch decyzje'!$B$14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'nsuch decyzje'!$B$15:$B$16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763E-45DC-836A-00A94B58E627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decyzje'!$C$14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decyzje'!$C$15:$C$16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763E-45DC-836A-00A94B58E62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decyzje'!$D$15:$D$16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</c:v>
                      </c:pt>
                      <c:pt idx="1">
                        <c:v>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763E-45DC-836A-00A94B58E627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decyzje'!$E$14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decyzje'!$E$15:$E$16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16</c:v>
                      </c:pt>
                      <c:pt idx="1">
                        <c:v>13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763E-45DC-836A-00A94B58E627}"/>
                  </c:ext>
                </c:extLst>
              </c15:ser>
            </c15:filteredBarSeries>
          </c:ext>
        </c:extLst>
      </c:bar3DChart>
      <c:catAx>
        <c:axId val="506112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08384"/>
        <c:crosses val="autoZero"/>
        <c:auto val="1"/>
        <c:lblAlgn val="ctr"/>
        <c:lblOffset val="200"/>
        <c:noMultiLvlLbl val="0"/>
      </c:catAx>
      <c:valAx>
        <c:axId val="50610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12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wnioski w latach 2017-2026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maja 2026 r.) </a:t>
            </a:r>
            <a:endParaRPr lang="en-CA" sz="10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4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4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24434283845654248"/>
          <c:y val="1.2767752370031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554076115907442E-2"/>
          <c:y val="0.2697961892860638"/>
          <c:w val="0.94006898154954111"/>
          <c:h val="0.4884123607529904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'legalizacja wnioski'!$B$6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wnioski'!$C$6:$E$6</c:f>
              <c:numCache>
                <c:formatCode>#,##0</c:formatCode>
                <c:ptCount val="3"/>
                <c:pt idx="0">
                  <c:v>112903</c:v>
                </c:pt>
                <c:pt idx="1">
                  <c:v>10871</c:v>
                </c:pt>
                <c:pt idx="2">
                  <c:v>1626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28-47DB-B669-5F0B188F22E9}"/>
            </c:ext>
          </c:extLst>
        </c:ser>
        <c:ser>
          <c:idx val="5"/>
          <c:order val="5"/>
          <c:tx>
            <c:strRef>
              <c:f>'legalizacja wnioski'!$B$7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28-47DB-B669-5F0B188F22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wnioski'!$C$7:$E$7</c:f>
              <c:numCache>
                <c:formatCode>#,##0</c:formatCode>
                <c:ptCount val="3"/>
                <c:pt idx="0">
                  <c:v>140268</c:v>
                </c:pt>
                <c:pt idx="1">
                  <c:v>9086</c:v>
                </c:pt>
                <c:pt idx="2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28-47DB-B669-5F0B188F22E9}"/>
            </c:ext>
          </c:extLst>
        </c:ser>
        <c:ser>
          <c:idx val="6"/>
          <c:order val="6"/>
          <c:tx>
            <c:strRef>
              <c:f>'legalizacja wnioski'!$B$8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41144858058E-3"/>
                  <c:y val="-3.1554526283533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28-47DB-B669-5F0B188F22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wnioski'!$C$8:$E$8</c:f>
              <c:numCache>
                <c:formatCode>#,##0</c:formatCode>
                <c:ptCount val="3"/>
                <c:pt idx="0">
                  <c:v>162191</c:v>
                </c:pt>
                <c:pt idx="1">
                  <c:v>8474</c:v>
                </c:pt>
                <c:pt idx="2">
                  <c:v>1929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28-47DB-B669-5F0B188F22E9}"/>
            </c:ext>
          </c:extLst>
        </c:ser>
        <c:ser>
          <c:idx val="7"/>
          <c:order val="7"/>
          <c:tx>
            <c:strRef>
              <c:f>'legalizacja wnioski'!$B$9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wnioski'!$C$9:$E$9</c:f>
              <c:numCache>
                <c:formatCode>#,##0</c:formatCode>
                <c:ptCount val="3"/>
                <c:pt idx="0">
                  <c:v>191947</c:v>
                </c:pt>
                <c:pt idx="1">
                  <c:v>7863</c:v>
                </c:pt>
                <c:pt idx="2">
                  <c:v>4338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728-47DB-B669-5F0B188F22E9}"/>
            </c:ext>
          </c:extLst>
        </c:ser>
        <c:ser>
          <c:idx val="8"/>
          <c:order val="8"/>
          <c:tx>
            <c:strRef>
              <c:f>'legalizacja wnioski'!$B$10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wnioski'!$C$10:$E$10</c:f>
              <c:numCache>
                <c:formatCode>#,##0</c:formatCode>
                <c:ptCount val="3"/>
                <c:pt idx="0">
                  <c:v>253483</c:v>
                </c:pt>
                <c:pt idx="1">
                  <c:v>8961</c:v>
                </c:pt>
                <c:pt idx="2">
                  <c:v>7848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728-47DB-B669-5F0B188F22E9}"/>
            </c:ext>
          </c:extLst>
        </c:ser>
        <c:ser>
          <c:idx val="9"/>
          <c:order val="9"/>
          <c:tx>
            <c:strRef>
              <c:f>'legalizacja wnioski'!$B$11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wnioski'!$C$11:$E$11</c:f>
              <c:numCache>
                <c:formatCode>#,##0</c:formatCode>
                <c:ptCount val="3"/>
                <c:pt idx="0">
                  <c:v>290584</c:v>
                </c:pt>
                <c:pt idx="1">
                  <c:v>13469</c:v>
                </c:pt>
                <c:pt idx="2">
                  <c:v>12646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728-47DB-B669-5F0B188F22E9}"/>
            </c:ext>
          </c:extLst>
        </c:ser>
        <c:ser>
          <c:idx val="10"/>
          <c:order val="10"/>
          <c:tx>
            <c:strRef>
              <c:f>'legalizacja wnioski'!$B$12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6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400339246228079E-3"/>
                  <c:y val="-1.6982800835607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28-47DB-B669-5F0B188F22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wnioski'!$C$12:$E$12</c:f>
              <c:numCache>
                <c:formatCode>#,##0</c:formatCode>
                <c:ptCount val="3"/>
                <c:pt idx="0">
                  <c:v>295978</c:v>
                </c:pt>
                <c:pt idx="1">
                  <c:v>13334</c:v>
                </c:pt>
                <c:pt idx="2">
                  <c:v>19754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728-47DB-B669-5F0B188F22E9}"/>
            </c:ext>
          </c:extLst>
        </c:ser>
        <c:ser>
          <c:idx val="11"/>
          <c:order val="11"/>
          <c:tx>
            <c:strRef>
              <c:f>'legalizacja wnioski'!$B$13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Roboto" panose="02000000000000000000" pitchFamily="2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wnioski'!$C$13:$E$13</c:f>
              <c:numCache>
                <c:formatCode>#,##0</c:formatCode>
                <c:ptCount val="3"/>
                <c:pt idx="0">
                  <c:v>252823</c:v>
                </c:pt>
                <c:pt idx="1">
                  <c:v>11062</c:v>
                </c:pt>
                <c:pt idx="2">
                  <c:v>22759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728-47DB-B669-5F0B188F22E9}"/>
            </c:ext>
          </c:extLst>
        </c:ser>
        <c:ser>
          <c:idx val="12"/>
          <c:order val="12"/>
          <c:tx>
            <c:strRef>
              <c:f>'legalizacja wnioski'!$B$14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wnioski'!$C$14:$E$14</c:f>
              <c:numCache>
                <c:formatCode>#,##0</c:formatCode>
                <c:ptCount val="3"/>
                <c:pt idx="0">
                  <c:v>287806</c:v>
                </c:pt>
                <c:pt idx="1">
                  <c:v>11165</c:v>
                </c:pt>
                <c:pt idx="2">
                  <c:v>28347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728-47DB-B669-5F0B188F22E9}"/>
            </c:ext>
          </c:extLst>
        </c:ser>
        <c:ser>
          <c:idx val="13"/>
          <c:order val="13"/>
          <c:tx>
            <c:strRef>
              <c:f>'legalizacja wnioski'!$B$15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wnioski'!$C$15:$E$15</c:f>
              <c:numCache>
                <c:formatCode>#,##0</c:formatCode>
                <c:ptCount val="3"/>
                <c:pt idx="0">
                  <c:v>142149</c:v>
                </c:pt>
                <c:pt idx="1">
                  <c:v>4469</c:v>
                </c:pt>
                <c:pt idx="2">
                  <c:v>8123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728-47DB-B669-5F0B188F22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09560"/>
        <c:axId val="50611387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wnioski'!$B$2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wnioski'!$C$2:$E$2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10489</c:v>
                      </c:pt>
                      <c:pt idx="1">
                        <c:v>1869</c:v>
                      </c:pt>
                      <c:pt idx="2">
                        <c:v>543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1728-47DB-B669-5F0B188F22E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wnioski'!$C$3:$E$3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23391</c:v>
                      </c:pt>
                      <c:pt idx="1">
                        <c:v>4638</c:v>
                      </c:pt>
                      <c:pt idx="2">
                        <c:v>890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1728-47DB-B669-5F0B188F22E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dLbl>
                    <c:idx val="0"/>
                    <c:layout>
                      <c:manualLayout>
                        <c:x val="0"/>
                        <c:y val="-1.05181754278443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F-1728-47DB-B669-5F0B188F22E9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wnioski'!$C$4:$E$4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58744</c:v>
                      </c:pt>
                      <c:pt idx="1">
                        <c:v>8772</c:v>
                      </c:pt>
                      <c:pt idx="2">
                        <c:v>895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1728-47DB-B669-5F0B188F22E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wnioski'!$B$5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wnioski'!$C$5:$E$5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87936</c:v>
                      </c:pt>
                      <c:pt idx="1">
                        <c:v>7602</c:v>
                      </c:pt>
                      <c:pt idx="2">
                        <c:v>940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1728-47DB-B669-5F0B188F22E9}"/>
                  </c:ext>
                </c:extLst>
              </c15:ser>
            </c15:filteredBarSeries>
          </c:ext>
        </c:extLst>
      </c:bar3DChart>
      <c:catAx>
        <c:axId val="506109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13872"/>
        <c:crosses val="autoZero"/>
        <c:auto val="1"/>
        <c:lblAlgn val="ctr"/>
        <c:lblOffset val="200"/>
        <c:noMultiLvlLbl val="0"/>
      </c:catAx>
      <c:valAx>
        <c:axId val="50611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09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46906344351148"/>
          <c:y val="0.9058843868745593"/>
          <c:w val="0.63648267071404507"/>
          <c:h val="5.8994660879536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/>
                </a:solidFill>
                <a:latin typeface="Roboto" panose="02000000000000000000" pitchFamily="2" charset="0"/>
                <a:ea typeface="Roboto" panose="02000000000000000000" pitchFamily="2" charset="0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decyzje pozytywne w latach 2017-2026</a:t>
            </a:r>
          </a:p>
          <a:p>
            <a:pPr algn="ctr">
              <a:defRPr sz="1400">
                <a:latin typeface="Roboto" panose="02000000000000000000" pitchFamily="2" charset="0"/>
                <a:ea typeface="Roboto" panose="02000000000000000000" pitchFamily="2" charset="0"/>
              </a:defRPr>
            </a:pPr>
            <a:r>
              <a:rPr lang="pl-PL" sz="1050" b="1" i="0" u="none" strike="noStrike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maja 2026 r.)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9091835555256731"/>
          <c:y val="3.4073440763002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baseline="0">
              <a:solidFill>
                <a:schemeClr val="tx1"/>
              </a:solidFill>
              <a:latin typeface="Roboto" panose="02000000000000000000" pitchFamily="2" charset="0"/>
              <a:ea typeface="Roboto" panose="02000000000000000000" pitchFamily="2" charset="0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21197263743670713"/>
          <c:w val="0.94006898154954111"/>
          <c:h val="0.55276771277475689"/>
        </c:manualLayout>
      </c:layout>
      <c:bar3DChart>
        <c:barDir val="col"/>
        <c:grouping val="clustered"/>
        <c:varyColors val="0"/>
        <c:ser>
          <c:idx val="3"/>
          <c:order val="3"/>
          <c:tx>
            <c:strRef>
              <c:f>'legalizacja decyzje'!$A$11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decyzje'!$B$11:$D$11</c:f>
              <c:numCache>
                <c:formatCode>#,##0</c:formatCode>
                <c:ptCount val="3"/>
                <c:pt idx="0">
                  <c:v>70268</c:v>
                </c:pt>
                <c:pt idx="1">
                  <c:v>7866</c:v>
                </c:pt>
                <c:pt idx="2">
                  <c:v>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11-472B-B1A1-8DE84C78131D}"/>
            </c:ext>
          </c:extLst>
        </c:ser>
        <c:ser>
          <c:idx val="4"/>
          <c:order val="4"/>
          <c:tx>
            <c:strRef>
              <c:f>'legalizacja decyzje'!$A$12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decyzje'!$B$12:$D$12</c:f>
              <c:numCache>
                <c:formatCode>#,##0</c:formatCode>
                <c:ptCount val="3"/>
                <c:pt idx="0">
                  <c:v>80231</c:v>
                </c:pt>
                <c:pt idx="1">
                  <c:v>7712</c:v>
                </c:pt>
                <c:pt idx="2">
                  <c:v>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11-472B-B1A1-8DE84C78131D}"/>
            </c:ext>
          </c:extLst>
        </c:ser>
        <c:ser>
          <c:idx val="5"/>
          <c:order val="5"/>
          <c:tx>
            <c:strRef>
              <c:f>'legalizacja decyzje'!$A$13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11-472B-B1A1-8DE84C7813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decyzje'!$B$13:$D$13</c:f>
              <c:numCache>
                <c:formatCode>#,##0</c:formatCode>
                <c:ptCount val="3"/>
                <c:pt idx="0">
                  <c:v>99936</c:v>
                </c:pt>
                <c:pt idx="1">
                  <c:v>7167</c:v>
                </c:pt>
                <c:pt idx="2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11-472B-B1A1-8DE84C78131D}"/>
            </c:ext>
          </c:extLst>
        </c:ser>
        <c:ser>
          <c:idx val="6"/>
          <c:order val="6"/>
          <c:tx>
            <c:strRef>
              <c:f>'legalizacja decyzje'!$A$14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643638422170456E-3"/>
                  <c:y val="-1.051817542784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11-472B-B1A1-8DE84C7813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decyzje'!$B$14:$D$14</c:f>
              <c:numCache>
                <c:formatCode>#,##0</c:formatCode>
                <c:ptCount val="3"/>
                <c:pt idx="0">
                  <c:v>103347</c:v>
                </c:pt>
                <c:pt idx="1">
                  <c:v>5275</c:v>
                </c:pt>
                <c:pt idx="2">
                  <c:v>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711-472B-B1A1-8DE84C78131D}"/>
            </c:ext>
          </c:extLst>
        </c:ser>
        <c:ser>
          <c:idx val="7"/>
          <c:order val="7"/>
          <c:tx>
            <c:strRef>
              <c:f>'legalizacja decyzje'!$A$15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decyzje'!$B$15:$D$15</c:f>
              <c:numCache>
                <c:formatCode>#,##0</c:formatCode>
                <c:ptCount val="3"/>
                <c:pt idx="0">
                  <c:v>143823</c:v>
                </c:pt>
                <c:pt idx="1">
                  <c:v>6581</c:v>
                </c:pt>
                <c:pt idx="2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11-472B-B1A1-8DE84C78131D}"/>
            </c:ext>
          </c:extLst>
        </c:ser>
        <c:ser>
          <c:idx val="8"/>
          <c:order val="8"/>
          <c:tx>
            <c:strRef>
              <c:f>'legalizacja decyzje'!$A$16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decyzje'!$B$16:$D$16</c:f>
              <c:numCache>
                <c:formatCode>#,##0</c:formatCode>
                <c:ptCount val="3"/>
                <c:pt idx="0">
                  <c:v>213298</c:v>
                </c:pt>
                <c:pt idx="1">
                  <c:v>7614</c:v>
                </c:pt>
                <c:pt idx="2">
                  <c:v>6589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711-472B-B1A1-8DE84C78131D}"/>
            </c:ext>
          </c:extLst>
        </c:ser>
        <c:ser>
          <c:idx val="9"/>
          <c:order val="9"/>
          <c:tx>
            <c:strRef>
              <c:f>'legalizacja decyzje'!$A$17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decyzje'!$B$17:$D$17</c:f>
              <c:numCache>
                <c:formatCode>#,##0</c:formatCode>
                <c:ptCount val="3"/>
                <c:pt idx="0">
                  <c:v>199848</c:v>
                </c:pt>
                <c:pt idx="1">
                  <c:v>9326</c:v>
                </c:pt>
                <c:pt idx="2">
                  <c:v>8054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11-472B-B1A1-8DE84C78131D}"/>
            </c:ext>
          </c:extLst>
        </c:ser>
        <c:ser>
          <c:idx val="10"/>
          <c:order val="10"/>
          <c:tx>
            <c:strRef>
              <c:f>'legalizacja decyzje'!$A$18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decyzje'!$B$18:$D$18</c:f>
              <c:numCache>
                <c:formatCode>#,##0</c:formatCode>
                <c:ptCount val="3"/>
                <c:pt idx="0">
                  <c:v>195904</c:v>
                </c:pt>
                <c:pt idx="1">
                  <c:v>9653</c:v>
                </c:pt>
                <c:pt idx="2">
                  <c:v>13921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711-472B-B1A1-8DE84C78131D}"/>
            </c:ext>
          </c:extLst>
        </c:ser>
        <c:ser>
          <c:idx val="11"/>
          <c:order val="11"/>
          <c:tx>
            <c:strRef>
              <c:f>'legalizacja decyzje'!$A$19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decyzje'!$B$19:$D$19</c:f>
              <c:numCache>
                <c:formatCode>#,##0</c:formatCode>
                <c:ptCount val="3"/>
                <c:pt idx="0">
                  <c:v>218134</c:v>
                </c:pt>
                <c:pt idx="1">
                  <c:v>8329</c:v>
                </c:pt>
                <c:pt idx="2">
                  <c:v>16731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711-472B-B1A1-8DE84C78131D}"/>
            </c:ext>
          </c:extLst>
        </c:ser>
        <c:ser>
          <c:idx val="12"/>
          <c:order val="12"/>
          <c:tx>
            <c:strRef>
              <c:f>'legalizacja decyzje'!$A$20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D3B6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decyzje'!$B$20:$D$20</c:f>
              <c:numCache>
                <c:formatCode>#,##0</c:formatCode>
                <c:ptCount val="3"/>
                <c:pt idx="0">
                  <c:v>61303</c:v>
                </c:pt>
                <c:pt idx="1">
                  <c:v>2673</c:v>
                </c:pt>
                <c:pt idx="2">
                  <c:v>5979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711-472B-B1A1-8DE84C7813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09952"/>
        <c:axId val="50611504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decyzje'!$A$8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decyzje'!$B$8:$D$8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17108</c:v>
                      </c:pt>
                      <c:pt idx="1">
                        <c:v>3484</c:v>
                      </c:pt>
                      <c:pt idx="2">
                        <c:v>590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C711-472B-B1A1-8DE84C78131D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decyzje'!$A$9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decyzje'!$B$9:$D$9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37833</c:v>
                      </c:pt>
                      <c:pt idx="1">
                        <c:v>6729</c:v>
                      </c:pt>
                      <c:pt idx="2">
                        <c:v>629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C711-472B-B1A1-8DE84C78131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decyzje'!$A$10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decyzje'!$B$10:$D$10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57253</c:v>
                      </c:pt>
                      <c:pt idx="1">
                        <c:v>5920</c:v>
                      </c:pt>
                      <c:pt idx="2">
                        <c:v>609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C711-472B-B1A1-8DE84C78131D}"/>
                  </c:ext>
                </c:extLst>
              </c15:ser>
            </c15:filteredBarSeries>
          </c:ext>
        </c:extLst>
      </c:bar3DChart>
      <c:catAx>
        <c:axId val="50610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15048"/>
        <c:crosses val="autoZero"/>
        <c:auto val="1"/>
        <c:lblAlgn val="ctr"/>
        <c:lblOffset val="200"/>
        <c:noMultiLvlLbl val="0"/>
      </c:catAx>
      <c:valAx>
        <c:axId val="506115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0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</a:rPr>
              <a:t>Ochronę czasową w Polsce zgodnie ze stanem na dzień 01.05.2026 r. posiada ok. 969 tys. obywateli Ukrainy</a:t>
            </a:r>
            <a:endParaRPr lang="pl-PL" sz="1000">
              <a:effectLst/>
            </a:endParaRPr>
          </a:p>
        </c:rich>
      </c:tx>
      <c:layout>
        <c:manualLayout>
          <c:xMode val="edge"/>
          <c:yMode val="edge"/>
          <c:x val="0.13374744100837149"/>
          <c:y val="3.905500091643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6912881419102652E-2"/>
          <c:y val="0.16052779106309278"/>
          <c:w val="0.93527337641670016"/>
          <c:h val="0.6966736726727639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'ochrona czasowa'!$B$23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czasowa'!$C$23:$D$23</c:f>
              <c:numCache>
                <c:formatCode>#,##0</c:formatCode>
                <c:ptCount val="2"/>
                <c:pt idx="0">
                  <c:v>203653</c:v>
                </c:pt>
                <c:pt idx="1">
                  <c:v>240612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F-4511-9802-04020AA0C5A8}"/>
            </c:ext>
          </c:extLst>
        </c:ser>
        <c:ser>
          <c:idx val="1"/>
          <c:order val="1"/>
          <c:tx>
            <c:strRef>
              <c:f>'ochrona czasowa'!$B$24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czasowa'!$C$24:$D$24</c:f>
              <c:numCache>
                <c:formatCode>#,##0</c:formatCode>
                <c:ptCount val="2"/>
                <c:pt idx="0">
                  <c:v>360891</c:v>
                </c:pt>
                <c:pt idx="1">
                  <c:v>163841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0F-4511-9802-04020AA0C5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4"/>
        <c:overlap val="100"/>
        <c:axId val="631070440"/>
        <c:axId val="631071616"/>
      </c:barChart>
      <c:catAx>
        <c:axId val="63107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1071616"/>
        <c:crosses val="autoZero"/>
        <c:auto val="1"/>
        <c:lblAlgn val="ctr"/>
        <c:lblOffset val="100"/>
        <c:noMultiLvlLbl val="0"/>
      </c:catAx>
      <c:valAx>
        <c:axId val="6310716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63107044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pozostałych państw zarejestrowani w rejestrze PESEL na ochronę czasową </a:t>
            </a:r>
          </a:p>
          <a:p>
            <a:pPr>
              <a:defRPr sz="1000"/>
            </a:pPr>
            <a:r>
              <a:rPr lang="pl-PL" sz="1000"/>
              <a:t>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'Ukraina - ochrona czasowa cz.2'!$O$29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ECE-4DC2-B227-CFC00F164B2B}"/>
              </c:ext>
            </c:extLst>
          </c:dPt>
          <c:dLbls>
            <c:dLbl>
              <c:idx val="1"/>
              <c:layout>
                <c:manualLayout>
                  <c:x val="1.8237317488513235E-3"/>
                  <c:y val="1.3888885136677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CE-4DC2-B227-CFC00F164B2B}"/>
                </c:ext>
              </c:extLst>
            </c:dLbl>
            <c:dLbl>
              <c:idx val="2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CE-4DC2-B227-CFC00F164B2B}"/>
                </c:ext>
              </c:extLst>
            </c:dLbl>
            <c:dLbl>
              <c:idx val="3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ECE-4DC2-B227-CFC00F164B2B}"/>
                </c:ext>
              </c:extLst>
            </c:dLbl>
            <c:dLbl>
              <c:idx val="4"/>
              <c:layout>
                <c:manualLayout>
                  <c:x val="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CE-4DC2-B227-CFC00F164B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cz.2'!$O$32:$O$36</c:f>
              <c:numCache>
                <c:formatCode>#,##0</c:formatCode>
                <c:ptCount val="5"/>
                <c:pt idx="0">
                  <c:v>5</c:v>
                </c:pt>
                <c:pt idx="1">
                  <c:v>3</c:v>
                </c:pt>
                <c:pt idx="2" formatCode="General">
                  <c:v>2</c:v>
                </c:pt>
                <c:pt idx="3" formatCode="General">
                  <c:v>3</c:v>
                </c:pt>
                <c:pt idx="4" formatCode="General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CE-4DC2-B227-CFC00F164B2B}"/>
            </c:ext>
          </c:extLst>
        </c:ser>
        <c:ser>
          <c:idx val="1"/>
          <c:order val="1"/>
          <c:tx>
            <c:strRef>
              <c:f>'Ukraina - ochrona czasowa cz.2'!$P$29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ECE-4DC2-B227-CFC00F164B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cz.2'!$P$32:$P$36</c:f>
              <c:numCache>
                <c:formatCode>#,##0</c:formatCode>
                <c:ptCount val="5"/>
                <c:pt idx="0">
                  <c:v>18</c:v>
                </c:pt>
                <c:pt idx="1">
                  <c:v>3</c:v>
                </c:pt>
                <c:pt idx="2" formatCode="General">
                  <c:v>4</c:v>
                </c:pt>
                <c:pt idx="3" formatCode="General">
                  <c:v>1</c:v>
                </c:pt>
                <c:pt idx="4" formatCode="General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CE-4DC2-B227-CFC00F164B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376372712"/>
        <c:axId val="376375064"/>
      </c:barChart>
      <c:catAx>
        <c:axId val="376372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76375064"/>
        <c:crosses val="autoZero"/>
        <c:auto val="1"/>
        <c:lblAlgn val="ctr"/>
        <c:lblOffset val="100"/>
        <c:noMultiLvlLbl val="0"/>
      </c:catAx>
      <c:valAx>
        <c:axId val="3763750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37637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Miesięczna liczba rejestracji obywateli Ukrainy - mężczyzn w przedziale wiekowym 18-22 </a:t>
            </a:r>
            <a:r>
              <a:rPr lang="pl-PL" sz="900" b="1" baseline="0">
                <a:solidFill>
                  <a:sysClr val="windowText" lastClr="000000"/>
                </a:solidFill>
              </a:rPr>
              <a:t>w rejestrze PESEL </a:t>
            </a:r>
            <a:r>
              <a:rPr lang="pl-PL" sz="900" b="1">
                <a:solidFill>
                  <a:sysClr val="windowText" lastClr="000000"/>
                </a:solidFill>
              </a:rPr>
              <a:t>w latach</a:t>
            </a:r>
            <a:r>
              <a:rPr lang="pl-PL" sz="900" b="1" baseline="0">
                <a:solidFill>
                  <a:sysClr val="windowText" lastClr="000000"/>
                </a:solidFill>
              </a:rPr>
              <a:t> </a:t>
            </a:r>
            <a:r>
              <a:rPr lang="pl-PL" sz="900" b="1">
                <a:solidFill>
                  <a:sysClr val="windowText" lastClr="000000"/>
                </a:solidFill>
              </a:rPr>
              <a:t>2025-2026 stan na 1.05.2026</a:t>
            </a:r>
            <a:r>
              <a:rPr lang="pl-PL" sz="900" b="1" baseline="0">
                <a:solidFill>
                  <a:sysClr val="windowText" lastClr="000000"/>
                </a:solidFill>
              </a:rPr>
              <a:t> r.</a:t>
            </a:r>
            <a:endParaRPr lang="pl-PL" sz="9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010961129858767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'PESEL Ukr - mężczyźni 18-22'!$C$53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18-22'!$C$54:$C$65</c:f>
              <c:numCache>
                <c:formatCode>#,##0</c:formatCode>
                <c:ptCount val="12"/>
                <c:pt idx="0">
                  <c:v>699</c:v>
                </c:pt>
                <c:pt idx="1">
                  <c:v>643</c:v>
                </c:pt>
                <c:pt idx="2">
                  <c:v>638</c:v>
                </c:pt>
                <c:pt idx="3">
                  <c:v>570</c:v>
                </c:pt>
                <c:pt idx="4">
                  <c:v>562</c:v>
                </c:pt>
                <c:pt idx="5">
                  <c:v>635</c:v>
                </c:pt>
                <c:pt idx="6">
                  <c:v>850</c:v>
                </c:pt>
                <c:pt idx="7">
                  <c:v>815</c:v>
                </c:pt>
                <c:pt idx="8">
                  <c:v>11388</c:v>
                </c:pt>
                <c:pt idx="9">
                  <c:v>7877</c:v>
                </c:pt>
                <c:pt idx="10">
                  <c:v>4221</c:v>
                </c:pt>
                <c:pt idx="11">
                  <c:v>3106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91-439B-96CE-8EB05AF54CC8}"/>
            </c:ext>
          </c:extLst>
        </c:ser>
        <c:ser>
          <c:idx val="2"/>
          <c:order val="1"/>
          <c:tx>
            <c:strRef>
              <c:f>'PESEL Ukr - mężczyźni 18-22'!$D$53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0070C0"/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3"/>
              <c:layout>
                <c:manualLayout>
                  <c:x val="5.9523809523808801E-3"/>
                  <c:y val="-9.1954022988505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91-439B-96CE-8EB05AF54C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18-22'!$D$54:$D$65</c:f>
              <c:numCache>
                <c:formatCode>#,##0</c:formatCode>
                <c:ptCount val="12"/>
                <c:pt idx="0">
                  <c:v>2799</c:v>
                </c:pt>
                <c:pt idx="1">
                  <c:v>2161</c:v>
                </c:pt>
                <c:pt idx="2">
                  <c:v>2008</c:v>
                </c:pt>
                <c:pt idx="3">
                  <c:v>1334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91-439B-96CE-8EB05AF54C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73276736"/>
        <c:axId val="373277128"/>
        <c:extLst/>
      </c:barChart>
      <c:catAx>
        <c:axId val="37327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73277128"/>
        <c:crosses val="autoZero"/>
        <c:auto val="1"/>
        <c:lblAlgn val="ctr"/>
        <c:lblOffset val="100"/>
        <c:noMultiLvlLbl val="0"/>
      </c:catAx>
      <c:valAx>
        <c:axId val="373277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7327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0.23304</cdr:x>
      <cdr:y>0.10066</cdr:y>
    </cdr:from>
    <cdr:to>
      <cdr:x>0.30582</cdr:x>
      <cdr:y>0.14442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16029" y="547687"/>
          <a:ext cx="785813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600"/>
        </a:p>
      </cdr:txBody>
    </cdr:sp>
  </cdr:relSizeAnchor>
  <cdr:relSizeAnchor xmlns:cdr="http://schemas.openxmlformats.org/drawingml/2006/chartDrawing">
    <cdr:from>
      <cdr:x>0.23112</cdr:x>
      <cdr:y>0.15973</cdr:y>
    </cdr:from>
    <cdr:to>
      <cdr:x>0.34722</cdr:x>
      <cdr:y>0.20888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1749051" y="924950"/>
          <a:ext cx="878620" cy="284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 baseline="0"/>
            <a:t>564 544</a:t>
          </a:r>
          <a:endParaRPr lang="pl-PL" sz="900" b="1"/>
        </a:p>
      </cdr:txBody>
    </cdr:sp>
  </cdr:relSizeAnchor>
  <cdr:relSizeAnchor xmlns:cdr="http://schemas.openxmlformats.org/drawingml/2006/chartDrawing">
    <cdr:from>
      <cdr:x>0.7007</cdr:x>
      <cdr:y>0.3451</cdr:y>
    </cdr:from>
    <cdr:to>
      <cdr:x>0.8168</cdr:x>
      <cdr:y>0.39425</cdr:y>
    </cdr:to>
    <cdr:sp macro="" textlink="">
      <cdr:nvSpPr>
        <cdr:cNvPr id="6" name="pole tekstowe 1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4338209" y="1824790"/>
          <a:ext cx="718804" cy="259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 baseline="0"/>
            <a:t>404 453 </a:t>
          </a:r>
          <a:endParaRPr lang="pl-PL" sz="9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D624-B40B-4EE7-B38F-8C93F086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2735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Więckowski Artur</dc:creator>
  <cp:keywords/>
  <dc:description/>
  <cp:lastModifiedBy>Hawryluk Damian</cp:lastModifiedBy>
  <cp:revision>25</cp:revision>
  <dcterms:created xsi:type="dcterms:W3CDTF">2026-05-08T13:29:00Z</dcterms:created>
  <dcterms:modified xsi:type="dcterms:W3CDTF">2026-05-13T07:45:00Z</dcterms:modified>
</cp:coreProperties>
</file>