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CFCE9" w14:textId="793019BC" w:rsidR="00FC2066" w:rsidRPr="00FC2066" w:rsidRDefault="00FC2066" w:rsidP="00FC2066">
      <w:pPr>
        <w:jc w:val="both"/>
        <w:rPr>
          <w:b/>
          <w:bCs/>
          <w:lang w:val="pl"/>
        </w:rPr>
      </w:pPr>
      <w:r>
        <w:rPr>
          <w:bCs/>
        </w:rPr>
        <w:t xml:space="preserve">Załącznik nr 3 do </w:t>
      </w:r>
      <w:bookmarkStart w:id="0" w:name="bookmark1"/>
      <w:bookmarkStart w:id="1" w:name="_Hlk168747769"/>
      <w:r w:rsidRPr="00FC2066">
        <w:rPr>
          <w:lang w:val="pl"/>
        </w:rPr>
        <w:t>Regulamin</w:t>
      </w:r>
      <w:r w:rsidRPr="00FC2066">
        <w:rPr>
          <w:lang w:val="pl"/>
        </w:rPr>
        <w:t>u</w:t>
      </w:r>
      <w:r w:rsidRPr="00FC2066">
        <w:rPr>
          <w:lang w:val="pl"/>
        </w:rPr>
        <w:t xml:space="preserve"> udzielania patronatów przez Radę Edukacji Finansowej</w:t>
      </w:r>
      <w:bookmarkEnd w:id="0"/>
    </w:p>
    <w:bookmarkEnd w:id="1"/>
    <w:p w14:paraId="0D3908C3" w14:textId="688C2CA6" w:rsidR="00EF4A77" w:rsidRPr="00932608" w:rsidRDefault="007D3D4B" w:rsidP="00EF4A77">
      <w:pPr>
        <w:jc w:val="both"/>
        <w:rPr>
          <w:b/>
        </w:rPr>
      </w:pPr>
      <w:r w:rsidRPr="007D3D4B">
        <w:rPr>
          <w:b/>
        </w:rPr>
        <w:t>Zasady korzystania ze znaku graficznego potwierdzającego udziel</w:t>
      </w:r>
      <w:r>
        <w:rPr>
          <w:b/>
        </w:rPr>
        <w:t>e</w:t>
      </w:r>
      <w:r w:rsidRPr="007D3D4B">
        <w:rPr>
          <w:b/>
        </w:rPr>
        <w:t>nie patronatu przez Radę Edukacji Finansowej</w:t>
      </w:r>
      <w:r>
        <w:rPr>
          <w:b/>
        </w:rPr>
        <w:t xml:space="preserve"> </w:t>
      </w:r>
      <w:r w:rsidR="00CA468C" w:rsidRPr="00932608">
        <w:rPr>
          <w:b/>
        </w:rPr>
        <w:t>(dalej „Rada”)</w:t>
      </w:r>
      <w:r w:rsidR="00EF4A77" w:rsidRPr="00932608">
        <w:rPr>
          <w:b/>
        </w:rPr>
        <w:t xml:space="preserve"> </w:t>
      </w:r>
    </w:p>
    <w:p w14:paraId="6011E998" w14:textId="77777777" w:rsidR="00EF4A77" w:rsidRDefault="00EF4A77" w:rsidP="00EF4A77">
      <w:pPr>
        <w:pStyle w:val="Akapitzlist"/>
        <w:numPr>
          <w:ilvl w:val="0"/>
          <w:numId w:val="1"/>
        </w:numPr>
        <w:jc w:val="both"/>
      </w:pPr>
      <w:r w:rsidRPr="00EF4A77">
        <w:t>Podmiot</w:t>
      </w:r>
      <w:r w:rsidR="00932608">
        <w:t>, na wniosek którego</w:t>
      </w:r>
      <w:r>
        <w:t xml:space="preserve"> organizowane przez niego wydarzenie, zostało objęte</w:t>
      </w:r>
      <w:r w:rsidR="00CA468C">
        <w:t xml:space="preserve"> p</w:t>
      </w:r>
      <w:r>
        <w:t xml:space="preserve">atronatem Rady </w:t>
      </w:r>
      <w:r w:rsidRPr="00EF4A77">
        <w:t xml:space="preserve"> (dalej</w:t>
      </w:r>
      <w:r>
        <w:t xml:space="preserve"> </w:t>
      </w:r>
      <w:r w:rsidRPr="00EF4A77">
        <w:t>„</w:t>
      </w:r>
      <w:r>
        <w:t>Wnioskodawca</w:t>
      </w:r>
      <w:r w:rsidRPr="00EF4A77">
        <w:t>”) otrzymuje prawo do nieodpłatnego korzystania ze znaku graficznego</w:t>
      </w:r>
      <w:r>
        <w:t xml:space="preserve"> </w:t>
      </w:r>
      <w:r w:rsidRPr="00EF4A77">
        <w:t>(dalej „Logotyp”), który zostanie mu przekazany w formie elektronicznej.</w:t>
      </w:r>
    </w:p>
    <w:p w14:paraId="2A3B545F" w14:textId="77777777" w:rsidR="00EF4A77" w:rsidRDefault="00EF4A77" w:rsidP="00EF4A77">
      <w:pPr>
        <w:pStyle w:val="Akapitzlist"/>
        <w:numPr>
          <w:ilvl w:val="0"/>
          <w:numId w:val="1"/>
        </w:numPr>
        <w:jc w:val="both"/>
      </w:pPr>
      <w:r>
        <w:t xml:space="preserve">Wnioskodawca </w:t>
      </w:r>
      <w:r w:rsidRPr="00EF4A77">
        <w:t>nie może wykorzystywać Logotypu w celach związanych z prowadzoną</w:t>
      </w:r>
      <w:r w:rsidRPr="00EF4A77">
        <w:br/>
        <w:t>działalnością gospodarczą.</w:t>
      </w:r>
    </w:p>
    <w:p w14:paraId="4120866C" w14:textId="77777777" w:rsidR="00CA468C" w:rsidRDefault="00EF4A77" w:rsidP="00EF4A77">
      <w:pPr>
        <w:pStyle w:val="Akapitzlist"/>
        <w:numPr>
          <w:ilvl w:val="0"/>
          <w:numId w:val="1"/>
        </w:numPr>
        <w:jc w:val="both"/>
      </w:pPr>
      <w:r>
        <w:t xml:space="preserve">Wnioskodawca </w:t>
      </w:r>
      <w:r w:rsidRPr="00EF4A77">
        <w:t>nie może zamieszczać logotypu na stronie internetowej, która oferuje,</w:t>
      </w:r>
      <w:r w:rsidRPr="00EF4A77">
        <w:br/>
        <w:t xml:space="preserve">reklamuje lub informuje o prowadzonej działalności gospodarczej przez </w:t>
      </w:r>
      <w:r w:rsidR="00CA468C">
        <w:t>Wnioskodawcy</w:t>
      </w:r>
      <w:r w:rsidRPr="00EF4A77">
        <w:t>,</w:t>
      </w:r>
      <w:r w:rsidRPr="00EF4A77">
        <w:br/>
        <w:t>nawet jeżeli tylko część treści zamieszczonej na danej stronie internetowej odnosi się</w:t>
      </w:r>
      <w:r w:rsidRPr="00EF4A77">
        <w:br/>
        <w:t xml:space="preserve">do działalności gospodarczej </w:t>
      </w:r>
      <w:r w:rsidR="00CA468C">
        <w:t>Wnioskodawcy</w:t>
      </w:r>
      <w:r w:rsidRPr="00EF4A77">
        <w:t>. Przez stronę internetową rozumie się</w:t>
      </w:r>
      <w:r w:rsidRPr="00EF4A77">
        <w:br/>
        <w:t>stronę (podstronę) posiadającą odrębny adres URL.</w:t>
      </w:r>
    </w:p>
    <w:p w14:paraId="17D1A2C5" w14:textId="77777777" w:rsidR="00CA468C" w:rsidRDefault="00EF4A77" w:rsidP="00CA468C">
      <w:pPr>
        <w:pStyle w:val="Akapitzlist"/>
        <w:numPr>
          <w:ilvl w:val="0"/>
          <w:numId w:val="1"/>
        </w:numPr>
        <w:jc w:val="both"/>
      </w:pPr>
      <w:r w:rsidRPr="00EF4A77">
        <w:t>Zasadę określoną w pkt 3 stosuje się w zakresie portali społecznościowych w ten sposób,</w:t>
      </w:r>
      <w:r w:rsidRPr="00EF4A77">
        <w:br/>
        <w:t>że dotyczy ona odrębnego wpisu (postu).</w:t>
      </w:r>
    </w:p>
    <w:p w14:paraId="605E289F" w14:textId="77777777" w:rsidR="00CA468C" w:rsidRDefault="00EF4A77" w:rsidP="00CA468C">
      <w:pPr>
        <w:pStyle w:val="Akapitzlist"/>
        <w:numPr>
          <w:ilvl w:val="0"/>
          <w:numId w:val="1"/>
        </w:numPr>
        <w:jc w:val="both"/>
      </w:pPr>
      <w:r w:rsidRPr="00EF4A77">
        <w:t>Logotyp nie może być umieszczony w dokumentach drukowanych zawierających treści,</w:t>
      </w:r>
      <w:r w:rsidRPr="00EF4A77">
        <w:br/>
        <w:t>które w całości lub w części zawierają informacje, o których mowa w pkt 3.</w:t>
      </w:r>
    </w:p>
    <w:p w14:paraId="1749396D" w14:textId="3EFB616B" w:rsidR="00CA468C" w:rsidRDefault="00EF4A77" w:rsidP="00CA468C">
      <w:pPr>
        <w:pStyle w:val="Akapitzlist"/>
        <w:numPr>
          <w:ilvl w:val="0"/>
          <w:numId w:val="1"/>
        </w:numPr>
        <w:jc w:val="both"/>
      </w:pPr>
      <w:r w:rsidRPr="00EF4A77">
        <w:t>Logotyp nie może być zniekształcany</w:t>
      </w:r>
      <w:r w:rsidR="00472646">
        <w:t xml:space="preserve"> i</w:t>
      </w:r>
      <w:r w:rsidRPr="00EF4A77">
        <w:t xml:space="preserve"> deformowany.</w:t>
      </w:r>
    </w:p>
    <w:p w14:paraId="6F2CC005" w14:textId="77777777" w:rsidR="00CA468C" w:rsidRDefault="00EF4A77" w:rsidP="00CA468C">
      <w:pPr>
        <w:pStyle w:val="Akapitzlist"/>
        <w:numPr>
          <w:ilvl w:val="0"/>
          <w:numId w:val="1"/>
        </w:numPr>
        <w:jc w:val="both"/>
      </w:pPr>
      <w:r w:rsidRPr="00EF4A77">
        <w:t>Nie wolno zmieniać nadanych kolorów w Logotypie</w:t>
      </w:r>
      <w:r w:rsidR="00CA468C">
        <w:t>.</w:t>
      </w:r>
    </w:p>
    <w:p w14:paraId="22CF6D37" w14:textId="77777777" w:rsidR="00CA468C" w:rsidRDefault="00EF4A77" w:rsidP="00CA468C">
      <w:pPr>
        <w:pStyle w:val="Akapitzlist"/>
        <w:numPr>
          <w:ilvl w:val="0"/>
          <w:numId w:val="1"/>
        </w:numPr>
        <w:jc w:val="both"/>
      </w:pPr>
      <w:r w:rsidRPr="00EF4A77">
        <w:t>Nie wolno dodawać obcych elementów graficznych lub tekstów w polu ochronnym</w:t>
      </w:r>
      <w:r w:rsidR="00CA468C">
        <w:t xml:space="preserve"> </w:t>
      </w:r>
      <w:r w:rsidRPr="00EF4A77">
        <w:t>Logotypu.</w:t>
      </w:r>
    </w:p>
    <w:p w14:paraId="0A9D91F4" w14:textId="77777777" w:rsidR="00CA468C" w:rsidRDefault="00EF4A77" w:rsidP="00CA468C">
      <w:pPr>
        <w:pStyle w:val="Akapitzlist"/>
        <w:numPr>
          <w:ilvl w:val="0"/>
          <w:numId w:val="1"/>
        </w:numPr>
        <w:jc w:val="both"/>
      </w:pPr>
      <w:r w:rsidRPr="00EF4A77">
        <w:t>W przypadku sporządzenia Księgi Znaku zawierającej graficzne parametry Logotypu</w:t>
      </w:r>
      <w:r w:rsidRPr="00EF4A77">
        <w:br/>
        <w:t>m.in. dotyczące kolorystyki, typografii, pola ochronnego czy proporcji – w zakresie</w:t>
      </w:r>
      <w:r w:rsidRPr="00EF4A77">
        <w:br/>
        <w:t>nieuregulowanym powyżej stosuje się zasady wynikające z Księgi Znaku. Nie wolno</w:t>
      </w:r>
      <w:r w:rsidRPr="00EF4A77">
        <w:br/>
        <w:t>umieszczać Logotypu na tłach lub fakturach, które nie będą wskazane w Księdze Znaku.</w:t>
      </w:r>
      <w:r w:rsidRPr="00EF4A77">
        <w:br/>
        <w:t>Księga Znaku zostanie udostępniona odrębnie.</w:t>
      </w:r>
    </w:p>
    <w:p w14:paraId="59F4EF3E" w14:textId="77777777" w:rsidR="00CA468C" w:rsidRDefault="00EF4A77" w:rsidP="00CA468C">
      <w:pPr>
        <w:pStyle w:val="Akapitzlist"/>
        <w:numPr>
          <w:ilvl w:val="0"/>
          <w:numId w:val="1"/>
        </w:numPr>
        <w:jc w:val="both"/>
      </w:pPr>
      <w:r w:rsidRPr="00EF4A77">
        <w:t>Przez działalność gospodarczą, o której mowa w powyższych punktach, rozumie się</w:t>
      </w:r>
      <w:r w:rsidRPr="00EF4A77">
        <w:br/>
        <w:t>także każdą działalność odpłatną.</w:t>
      </w:r>
    </w:p>
    <w:p w14:paraId="248B00CE" w14:textId="77777777" w:rsidR="004D4ED5" w:rsidRDefault="00EF4A77" w:rsidP="00CA468C">
      <w:pPr>
        <w:pStyle w:val="Akapitzlist"/>
        <w:numPr>
          <w:ilvl w:val="0"/>
          <w:numId w:val="1"/>
        </w:numPr>
        <w:jc w:val="both"/>
      </w:pPr>
      <w:r w:rsidRPr="00EF4A77">
        <w:t>Naruszenie zasad określonych w powyższych punktach może skutkować cofnięciem</w:t>
      </w:r>
      <w:r w:rsidRPr="00EF4A77">
        <w:br/>
        <w:t xml:space="preserve">przez </w:t>
      </w:r>
      <w:r w:rsidR="00CA468C">
        <w:t xml:space="preserve">Radę </w:t>
      </w:r>
      <w:r w:rsidRPr="00EF4A77">
        <w:t>zgody na używanie Logotypu.</w:t>
      </w:r>
    </w:p>
    <w:sectPr w:rsidR="004D4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32E0E" w14:textId="77777777" w:rsidR="00BA12A0" w:rsidRDefault="00BA12A0" w:rsidP="002D2A62">
      <w:pPr>
        <w:spacing w:after="0" w:line="240" w:lineRule="auto"/>
      </w:pPr>
      <w:r>
        <w:separator/>
      </w:r>
    </w:p>
  </w:endnote>
  <w:endnote w:type="continuationSeparator" w:id="0">
    <w:p w14:paraId="6814338E" w14:textId="77777777" w:rsidR="00BA12A0" w:rsidRDefault="00BA12A0" w:rsidP="002D2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677F0" w14:textId="77777777" w:rsidR="00BA12A0" w:rsidRDefault="00BA12A0" w:rsidP="002D2A62">
      <w:pPr>
        <w:spacing w:after="0" w:line="240" w:lineRule="auto"/>
      </w:pPr>
      <w:r>
        <w:separator/>
      </w:r>
    </w:p>
  </w:footnote>
  <w:footnote w:type="continuationSeparator" w:id="0">
    <w:p w14:paraId="23CDF9E7" w14:textId="77777777" w:rsidR="00BA12A0" w:rsidRDefault="00BA12A0" w:rsidP="002D2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30C9D"/>
    <w:multiLevelType w:val="hybridMultilevel"/>
    <w:tmpl w:val="43A0E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A77"/>
    <w:rsid w:val="00070830"/>
    <w:rsid w:val="002D2A62"/>
    <w:rsid w:val="00472646"/>
    <w:rsid w:val="004C5FA2"/>
    <w:rsid w:val="007D3D4B"/>
    <w:rsid w:val="00932608"/>
    <w:rsid w:val="00BA12A0"/>
    <w:rsid w:val="00CA468C"/>
    <w:rsid w:val="00CB2609"/>
    <w:rsid w:val="00E445B7"/>
    <w:rsid w:val="00EF4A77"/>
    <w:rsid w:val="00FC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E73B13"/>
  <w15:chartTrackingRefBased/>
  <w15:docId w15:val="{ACA90054-8ED6-458C-852E-8A8D26DF5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A7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2A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2A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2A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2A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2A6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A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Zagaj</dc:creator>
  <cp:keywords/>
  <dc:description/>
  <cp:lastModifiedBy>Wojciechowska Monika</cp:lastModifiedBy>
  <cp:revision>2</cp:revision>
  <dcterms:created xsi:type="dcterms:W3CDTF">2024-07-19T10:54:00Z</dcterms:created>
  <dcterms:modified xsi:type="dcterms:W3CDTF">2024-07-19T10:54:00Z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UxC4dwLulzfINJ8nQH+xvX5LNGipWa4BRSZhPgxsCvlRX7JBKBH9Hnao8TorFvWtvdHVqmJZnqI95cW4NkCayg==</vt:lpwstr>
  </property>
  <property fmtid="{D5CDD505-2E9C-101B-9397-08002B2CF9AE}" pid="4" name="MFClassificationDate">
    <vt:lpwstr>2022-09-24T00:45:15.7723127+02:00</vt:lpwstr>
  </property>
  <property fmtid="{D5CDD505-2E9C-101B-9397-08002B2CF9AE}" pid="5" name="MFClassifiedBySID">
    <vt:lpwstr>UxC4dwLulzfINJ8nQH+xvX5LNGipWa4BRSZhPgxsCvm42mrIC/DSDv0ggS+FjUN/2v1BBotkLlY5aAiEhoi6ufFyJvjJGdM+rrvsrz1/dW9SUjmxCaPgSlq8iuBdzCmu</vt:lpwstr>
  </property>
  <property fmtid="{D5CDD505-2E9C-101B-9397-08002B2CF9AE}" pid="6" name="MFGRNItemId">
    <vt:lpwstr>GRN-b336018d-ded8-48ec-a8e7-d74384cf0850</vt:lpwstr>
  </property>
  <property fmtid="{D5CDD505-2E9C-101B-9397-08002B2CF9AE}" pid="7" name="MFHash">
    <vt:lpwstr>u6NkSr5g4c9BuRjO0Lt6SqqlapFDboryyDvU0wpvMyQ=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