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65467" w14:textId="77777777" w:rsidR="00DA0177" w:rsidRPr="00DA0177" w:rsidRDefault="00DA0177" w:rsidP="00DA0177">
      <w:pPr>
        <w:spacing w:line="276" w:lineRule="auto"/>
        <w:rPr>
          <w:rFonts w:ascii="Aptos" w:hAnsi="Aptos" w:cstheme="minorHAnsi"/>
          <w:b/>
          <w:bCs/>
          <w:sz w:val="20"/>
          <w:szCs w:val="20"/>
        </w:rPr>
      </w:pPr>
      <w:r w:rsidRPr="00DA0177">
        <w:rPr>
          <w:rFonts w:ascii="Aptos" w:hAnsi="Aptos" w:cstheme="minorHAnsi"/>
          <w:b/>
          <w:bCs/>
          <w:sz w:val="20"/>
          <w:szCs w:val="20"/>
        </w:rPr>
        <w:t>Załącznik nr 1</w:t>
      </w:r>
    </w:p>
    <w:p w14:paraId="659A8F14" w14:textId="77777777" w:rsidR="000717BB" w:rsidRPr="00EF1767" w:rsidRDefault="000717BB" w:rsidP="00EF1767">
      <w:pPr>
        <w:spacing w:line="276" w:lineRule="auto"/>
        <w:rPr>
          <w:rFonts w:ascii="Aptos" w:hAnsi="Aptos"/>
          <w:sz w:val="20"/>
          <w:szCs w:val="20"/>
        </w:rPr>
      </w:pPr>
    </w:p>
    <w:p w14:paraId="7CF2466B" w14:textId="646A1636" w:rsidR="000717BB" w:rsidRPr="00DA0177" w:rsidRDefault="000717BB" w:rsidP="00DA0177">
      <w:pPr>
        <w:pStyle w:val="Akapitzlist"/>
        <w:numPr>
          <w:ilvl w:val="0"/>
          <w:numId w:val="53"/>
        </w:numPr>
        <w:spacing w:line="276" w:lineRule="auto"/>
        <w:rPr>
          <w:rFonts w:ascii="Aptos" w:hAnsi="Aptos"/>
          <w:b/>
          <w:bCs/>
          <w:sz w:val="20"/>
          <w:szCs w:val="20"/>
        </w:rPr>
      </w:pPr>
      <w:r w:rsidRPr="00DA0177">
        <w:rPr>
          <w:rFonts w:ascii="Aptos" w:hAnsi="Aptos"/>
          <w:b/>
          <w:bCs/>
          <w:sz w:val="20"/>
          <w:szCs w:val="20"/>
        </w:rPr>
        <w:t>Opis Przedmiotu Zamówienia (OPZ)</w:t>
      </w:r>
    </w:p>
    <w:p w14:paraId="68964045" w14:textId="65F6FFD9" w:rsidR="00DA0177" w:rsidRPr="00EF1767" w:rsidRDefault="009A7ACA" w:rsidP="00DA017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>W</w:t>
      </w:r>
      <w:r w:rsidRPr="009A7ACA">
        <w:rPr>
          <w:rFonts w:ascii="Aptos" w:hAnsi="Aptos" w:cs="Calibri"/>
          <w:sz w:val="20"/>
          <w:szCs w:val="20"/>
        </w:rPr>
        <w:t>sparcie Zamawiającego w realizacji wydarzenia „Dzień Dziecka w KPRM”, zaplanowanego na 31 maja 2026 r.</w:t>
      </w:r>
      <w:r>
        <w:rPr>
          <w:rFonts w:ascii="Aptos" w:hAnsi="Aptos" w:cs="Calibri"/>
          <w:sz w:val="20"/>
          <w:szCs w:val="20"/>
        </w:rPr>
        <w:t xml:space="preserve"> </w:t>
      </w:r>
      <w:r w:rsidR="00DA0177" w:rsidRPr="00EF1767">
        <w:rPr>
          <w:rFonts w:ascii="Aptos" w:hAnsi="Aptos" w:cs="Calibri"/>
          <w:sz w:val="20"/>
          <w:szCs w:val="20"/>
        </w:rPr>
        <w:t>w ogrodach Kancelarii Prezesa Rady Ministrów w Warszawie, przy Al. Ujazdowskich 1/3</w:t>
      </w:r>
      <w:r>
        <w:rPr>
          <w:rFonts w:ascii="Aptos" w:hAnsi="Aptos"/>
          <w:sz w:val="20"/>
          <w:szCs w:val="20"/>
        </w:rPr>
        <w:t>,</w:t>
      </w:r>
      <w:r w:rsidR="00DA0177" w:rsidRPr="00EF1767">
        <w:rPr>
          <w:rFonts w:ascii="Aptos" w:hAnsi="Aptos" w:cs="Calibri"/>
          <w:sz w:val="20"/>
          <w:szCs w:val="20"/>
        </w:rPr>
        <w:t xml:space="preserve"> w godz. 10:00-17:00</w:t>
      </w:r>
      <w:r>
        <w:rPr>
          <w:rFonts w:ascii="Aptos" w:hAnsi="Aptos" w:cs="Calibri"/>
          <w:sz w:val="20"/>
          <w:szCs w:val="20"/>
        </w:rPr>
        <w:t>.</w:t>
      </w:r>
    </w:p>
    <w:p w14:paraId="756FE221" w14:textId="75847319" w:rsidR="000717BB" w:rsidRPr="00EF1767" w:rsidRDefault="000717BB" w:rsidP="00EF1767">
      <w:pPr>
        <w:spacing w:line="276" w:lineRule="auto"/>
        <w:rPr>
          <w:rFonts w:ascii="Aptos" w:hAnsi="Aptos" w:cstheme="minorHAnsi"/>
          <w:sz w:val="20"/>
          <w:szCs w:val="20"/>
        </w:rPr>
      </w:pPr>
    </w:p>
    <w:p w14:paraId="77D225BB" w14:textId="77777777" w:rsidR="00EF1767" w:rsidRPr="00DA0177" w:rsidRDefault="00EF1767" w:rsidP="00DA0177">
      <w:pPr>
        <w:pStyle w:val="Akapitzlist"/>
        <w:numPr>
          <w:ilvl w:val="0"/>
          <w:numId w:val="53"/>
        </w:numPr>
        <w:spacing w:after="0" w:line="276" w:lineRule="auto"/>
        <w:jc w:val="both"/>
        <w:rPr>
          <w:rFonts w:ascii="Aptos" w:hAnsi="Aptos" w:cs="Calibri"/>
          <w:b/>
          <w:bCs/>
          <w:sz w:val="20"/>
          <w:szCs w:val="20"/>
        </w:rPr>
      </w:pPr>
      <w:r w:rsidRPr="00DA0177">
        <w:rPr>
          <w:rFonts w:ascii="Aptos" w:hAnsi="Aptos" w:cs="Calibri"/>
          <w:b/>
          <w:bCs/>
          <w:sz w:val="20"/>
          <w:szCs w:val="20"/>
        </w:rPr>
        <w:t>Na przedmiot zamówienia składają się:</w:t>
      </w:r>
    </w:p>
    <w:p w14:paraId="53FE7C15" w14:textId="46A29F7C" w:rsidR="00EF1767" w:rsidRPr="00EF1767" w:rsidRDefault="00EF1767" w:rsidP="0024517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color w:val="000000"/>
          <w:sz w:val="20"/>
          <w:szCs w:val="20"/>
        </w:rPr>
      </w:pPr>
      <w:r w:rsidRPr="00EF1767">
        <w:rPr>
          <w:rFonts w:ascii="Aptos" w:hAnsi="Aptos" w:cs="Calibri"/>
          <w:color w:val="000000"/>
          <w:sz w:val="20"/>
          <w:szCs w:val="20"/>
        </w:rPr>
        <w:t>Przygotowanie Key Visual wydarzenia, uwzględniającego zaproponowaną przez Zamawiającego stylistykę (załącznik nr 1</w:t>
      </w:r>
      <w:r w:rsidR="00CC2ED6">
        <w:rPr>
          <w:rFonts w:ascii="Aptos" w:hAnsi="Aptos" w:cs="Calibri"/>
          <w:color w:val="000000"/>
          <w:sz w:val="20"/>
          <w:szCs w:val="20"/>
        </w:rPr>
        <w:t xml:space="preserve"> do niniejszego załącznika „plakat wydarzenia”</w:t>
      </w:r>
      <w:r w:rsidRPr="00EF1767">
        <w:rPr>
          <w:rFonts w:ascii="Aptos" w:hAnsi="Aptos" w:cs="Calibri"/>
          <w:color w:val="000000"/>
          <w:sz w:val="20"/>
          <w:szCs w:val="20"/>
        </w:rPr>
        <w:t>):</w:t>
      </w:r>
    </w:p>
    <w:p w14:paraId="64EB02ED" w14:textId="4D044203" w:rsidR="00EF1767" w:rsidRPr="00EF1767" w:rsidRDefault="009A7ACA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>s</w:t>
      </w:r>
      <w:r w:rsidR="00EF1767" w:rsidRPr="00EF1767">
        <w:rPr>
          <w:rFonts w:ascii="Aptos" w:hAnsi="Aptos" w:cs="Calibri"/>
          <w:sz w:val="20"/>
          <w:szCs w:val="20"/>
        </w:rPr>
        <w:t>pójne</w:t>
      </w:r>
      <w:r>
        <w:rPr>
          <w:rFonts w:ascii="Aptos" w:hAnsi="Aptos" w:cs="Calibri"/>
          <w:sz w:val="20"/>
          <w:szCs w:val="20"/>
        </w:rPr>
        <w:t xml:space="preserve">go </w:t>
      </w:r>
      <w:r w:rsidR="00EF1767" w:rsidRPr="00EF1767">
        <w:rPr>
          <w:rFonts w:ascii="Aptos" w:hAnsi="Aptos" w:cs="Calibri"/>
          <w:sz w:val="20"/>
          <w:szCs w:val="20"/>
        </w:rPr>
        <w:t>stylistycznie, dostosowane</w:t>
      </w:r>
      <w:r>
        <w:rPr>
          <w:rFonts w:ascii="Aptos" w:hAnsi="Aptos" w:cs="Calibri"/>
          <w:sz w:val="20"/>
          <w:szCs w:val="20"/>
        </w:rPr>
        <w:t>go</w:t>
      </w:r>
      <w:r w:rsidR="00EF1767" w:rsidRPr="00EF1767">
        <w:rPr>
          <w:rFonts w:ascii="Aptos" w:hAnsi="Aptos" w:cs="Calibri"/>
          <w:sz w:val="20"/>
          <w:szCs w:val="20"/>
        </w:rPr>
        <w:t xml:space="preserve"> do dzieci i młodzieży, o charakterze radosnym, przyjaznym i angażującym,</w:t>
      </w:r>
    </w:p>
    <w:p w14:paraId="26DC1B03" w14:textId="7E535333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inspirowane</w:t>
      </w:r>
      <w:r w:rsidR="009A7ACA">
        <w:rPr>
          <w:rFonts w:ascii="Aptos" w:hAnsi="Aptos" w:cs="Calibri"/>
          <w:sz w:val="20"/>
          <w:szCs w:val="20"/>
        </w:rPr>
        <w:t>go</w:t>
      </w:r>
      <w:r w:rsidRPr="00EF1767">
        <w:rPr>
          <w:rFonts w:ascii="Aptos" w:hAnsi="Aptos" w:cs="Calibri"/>
          <w:sz w:val="20"/>
          <w:szCs w:val="20"/>
        </w:rPr>
        <w:t xml:space="preserve"> motywem „Kraina Wyobraźni” oraz wątkiem „Alicja w Krainie Sprawiedliwości” (symboliczne, bajkowe odniesienia),</w:t>
      </w:r>
    </w:p>
    <w:p w14:paraId="6504FE8E" w14:textId="52E4A1BC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nawiązujące</w:t>
      </w:r>
      <w:r w:rsidR="009A7ACA">
        <w:rPr>
          <w:rFonts w:ascii="Aptos" w:hAnsi="Aptos" w:cs="Calibri"/>
          <w:sz w:val="20"/>
          <w:szCs w:val="20"/>
        </w:rPr>
        <w:t>go</w:t>
      </w:r>
      <w:r w:rsidRPr="00EF1767">
        <w:rPr>
          <w:rFonts w:ascii="Aptos" w:hAnsi="Aptos" w:cs="Calibri"/>
          <w:sz w:val="20"/>
          <w:szCs w:val="20"/>
        </w:rPr>
        <w:t xml:space="preserve"> w sposób symboliczny i przystępny do zagadnień wymiaru sprawiedliwości z perspektywy dziecka,</w:t>
      </w:r>
    </w:p>
    <w:p w14:paraId="0BA67DD5" w14:textId="4FFD16D4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uwzględniające</w:t>
      </w:r>
      <w:r w:rsidR="009A7ACA">
        <w:rPr>
          <w:rFonts w:ascii="Aptos" w:hAnsi="Aptos" w:cs="Calibri"/>
          <w:sz w:val="20"/>
          <w:szCs w:val="20"/>
        </w:rPr>
        <w:t>go</w:t>
      </w:r>
      <w:r w:rsidRPr="00EF1767">
        <w:rPr>
          <w:rFonts w:ascii="Aptos" w:hAnsi="Aptos" w:cs="Calibri"/>
          <w:sz w:val="20"/>
          <w:szCs w:val="20"/>
        </w:rPr>
        <w:t xml:space="preserve"> potrzeby dzieci w różnym wieku (min. dwie „warstwy” komunikacyjne: młodsze/ starsze),</w:t>
      </w:r>
    </w:p>
    <w:p w14:paraId="0D360B9B" w14:textId="0F05A75C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odnoszące</w:t>
      </w:r>
      <w:r w:rsidR="009A7ACA">
        <w:rPr>
          <w:rFonts w:ascii="Aptos" w:hAnsi="Aptos" w:cs="Calibri"/>
          <w:sz w:val="20"/>
          <w:szCs w:val="20"/>
        </w:rPr>
        <w:t xml:space="preserve">go </w:t>
      </w:r>
      <w:r w:rsidRPr="00EF1767">
        <w:rPr>
          <w:rFonts w:ascii="Aptos" w:hAnsi="Aptos" w:cs="Calibri"/>
          <w:sz w:val="20"/>
          <w:szCs w:val="20"/>
        </w:rPr>
        <w:t>się w lekki i zrozumiały sposób do wartości: sprawiedliwość, pomoc, empatia, odpowiedzialność, prawa dziecka, wspólne podejmowanie decyzji – bez użycia treści formalnych lub prawniczych,</w:t>
      </w:r>
    </w:p>
    <w:p w14:paraId="6D67E7C3" w14:textId="747BAC10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wykorzystujące</w:t>
      </w:r>
      <w:r w:rsidR="009A7ACA">
        <w:rPr>
          <w:rFonts w:ascii="Aptos" w:hAnsi="Aptos" w:cs="Calibri"/>
          <w:sz w:val="20"/>
          <w:szCs w:val="20"/>
        </w:rPr>
        <w:t>go</w:t>
      </w:r>
      <w:r w:rsidRPr="00EF1767">
        <w:rPr>
          <w:rFonts w:ascii="Aptos" w:hAnsi="Aptos" w:cs="Calibri"/>
          <w:sz w:val="20"/>
          <w:szCs w:val="20"/>
        </w:rPr>
        <w:t xml:space="preserve"> atrakcyjne elementy graficzne i kolorystyczne,</w:t>
      </w:r>
    </w:p>
    <w:p w14:paraId="4633155B" w14:textId="5C105D77" w:rsidR="00EF1767" w:rsidRPr="00EF1767" w:rsidRDefault="00EF1767" w:rsidP="00245173">
      <w:pPr>
        <w:pStyle w:val="Akapitzlist"/>
        <w:numPr>
          <w:ilvl w:val="0"/>
          <w:numId w:val="3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tworzące</w:t>
      </w:r>
      <w:r w:rsidR="009A7ACA">
        <w:rPr>
          <w:rFonts w:ascii="Aptos" w:hAnsi="Aptos" w:cs="Calibri"/>
          <w:sz w:val="20"/>
          <w:szCs w:val="20"/>
        </w:rPr>
        <w:t xml:space="preserve">go </w:t>
      </w:r>
      <w:r w:rsidRPr="00EF1767">
        <w:rPr>
          <w:rFonts w:ascii="Aptos" w:hAnsi="Aptos" w:cs="Calibri"/>
          <w:sz w:val="20"/>
          <w:szCs w:val="20"/>
        </w:rPr>
        <w:t>spójną i czytelną identyfikację wizualną stanowiska.</w:t>
      </w:r>
    </w:p>
    <w:p w14:paraId="30C72518" w14:textId="54EC6A41" w:rsidR="00EF1767" w:rsidRPr="009A7ACA" w:rsidRDefault="00EF1767" w:rsidP="009A7AC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9A7ACA">
        <w:rPr>
          <w:rFonts w:ascii="Aptos" w:hAnsi="Aptos" w:cs="Calibri"/>
          <w:sz w:val="20"/>
          <w:szCs w:val="20"/>
        </w:rPr>
        <w:t>Wykonawca przedstawi koncepcję Key Visual w terminie 7 dni od daty zawarcia umowy. Koncepcja będzie podlegała akceptacji Zamawiającego. Zamawiający zastrzega możliwość zgłaszania uwag do koncepcji, a Wykonawca zobowiązuje się zgłoszone uwagi wdrożyć.</w:t>
      </w:r>
    </w:p>
    <w:p w14:paraId="62E6C5CF" w14:textId="77777777" w:rsidR="00EF1767" w:rsidRDefault="00EF1767" w:rsidP="0024517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Przygotowanie wizualizacji stanowiska w formie graficznej (2D) z uwzględnieniem wszystkich aktywności i przedstawienie jej do akceptacji Zamawiającego w terminie 7 dni od daty zawarcia umowy. Wizualizacja będzie podlegała akceptacji Zamawiającego. Zamawiający zastrzega możliwość zgłaszania uwag do wizualizacji, a Wykonawca zobowiązuje się zgłoszone uwagi wdrożyć. Ostateczna wizualizacja zostanie przekazana Zamawiającemu najpóźniej 14 dni przed datą wydarzenia.</w:t>
      </w:r>
    </w:p>
    <w:p w14:paraId="4A3F89F7" w14:textId="77777777" w:rsidR="00EF1767" w:rsidRPr="00EF1767" w:rsidRDefault="00EF1767" w:rsidP="0024517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Zapewnienie niezbędnego do prawidłowej realizacji wydarzenia personelu posiadającego odpowiednie doświadczenie, w tym:</w:t>
      </w:r>
    </w:p>
    <w:p w14:paraId="029C9490" w14:textId="6E2EB9BC" w:rsidR="00EF1767" w:rsidRPr="00EF1767" w:rsidRDefault="00EF1767" w:rsidP="002451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color w:val="000000"/>
          <w:sz w:val="20"/>
          <w:szCs w:val="20"/>
        </w:rPr>
      </w:pPr>
      <w:r w:rsidRPr="00EF1767">
        <w:rPr>
          <w:rFonts w:ascii="Aptos" w:hAnsi="Aptos" w:cs="Calibri"/>
          <w:color w:val="000000"/>
          <w:sz w:val="20"/>
          <w:szCs w:val="20"/>
        </w:rPr>
        <w:t xml:space="preserve">animatorów – personelu obsługującego wszystkie aktywności wydarzenia </w:t>
      </w:r>
      <w:r w:rsidRPr="00EF1767">
        <w:rPr>
          <w:rFonts w:ascii="Aptos" w:hAnsi="Aptos" w:cs="Calibri"/>
          <w:sz w:val="20"/>
          <w:szCs w:val="20"/>
        </w:rPr>
        <w:t xml:space="preserve">opisane </w:t>
      </w:r>
      <w:r w:rsidRPr="00925AF1">
        <w:rPr>
          <w:rFonts w:ascii="Aptos" w:hAnsi="Aptos" w:cs="Calibri"/>
          <w:sz w:val="20"/>
          <w:szCs w:val="20"/>
        </w:rPr>
        <w:t>w pkt</w:t>
      </w:r>
      <w:r w:rsidR="00C90AB3">
        <w:rPr>
          <w:rFonts w:ascii="Aptos" w:hAnsi="Aptos" w:cs="Calibri"/>
          <w:sz w:val="20"/>
          <w:szCs w:val="20"/>
        </w:rPr>
        <w:t>.</w:t>
      </w:r>
      <w:r w:rsidRPr="00925AF1">
        <w:rPr>
          <w:rFonts w:ascii="Aptos" w:hAnsi="Aptos" w:cs="Calibri"/>
          <w:sz w:val="20"/>
          <w:szCs w:val="20"/>
        </w:rPr>
        <w:t xml:space="preserve"> </w:t>
      </w:r>
      <w:r w:rsidR="00925AF1" w:rsidRPr="00925AF1">
        <w:rPr>
          <w:rFonts w:ascii="Aptos" w:hAnsi="Aptos" w:cs="Calibri"/>
          <w:sz w:val="20"/>
          <w:szCs w:val="20"/>
        </w:rPr>
        <w:t>9</w:t>
      </w:r>
      <w:r w:rsidRPr="00EF1767">
        <w:rPr>
          <w:rFonts w:ascii="Aptos" w:hAnsi="Aptos" w:cs="Calibri"/>
          <w:sz w:val="20"/>
          <w:szCs w:val="20"/>
        </w:rPr>
        <w:t xml:space="preserve"> </w:t>
      </w:r>
      <w:r w:rsidRPr="00EF1767">
        <w:rPr>
          <w:rFonts w:ascii="Aptos" w:hAnsi="Aptos" w:cs="Calibri"/>
          <w:color w:val="000000"/>
          <w:sz w:val="20"/>
          <w:szCs w:val="20"/>
        </w:rPr>
        <w:t>w liczbie dostosowanej do nieprzerwanej obsługi wszystkich aktywności podczas wydarzenia (minimum 8 animatorów),</w:t>
      </w:r>
    </w:p>
    <w:p w14:paraId="4BFC04E5" w14:textId="77777777" w:rsidR="00EF1767" w:rsidRPr="00EF1767" w:rsidRDefault="00EF1767" w:rsidP="002451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color w:val="000000"/>
          <w:sz w:val="20"/>
          <w:szCs w:val="20"/>
        </w:rPr>
      </w:pPr>
      <w:r w:rsidRPr="00EF1767">
        <w:rPr>
          <w:rFonts w:ascii="Aptos" w:hAnsi="Aptos" w:cs="Calibri"/>
          <w:color w:val="000000"/>
          <w:sz w:val="20"/>
          <w:szCs w:val="20"/>
        </w:rPr>
        <w:t>pracowników technicznych – personelu odpowiedzialnego za montaż, demontaż aktywności oraz wszelkich innych prac techniczno-logistycznych niezbędnych do realizacji wydarzenia, w tym uporządkowania terenu wydarzenia po zakończeniu wydarzenia,</w:t>
      </w:r>
    </w:p>
    <w:p w14:paraId="1E54A1F5" w14:textId="28C37A11" w:rsidR="00EF1767" w:rsidRPr="00EF1767" w:rsidRDefault="00EF1767" w:rsidP="0024517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color w:val="000000"/>
          <w:sz w:val="20"/>
          <w:szCs w:val="20"/>
        </w:rPr>
      </w:pPr>
      <w:r w:rsidRPr="00EF1767">
        <w:rPr>
          <w:rFonts w:ascii="Aptos" w:hAnsi="Aptos" w:cs="Calibri"/>
          <w:color w:val="000000"/>
          <w:sz w:val="20"/>
          <w:szCs w:val="20"/>
        </w:rPr>
        <w:t xml:space="preserve">innych pracowników niezbędnych do realizacji wydarzenia </w:t>
      </w:r>
      <w:r w:rsidRPr="00EF1767">
        <w:rPr>
          <w:rFonts w:ascii="Aptos" w:hAnsi="Aptos" w:cs="Calibri"/>
          <w:sz w:val="20"/>
          <w:szCs w:val="20"/>
        </w:rPr>
        <w:t xml:space="preserve">wraz z zapewnieniem jednolitych strojów tematycznych dla osób wymienionych </w:t>
      </w:r>
      <w:r w:rsidRPr="00C90AB3">
        <w:rPr>
          <w:rFonts w:ascii="Aptos" w:hAnsi="Aptos" w:cs="Calibri"/>
          <w:sz w:val="20"/>
          <w:szCs w:val="20"/>
        </w:rPr>
        <w:t xml:space="preserve">w </w:t>
      </w:r>
      <w:r w:rsidR="00C90AB3" w:rsidRPr="00C90AB3">
        <w:rPr>
          <w:rFonts w:ascii="Aptos" w:hAnsi="Aptos" w:cs="Calibri"/>
          <w:sz w:val="20"/>
          <w:szCs w:val="20"/>
        </w:rPr>
        <w:t>p</w:t>
      </w:r>
      <w:r w:rsidRPr="00C90AB3">
        <w:rPr>
          <w:rFonts w:ascii="Aptos" w:hAnsi="Aptos" w:cs="Calibri"/>
          <w:sz w:val="20"/>
          <w:szCs w:val="20"/>
        </w:rPr>
        <w:t>pkt. 1, zgodnych</w:t>
      </w:r>
      <w:r w:rsidRPr="00EF1767">
        <w:rPr>
          <w:rFonts w:ascii="Aptos" w:hAnsi="Aptos" w:cs="Calibri"/>
          <w:sz w:val="20"/>
          <w:szCs w:val="20"/>
        </w:rPr>
        <w:t xml:space="preserve"> z </w:t>
      </w:r>
      <w:r w:rsidR="009A7ACA">
        <w:rPr>
          <w:rFonts w:ascii="Aptos" w:hAnsi="Aptos" w:cs="Calibri"/>
          <w:sz w:val="20"/>
          <w:szCs w:val="20"/>
        </w:rPr>
        <w:t xml:space="preserve">zaakceptowaną przez Zamawiającego </w:t>
      </w:r>
      <w:r w:rsidRPr="00EF1767">
        <w:rPr>
          <w:rFonts w:ascii="Aptos" w:hAnsi="Aptos" w:cs="Calibri"/>
          <w:sz w:val="20"/>
          <w:szCs w:val="20"/>
        </w:rPr>
        <w:t>koncepcją Key Visual wydarzenia,</w:t>
      </w:r>
    </w:p>
    <w:p w14:paraId="2FD5F98A" w14:textId="2E6A3FAE" w:rsidR="00EF1767" w:rsidRPr="00DA3318" w:rsidRDefault="00EF1767" w:rsidP="00DA331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DA3318">
        <w:rPr>
          <w:rFonts w:ascii="Aptos" w:hAnsi="Aptos" w:cs="Calibri"/>
          <w:sz w:val="20"/>
          <w:szCs w:val="20"/>
        </w:rPr>
        <w:t>Spośród personelu Wykonawca wyznaczy co najmniej jedną osobę – asystenta osoby ze szczególnymi potrzebami, której zadaniem będzie pomoc osobie o szczególnych potrzebach (asystent powinien być przeszkolony z zasad komunikacji z osobami ze szczególnymi potrzebami),</w:t>
      </w:r>
    </w:p>
    <w:p w14:paraId="3570A686" w14:textId="1DAD7F94" w:rsidR="00EF1767" w:rsidRPr="00DA3318" w:rsidRDefault="00EF1767" w:rsidP="00DA331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Stroje dla osób wskazanych </w:t>
      </w:r>
      <w:r w:rsidRPr="00C90AB3">
        <w:rPr>
          <w:rFonts w:ascii="Aptos" w:hAnsi="Aptos" w:cs="Calibri"/>
          <w:sz w:val="20"/>
          <w:szCs w:val="20"/>
        </w:rPr>
        <w:t xml:space="preserve">w pkt. </w:t>
      </w:r>
      <w:r w:rsidR="00C90AB3" w:rsidRPr="00C90AB3">
        <w:rPr>
          <w:rFonts w:ascii="Aptos" w:hAnsi="Aptos" w:cs="Calibri"/>
          <w:sz w:val="20"/>
          <w:szCs w:val="20"/>
        </w:rPr>
        <w:t>4</w:t>
      </w:r>
      <w:r w:rsidRPr="00C90AB3">
        <w:rPr>
          <w:rFonts w:ascii="Aptos" w:hAnsi="Aptos" w:cs="Calibri"/>
          <w:sz w:val="20"/>
          <w:szCs w:val="20"/>
        </w:rPr>
        <w:t xml:space="preserve"> podlegają</w:t>
      </w:r>
      <w:r w:rsidRPr="00EF1767">
        <w:rPr>
          <w:rFonts w:ascii="Aptos" w:hAnsi="Aptos" w:cs="Calibri"/>
          <w:sz w:val="20"/>
          <w:szCs w:val="20"/>
        </w:rPr>
        <w:t xml:space="preserve"> akceptacji Zamawiającego. Wykonawca na wezwanie Zamawiającego jest zobowiązany wymienić proponowane stroje zgodnie ze zgłoszonymi uwagami.</w:t>
      </w:r>
      <w:r w:rsidR="00DA3318">
        <w:rPr>
          <w:rFonts w:ascii="Aptos" w:hAnsi="Aptos" w:cs="Calibri"/>
          <w:sz w:val="20"/>
          <w:szCs w:val="20"/>
        </w:rPr>
        <w:t xml:space="preserve"> </w:t>
      </w:r>
      <w:r w:rsidR="00DA3318">
        <w:rPr>
          <w:rFonts w:ascii="Aptos" w:hAnsi="Aptos" w:cs="Calibri"/>
          <w:sz w:val="20"/>
          <w:szCs w:val="20"/>
        </w:rPr>
        <w:lastRenderedPageBreak/>
        <w:t xml:space="preserve">Wykonawcę obciążą dostosowanie terminu akceptacji strojów, tak aby w przypadku jej braku ze strony Zamawiającego mógł zaproponować odmienne stroje. </w:t>
      </w:r>
      <w:r w:rsidRPr="00EF1767">
        <w:rPr>
          <w:rFonts w:ascii="Aptos" w:hAnsi="Aptos" w:cs="Calibri"/>
          <w:sz w:val="20"/>
          <w:szCs w:val="20"/>
        </w:rPr>
        <w:t xml:space="preserve"> </w:t>
      </w:r>
    </w:p>
    <w:p w14:paraId="3CBBCB19" w14:textId="77777777" w:rsidR="00EF1767" w:rsidRPr="00EF1767" w:rsidRDefault="00EF1767" w:rsidP="0024517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Zapewnienie wyposażenia stanowiska:</w:t>
      </w:r>
    </w:p>
    <w:p w14:paraId="3063870C" w14:textId="310C9BB8" w:rsidR="00EF1767" w:rsidRPr="00DA3318" w:rsidRDefault="00EF1767" w:rsidP="00DA3318">
      <w:pPr>
        <w:pStyle w:val="Akapitzlist"/>
        <w:numPr>
          <w:ilvl w:val="0"/>
          <w:numId w:val="7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Zamawiający zapewni</w:t>
      </w:r>
      <w:r w:rsidR="00DA3318">
        <w:rPr>
          <w:rFonts w:ascii="Aptos" w:hAnsi="Aptos" w:cs="Calibri"/>
          <w:sz w:val="20"/>
          <w:szCs w:val="20"/>
        </w:rPr>
        <w:t xml:space="preserve"> </w:t>
      </w:r>
      <w:r w:rsidR="00245173" w:rsidRPr="00DA3318">
        <w:rPr>
          <w:rFonts w:ascii="Aptos" w:hAnsi="Aptos" w:cs="Calibri"/>
          <w:sz w:val="20"/>
          <w:szCs w:val="20"/>
        </w:rPr>
        <w:t>4</w:t>
      </w:r>
      <w:r w:rsidRPr="00DA3318">
        <w:rPr>
          <w:rFonts w:ascii="Aptos" w:hAnsi="Aptos" w:cs="Calibri"/>
          <w:sz w:val="20"/>
          <w:szCs w:val="20"/>
        </w:rPr>
        <w:t xml:space="preserve"> namioty eventowe</w:t>
      </w:r>
      <w:r w:rsidR="00DA3318">
        <w:rPr>
          <w:rFonts w:ascii="Aptos" w:hAnsi="Aptos" w:cs="Calibri"/>
          <w:sz w:val="20"/>
          <w:szCs w:val="20"/>
        </w:rPr>
        <w:t>,</w:t>
      </w:r>
      <w:r w:rsidR="00245173" w:rsidRPr="00DA3318">
        <w:rPr>
          <w:rFonts w:ascii="Aptos" w:hAnsi="Aptos" w:cs="Calibri"/>
          <w:sz w:val="20"/>
          <w:szCs w:val="20"/>
        </w:rPr>
        <w:t xml:space="preserve"> w tym dwa</w:t>
      </w:r>
      <w:r w:rsidRPr="00DA3318">
        <w:rPr>
          <w:rFonts w:ascii="Aptos" w:hAnsi="Aptos" w:cs="Calibri"/>
          <w:sz w:val="20"/>
          <w:szCs w:val="20"/>
        </w:rPr>
        <w:t xml:space="preserve"> o wymiarach 3 × 6 m </w:t>
      </w:r>
      <w:r w:rsidR="00245173" w:rsidRPr="00DA3318">
        <w:rPr>
          <w:rFonts w:ascii="Aptos" w:hAnsi="Aptos" w:cs="Calibri"/>
          <w:sz w:val="20"/>
          <w:szCs w:val="20"/>
        </w:rPr>
        <w:t>oraz dwa o wymiarach 3</w:t>
      </w:r>
      <w:r w:rsidR="00E05369" w:rsidRPr="00DA3318">
        <w:rPr>
          <w:rFonts w:ascii="Aptos" w:hAnsi="Aptos" w:cs="Calibri"/>
          <w:sz w:val="20"/>
          <w:szCs w:val="20"/>
        </w:rPr>
        <w:t xml:space="preserve"> × </w:t>
      </w:r>
      <w:r w:rsidR="00245173" w:rsidRPr="00DA3318">
        <w:rPr>
          <w:rFonts w:ascii="Aptos" w:hAnsi="Aptos" w:cs="Calibri"/>
          <w:sz w:val="20"/>
          <w:szCs w:val="20"/>
        </w:rPr>
        <w:t>3 m</w:t>
      </w:r>
      <w:r w:rsidRPr="00DA3318">
        <w:rPr>
          <w:rFonts w:ascii="Aptos" w:hAnsi="Aptos" w:cs="Calibri"/>
          <w:sz w:val="20"/>
          <w:szCs w:val="20"/>
        </w:rPr>
        <w:t>, z możliwością montażu i demontażu ścian bocznych.</w:t>
      </w:r>
    </w:p>
    <w:p w14:paraId="75409253" w14:textId="77777777" w:rsidR="00EF1767" w:rsidRPr="00EF1767" w:rsidRDefault="00EF1767" w:rsidP="00245173">
      <w:pPr>
        <w:pStyle w:val="Akapitzlist"/>
        <w:numPr>
          <w:ilvl w:val="0"/>
          <w:numId w:val="7"/>
        </w:numPr>
        <w:spacing w:after="0" w:line="276" w:lineRule="auto"/>
        <w:ind w:left="1134" w:hanging="425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zapewni:</w:t>
      </w:r>
    </w:p>
    <w:p w14:paraId="493A787B" w14:textId="77777777" w:rsidR="00EF1767" w:rsidRPr="00EF1767" w:rsidRDefault="00EF1767" w:rsidP="0024517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podłogę lub podesty dopasowane do powierzchni namiotów, wraz z pochylniami umożliwiającymi wjazd wózków (maks. nachylenie 8%),</w:t>
      </w:r>
    </w:p>
    <w:p w14:paraId="632CEA1D" w14:textId="3318FE00" w:rsidR="00EF1767" w:rsidRPr="00EF1767" w:rsidRDefault="006B1056" w:rsidP="0024517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>p</w:t>
      </w:r>
      <w:r w:rsidR="00EF1767" w:rsidRPr="00EF1767">
        <w:rPr>
          <w:rFonts w:ascii="Aptos" w:hAnsi="Aptos" w:cs="Calibri"/>
          <w:sz w:val="20"/>
          <w:szCs w:val="20"/>
        </w:rPr>
        <w:t xml:space="preserve">ółkolistą girlandę dekoracyjną, wykonaną z elementów przestrzennych (np. balonów lub innych lekkich materiałów dekoracyjnych) w kolorach granatu (dominujący), czerwieni, złoty chrom i bieli oraz pojedyncze akcenty jasnego błękitu ciemnej zieleni w różnych średnicach, otaczającej jednocześnie front dwóch namiotów (od ziemi do ziemi) wraz z transparentem „Alicja w Krainie Sprawiedliwości” (o minimalnych wymiarach 300x60 cm) dopasowanych do zaakceptowanej koncepcji Key Visual wydarzenia. </w:t>
      </w:r>
      <w:r w:rsidR="00DA3318">
        <w:rPr>
          <w:rFonts w:ascii="Aptos" w:hAnsi="Aptos" w:cs="Calibri"/>
          <w:sz w:val="20"/>
          <w:szCs w:val="20"/>
        </w:rPr>
        <w:t>G</w:t>
      </w:r>
      <w:r w:rsidR="00EF1767" w:rsidRPr="00EF1767">
        <w:rPr>
          <w:rFonts w:ascii="Aptos" w:hAnsi="Aptos" w:cs="Calibri"/>
          <w:sz w:val="20"/>
          <w:szCs w:val="20"/>
        </w:rPr>
        <w:t>irlanda powinna być wykonana w sposób estetyczny, bezpieczny dla dzieci oraz odporny na warunki atmosferyczne,</w:t>
      </w:r>
    </w:p>
    <w:p w14:paraId="4D1E35CC" w14:textId="77777777" w:rsidR="00EF1767" w:rsidRPr="00EF1767" w:rsidRDefault="00EF1767" w:rsidP="00245173">
      <w:pPr>
        <w:pStyle w:val="Akapitzlist"/>
        <w:numPr>
          <w:ilvl w:val="0"/>
          <w:numId w:val="8"/>
        </w:numPr>
        <w:spacing w:before="240"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nadruki, oklejenia lub inne elementy graficzne przeznaczone do montażu na namiotach, zgodne z zaakceptowaną koncepcją Key Visual wydarzenia,</w:t>
      </w:r>
    </w:p>
    <w:p w14:paraId="1B02B618" w14:textId="77777777" w:rsidR="00EF1767" w:rsidRPr="00EF1767" w:rsidRDefault="00EF1767" w:rsidP="00245173">
      <w:pPr>
        <w:pStyle w:val="Akapitzlist"/>
        <w:numPr>
          <w:ilvl w:val="0"/>
          <w:numId w:val="8"/>
        </w:numPr>
        <w:spacing w:before="240"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aranżację wnętrza namiotów w sposób spójny wizualnie i funkcjonalnie z planowanymi aktywnościami,</w:t>
      </w:r>
    </w:p>
    <w:p w14:paraId="5210682C" w14:textId="60D504B7" w:rsidR="00EF1767" w:rsidRPr="00EF1767" w:rsidRDefault="00EF1767" w:rsidP="0024517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elementy dekoracyjne podkreślające Key Visual – stylizowane na „Alicję w Krainie Czarów”</w:t>
      </w:r>
      <w:r w:rsidR="00DA3318">
        <w:rPr>
          <w:rFonts w:ascii="Aptos" w:hAnsi="Aptos" w:cs="Calibri"/>
          <w:sz w:val="20"/>
          <w:szCs w:val="20"/>
        </w:rPr>
        <w:t>,</w:t>
      </w:r>
    </w:p>
    <w:p w14:paraId="5A793554" w14:textId="77777777" w:rsidR="00EF1767" w:rsidRDefault="00EF1767" w:rsidP="0024517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minimum 2 stoły o wymiarach co najmniej 120 × 60 cm oraz 8 składanych krzeseł.</w:t>
      </w:r>
    </w:p>
    <w:p w14:paraId="0CC4A588" w14:textId="77777777" w:rsidR="006B1056" w:rsidRPr="00EF1767" w:rsidRDefault="006B1056" w:rsidP="006B1056">
      <w:pPr>
        <w:pStyle w:val="Akapitzlist"/>
        <w:spacing w:after="0" w:line="276" w:lineRule="auto"/>
        <w:ind w:left="1440"/>
        <w:jc w:val="both"/>
        <w:rPr>
          <w:rFonts w:ascii="Aptos" w:hAnsi="Aptos" w:cs="Calibri"/>
          <w:sz w:val="20"/>
          <w:szCs w:val="20"/>
        </w:rPr>
      </w:pPr>
    </w:p>
    <w:p w14:paraId="76FFAD15" w14:textId="77777777" w:rsidR="00EF1767" w:rsidRDefault="00EF1767" w:rsidP="0024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Dostawa materiałów promocyjnych wydarzenia:</w:t>
      </w:r>
    </w:p>
    <w:p w14:paraId="210421B0" w14:textId="77777777" w:rsidR="006B1056" w:rsidRPr="00EF1767" w:rsidRDefault="006B1056" w:rsidP="006B1056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499FE91A" w14:textId="6B25B62D" w:rsidR="00EF1767" w:rsidRDefault="00EF1767" w:rsidP="00F3707E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Gra reflex – karty do gry</w:t>
      </w:r>
    </w:p>
    <w:p w14:paraId="52E36702" w14:textId="6B1A9F03" w:rsidR="00CA0D9E" w:rsidRPr="00EF1767" w:rsidRDefault="00CA0D9E" w:rsidP="00CA0D9E">
      <w:pPr>
        <w:pStyle w:val="Akapitzlist"/>
        <w:spacing w:after="0" w:line="276" w:lineRule="auto"/>
        <w:ind w:left="1068"/>
        <w:jc w:val="both"/>
        <w:rPr>
          <w:rFonts w:ascii="Aptos" w:hAnsi="Aptos" w:cs="Calibri"/>
          <w:sz w:val="20"/>
          <w:szCs w:val="20"/>
        </w:rPr>
      </w:pPr>
    </w:p>
    <w:p w14:paraId="16BE68A2" w14:textId="139158E0" w:rsidR="00EF1767" w:rsidRPr="00EF1767" w:rsidRDefault="00EF1767" w:rsidP="00F3707E">
      <w:pPr>
        <w:pStyle w:val="Akapitzlist"/>
        <w:autoSpaceDE w:val="0"/>
        <w:autoSpaceDN w:val="0"/>
        <w:adjustRightInd w:val="0"/>
        <w:spacing w:after="0" w:line="276" w:lineRule="auto"/>
        <w:ind w:left="2136" w:firstLine="696"/>
        <w:jc w:val="both"/>
        <w:rPr>
          <w:rFonts w:ascii="Aptos" w:hAnsi="Aptos" w:cs="Calibri"/>
          <w:i/>
          <w:iCs/>
          <w:sz w:val="20"/>
          <w:szCs w:val="20"/>
        </w:rPr>
      </w:pPr>
      <w:r w:rsidRPr="00EF1767">
        <w:rPr>
          <w:rFonts w:ascii="Aptos" w:hAnsi="Aptos" w:cs="Calibri"/>
          <w:i/>
          <w:iCs/>
          <w:sz w:val="20"/>
          <w:szCs w:val="20"/>
        </w:rPr>
        <w:t>Specyfikacja:</w:t>
      </w:r>
    </w:p>
    <w:p w14:paraId="21C0CEB1" w14:textId="4F582C14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2550" w:firstLine="28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Liczba</w:t>
      </w:r>
      <w:r w:rsidR="00F3707E">
        <w:rPr>
          <w:rFonts w:ascii="Aptos" w:hAnsi="Aptos" w:cs="Calibri"/>
          <w:sz w:val="20"/>
          <w:szCs w:val="20"/>
        </w:rPr>
        <w:t xml:space="preserve"> zestawów</w:t>
      </w:r>
      <w:r w:rsidRPr="00EF1767">
        <w:rPr>
          <w:rFonts w:ascii="Aptos" w:hAnsi="Aptos" w:cs="Calibri"/>
          <w:sz w:val="20"/>
          <w:szCs w:val="20"/>
        </w:rPr>
        <w:t>: 300,</w:t>
      </w:r>
    </w:p>
    <w:p w14:paraId="522E58D9" w14:textId="4A0B35BB" w:rsidR="00EF1767" w:rsidRPr="00EF1767" w:rsidRDefault="003C3129" w:rsidP="00F3707E">
      <w:pPr>
        <w:pStyle w:val="Akapitzlist"/>
        <w:autoSpaceDE w:val="0"/>
        <w:autoSpaceDN w:val="0"/>
        <w:adjustRightInd w:val="0"/>
        <w:spacing w:after="0" w:line="276" w:lineRule="auto"/>
        <w:ind w:left="283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D22AD39" wp14:editId="71B9E275">
            <wp:simplePos x="0" y="0"/>
            <wp:positionH relativeFrom="margin">
              <wp:posOffset>233680</wp:posOffset>
            </wp:positionH>
            <wp:positionV relativeFrom="paragraph">
              <wp:posOffset>361950</wp:posOffset>
            </wp:positionV>
            <wp:extent cx="1152525" cy="1152525"/>
            <wp:effectExtent l="0" t="0" r="0" b="0"/>
            <wp:wrapSquare wrapText="bothSides"/>
            <wp:docPr id="1302152298" name="Obraz 1" descr="Obraz zawierający talerz, półmisek, naczynia, porcela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152298" name="Obraz 1" descr="Obraz zawierający talerz, półmisek, naczynia, porcelana&#10;&#10;Zawartość wygenerowana przez AI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07E">
        <w:rPr>
          <w:rFonts w:ascii="Aptos" w:hAnsi="Aptos" w:cs="Calibri"/>
          <w:sz w:val="20"/>
          <w:szCs w:val="20"/>
        </w:rPr>
        <w:t xml:space="preserve">Opis: </w:t>
      </w:r>
      <w:r w:rsidR="00EF1767" w:rsidRPr="00EF1767">
        <w:rPr>
          <w:rFonts w:ascii="Aptos" w:hAnsi="Aptos" w:cs="Calibri"/>
          <w:sz w:val="20"/>
          <w:szCs w:val="20"/>
        </w:rPr>
        <w:t>Karty do gry – 30 sztuk w opakowaniu</w:t>
      </w:r>
      <w:r w:rsidR="00F3707E">
        <w:rPr>
          <w:rFonts w:ascii="Aptos" w:hAnsi="Aptos" w:cs="Calibri"/>
          <w:sz w:val="20"/>
          <w:szCs w:val="20"/>
        </w:rPr>
        <w:t>, z</w:t>
      </w:r>
      <w:r w:rsidR="00EF1767" w:rsidRPr="00F3707E">
        <w:rPr>
          <w:rFonts w:ascii="Aptos" w:hAnsi="Aptos" w:cs="Calibri"/>
          <w:sz w:val="20"/>
          <w:szCs w:val="20"/>
        </w:rPr>
        <w:t xml:space="preserve"> nadrukiem zgodnym z Key Visual wydarzenia i załącznikiem nr 1</w:t>
      </w:r>
      <w:r w:rsidR="00F3707E">
        <w:rPr>
          <w:rFonts w:ascii="Aptos" w:hAnsi="Aptos" w:cs="Calibri"/>
          <w:sz w:val="20"/>
          <w:szCs w:val="20"/>
        </w:rPr>
        <w:t xml:space="preserve"> do Opisu przedmiotu zamówienia, </w:t>
      </w:r>
      <w:r w:rsidR="00EF1767" w:rsidRPr="00EF1767">
        <w:rPr>
          <w:rFonts w:ascii="Aptos" w:hAnsi="Aptos" w:cs="Calibri"/>
          <w:sz w:val="20"/>
          <w:szCs w:val="20"/>
        </w:rPr>
        <w:t>Zapakowane w pudełko wraz z instrukcją</w:t>
      </w:r>
      <w:r w:rsidR="00F3707E">
        <w:rPr>
          <w:rFonts w:ascii="Aptos" w:hAnsi="Aptos" w:cs="Calibri"/>
          <w:sz w:val="20"/>
          <w:szCs w:val="20"/>
        </w:rPr>
        <w:t>,</w:t>
      </w:r>
      <w:r w:rsidR="00EF1767" w:rsidRPr="00EF1767">
        <w:rPr>
          <w:rFonts w:ascii="Aptos" w:hAnsi="Aptos" w:cs="Calibri"/>
          <w:sz w:val="20"/>
          <w:szCs w:val="20"/>
        </w:rPr>
        <w:t xml:space="preserve"> </w:t>
      </w:r>
    </w:p>
    <w:p w14:paraId="571350E7" w14:textId="49E00763" w:rsidR="00EF1767" w:rsidRPr="00EF1767" w:rsidRDefault="00F3707E" w:rsidP="00EF1767">
      <w:pPr>
        <w:pStyle w:val="Akapitzlist"/>
        <w:autoSpaceDE w:val="0"/>
        <w:autoSpaceDN w:val="0"/>
        <w:adjustRightInd w:val="0"/>
        <w:spacing w:after="0" w:line="276" w:lineRule="auto"/>
        <w:ind w:left="2550" w:firstLine="282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>Materiał wykonania kart: p</w:t>
      </w:r>
      <w:r w:rsidR="00EF1767" w:rsidRPr="00EF1767">
        <w:rPr>
          <w:rFonts w:ascii="Aptos" w:hAnsi="Aptos" w:cs="Calibri"/>
          <w:sz w:val="20"/>
          <w:szCs w:val="20"/>
        </w:rPr>
        <w:t>apier</w:t>
      </w:r>
      <w:r>
        <w:rPr>
          <w:rFonts w:ascii="Aptos" w:hAnsi="Aptos" w:cs="Calibri"/>
          <w:sz w:val="20"/>
          <w:szCs w:val="20"/>
        </w:rPr>
        <w:t xml:space="preserve">, </w:t>
      </w:r>
      <w:r w:rsidR="00EF1767" w:rsidRPr="00EF1767">
        <w:rPr>
          <w:rFonts w:ascii="Aptos" w:hAnsi="Aptos" w:cs="Calibri"/>
          <w:sz w:val="20"/>
          <w:szCs w:val="20"/>
        </w:rPr>
        <w:t>kreda mat 350g</w:t>
      </w:r>
      <w:r>
        <w:rPr>
          <w:rFonts w:ascii="Aptos" w:hAnsi="Aptos" w:cs="Calibri"/>
          <w:sz w:val="20"/>
          <w:szCs w:val="20"/>
        </w:rPr>
        <w:t>,</w:t>
      </w:r>
    </w:p>
    <w:p w14:paraId="1B13801E" w14:textId="6F992D6B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2550" w:firstLine="28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Zadruk: dwustronny 4+4</w:t>
      </w:r>
      <w:r w:rsidR="00F3707E">
        <w:rPr>
          <w:rFonts w:ascii="Aptos" w:hAnsi="Aptos" w:cs="Calibri"/>
          <w:sz w:val="20"/>
          <w:szCs w:val="20"/>
        </w:rPr>
        <w:t>,</w:t>
      </w:r>
    </w:p>
    <w:p w14:paraId="5626BC57" w14:textId="22248F46" w:rsidR="00EF1767" w:rsidRP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2550" w:firstLine="28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Format: średnic</w:t>
      </w:r>
      <w:r w:rsidR="00F3707E">
        <w:rPr>
          <w:rFonts w:ascii="Aptos" w:hAnsi="Aptos" w:cs="Calibri"/>
          <w:sz w:val="20"/>
          <w:szCs w:val="20"/>
        </w:rPr>
        <w:t xml:space="preserve">a kart ok. </w:t>
      </w:r>
      <w:r w:rsidRPr="00EF1767">
        <w:rPr>
          <w:rFonts w:ascii="Aptos" w:hAnsi="Aptos" w:cs="Calibri"/>
          <w:sz w:val="20"/>
          <w:szCs w:val="20"/>
        </w:rPr>
        <w:t>90 mm</w:t>
      </w:r>
      <w:r w:rsidR="00F3707E">
        <w:rPr>
          <w:rFonts w:ascii="Aptos" w:hAnsi="Aptos" w:cs="Calibri"/>
          <w:sz w:val="20"/>
          <w:szCs w:val="20"/>
        </w:rPr>
        <w:t>,</w:t>
      </w:r>
    </w:p>
    <w:p w14:paraId="27142D59" w14:textId="5D676819" w:rsidR="00EF1767" w:rsidRDefault="00F3707E" w:rsidP="00EF1767">
      <w:pPr>
        <w:autoSpaceDE w:val="0"/>
        <w:autoSpaceDN w:val="0"/>
        <w:adjustRightInd w:val="0"/>
        <w:spacing w:after="0" w:line="276" w:lineRule="auto"/>
        <w:ind w:left="2832"/>
        <w:jc w:val="both"/>
        <w:rPr>
          <w:rFonts w:ascii="Aptos" w:hAnsi="Aptos" w:cs="Calibri"/>
          <w:sz w:val="20"/>
          <w:szCs w:val="20"/>
        </w:rPr>
      </w:pPr>
      <w:r w:rsidRPr="00C90AB3">
        <w:rPr>
          <w:rFonts w:ascii="Aptos" w:hAnsi="Aptos" w:cs="Calibri"/>
          <w:sz w:val="20"/>
          <w:szCs w:val="20"/>
        </w:rPr>
        <w:t xml:space="preserve">Oznakowanie: sitodruk – </w:t>
      </w:r>
      <w:r w:rsidR="00C90AB3" w:rsidRPr="00C90AB3">
        <w:rPr>
          <w:rFonts w:ascii="Aptos" w:hAnsi="Aptos" w:cs="Calibri"/>
          <w:sz w:val="20"/>
          <w:szCs w:val="20"/>
        </w:rPr>
        <w:t xml:space="preserve">kolorowy </w:t>
      </w:r>
      <w:r w:rsidRPr="00C90AB3">
        <w:rPr>
          <w:rFonts w:ascii="Aptos" w:hAnsi="Aptos" w:cs="Calibri"/>
          <w:sz w:val="20"/>
          <w:szCs w:val="20"/>
        </w:rPr>
        <w:t>logotyp Z</w:t>
      </w:r>
      <w:r w:rsidR="00EF1767" w:rsidRPr="00C90AB3">
        <w:rPr>
          <w:rFonts w:ascii="Aptos" w:hAnsi="Aptos" w:cs="Calibri"/>
          <w:sz w:val="20"/>
          <w:szCs w:val="20"/>
        </w:rPr>
        <w:t>amawiającego</w:t>
      </w:r>
      <w:r w:rsidR="00C90AB3">
        <w:rPr>
          <w:rFonts w:ascii="Aptos" w:hAnsi="Aptos" w:cs="Calibri"/>
          <w:sz w:val="20"/>
          <w:szCs w:val="20"/>
        </w:rPr>
        <w:t xml:space="preserve"> na opakowaniu, zgodnie z wzorem zawartym w załączniku nr 2 do Opisu Przedmiotu Zamówienia.</w:t>
      </w:r>
    </w:p>
    <w:p w14:paraId="4C1C7DB5" w14:textId="520360AF" w:rsidR="00EF1767" w:rsidRPr="00EF1767" w:rsidRDefault="00F3707E" w:rsidP="00EF1767">
      <w:pPr>
        <w:autoSpaceDE w:val="0"/>
        <w:autoSpaceDN w:val="0"/>
        <w:adjustRightInd w:val="0"/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 xml:space="preserve">     </w:t>
      </w:r>
      <w:r w:rsidR="00EF1767" w:rsidRPr="00EF1767">
        <w:rPr>
          <w:rFonts w:ascii="Aptos" w:hAnsi="Aptos" w:cs="Calibri"/>
          <w:sz w:val="20"/>
          <w:szCs w:val="20"/>
        </w:rPr>
        <w:t xml:space="preserve">  </w:t>
      </w:r>
      <w:r>
        <w:rPr>
          <w:rFonts w:ascii="Aptos" w:hAnsi="Aptos" w:cs="Calibri"/>
          <w:sz w:val="20"/>
          <w:szCs w:val="20"/>
        </w:rPr>
        <w:t xml:space="preserve">   </w:t>
      </w:r>
      <w:r w:rsidR="00EF1767" w:rsidRPr="00EF1767">
        <w:rPr>
          <w:rFonts w:ascii="Aptos" w:hAnsi="Aptos" w:cs="Calibri"/>
          <w:sz w:val="20"/>
          <w:szCs w:val="20"/>
        </w:rPr>
        <w:t xml:space="preserve"> (</w:t>
      </w:r>
      <w:r w:rsidR="00EF1767" w:rsidRPr="00EF1767">
        <w:rPr>
          <w:rFonts w:ascii="Aptos" w:hAnsi="Aptos" w:cs="Calibri"/>
          <w:i/>
          <w:iCs/>
          <w:sz w:val="20"/>
          <w:szCs w:val="20"/>
        </w:rPr>
        <w:t>grafika poglądowa</w:t>
      </w:r>
      <w:r w:rsidR="00EF1767" w:rsidRPr="00EF1767">
        <w:rPr>
          <w:rFonts w:ascii="Aptos" w:hAnsi="Aptos" w:cs="Calibri"/>
          <w:sz w:val="20"/>
          <w:szCs w:val="20"/>
        </w:rPr>
        <w:t>)</w:t>
      </w:r>
    </w:p>
    <w:p w14:paraId="7C0F6271" w14:textId="77777777" w:rsidR="00EF1767" w:rsidRDefault="00EF1767" w:rsidP="00EF1767">
      <w:pPr>
        <w:pStyle w:val="Akapitzlist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ptos" w:hAnsi="Aptos" w:cs="Calibri"/>
          <w:sz w:val="20"/>
          <w:szCs w:val="20"/>
        </w:rPr>
      </w:pPr>
    </w:p>
    <w:p w14:paraId="1EF19178" w14:textId="77777777" w:rsidR="00C90AB3" w:rsidRDefault="00C90AB3" w:rsidP="00EF1767">
      <w:pPr>
        <w:pStyle w:val="Akapitzlist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ptos" w:hAnsi="Aptos" w:cs="Calibri"/>
          <w:sz w:val="20"/>
          <w:szCs w:val="20"/>
        </w:rPr>
      </w:pPr>
    </w:p>
    <w:p w14:paraId="5AA6F082" w14:textId="77777777" w:rsidR="00C90AB3" w:rsidRDefault="00C90AB3" w:rsidP="00EF1767">
      <w:pPr>
        <w:pStyle w:val="Akapitzlist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ptos" w:hAnsi="Aptos" w:cs="Calibri"/>
          <w:sz w:val="20"/>
          <w:szCs w:val="20"/>
        </w:rPr>
      </w:pPr>
    </w:p>
    <w:p w14:paraId="407A9A28" w14:textId="77777777" w:rsidR="00C90AB3" w:rsidRDefault="00C90AB3" w:rsidP="00EF1767">
      <w:pPr>
        <w:pStyle w:val="Akapitzlist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ptos" w:hAnsi="Aptos" w:cs="Calibri"/>
          <w:sz w:val="20"/>
          <w:szCs w:val="20"/>
        </w:rPr>
      </w:pPr>
    </w:p>
    <w:p w14:paraId="45D33D60" w14:textId="77777777" w:rsidR="00C90AB3" w:rsidRDefault="00C90AB3" w:rsidP="00EF1767">
      <w:pPr>
        <w:pStyle w:val="Akapitzlist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ptos" w:hAnsi="Aptos" w:cs="Calibri"/>
          <w:sz w:val="20"/>
          <w:szCs w:val="20"/>
        </w:rPr>
      </w:pPr>
    </w:p>
    <w:p w14:paraId="488872C6" w14:textId="77777777" w:rsidR="00C90AB3" w:rsidRDefault="00C90AB3" w:rsidP="00EF1767">
      <w:pPr>
        <w:pStyle w:val="Akapitzlist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ptos" w:hAnsi="Aptos" w:cs="Calibri"/>
          <w:sz w:val="20"/>
          <w:szCs w:val="20"/>
        </w:rPr>
      </w:pPr>
    </w:p>
    <w:p w14:paraId="06A06A80" w14:textId="77777777" w:rsidR="00C90AB3" w:rsidRDefault="00C90AB3" w:rsidP="00EF1767">
      <w:pPr>
        <w:pStyle w:val="Akapitzlist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ptos" w:hAnsi="Aptos" w:cs="Calibri"/>
          <w:sz w:val="20"/>
          <w:szCs w:val="20"/>
        </w:rPr>
      </w:pPr>
    </w:p>
    <w:p w14:paraId="6A8D320A" w14:textId="77777777" w:rsidR="00C90AB3" w:rsidRDefault="00C90AB3" w:rsidP="00EF1767">
      <w:pPr>
        <w:pStyle w:val="Akapitzlist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ptos" w:hAnsi="Aptos" w:cs="Calibri"/>
          <w:sz w:val="20"/>
          <w:szCs w:val="20"/>
        </w:rPr>
      </w:pPr>
    </w:p>
    <w:p w14:paraId="4A031492" w14:textId="77777777" w:rsidR="00C90AB3" w:rsidRDefault="00C90AB3" w:rsidP="00EF1767">
      <w:pPr>
        <w:pStyle w:val="Akapitzlist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ptos" w:hAnsi="Aptos" w:cs="Calibri"/>
          <w:sz w:val="20"/>
          <w:szCs w:val="20"/>
        </w:rPr>
      </w:pPr>
    </w:p>
    <w:p w14:paraId="6D1549B8" w14:textId="77777777" w:rsidR="00C90AB3" w:rsidRPr="00EF1767" w:rsidRDefault="00C90AB3" w:rsidP="00EF1767">
      <w:pPr>
        <w:pStyle w:val="Akapitzlist"/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ptos" w:hAnsi="Aptos" w:cs="Calibri"/>
          <w:sz w:val="20"/>
          <w:szCs w:val="20"/>
        </w:rPr>
      </w:pPr>
    </w:p>
    <w:p w14:paraId="60AEB8F9" w14:textId="77777777" w:rsidR="00CA0D9E" w:rsidRDefault="00EF1767" w:rsidP="00CA0D9E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lastRenderedPageBreak/>
        <w:t xml:space="preserve">Puzzle z nadrukiem </w:t>
      </w:r>
    </w:p>
    <w:p w14:paraId="719B66E0" w14:textId="77777777" w:rsidR="00C90AB3" w:rsidRDefault="00EF1767" w:rsidP="00C90AB3">
      <w:pPr>
        <w:spacing w:after="0" w:line="276" w:lineRule="auto"/>
        <w:ind w:left="2124" w:firstLine="708"/>
        <w:jc w:val="both"/>
        <w:rPr>
          <w:rFonts w:ascii="Aptos" w:hAnsi="Aptos" w:cs="Calibri"/>
          <w:i/>
          <w:iCs/>
          <w:sz w:val="20"/>
          <w:szCs w:val="20"/>
        </w:rPr>
      </w:pPr>
      <w:r w:rsidRPr="00CA0D9E">
        <w:rPr>
          <w:rFonts w:ascii="Aptos" w:hAnsi="Aptos" w:cs="Calibri"/>
          <w:i/>
          <w:iCs/>
          <w:sz w:val="20"/>
          <w:szCs w:val="20"/>
        </w:rPr>
        <w:t>Specyfikacja:</w:t>
      </w:r>
    </w:p>
    <w:p w14:paraId="2430483E" w14:textId="7984AADA" w:rsidR="00EF1767" w:rsidRPr="003C3129" w:rsidRDefault="003C3129" w:rsidP="00C90AB3">
      <w:pPr>
        <w:spacing w:after="0" w:line="276" w:lineRule="auto"/>
        <w:ind w:left="2124" w:firstLine="708"/>
        <w:jc w:val="both"/>
        <w:rPr>
          <w:rFonts w:ascii="Aptos" w:hAnsi="Aptos" w:cs="Calibri"/>
          <w:i/>
          <w:iCs/>
          <w:sz w:val="20"/>
          <w:szCs w:val="20"/>
        </w:rPr>
      </w:pPr>
      <w:r>
        <w:rPr>
          <w:rFonts w:ascii="Aptos" w:hAnsi="Aptos" w:cs="Calibri"/>
          <w:i/>
          <w:iCs/>
          <w:sz w:val="20"/>
          <w:szCs w:val="20"/>
        </w:rPr>
        <w:t xml:space="preserve"> </w:t>
      </w:r>
      <w:r w:rsidR="00EF1767" w:rsidRPr="00EF1767">
        <w:rPr>
          <w:rFonts w:ascii="Aptos" w:hAnsi="Aptos" w:cs="Calibri"/>
          <w:sz w:val="20"/>
          <w:szCs w:val="20"/>
        </w:rPr>
        <w:t>Liczba</w:t>
      </w:r>
      <w:r w:rsidR="00F3707E">
        <w:rPr>
          <w:rFonts w:ascii="Aptos" w:hAnsi="Aptos" w:cs="Calibri"/>
          <w:sz w:val="20"/>
          <w:szCs w:val="20"/>
        </w:rPr>
        <w:t xml:space="preserve"> zestawów</w:t>
      </w:r>
      <w:r w:rsidR="00EF1767" w:rsidRPr="00EF1767">
        <w:rPr>
          <w:rFonts w:ascii="Aptos" w:hAnsi="Aptos" w:cs="Calibri"/>
          <w:sz w:val="20"/>
          <w:szCs w:val="20"/>
        </w:rPr>
        <w:t xml:space="preserve">: 500, </w:t>
      </w:r>
    </w:p>
    <w:p w14:paraId="4E136A25" w14:textId="5BFB6A50" w:rsidR="003C3129" w:rsidRDefault="00C90AB3" w:rsidP="003C3129">
      <w:pPr>
        <w:autoSpaceDE w:val="0"/>
        <w:autoSpaceDN w:val="0"/>
        <w:adjustRightInd w:val="0"/>
        <w:spacing w:after="0" w:line="276" w:lineRule="auto"/>
        <w:ind w:left="283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0B11BFB" wp14:editId="19CE3A00">
            <wp:simplePos x="0" y="0"/>
            <wp:positionH relativeFrom="margin">
              <wp:posOffset>238125</wp:posOffset>
            </wp:positionH>
            <wp:positionV relativeFrom="paragraph">
              <wp:posOffset>509270</wp:posOffset>
            </wp:positionV>
            <wp:extent cx="1266825" cy="1174750"/>
            <wp:effectExtent l="0" t="0" r="9525" b="6350"/>
            <wp:wrapSquare wrapText="bothSides"/>
            <wp:docPr id="1583079711" name="Obraz 1" descr="Obraz zawierający pudełko, Opakowanie i etykietowani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79711" name="Obraz 1" descr="Obraz zawierający pudełko, Opakowanie i etykietowanie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07E">
        <w:rPr>
          <w:rFonts w:ascii="Aptos" w:hAnsi="Aptos" w:cs="Calibri"/>
          <w:sz w:val="20"/>
          <w:szCs w:val="20"/>
        </w:rPr>
        <w:t xml:space="preserve">Opis: </w:t>
      </w:r>
      <w:r w:rsidR="00EF1767" w:rsidRPr="00EF1767">
        <w:rPr>
          <w:rFonts w:ascii="Aptos" w:hAnsi="Aptos" w:cs="Calibri"/>
          <w:sz w:val="20"/>
          <w:szCs w:val="20"/>
        </w:rPr>
        <w:t>150-elementowa układanka puzzl</w:t>
      </w:r>
      <w:r w:rsidR="003C3129">
        <w:rPr>
          <w:rFonts w:ascii="Aptos" w:hAnsi="Aptos" w:cs="Calibri"/>
          <w:sz w:val="20"/>
          <w:szCs w:val="20"/>
        </w:rPr>
        <w:t>i</w:t>
      </w:r>
      <w:r w:rsidR="00EF1767" w:rsidRPr="00EF1767">
        <w:rPr>
          <w:rFonts w:ascii="Aptos" w:hAnsi="Aptos" w:cs="Calibri"/>
          <w:sz w:val="20"/>
          <w:szCs w:val="20"/>
        </w:rPr>
        <w:t xml:space="preserve"> w pudełku</w:t>
      </w:r>
      <w:r w:rsidR="00F3707E">
        <w:rPr>
          <w:rFonts w:ascii="Aptos" w:hAnsi="Aptos" w:cs="Calibri"/>
          <w:sz w:val="20"/>
          <w:szCs w:val="20"/>
        </w:rPr>
        <w:t>, n</w:t>
      </w:r>
      <w:r w:rsidR="00EF1767" w:rsidRPr="00EF1767">
        <w:rPr>
          <w:rFonts w:ascii="Aptos" w:hAnsi="Aptos" w:cs="Calibri"/>
          <w:sz w:val="20"/>
          <w:szCs w:val="20"/>
        </w:rPr>
        <w:t>a puzzlach nadruk</w:t>
      </w:r>
      <w:r w:rsidR="003C3129">
        <w:rPr>
          <w:rFonts w:ascii="Aptos" w:hAnsi="Aptos" w:cs="Calibri"/>
          <w:sz w:val="20"/>
          <w:szCs w:val="20"/>
        </w:rPr>
        <w:t xml:space="preserve"> w koncepcji </w:t>
      </w:r>
      <w:r w:rsidR="00EF1767" w:rsidRPr="00EF1767">
        <w:rPr>
          <w:rFonts w:ascii="Aptos" w:hAnsi="Aptos" w:cs="Calibri"/>
          <w:sz w:val="20"/>
          <w:szCs w:val="20"/>
        </w:rPr>
        <w:t>Key Visual wydarzenia i załącznikiem nr 1</w:t>
      </w:r>
      <w:r w:rsidR="003C3129" w:rsidRPr="003C3129">
        <w:t xml:space="preserve"> </w:t>
      </w:r>
      <w:r w:rsidR="003C3129" w:rsidRPr="003C3129">
        <w:rPr>
          <w:rFonts w:ascii="Aptos" w:hAnsi="Aptos" w:cs="Calibri"/>
          <w:sz w:val="20"/>
          <w:szCs w:val="20"/>
        </w:rPr>
        <w:t>do Opisu przedmiotu zamówienia</w:t>
      </w:r>
      <w:r w:rsidR="003C3129">
        <w:rPr>
          <w:rFonts w:ascii="Aptos" w:hAnsi="Aptos" w:cs="Calibri"/>
          <w:sz w:val="20"/>
          <w:szCs w:val="20"/>
        </w:rPr>
        <w:t>,</w:t>
      </w:r>
      <w:r w:rsidR="003C3129" w:rsidRPr="003C3129">
        <w:rPr>
          <w:rFonts w:ascii="Aptos" w:hAnsi="Aptos" w:cs="Calibri"/>
          <w:sz w:val="20"/>
          <w:szCs w:val="20"/>
        </w:rPr>
        <w:t xml:space="preserve"> </w:t>
      </w:r>
      <w:r w:rsidR="003C3129" w:rsidRPr="00EF1767">
        <w:rPr>
          <w:rFonts w:ascii="Aptos" w:hAnsi="Aptos" w:cs="Calibri"/>
          <w:sz w:val="20"/>
          <w:szCs w:val="20"/>
        </w:rPr>
        <w:t>Nadruk pełnokolorowy, trwały, odporny na ścieranie,</w:t>
      </w:r>
    </w:p>
    <w:p w14:paraId="59888CE0" w14:textId="77777777" w:rsidR="003C3129" w:rsidRDefault="00EF1767" w:rsidP="003C3129">
      <w:pPr>
        <w:autoSpaceDE w:val="0"/>
        <w:autoSpaceDN w:val="0"/>
        <w:adjustRightInd w:val="0"/>
        <w:spacing w:after="0" w:line="276" w:lineRule="auto"/>
        <w:ind w:left="283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Maksymalne wymiary produktu: 17 x 7,5 x 5cm</w:t>
      </w:r>
      <w:r w:rsidR="003C3129">
        <w:rPr>
          <w:rFonts w:ascii="Aptos" w:hAnsi="Aptos" w:cs="Calibri"/>
          <w:sz w:val="20"/>
          <w:szCs w:val="20"/>
        </w:rPr>
        <w:t>,</w:t>
      </w:r>
    </w:p>
    <w:p w14:paraId="645AB81D" w14:textId="77777777" w:rsidR="003C3129" w:rsidRDefault="00EF1767" w:rsidP="003C3129">
      <w:pPr>
        <w:autoSpaceDE w:val="0"/>
        <w:autoSpaceDN w:val="0"/>
        <w:adjustRightInd w:val="0"/>
        <w:spacing w:after="0" w:line="276" w:lineRule="auto"/>
        <w:ind w:left="283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Materiał</w:t>
      </w:r>
      <w:r w:rsidR="003C3129">
        <w:rPr>
          <w:rFonts w:ascii="Aptos" w:hAnsi="Aptos" w:cs="Calibri"/>
          <w:sz w:val="20"/>
          <w:szCs w:val="20"/>
        </w:rPr>
        <w:t xml:space="preserve"> puzzli</w:t>
      </w:r>
      <w:r w:rsidRPr="00EF1767">
        <w:rPr>
          <w:rFonts w:ascii="Aptos" w:hAnsi="Aptos" w:cs="Calibri"/>
          <w:sz w:val="20"/>
          <w:szCs w:val="20"/>
        </w:rPr>
        <w:t>: karton wysokiej jakości, bezpieczny dla dzieci,</w:t>
      </w:r>
    </w:p>
    <w:p w14:paraId="37F96FC9" w14:textId="77777777" w:rsidR="00C90AB3" w:rsidRDefault="00EF1767" w:rsidP="00C90AB3">
      <w:pPr>
        <w:autoSpaceDE w:val="0"/>
        <w:autoSpaceDN w:val="0"/>
        <w:adjustRightInd w:val="0"/>
        <w:spacing w:after="0" w:line="276" w:lineRule="auto"/>
        <w:ind w:left="2832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Opakowanie: kartonowe pudełko z nadrukiem</w:t>
      </w:r>
      <w:r w:rsidR="003C3129">
        <w:rPr>
          <w:rFonts w:ascii="Aptos" w:hAnsi="Aptos" w:cs="Calibri"/>
          <w:sz w:val="20"/>
          <w:szCs w:val="20"/>
        </w:rPr>
        <w:t>,</w:t>
      </w:r>
    </w:p>
    <w:p w14:paraId="42B60781" w14:textId="77777777" w:rsidR="00C90AB3" w:rsidRDefault="00C90AB3" w:rsidP="00C90AB3">
      <w:pPr>
        <w:autoSpaceDE w:val="0"/>
        <w:autoSpaceDN w:val="0"/>
        <w:adjustRightInd w:val="0"/>
        <w:spacing w:after="0" w:line="276" w:lineRule="auto"/>
        <w:ind w:left="2832"/>
        <w:jc w:val="both"/>
        <w:rPr>
          <w:rFonts w:ascii="Aptos" w:hAnsi="Aptos" w:cs="Calibri"/>
          <w:sz w:val="20"/>
          <w:szCs w:val="20"/>
        </w:rPr>
      </w:pPr>
      <w:r w:rsidRPr="00C90AB3">
        <w:rPr>
          <w:rFonts w:ascii="Aptos" w:hAnsi="Aptos" w:cs="Calibri"/>
          <w:sz w:val="20"/>
          <w:szCs w:val="20"/>
        </w:rPr>
        <w:t xml:space="preserve">Oznakowanie: sitodruk – kolorowy logotyp Zamawiającego na opakowaniu, zgodnie z wzorem zawartym w załączniku nr 2 do Opisu Przedmiotu Zamówienia. </w:t>
      </w:r>
    </w:p>
    <w:p w14:paraId="6734B8C2" w14:textId="768D1CBC" w:rsidR="00EF1767" w:rsidRPr="00EF1767" w:rsidRDefault="00C90AB3" w:rsidP="00C90AB3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 xml:space="preserve">    </w:t>
      </w:r>
      <w:r w:rsidR="00EF1767" w:rsidRPr="00EF1767">
        <w:rPr>
          <w:rFonts w:ascii="Aptos" w:hAnsi="Aptos" w:cs="Calibri"/>
          <w:sz w:val="20"/>
          <w:szCs w:val="20"/>
        </w:rPr>
        <w:t>(</w:t>
      </w:r>
      <w:r w:rsidR="00EF1767" w:rsidRPr="00EF1767">
        <w:rPr>
          <w:rFonts w:ascii="Aptos" w:hAnsi="Aptos" w:cs="Calibri"/>
          <w:i/>
          <w:iCs/>
          <w:sz w:val="20"/>
          <w:szCs w:val="20"/>
        </w:rPr>
        <w:t>grafika poglądowa)</w:t>
      </w:r>
    </w:p>
    <w:p w14:paraId="6CA0C7AF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0DD4CB9F" w14:textId="77777777" w:rsidR="003C3129" w:rsidRDefault="00EF1767" w:rsidP="003C312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C3129">
        <w:rPr>
          <w:rFonts w:ascii="Aptos" w:hAnsi="Aptos" w:cs="Calibri"/>
          <w:sz w:val="20"/>
          <w:szCs w:val="20"/>
        </w:rPr>
        <w:t>Zorganizowane aktywności: „Alicja w Krainie Sprawiedliwości”. Wszystkie aktywności muszą być: nieskomplikowane, zabawne, nieoceniające, oparte na rozmowie/wyborach/współpracy, bez języka formalno-prawniczego</w:t>
      </w:r>
      <w:r w:rsidR="003C3129">
        <w:rPr>
          <w:rFonts w:ascii="Aptos" w:hAnsi="Aptos" w:cs="Calibri"/>
          <w:sz w:val="20"/>
          <w:szCs w:val="20"/>
        </w:rPr>
        <w:t>:</w:t>
      </w:r>
    </w:p>
    <w:p w14:paraId="6E76FE6F" w14:textId="77777777" w:rsidR="00564EFE" w:rsidRPr="00564EFE" w:rsidRDefault="00EF1767" w:rsidP="00DA6C68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C3129">
        <w:rPr>
          <w:rFonts w:ascii="Aptos" w:hAnsi="Aptos" w:cs="Calibri"/>
          <w:i/>
          <w:iCs/>
          <w:sz w:val="20"/>
          <w:szCs w:val="20"/>
        </w:rPr>
        <w:t xml:space="preserve">„Labirynt Sprawiedliwych Ścieżek” </w:t>
      </w:r>
    </w:p>
    <w:p w14:paraId="1A10DE46" w14:textId="7F43FE12" w:rsidR="003C3129" w:rsidRPr="00DA6C68" w:rsidRDefault="00EF1767" w:rsidP="00564EFE">
      <w:pPr>
        <w:pStyle w:val="Akapitzlist"/>
        <w:spacing w:after="0" w:line="276" w:lineRule="auto"/>
        <w:ind w:left="1068"/>
        <w:jc w:val="both"/>
        <w:rPr>
          <w:rFonts w:ascii="Aptos" w:hAnsi="Aptos" w:cs="Calibri"/>
          <w:sz w:val="20"/>
          <w:szCs w:val="20"/>
        </w:rPr>
      </w:pPr>
      <w:r w:rsidRPr="00DA6C68">
        <w:rPr>
          <w:rFonts w:ascii="Aptos" w:hAnsi="Aptos" w:cs="Calibri"/>
          <w:sz w:val="20"/>
          <w:szCs w:val="20"/>
        </w:rPr>
        <w:t>Wykonawca zapewni strefę edukacyjno-zabawową w formie lekkiego, modułowego labiryntu dla dzieci, umożliwiającą uczestnikom udział w krótkiej grze polegającej na podejmowaniu prostych decyzji dotyczących wartości takich jak uczciwość, pomoc innym, empatia, odpowiedzialność oraz zgoda.  Labirynt zostanie zlokalizowany w namiocie o łącznych wymiarach ok. 3 × 12 m (dwa połączone namioty o wymiarach 3 × 6 m).</w:t>
      </w:r>
    </w:p>
    <w:p w14:paraId="61C05131" w14:textId="602B4756" w:rsidR="00EF1767" w:rsidRPr="003C3129" w:rsidRDefault="00EF1767" w:rsidP="003C3129">
      <w:pPr>
        <w:pStyle w:val="Akapitzlist"/>
        <w:numPr>
          <w:ilvl w:val="0"/>
          <w:numId w:val="5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C3129">
        <w:rPr>
          <w:rFonts w:ascii="Aptos" w:hAnsi="Aptos" w:cs="Calibri"/>
          <w:sz w:val="20"/>
          <w:szCs w:val="20"/>
        </w:rPr>
        <w:t>W ramach realizacji aktywności Wykonawca</w:t>
      </w:r>
      <w:r w:rsidR="00DA6C68">
        <w:rPr>
          <w:rFonts w:ascii="Aptos" w:hAnsi="Aptos" w:cs="Calibri"/>
          <w:sz w:val="20"/>
          <w:szCs w:val="20"/>
        </w:rPr>
        <w:t xml:space="preserve"> zapewni</w:t>
      </w:r>
      <w:r w:rsidRPr="003C3129">
        <w:rPr>
          <w:rFonts w:ascii="Aptos" w:hAnsi="Aptos" w:cs="Calibri"/>
          <w:sz w:val="20"/>
          <w:szCs w:val="20"/>
        </w:rPr>
        <w:t>:</w:t>
      </w:r>
    </w:p>
    <w:p w14:paraId="29F7ACE1" w14:textId="5A5735DF" w:rsidR="00EF1767" w:rsidRPr="00EF1767" w:rsidRDefault="00EF1767" w:rsidP="00245173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aranżację stanowiska spójną z zaakceptowaną koncepcją Key Visual wydarzenia, w tym kolorystykę, elementy graficzne (banery z nadrukiem na namioty) i dekoracyjne nawiązujące do motywu „Alicja w Krainie Sprawiedliwości”,</w:t>
      </w:r>
    </w:p>
    <w:p w14:paraId="4FB9FA6B" w14:textId="77777777" w:rsidR="00DA6C68" w:rsidRDefault="00EF1767" w:rsidP="00DA6C68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wszystkie elementy scenograficzne, dekoracyjne i graficzne niezbędne do realizacji atrakcji, w tym:</w:t>
      </w:r>
      <w:r w:rsidR="00DA6C68">
        <w:rPr>
          <w:rFonts w:ascii="Aptos" w:hAnsi="Aptos" w:cs="Calibri"/>
          <w:sz w:val="20"/>
          <w:szCs w:val="20"/>
        </w:rPr>
        <w:t xml:space="preserve"> </w:t>
      </w:r>
      <w:r w:rsidRPr="00DA6C68">
        <w:rPr>
          <w:rFonts w:ascii="Aptos" w:hAnsi="Aptos" w:cs="Calibri"/>
          <w:sz w:val="20"/>
          <w:szCs w:val="20"/>
        </w:rPr>
        <w:t>oznaczenia punktów decyzyjnych,</w:t>
      </w:r>
      <w:r w:rsidR="00DA6C68">
        <w:rPr>
          <w:rFonts w:ascii="Aptos" w:hAnsi="Aptos" w:cs="Calibri"/>
          <w:sz w:val="20"/>
          <w:szCs w:val="20"/>
        </w:rPr>
        <w:t xml:space="preserve"> </w:t>
      </w:r>
      <w:r w:rsidRPr="00DA6C68">
        <w:rPr>
          <w:rFonts w:ascii="Aptos" w:hAnsi="Aptos" w:cs="Calibri"/>
          <w:sz w:val="20"/>
          <w:szCs w:val="20"/>
        </w:rPr>
        <w:t>elementy dekoracyjne inspirowane motywem „Alicji w Krainie Sprawiedliwości”,</w:t>
      </w:r>
      <w:r w:rsidR="00DA6C68">
        <w:rPr>
          <w:rFonts w:ascii="Aptos" w:hAnsi="Aptos" w:cs="Calibri"/>
          <w:sz w:val="20"/>
          <w:szCs w:val="20"/>
        </w:rPr>
        <w:t xml:space="preserve"> </w:t>
      </w:r>
      <w:r w:rsidRPr="00DA6C68">
        <w:rPr>
          <w:rFonts w:ascii="Aptos" w:hAnsi="Aptos" w:cs="Calibri"/>
          <w:sz w:val="20"/>
          <w:szCs w:val="20"/>
        </w:rPr>
        <w:t>oznaczenie wejścia, wyjścia oraz strefy finałowej,</w:t>
      </w:r>
    </w:p>
    <w:p w14:paraId="2245B34C" w14:textId="77777777" w:rsidR="00DA6C68" w:rsidRDefault="00EF1767" w:rsidP="00DA6C68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DA6C68">
        <w:rPr>
          <w:rFonts w:ascii="Aptos" w:hAnsi="Aptos" w:cs="Calibri"/>
          <w:sz w:val="20"/>
          <w:szCs w:val="20"/>
        </w:rPr>
        <w:t>rozwiązania organizacyjne umożliwiające jednoczesny udział kilku dzieci w atrakcji (np. w małych grupach), przy zachowaniu bezpieczeństwa oraz płynności korzystania ze strefy przez uczestników wydarzenia</w:t>
      </w:r>
      <w:r w:rsidR="00DA6C68">
        <w:rPr>
          <w:rFonts w:ascii="Aptos" w:hAnsi="Aptos" w:cs="Calibri"/>
          <w:sz w:val="20"/>
          <w:szCs w:val="20"/>
        </w:rPr>
        <w:t>,</w:t>
      </w:r>
    </w:p>
    <w:p w14:paraId="3F4B008E" w14:textId="1FD79F25" w:rsidR="00EF1767" w:rsidRPr="00DA6C68" w:rsidRDefault="00EF1767" w:rsidP="00DA6C68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DA6C68">
        <w:rPr>
          <w:rFonts w:ascii="Aptos" w:hAnsi="Aptos" w:cs="Calibri"/>
          <w:sz w:val="20"/>
          <w:szCs w:val="20"/>
        </w:rPr>
        <w:t xml:space="preserve">modułowy labirynt </w:t>
      </w:r>
      <w:r w:rsidR="00DA6C68">
        <w:rPr>
          <w:rFonts w:ascii="Aptos" w:hAnsi="Aptos" w:cs="Calibri"/>
          <w:sz w:val="20"/>
          <w:szCs w:val="20"/>
        </w:rPr>
        <w:t>(</w:t>
      </w:r>
      <w:r w:rsidR="00DA6C68" w:rsidRPr="00DA6C68">
        <w:rPr>
          <w:rFonts w:ascii="Aptos" w:hAnsi="Aptos" w:cs="Calibri"/>
          <w:sz w:val="20"/>
          <w:szCs w:val="20"/>
        </w:rPr>
        <w:t>zaprojektuje, wykona i zamontuje</w:t>
      </w:r>
      <w:r w:rsidR="00DA6C68">
        <w:rPr>
          <w:rFonts w:ascii="Aptos" w:hAnsi="Aptos" w:cs="Calibri"/>
          <w:sz w:val="20"/>
          <w:szCs w:val="20"/>
        </w:rPr>
        <w:t xml:space="preserve">) </w:t>
      </w:r>
      <w:r w:rsidRPr="00DA6C68">
        <w:rPr>
          <w:rFonts w:ascii="Aptos" w:hAnsi="Aptos" w:cs="Calibri"/>
          <w:sz w:val="20"/>
          <w:szCs w:val="20"/>
        </w:rPr>
        <w:t>składający się z lekkich, stabilnych elementów konstrukcyjnych (np. paneli,</w:t>
      </w:r>
      <w:r w:rsidR="00DA6C68">
        <w:rPr>
          <w:rFonts w:ascii="Aptos" w:hAnsi="Aptos" w:cs="Calibri"/>
          <w:sz w:val="20"/>
          <w:szCs w:val="20"/>
        </w:rPr>
        <w:t xml:space="preserve"> </w:t>
      </w:r>
      <w:r w:rsidRPr="00DA6C68">
        <w:rPr>
          <w:rFonts w:ascii="Aptos" w:hAnsi="Aptos" w:cs="Calibri"/>
          <w:sz w:val="20"/>
          <w:szCs w:val="20"/>
        </w:rPr>
        <w:t>ścianek banerowych lub innych bezpiecznych elementów scenograficznych), umożliwiających utworzenie ścieżek oraz skrzyżowań decyzyjnych,</w:t>
      </w:r>
      <w:r w:rsidR="00DA6C68">
        <w:rPr>
          <w:rFonts w:ascii="Aptos" w:hAnsi="Aptos" w:cs="Calibri"/>
          <w:sz w:val="20"/>
          <w:szCs w:val="20"/>
        </w:rPr>
        <w:t xml:space="preserve"> </w:t>
      </w:r>
      <w:r w:rsidRPr="00DA6C68">
        <w:rPr>
          <w:rFonts w:ascii="Aptos" w:hAnsi="Aptos" w:cs="Calibri"/>
          <w:sz w:val="20"/>
          <w:szCs w:val="20"/>
        </w:rPr>
        <w:t>obejmując</w:t>
      </w:r>
      <w:r w:rsidR="00DA6C68">
        <w:rPr>
          <w:rFonts w:ascii="Aptos" w:hAnsi="Aptos" w:cs="Calibri"/>
          <w:sz w:val="20"/>
          <w:szCs w:val="20"/>
        </w:rPr>
        <w:t>y</w:t>
      </w:r>
      <w:r w:rsidRPr="00DA6C68">
        <w:rPr>
          <w:rFonts w:ascii="Aptos" w:hAnsi="Aptos" w:cs="Calibri"/>
          <w:sz w:val="20"/>
          <w:szCs w:val="20"/>
        </w:rPr>
        <w:t>:</w:t>
      </w:r>
    </w:p>
    <w:p w14:paraId="3B610F71" w14:textId="77777777" w:rsidR="00EF1767" w:rsidRPr="00EF1767" w:rsidRDefault="00EF1767" w:rsidP="00245173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jedną bramę wejściową stylizowaną jako „Brama Królowej Zasad”,</w:t>
      </w:r>
    </w:p>
    <w:p w14:paraId="159A4350" w14:textId="77777777" w:rsidR="00EF1767" w:rsidRPr="00EF1767" w:rsidRDefault="00EF1767" w:rsidP="00245173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minimum cztery punkty decyzyjne (skrzyżowania ścieżek),</w:t>
      </w:r>
    </w:p>
    <w:p w14:paraId="5A14FEB2" w14:textId="77777777" w:rsidR="00EF1767" w:rsidRPr="00EF1767" w:rsidRDefault="00EF1767" w:rsidP="00245173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krótkie „ślepe uliczki” pełniące funkcję refleksyjną,</w:t>
      </w:r>
    </w:p>
    <w:p w14:paraId="28E8FF56" w14:textId="77777777" w:rsidR="00DA6C68" w:rsidRDefault="00EF1767" w:rsidP="00DA6C6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jedno wyjście prowadzące do strefy finałowej – „Sali Zgody”,</w:t>
      </w:r>
    </w:p>
    <w:p w14:paraId="12DCF410" w14:textId="77777777" w:rsidR="00DA6C68" w:rsidRDefault="00EF1767" w:rsidP="00DA6C6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DA6C68">
        <w:rPr>
          <w:rFonts w:ascii="Aptos" w:hAnsi="Aptos" w:cs="Calibri"/>
          <w:sz w:val="20"/>
          <w:szCs w:val="20"/>
        </w:rPr>
        <w:t>odpowiednią szerokość przejść w labiryncie (ok. 80–100 cm), umożliwiającą bezpieczne poruszanie się dzieci oraz płynny przepływ uczestników,</w:t>
      </w:r>
    </w:p>
    <w:p w14:paraId="300B3972" w14:textId="7EBE70E4" w:rsidR="00EF1767" w:rsidRPr="00DA6C68" w:rsidRDefault="00EF1767" w:rsidP="00DA6C68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DA6C68">
        <w:rPr>
          <w:rFonts w:ascii="Aptos" w:hAnsi="Aptos" w:cs="Calibri"/>
          <w:sz w:val="20"/>
          <w:szCs w:val="20"/>
        </w:rPr>
        <w:t>scenariusz zabawy, obejmujący minimum cztery krótkie sytuacje decyzyjne odnoszące się do wartości społecznych, takich jak:</w:t>
      </w:r>
    </w:p>
    <w:p w14:paraId="39A796B1" w14:textId="77777777" w:rsidR="00EF1767" w:rsidRPr="00EF1767" w:rsidRDefault="00EF1767" w:rsidP="0024517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uczciwość i zasady fair play,</w:t>
      </w:r>
    </w:p>
    <w:p w14:paraId="6D4CDAB1" w14:textId="77777777" w:rsidR="00EF1767" w:rsidRPr="00EF1767" w:rsidRDefault="00EF1767" w:rsidP="0024517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pomoc innym,</w:t>
      </w:r>
    </w:p>
    <w:p w14:paraId="386EA2B3" w14:textId="77777777" w:rsidR="00EF1767" w:rsidRPr="00EF1767" w:rsidRDefault="00EF1767" w:rsidP="0024517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lastRenderedPageBreak/>
        <w:t>empatia wobec innych osób,</w:t>
      </w:r>
    </w:p>
    <w:p w14:paraId="0764842C" w14:textId="77777777" w:rsidR="00EF1767" w:rsidRPr="00EF1767" w:rsidRDefault="00EF1767" w:rsidP="0024517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współpraca i zgoda,</w:t>
      </w:r>
    </w:p>
    <w:p w14:paraId="02D513C2" w14:textId="77777777" w:rsidR="00DA6C68" w:rsidRDefault="00EF1767" w:rsidP="00DA6C6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odpowiedzialność za własne zachowanie,</w:t>
      </w:r>
    </w:p>
    <w:p w14:paraId="684C4047" w14:textId="77777777" w:rsidR="00DA6C68" w:rsidRDefault="00EF1767" w:rsidP="00DA6C68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DA6C68">
        <w:rPr>
          <w:rFonts w:ascii="Aptos" w:hAnsi="Aptos" w:cs="Calibri"/>
          <w:sz w:val="20"/>
          <w:szCs w:val="20"/>
        </w:rPr>
        <w:t>treści pytań lub sytuacji w formie dostosowanej do dzieci (krótkie komunikaty, ilustracje, piktogramy lub plansze graficzne), które będą prezentowane uczestnikom w punktach decyzyjnych,</w:t>
      </w:r>
    </w:p>
    <w:p w14:paraId="7AF01D72" w14:textId="77777777" w:rsidR="00DA6C68" w:rsidRDefault="00EF1767" w:rsidP="00DA6C68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DA6C68">
        <w:rPr>
          <w:rFonts w:ascii="Aptos" w:hAnsi="Aptos" w:cs="Calibri"/>
          <w:sz w:val="20"/>
          <w:szCs w:val="20"/>
        </w:rPr>
        <w:t>animatorów prowadzących aktywność, którzy:</w:t>
      </w:r>
    </w:p>
    <w:p w14:paraId="597E7F7B" w14:textId="3A9B1286" w:rsidR="00DA6C68" w:rsidRDefault="00EF1767" w:rsidP="00DA6C68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DA6C68">
        <w:rPr>
          <w:rFonts w:ascii="Aptos" w:hAnsi="Aptos" w:cs="Calibri"/>
          <w:sz w:val="20"/>
          <w:szCs w:val="20"/>
        </w:rPr>
        <w:t>wprowadzą dzieci w zasady zabawy przy wejściu do labiryntu</w:t>
      </w:r>
      <w:r w:rsidR="00564EFE">
        <w:rPr>
          <w:rFonts w:ascii="Aptos" w:hAnsi="Aptos" w:cs="Calibri"/>
          <w:sz w:val="20"/>
          <w:szCs w:val="20"/>
        </w:rPr>
        <w:t>,</w:t>
      </w:r>
    </w:p>
    <w:p w14:paraId="6550DD57" w14:textId="6A227E23" w:rsidR="00DA6C68" w:rsidRDefault="00EF1767" w:rsidP="00DA6C68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DA6C68">
        <w:rPr>
          <w:rFonts w:ascii="Aptos" w:hAnsi="Aptos" w:cs="Calibri"/>
          <w:sz w:val="20"/>
          <w:szCs w:val="20"/>
        </w:rPr>
        <w:t>będą odczytywać pytania lub sytuacje na skrzyżowaniach ścieżek</w:t>
      </w:r>
      <w:r w:rsidR="00564EFE">
        <w:rPr>
          <w:rFonts w:ascii="Aptos" w:hAnsi="Aptos" w:cs="Calibri"/>
          <w:sz w:val="20"/>
          <w:szCs w:val="20"/>
        </w:rPr>
        <w:t>,</w:t>
      </w:r>
    </w:p>
    <w:p w14:paraId="70FC72D3" w14:textId="77777777" w:rsidR="00DA6C68" w:rsidRDefault="00EF1767" w:rsidP="00DA6C68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DA6C68">
        <w:rPr>
          <w:rFonts w:ascii="Aptos" w:hAnsi="Aptos" w:cs="Calibri"/>
          <w:sz w:val="20"/>
          <w:szCs w:val="20"/>
        </w:rPr>
        <w:t>w przystępny sposób wyjaśnią dzieciom znaczenie podejmowanych decyzji,</w:t>
      </w:r>
    </w:p>
    <w:p w14:paraId="69996E62" w14:textId="66FC1D49" w:rsidR="00EF1767" w:rsidRPr="00DA6C68" w:rsidRDefault="00EF1767" w:rsidP="00DA6C68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DA6C68">
        <w:rPr>
          <w:rFonts w:ascii="Aptos" w:hAnsi="Aptos" w:cs="Calibri"/>
          <w:sz w:val="20"/>
          <w:szCs w:val="20"/>
        </w:rPr>
        <w:t>zadbają o bezpieczeństwo uczestników oraz płynność ruchu w labiryncie,</w:t>
      </w:r>
    </w:p>
    <w:p w14:paraId="3E2C9552" w14:textId="72C4B440" w:rsidR="00EF1767" w:rsidRPr="00564EFE" w:rsidRDefault="00EF1767" w:rsidP="00564EFE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finałową przestrzeń labiryntu – „Salę Zgody”, w której dzieci po przejściu atrakcji otrzymają pamiątkowy element uczestnictwa, np.: naklejkę, pieczątkę, z napisem „Odkrywca Sprawiedliwych Ścieżek” lub innym elementem graficznym zgodnym z koncepcją Key Visual wydarzenia</w:t>
      </w:r>
      <w:r w:rsidR="00564EFE">
        <w:rPr>
          <w:rFonts w:ascii="Aptos" w:hAnsi="Aptos" w:cs="Calibri"/>
          <w:sz w:val="20"/>
          <w:szCs w:val="20"/>
        </w:rPr>
        <w:t>.</w:t>
      </w:r>
    </w:p>
    <w:p w14:paraId="2546EA52" w14:textId="77777777" w:rsidR="009320D3" w:rsidRPr="00EF1767" w:rsidRDefault="009320D3" w:rsidP="009320D3">
      <w:pPr>
        <w:pStyle w:val="Akapitzlist"/>
        <w:spacing w:after="0" w:line="276" w:lineRule="auto"/>
        <w:ind w:left="1080"/>
        <w:jc w:val="both"/>
        <w:rPr>
          <w:rFonts w:ascii="Aptos" w:hAnsi="Aptos" w:cs="Calibri"/>
          <w:sz w:val="20"/>
          <w:szCs w:val="20"/>
        </w:rPr>
      </w:pPr>
    </w:p>
    <w:p w14:paraId="34AC1E28" w14:textId="77777777" w:rsidR="00564EFE" w:rsidRDefault="00EF1767" w:rsidP="00564EFE">
      <w:pPr>
        <w:pStyle w:val="Akapitzlist"/>
        <w:numPr>
          <w:ilvl w:val="0"/>
          <w:numId w:val="55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564EFE">
        <w:rPr>
          <w:rFonts w:ascii="Aptos" w:hAnsi="Aptos" w:cs="Calibri"/>
          <w:i/>
          <w:iCs/>
          <w:sz w:val="20"/>
          <w:szCs w:val="20"/>
        </w:rPr>
        <w:t xml:space="preserve">„Herbatka Zgody u Kapelusznika” </w:t>
      </w:r>
    </w:p>
    <w:p w14:paraId="1816B604" w14:textId="77777777" w:rsidR="00564EFE" w:rsidRDefault="00EF1767" w:rsidP="00564EFE">
      <w:pPr>
        <w:pStyle w:val="Akapitzlist"/>
        <w:spacing w:line="276" w:lineRule="auto"/>
        <w:ind w:left="1068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Wykonawca zapewni interaktywną strefę edukacyjno-warsztatową dla dzieci, inspirowaną motywem bajkowej herbatki u Kapelusznika z „Alicji w Krainie Czarów”, umożliwiającą uczestnikom udział w krótkim mini-warsztacie rozmowy i rozwiązywania prostych konfliktów.</w:t>
      </w:r>
      <w:r w:rsidR="00564EFE">
        <w:rPr>
          <w:rFonts w:ascii="Aptos" w:hAnsi="Aptos" w:cs="Calibri"/>
          <w:sz w:val="20"/>
          <w:szCs w:val="20"/>
        </w:rPr>
        <w:t xml:space="preserve"> </w:t>
      </w:r>
      <w:r w:rsidRPr="00EF1767">
        <w:rPr>
          <w:rFonts w:ascii="Aptos" w:hAnsi="Aptos" w:cs="Calibri"/>
          <w:sz w:val="20"/>
          <w:szCs w:val="20"/>
        </w:rPr>
        <w:t>Atrakcja zostanie zlokalizowana w namiocie o wymiarach ok. 3 × 6 m.</w:t>
      </w:r>
    </w:p>
    <w:p w14:paraId="180478B4" w14:textId="3F72A1F2" w:rsidR="00EF1767" w:rsidRPr="00564EFE" w:rsidRDefault="00EF1767" w:rsidP="00564EFE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 ramach realizacji aktywności Wykonawca</w:t>
      </w:r>
      <w:r w:rsidR="00564EFE">
        <w:rPr>
          <w:rFonts w:ascii="Aptos" w:hAnsi="Aptos" w:cs="Calibri"/>
          <w:sz w:val="20"/>
          <w:szCs w:val="20"/>
        </w:rPr>
        <w:t xml:space="preserve"> zapewni</w:t>
      </w:r>
      <w:r w:rsidRPr="00EF1767">
        <w:rPr>
          <w:rFonts w:ascii="Aptos" w:hAnsi="Aptos" w:cs="Calibri"/>
          <w:sz w:val="20"/>
          <w:szCs w:val="20"/>
        </w:rPr>
        <w:t>:</w:t>
      </w:r>
    </w:p>
    <w:p w14:paraId="2F6A556D" w14:textId="77777777" w:rsidR="00564EFE" w:rsidRDefault="00EF1767" w:rsidP="00564EF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 xml:space="preserve">aranżację stanowiska </w:t>
      </w:r>
      <w:r w:rsidR="00564EFE">
        <w:rPr>
          <w:rFonts w:ascii="Aptos" w:hAnsi="Aptos" w:cs="Calibri"/>
          <w:sz w:val="20"/>
          <w:szCs w:val="20"/>
        </w:rPr>
        <w:t xml:space="preserve">(w tym: zaprojektuje) </w:t>
      </w:r>
      <w:r w:rsidRPr="00EF1767">
        <w:rPr>
          <w:rFonts w:ascii="Aptos" w:hAnsi="Aptos" w:cs="Calibri"/>
          <w:sz w:val="20"/>
          <w:szCs w:val="20"/>
        </w:rPr>
        <w:t>w stylistyce bajkowej herbatki, obejmującą w szczególności:</w:t>
      </w:r>
    </w:p>
    <w:p w14:paraId="337690C6" w14:textId="77777777" w:rsidR="00564EFE" w:rsidRDefault="00EF1767" w:rsidP="00564EFE">
      <w:pPr>
        <w:pStyle w:val="Akapitzlist"/>
        <w:numPr>
          <w:ilvl w:val="0"/>
          <w:numId w:val="6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stolik lub stoliki stylizowane na miejsce spotkania przy herbacie,</w:t>
      </w:r>
    </w:p>
    <w:p w14:paraId="1F10BF44" w14:textId="77777777" w:rsidR="00564EFE" w:rsidRDefault="00EF1767" w:rsidP="00564EFE">
      <w:pPr>
        <w:pStyle w:val="Akapitzlist"/>
        <w:numPr>
          <w:ilvl w:val="0"/>
          <w:numId w:val="6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elementy dekoracyjne inspirowane motywem „Alicji w Krainie Czarów” (np. filiżanki, zegary, karty do gry, kapelusze),</w:t>
      </w:r>
    </w:p>
    <w:p w14:paraId="6407A200" w14:textId="77777777" w:rsidR="00564EFE" w:rsidRDefault="00EF1767" w:rsidP="00564EFE">
      <w:pPr>
        <w:pStyle w:val="Akapitzlist"/>
        <w:numPr>
          <w:ilvl w:val="0"/>
          <w:numId w:val="6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dekoracje zgodne z zaakceptowaną koncepcją Key Visual wydarzenia,</w:t>
      </w:r>
    </w:p>
    <w:p w14:paraId="2D58A926" w14:textId="77777777" w:rsidR="00564EFE" w:rsidRDefault="00EF1767" w:rsidP="00564EF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duży, stojący ekran dotykowy lub monitor interaktywny, spełniający co najmniej następujące parametry:</w:t>
      </w:r>
    </w:p>
    <w:p w14:paraId="283A4E2F" w14:textId="77777777" w:rsidR="00564EFE" w:rsidRDefault="00EF1767" w:rsidP="00564EFE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przekątna ekranu: min. 75 cali,</w:t>
      </w:r>
    </w:p>
    <w:p w14:paraId="7AF8FD41" w14:textId="77777777" w:rsidR="00564EFE" w:rsidRDefault="00EF1767" w:rsidP="00564EFE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orientacja: pozioma lub pionowa (portretowa),</w:t>
      </w:r>
    </w:p>
    <w:p w14:paraId="7B1A98E3" w14:textId="77777777" w:rsidR="00564EFE" w:rsidRDefault="00EF1767" w:rsidP="00564EFE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konstrukcja: ekran zamontowany na stabilnym stojaku podłogowym lub statywie, umożliwiającym bezpieczne korzystanie przez dzieci,</w:t>
      </w:r>
    </w:p>
    <w:p w14:paraId="599A5434" w14:textId="77777777" w:rsidR="00564EFE" w:rsidRDefault="00EF1767" w:rsidP="00564EFE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technologia: monitor interaktywny z funkcją dotyku wielopunktowego (minimum 10 punktów dotyku),</w:t>
      </w:r>
    </w:p>
    <w:p w14:paraId="4DD2B7DB" w14:textId="77777777" w:rsidR="00564EFE" w:rsidRDefault="00EF1767" w:rsidP="00564EFE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rozdzielczość: minimum Full HD (1920 × 1080),</w:t>
      </w:r>
    </w:p>
    <w:p w14:paraId="5AE4DF9D" w14:textId="77777777" w:rsidR="00564EFE" w:rsidRDefault="00EF1767" w:rsidP="00564EFE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jasność: min. 350 cd/m², zapewniająca czytelność w warunkach plenerowych lub namiotowych,</w:t>
      </w:r>
    </w:p>
    <w:p w14:paraId="302DEEDA" w14:textId="77777777" w:rsidR="00564EFE" w:rsidRDefault="00EF1767" w:rsidP="00564EFE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powierzchnia ekranu: zabezpieczona szkłem hartowanym lub powłoką ochronną, odporną na intensywne użytkowanie,</w:t>
      </w:r>
    </w:p>
    <w:p w14:paraId="0C8D5ACE" w14:textId="77777777" w:rsidR="00564EFE" w:rsidRDefault="00EF1767" w:rsidP="00564EFE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interfejs użytkownika: przygotowana aplikacja lub prezentacja interaktywna umożliwiająca dzieciom wybór jednej z dziewięciu scenek poprzez dotknięcie numerowanego pola na ekranie: animacja wyboru: po wybraniu numeru odpowiednia karta sceny „odkrywa się” lub „odrywa się” wizualnie od planszy, a następnie na ekranie wyświetlana jest ilustracja przedstawiająca daną sytuację konfliktową, wraz z krótkim opisem</w:t>
      </w:r>
      <w:r w:rsidR="00564EFE">
        <w:rPr>
          <w:rFonts w:ascii="Aptos" w:hAnsi="Aptos" w:cs="Calibri"/>
          <w:sz w:val="20"/>
          <w:szCs w:val="20"/>
        </w:rPr>
        <w:t>,</w:t>
      </w:r>
    </w:p>
    <w:p w14:paraId="3D82BF1E" w14:textId="77777777" w:rsidR="00564EFE" w:rsidRDefault="00EF1767" w:rsidP="00564EFE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lastRenderedPageBreak/>
        <w:t>na ekranie wyświetlana będzie plansza z 9 numerowanymi polami (1–9) stylizowanymi na karty lub elementy gry, nawiązujące do motywu „Alicji w Krainie Czarów”. Po wyborze przez dziecko jednego z pól wyświetlana jest ilustracja sceny sytuacyjnej, np.: dziecko, któremu kolega zabrał misia, dzieci kłócące się o zabawkę, przepychanie się w kolejce, odmowa wspólnej zabawy, sytuacja wymagająca przeprosin</w:t>
      </w:r>
      <w:r w:rsidR="00564EFE">
        <w:rPr>
          <w:rFonts w:ascii="Aptos" w:hAnsi="Aptos" w:cs="Calibri"/>
          <w:sz w:val="20"/>
          <w:szCs w:val="20"/>
        </w:rPr>
        <w:t>,</w:t>
      </w:r>
    </w:p>
    <w:p w14:paraId="588712EA" w14:textId="539EFC75" w:rsidR="00EF1767" w:rsidRPr="00564EFE" w:rsidRDefault="00EF1767" w:rsidP="00564EFE">
      <w:pPr>
        <w:pStyle w:val="Akapitzlist"/>
        <w:numPr>
          <w:ilvl w:val="0"/>
          <w:numId w:val="6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Interfejs powinien być intuicyjny, czytelny wizualnie i dostosowany do dzieci w wieku wczesnoszkolnym, z dużymi elementami graficznymi umożliwiającymi łatwy wybór sceny</w:t>
      </w:r>
      <w:r w:rsidR="00564EFE">
        <w:rPr>
          <w:rFonts w:ascii="Aptos" w:hAnsi="Aptos" w:cs="Calibri"/>
          <w:sz w:val="20"/>
          <w:szCs w:val="20"/>
        </w:rPr>
        <w:t>,</w:t>
      </w:r>
    </w:p>
    <w:p w14:paraId="26B74D62" w14:textId="20CD630E" w:rsidR="00564EFE" w:rsidRDefault="00EF1767" w:rsidP="00564EF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9 scenek sytuacyjnych przedstawionych w formie ilustracji wyświetlanych na ekranie, odnoszących się do codziennych sytuacji znanych dzieciom, takich jak m.in.:</w:t>
      </w:r>
    </w:p>
    <w:p w14:paraId="76CFE797" w14:textId="77777777" w:rsidR="00564EFE" w:rsidRDefault="00EF1767" w:rsidP="00564EFE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spór o zabawkę,</w:t>
      </w:r>
    </w:p>
    <w:p w14:paraId="7F8BD6AA" w14:textId="77777777" w:rsidR="00332E0D" w:rsidRDefault="00EF1767" w:rsidP="00332E0D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564EFE">
        <w:rPr>
          <w:rFonts w:ascii="Aptos" w:hAnsi="Aptos" w:cs="Calibri"/>
          <w:sz w:val="20"/>
          <w:szCs w:val="20"/>
        </w:rPr>
        <w:t>kolejka do gry lub atrakcji,</w:t>
      </w:r>
    </w:p>
    <w:p w14:paraId="489BBBE8" w14:textId="77777777" w:rsidR="00332E0D" w:rsidRDefault="00EF1767" w:rsidP="00332E0D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nieporozumienie między kolegami,</w:t>
      </w:r>
    </w:p>
    <w:p w14:paraId="37F21F7F" w14:textId="77777777" w:rsidR="00332E0D" w:rsidRDefault="00EF1767" w:rsidP="00332E0D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odmowa wspólnej zabawy,</w:t>
      </w:r>
    </w:p>
    <w:p w14:paraId="12A594AA" w14:textId="6DFA5740" w:rsidR="00EF1767" w:rsidRPr="00332E0D" w:rsidRDefault="00EF1767" w:rsidP="00332E0D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sytuacja wymagająca przeprosin,</w:t>
      </w:r>
    </w:p>
    <w:p w14:paraId="47C555D2" w14:textId="77777777" w:rsidR="00332E0D" w:rsidRDefault="00EF1767" w:rsidP="00332E0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zestaw prostych komunikatów i tzw. „magicznych zdań porozumienia”, które będą prezentowane dzieciom podczas warsztatu, np.:</w:t>
      </w:r>
    </w:p>
    <w:p w14:paraId="6ED2DE5C" w14:textId="77777777" w:rsidR="00332E0D" w:rsidRDefault="00EF1767" w:rsidP="00332E0D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„Porozmawiajmy o tym spokojnie”,</w:t>
      </w:r>
    </w:p>
    <w:p w14:paraId="011324C4" w14:textId="77777777" w:rsidR="00332E0D" w:rsidRDefault="00EF1767" w:rsidP="00332E0D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„Możemy się podzielić”,</w:t>
      </w:r>
    </w:p>
    <w:p w14:paraId="77F2D0FF" w14:textId="77777777" w:rsidR="00332E0D" w:rsidRDefault="00EF1767" w:rsidP="00332E0D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„Przepraszam, nie chciałem”,</w:t>
      </w:r>
    </w:p>
    <w:p w14:paraId="62D3385E" w14:textId="4749DEBD" w:rsidR="00EF1767" w:rsidRPr="00332E0D" w:rsidRDefault="00EF1767" w:rsidP="00332E0D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„Jak możemy to rozwiązać razem?”,</w:t>
      </w:r>
    </w:p>
    <w:p w14:paraId="0290AE35" w14:textId="77777777" w:rsidR="00332E0D" w:rsidRDefault="00EF1767" w:rsidP="00332E0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animatora prowadzącego aktywność, który:</w:t>
      </w:r>
    </w:p>
    <w:p w14:paraId="57629D7A" w14:textId="77777777" w:rsidR="00332E0D" w:rsidRDefault="00EF1767" w:rsidP="00332E0D">
      <w:pPr>
        <w:pStyle w:val="Akapitzlist"/>
        <w:numPr>
          <w:ilvl w:val="0"/>
          <w:numId w:val="6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będzie zachęcał dzieci do rozmowy i wspólnego szukania rozwiązania,</w:t>
      </w:r>
    </w:p>
    <w:p w14:paraId="0BB22D57" w14:textId="77777777" w:rsidR="00332E0D" w:rsidRDefault="00EF1767" w:rsidP="00332E0D">
      <w:pPr>
        <w:pStyle w:val="Akapitzlist"/>
        <w:numPr>
          <w:ilvl w:val="0"/>
          <w:numId w:val="6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wyjaśni znaczenie komunikacji i współpracy,</w:t>
      </w:r>
    </w:p>
    <w:p w14:paraId="0C2E055C" w14:textId="77777777" w:rsidR="00332E0D" w:rsidRDefault="00EF1767" w:rsidP="00332E0D">
      <w:pPr>
        <w:pStyle w:val="Akapitzlist"/>
        <w:numPr>
          <w:ilvl w:val="0"/>
          <w:numId w:val="6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poprowadzi mini-warsztat w sposób przyjazny i dostosowany do wieku uczestników,</w:t>
      </w:r>
    </w:p>
    <w:p w14:paraId="044E5567" w14:textId="47552A57" w:rsidR="00EF1767" w:rsidRPr="00332E0D" w:rsidRDefault="00EF1767" w:rsidP="00332E0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aranżację i dekorację stanowiska spójną z koncepcją Key Visual wydarzenia, nawiązującą do motywu „Alicja w Krainie Sprawiedliwości”.</w:t>
      </w:r>
    </w:p>
    <w:p w14:paraId="4C2F0BD6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1E568208" w14:textId="77777777" w:rsidR="00332E0D" w:rsidRDefault="00EF1767" w:rsidP="00332E0D">
      <w:pPr>
        <w:pStyle w:val="Akapitzlist"/>
        <w:numPr>
          <w:ilvl w:val="0"/>
          <w:numId w:val="55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320D3">
        <w:rPr>
          <w:rFonts w:ascii="Aptos" w:hAnsi="Aptos" w:cs="Calibri"/>
          <w:i/>
          <w:iCs/>
          <w:sz w:val="20"/>
          <w:szCs w:val="20"/>
        </w:rPr>
        <w:t>„Mały Sędzia w Krainie Czarów”</w:t>
      </w:r>
    </w:p>
    <w:p w14:paraId="7E80AB7B" w14:textId="77777777" w:rsidR="00332E0D" w:rsidRDefault="00EF1767" w:rsidP="00332E0D">
      <w:pPr>
        <w:pStyle w:val="Akapitzlist"/>
        <w:spacing w:line="276" w:lineRule="auto"/>
        <w:ind w:left="1068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Wykonawca zapewni animację edukacyjną dla dzieci inspirowaną motywem „Alicji w Krainie Czarów”, polegającą na krótkiej interaktywnej zabawie dotyczącej zasad sprawiedliwego zachowania w codziennych sytuacjach.</w:t>
      </w:r>
      <w:r w:rsidR="00332E0D">
        <w:rPr>
          <w:rFonts w:ascii="Aptos" w:hAnsi="Aptos" w:cs="Calibri"/>
          <w:sz w:val="20"/>
          <w:szCs w:val="20"/>
        </w:rPr>
        <w:t xml:space="preserve"> </w:t>
      </w:r>
      <w:r w:rsidRPr="00EF1767">
        <w:rPr>
          <w:rFonts w:ascii="Aptos" w:hAnsi="Aptos" w:cs="Calibri"/>
          <w:sz w:val="20"/>
          <w:szCs w:val="20"/>
        </w:rPr>
        <w:t>Aktywność będzie realizowana w namiocie o wymiarach ok. 3 × 6 m, w tej samej przestrzeni co inne aktywności dla dzieci, m.in. „Herbatka Zgody u Kapelusznika”.</w:t>
      </w:r>
    </w:p>
    <w:p w14:paraId="30BC7018" w14:textId="17D48995" w:rsidR="00EF1767" w:rsidRPr="00332E0D" w:rsidRDefault="00EF1767" w:rsidP="00332E0D">
      <w:pPr>
        <w:pStyle w:val="Akapitzlist"/>
        <w:numPr>
          <w:ilvl w:val="0"/>
          <w:numId w:val="66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 ramach realizacji aktywności Wykonawca</w:t>
      </w:r>
      <w:r w:rsidR="00332E0D">
        <w:rPr>
          <w:rFonts w:ascii="Aptos" w:hAnsi="Aptos" w:cs="Calibri"/>
          <w:sz w:val="20"/>
          <w:szCs w:val="20"/>
        </w:rPr>
        <w:t xml:space="preserve"> zapewni</w:t>
      </w:r>
      <w:r w:rsidRPr="00EF1767">
        <w:rPr>
          <w:rFonts w:ascii="Aptos" w:hAnsi="Aptos" w:cs="Calibri"/>
          <w:sz w:val="20"/>
          <w:szCs w:val="20"/>
        </w:rPr>
        <w:t>:</w:t>
      </w:r>
    </w:p>
    <w:p w14:paraId="2BB8FE19" w14:textId="77777777" w:rsidR="00332E0D" w:rsidRDefault="00332E0D" w:rsidP="00332E0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zestaw krótkich pytań lub sytuacji dotyczących zasad sprawiedliwego zachowania w codziennych sytuacjach, w szczególności takich jak:</w:t>
      </w:r>
    </w:p>
    <w:p w14:paraId="72F8C8E4" w14:textId="77777777" w:rsidR="00332E0D" w:rsidRDefault="00332E0D" w:rsidP="00332E0D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zabranie czyjejś rzeczy bez pytania,</w:t>
      </w:r>
    </w:p>
    <w:p w14:paraId="4D3FBB6D" w14:textId="77777777" w:rsidR="00332E0D" w:rsidRDefault="00332E0D" w:rsidP="00332E0D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wykluczenie z zabawy,</w:t>
      </w:r>
    </w:p>
    <w:p w14:paraId="21063451" w14:textId="77777777" w:rsidR="00332E0D" w:rsidRDefault="00332E0D" w:rsidP="00332E0D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konieczność przeproszenia za błąd,</w:t>
      </w:r>
    </w:p>
    <w:p w14:paraId="0611DA9A" w14:textId="77777777" w:rsidR="00332E0D" w:rsidRPr="00332E0D" w:rsidRDefault="00332E0D" w:rsidP="00332E0D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dzielenie się zabawką,</w:t>
      </w:r>
    </w:p>
    <w:p w14:paraId="7819E195" w14:textId="77777777" w:rsidR="00332E0D" w:rsidRDefault="00EF1767" w:rsidP="00332E0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animatora wcielającego się w postać „Królowej Kier”, wyposażonego w tematyczny kostium obejmujący w szczególności elementy takie jak:</w:t>
      </w:r>
    </w:p>
    <w:p w14:paraId="729985BC" w14:textId="77777777" w:rsidR="00332E0D" w:rsidRDefault="00EF1767" w:rsidP="00332E0D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peleryna lub płaszcz,</w:t>
      </w:r>
    </w:p>
    <w:p w14:paraId="143D2596" w14:textId="77777777" w:rsidR="00332E0D" w:rsidRDefault="00EF1767" w:rsidP="00332E0D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korona,</w:t>
      </w:r>
    </w:p>
    <w:p w14:paraId="7F6FC116" w14:textId="77777777" w:rsidR="00332E0D" w:rsidRDefault="00EF1767" w:rsidP="00332E0D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motywy kart do gry lub serc,</w:t>
      </w:r>
    </w:p>
    <w:p w14:paraId="2A25074D" w14:textId="77777777" w:rsidR="00332E0D" w:rsidRDefault="00332E0D" w:rsidP="00332E0D">
      <w:pPr>
        <w:spacing w:after="0" w:line="276" w:lineRule="auto"/>
        <w:ind w:left="1776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lastRenderedPageBreak/>
        <w:t>A</w:t>
      </w:r>
      <w:r w:rsidR="00EF1767" w:rsidRPr="00332E0D">
        <w:rPr>
          <w:rFonts w:ascii="Aptos" w:hAnsi="Aptos" w:cs="Calibri"/>
          <w:sz w:val="20"/>
          <w:szCs w:val="20"/>
        </w:rPr>
        <w:t xml:space="preserve">nimator </w:t>
      </w:r>
      <w:r>
        <w:rPr>
          <w:rFonts w:ascii="Aptos" w:hAnsi="Aptos" w:cs="Calibri"/>
          <w:sz w:val="20"/>
          <w:szCs w:val="20"/>
        </w:rPr>
        <w:t xml:space="preserve">musi </w:t>
      </w:r>
      <w:r w:rsidR="00EF1767" w:rsidRPr="00332E0D">
        <w:rPr>
          <w:rFonts w:ascii="Aptos" w:hAnsi="Aptos" w:cs="Calibri"/>
          <w:sz w:val="20"/>
          <w:szCs w:val="20"/>
        </w:rPr>
        <w:t>porusza</w:t>
      </w:r>
      <w:r>
        <w:rPr>
          <w:rFonts w:ascii="Aptos" w:hAnsi="Aptos" w:cs="Calibri"/>
          <w:sz w:val="20"/>
          <w:szCs w:val="20"/>
        </w:rPr>
        <w:t xml:space="preserve">ć </w:t>
      </w:r>
      <w:r w:rsidR="00EF1767" w:rsidRPr="00332E0D">
        <w:rPr>
          <w:rFonts w:ascii="Aptos" w:hAnsi="Aptos" w:cs="Calibri"/>
          <w:sz w:val="20"/>
          <w:szCs w:val="20"/>
        </w:rPr>
        <w:t>się po przestrzeni namiotu i prowadzi</w:t>
      </w:r>
      <w:r>
        <w:rPr>
          <w:rFonts w:ascii="Aptos" w:hAnsi="Aptos" w:cs="Calibri"/>
          <w:sz w:val="20"/>
          <w:szCs w:val="20"/>
        </w:rPr>
        <w:t>ć</w:t>
      </w:r>
      <w:r w:rsidR="00EF1767" w:rsidRPr="00332E0D">
        <w:rPr>
          <w:rFonts w:ascii="Aptos" w:hAnsi="Aptos" w:cs="Calibri"/>
          <w:sz w:val="20"/>
          <w:szCs w:val="20"/>
        </w:rPr>
        <w:t xml:space="preserve"> krótkie interakcje z dziećmi uczestniczącymi w innych aktywnościach w strefie</w:t>
      </w:r>
      <w:r>
        <w:rPr>
          <w:rFonts w:ascii="Aptos" w:hAnsi="Aptos" w:cs="Calibri"/>
          <w:sz w:val="20"/>
          <w:szCs w:val="20"/>
        </w:rPr>
        <w:t>. An</w:t>
      </w:r>
      <w:r w:rsidR="00EF1767" w:rsidRPr="00332E0D">
        <w:rPr>
          <w:rFonts w:ascii="Aptos" w:hAnsi="Aptos" w:cs="Calibri"/>
          <w:sz w:val="20"/>
          <w:szCs w:val="20"/>
        </w:rPr>
        <w:t>imator zada</w:t>
      </w:r>
      <w:r>
        <w:rPr>
          <w:rFonts w:ascii="Aptos" w:hAnsi="Aptos" w:cs="Calibri"/>
          <w:sz w:val="20"/>
          <w:szCs w:val="20"/>
        </w:rPr>
        <w:t xml:space="preserve">je </w:t>
      </w:r>
      <w:r w:rsidR="00EF1767" w:rsidRPr="00332E0D">
        <w:rPr>
          <w:rFonts w:ascii="Aptos" w:hAnsi="Aptos" w:cs="Calibri"/>
          <w:sz w:val="20"/>
          <w:szCs w:val="20"/>
        </w:rPr>
        <w:t>dzieciom krótkie pytania dotyczące przedstawionych sytuacji, zachęcając je do wskazania, czy dane zachowanie jest właściwe oraz dlaczego,</w:t>
      </w:r>
    </w:p>
    <w:p w14:paraId="3995F0D0" w14:textId="77777777" w:rsidR="00332E0D" w:rsidRDefault="00EF1767" w:rsidP="00332E0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prowadzenie animacji w sposób przystępny, lekki i zabawowy, dostosowany do wieku dzieci, bez oceniania odpowiedzi uczestników,</w:t>
      </w:r>
    </w:p>
    <w:p w14:paraId="348D9262" w14:textId="07BB5AC5" w:rsidR="00EF1767" w:rsidRPr="00332E0D" w:rsidRDefault="00EF1767" w:rsidP="00332E0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332E0D">
        <w:rPr>
          <w:rFonts w:ascii="Aptos" w:hAnsi="Aptos" w:cs="Calibri"/>
          <w:sz w:val="20"/>
          <w:szCs w:val="20"/>
        </w:rPr>
        <w:t>elementy dekoracyjne stanowiska inspirowane motywem „Alicji w Krainie Czarów” oraz spójne z zaakceptowaną koncepcją Key Visual wydarzenia, w szczególności motywy kart do gry.</w:t>
      </w:r>
    </w:p>
    <w:p w14:paraId="5F98E5D9" w14:textId="77777777" w:rsidR="009320D3" w:rsidRPr="00EF1767" w:rsidRDefault="009320D3" w:rsidP="009320D3">
      <w:pPr>
        <w:pStyle w:val="Akapitzlist"/>
        <w:spacing w:after="0" w:line="276" w:lineRule="auto"/>
        <w:ind w:left="1080"/>
        <w:jc w:val="both"/>
        <w:rPr>
          <w:rFonts w:ascii="Aptos" w:hAnsi="Aptos" w:cs="Calibri"/>
          <w:sz w:val="20"/>
          <w:szCs w:val="20"/>
        </w:rPr>
      </w:pPr>
    </w:p>
    <w:p w14:paraId="673A3AA4" w14:textId="77777777" w:rsidR="00925AF1" w:rsidRDefault="00EF1767" w:rsidP="00925AF1">
      <w:pPr>
        <w:pStyle w:val="Akapitzlist"/>
        <w:numPr>
          <w:ilvl w:val="0"/>
          <w:numId w:val="55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1E790B">
        <w:rPr>
          <w:rFonts w:ascii="Aptos" w:hAnsi="Aptos" w:cs="Calibri"/>
          <w:i/>
          <w:iCs/>
          <w:sz w:val="20"/>
          <w:szCs w:val="20"/>
        </w:rPr>
        <w:t>„Karty Praw Dziecka – Talia Alicji” (memory XXL)</w:t>
      </w:r>
    </w:p>
    <w:p w14:paraId="67FB2A8B" w14:textId="77777777" w:rsidR="00925AF1" w:rsidRDefault="00EF1767" w:rsidP="00925AF1">
      <w:pPr>
        <w:pStyle w:val="Akapitzlist"/>
        <w:spacing w:line="276" w:lineRule="auto"/>
        <w:ind w:left="1068"/>
        <w:jc w:val="both"/>
        <w:rPr>
          <w:rFonts w:ascii="Aptos" w:hAnsi="Aptos" w:cs="Calibri"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Wykonawca zapewni interaktywną strefę gry edukacyjnej w formie wielkoformatowej gry memory inspirowanej motywem kart z „Alicji w Krainie Czarów”.</w:t>
      </w:r>
    </w:p>
    <w:p w14:paraId="72DAD1E5" w14:textId="77777777" w:rsidR="00925AF1" w:rsidRPr="00925AF1" w:rsidRDefault="00EF1767" w:rsidP="00925AF1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 ramach realizacji aktywności Wykonawca</w:t>
      </w:r>
      <w:r w:rsidR="00925AF1">
        <w:rPr>
          <w:rFonts w:ascii="Aptos" w:hAnsi="Aptos" w:cs="Calibri"/>
          <w:sz w:val="20"/>
          <w:szCs w:val="20"/>
        </w:rPr>
        <w:t xml:space="preserve"> zapewni</w:t>
      </w:r>
      <w:r w:rsidRPr="00EF1767">
        <w:rPr>
          <w:rFonts w:ascii="Aptos" w:hAnsi="Aptos" w:cs="Calibri"/>
          <w:sz w:val="20"/>
          <w:szCs w:val="20"/>
        </w:rPr>
        <w:t>:</w:t>
      </w:r>
    </w:p>
    <w:p w14:paraId="14E84158" w14:textId="77777777" w:rsidR="00925AF1" w:rsidRPr="00925AF1" w:rsidRDefault="00EF1767" w:rsidP="00925AF1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zestaw wielkoformatowych kart memory (XXL) umożliwiających grę na dużym stole,</w:t>
      </w:r>
    </w:p>
    <w:p w14:paraId="7F9CCB6A" w14:textId="77777777" w:rsidR="00925AF1" w:rsidRPr="00925AF1" w:rsidRDefault="00EF1767" w:rsidP="00925AF1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minimum 20–30 kart memory tworzących pary kart składających się z:</w:t>
      </w:r>
    </w:p>
    <w:p w14:paraId="25DC9F6F" w14:textId="77777777" w:rsidR="00925AF1" w:rsidRPr="00925AF1" w:rsidRDefault="00EF1767" w:rsidP="00925AF1">
      <w:pPr>
        <w:pStyle w:val="Akapitzlist"/>
        <w:numPr>
          <w:ilvl w:val="0"/>
          <w:numId w:val="71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ilustracji symbolizującej dane prawo dziecka,</w:t>
      </w:r>
    </w:p>
    <w:p w14:paraId="6E93CC4F" w14:textId="77777777" w:rsidR="00925AF1" w:rsidRPr="00925AF1" w:rsidRDefault="00EF1767" w:rsidP="00925AF1">
      <w:pPr>
        <w:pStyle w:val="Akapitzlist"/>
        <w:numPr>
          <w:ilvl w:val="0"/>
          <w:numId w:val="71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krótkiego hasła odnoszącego się do tego prawa,</w:t>
      </w:r>
    </w:p>
    <w:p w14:paraId="49A18D5C" w14:textId="77777777" w:rsidR="00925AF1" w:rsidRPr="00925AF1" w:rsidRDefault="00EF1767" w:rsidP="00925AF1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grafiki kart w sposób przystępny dla dzieci, odnoszące się do takich praw jak:</w:t>
      </w:r>
    </w:p>
    <w:p w14:paraId="72C376A2" w14:textId="77777777" w:rsidR="00925AF1" w:rsidRPr="00925AF1" w:rsidRDefault="00EF1767" w:rsidP="00925AF1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prawo do nauki,</w:t>
      </w:r>
    </w:p>
    <w:p w14:paraId="6D7FE3D2" w14:textId="77777777" w:rsidR="00925AF1" w:rsidRPr="00925AF1" w:rsidRDefault="00EF1767" w:rsidP="00925AF1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prawo do zabawy,</w:t>
      </w:r>
    </w:p>
    <w:p w14:paraId="728B10E1" w14:textId="77777777" w:rsidR="00925AF1" w:rsidRPr="00925AF1" w:rsidRDefault="00EF1767" w:rsidP="00925AF1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prawo do bezpieczeństwa,</w:t>
      </w:r>
    </w:p>
    <w:p w14:paraId="366C5696" w14:textId="77777777" w:rsidR="00925AF1" w:rsidRPr="00925AF1" w:rsidRDefault="00EF1767" w:rsidP="00925AF1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prawo do wyrażania własnego zdania,</w:t>
      </w:r>
    </w:p>
    <w:p w14:paraId="7C9456E6" w14:textId="77777777" w:rsidR="00925AF1" w:rsidRPr="00925AF1" w:rsidRDefault="00EF1767" w:rsidP="00925AF1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prawo do opieki i pomocy,</w:t>
      </w:r>
    </w:p>
    <w:p w14:paraId="05411332" w14:textId="77777777" w:rsidR="00925AF1" w:rsidRPr="00925AF1" w:rsidRDefault="00EF1767" w:rsidP="00925AF1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wykonanie kart z trwałych i bezpiecznych materiałów, umożliwiających wielokrotne użytkowanie podczas wydarzenia,</w:t>
      </w:r>
    </w:p>
    <w:p w14:paraId="2BE8C524" w14:textId="77777777" w:rsidR="00925AF1" w:rsidRPr="00925AF1" w:rsidRDefault="00EF1767" w:rsidP="00925AF1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animatora prowadzącego grę, który:</w:t>
      </w:r>
    </w:p>
    <w:p w14:paraId="66E587C2" w14:textId="77777777" w:rsidR="00925AF1" w:rsidRPr="00925AF1" w:rsidRDefault="00EF1767" w:rsidP="00925AF1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wyjaśni zasady memory,</w:t>
      </w:r>
    </w:p>
    <w:p w14:paraId="740F60DB" w14:textId="77777777" w:rsidR="00925AF1" w:rsidRPr="00925AF1" w:rsidRDefault="00EF1767" w:rsidP="00925AF1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będzie wspierał dzieci podczas zabawy,</w:t>
      </w:r>
    </w:p>
    <w:p w14:paraId="68F258B6" w14:textId="785F1E03" w:rsidR="00EF1767" w:rsidRPr="00925AF1" w:rsidRDefault="00EF1767" w:rsidP="00925AF1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Aptos" w:hAnsi="Aptos" w:cs="Calibri"/>
          <w:i/>
          <w:iCs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w prosty sposób objaśni znaczenie przedstawionych praw dziecka,</w:t>
      </w:r>
    </w:p>
    <w:p w14:paraId="17441EEA" w14:textId="77777777" w:rsidR="00925AF1" w:rsidRDefault="00EF1767" w:rsidP="00925AF1">
      <w:pPr>
        <w:pStyle w:val="Akapitzlist"/>
        <w:numPr>
          <w:ilvl w:val="0"/>
          <w:numId w:val="7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możliwość wspólnej gry kilku dzieci jednocześnie, zachęcając do współpracy,</w:t>
      </w:r>
    </w:p>
    <w:p w14:paraId="73F4BA5C" w14:textId="77777777" w:rsidR="00925AF1" w:rsidRDefault="00EF1767" w:rsidP="00925AF1">
      <w:pPr>
        <w:pStyle w:val="Akapitzlist"/>
        <w:numPr>
          <w:ilvl w:val="0"/>
          <w:numId w:val="7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pamiątkową naklejkę z motywem „Talii Alicji” nawiązującą do praw dziecka,</w:t>
      </w:r>
    </w:p>
    <w:p w14:paraId="59919347" w14:textId="5C24343C" w:rsidR="00EF1767" w:rsidRPr="00925AF1" w:rsidRDefault="00EF1767" w:rsidP="00925AF1">
      <w:pPr>
        <w:pStyle w:val="Akapitzlist"/>
        <w:numPr>
          <w:ilvl w:val="0"/>
          <w:numId w:val="75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aranżację i dekorację stanowiska zgodną z koncepcją Key Visual wydarzenia.</w:t>
      </w:r>
    </w:p>
    <w:p w14:paraId="0F59F724" w14:textId="77777777" w:rsidR="00925AF1" w:rsidRDefault="00925AF1" w:rsidP="00925AF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>Z</w:t>
      </w:r>
      <w:r w:rsidRPr="00925AF1">
        <w:rPr>
          <w:rFonts w:ascii="Aptos" w:hAnsi="Aptos" w:cs="Calibri"/>
          <w:sz w:val="20"/>
          <w:szCs w:val="20"/>
        </w:rPr>
        <w:t>apewnienie gaśnicy przenośnej proszkowej typu GP4x ABC lub wodnopianowej typu GWP4x AB o masie środka gaśniczego nie mniejszej niż 4 kg</w:t>
      </w:r>
      <w:r>
        <w:rPr>
          <w:rFonts w:ascii="Aptos" w:hAnsi="Aptos" w:cs="Calibri"/>
          <w:sz w:val="20"/>
          <w:szCs w:val="20"/>
        </w:rPr>
        <w:t>.</w:t>
      </w:r>
    </w:p>
    <w:p w14:paraId="7AB6C2A6" w14:textId="3104C1B9" w:rsidR="00925AF1" w:rsidRPr="00925AF1" w:rsidRDefault="00925AF1" w:rsidP="00925AF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925AF1">
        <w:rPr>
          <w:rFonts w:ascii="Aptos" w:hAnsi="Aptos" w:cs="Calibri"/>
          <w:sz w:val="20"/>
          <w:szCs w:val="20"/>
        </w:rPr>
        <w:t>Opracowanie raportu końcowego z realizacji wydarzenia w postaci prezentacji, w terminie 3 dni od daty realizacji Wydarzenia</w:t>
      </w:r>
      <w:r>
        <w:rPr>
          <w:rFonts w:ascii="Aptos" w:hAnsi="Aptos" w:cs="Calibri"/>
          <w:sz w:val="20"/>
          <w:szCs w:val="20"/>
        </w:rPr>
        <w:t>.</w:t>
      </w:r>
    </w:p>
    <w:p w14:paraId="2677B5C6" w14:textId="77777777" w:rsidR="00EF1767" w:rsidRPr="00EF1767" w:rsidRDefault="00EF1767" w:rsidP="00EF1767">
      <w:pPr>
        <w:spacing w:after="0" w:line="276" w:lineRule="auto"/>
        <w:ind w:left="360"/>
        <w:jc w:val="both"/>
        <w:rPr>
          <w:rFonts w:ascii="Aptos" w:hAnsi="Aptos" w:cs="Calibri"/>
          <w:sz w:val="20"/>
          <w:szCs w:val="20"/>
        </w:rPr>
      </w:pPr>
    </w:p>
    <w:p w14:paraId="113C2B7F" w14:textId="688F3FF4" w:rsidR="001E790B" w:rsidRPr="00925AF1" w:rsidRDefault="00EF1767" w:rsidP="00925AF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ptos" w:hAnsi="Aptos" w:cs="Calibri"/>
          <w:b/>
          <w:bCs/>
          <w:sz w:val="20"/>
          <w:szCs w:val="20"/>
        </w:rPr>
      </w:pPr>
      <w:r w:rsidRPr="00EF1767">
        <w:rPr>
          <w:rFonts w:ascii="Aptos" w:hAnsi="Aptos" w:cs="Calibri"/>
          <w:b/>
          <w:bCs/>
          <w:sz w:val="20"/>
          <w:szCs w:val="20"/>
        </w:rPr>
        <w:t xml:space="preserve">Informacje dodatkowe: </w:t>
      </w:r>
    </w:p>
    <w:p w14:paraId="68354E08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Wydarzenie ma charakter plenerowy. Docelową grupą odbiorców są dzieci i młodzież.</w:t>
      </w:r>
    </w:p>
    <w:p w14:paraId="5FFF6DFC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Montaż stanowiska nastąpi w dniu i godzinach wskazanych przez Zamawiającego ustalonych z KPRM. W przypadku montażu stanowiska w dniu poprzedzającym dzień wydarzenia Wykonawca zobowiązany jest zabezpieczyć wszystkie zamontowane elementy stanowiska przed niekorzystnymi warunkami atmosferycznymi (w tym: deszczem, burzą).</w:t>
      </w:r>
    </w:p>
    <w:p w14:paraId="652B37A8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zapewni gotowość stanowiska i animatorów wraz z atrakcjami najpóźniej godzinę przed rozpoczęciem wydarzenia.</w:t>
      </w:r>
    </w:p>
    <w:p w14:paraId="46032370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poda do dnia wskazanego przez Zamawiającego pełną listę osób (zawierającą: imię, nazwisko, PESEL) biorących udział w wykonaniu przedmiotu umowy po stronie Wykonawcy.</w:t>
      </w:r>
    </w:p>
    <w:p w14:paraId="01735FC0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lastRenderedPageBreak/>
        <w:t>Wykonawca skieruje do realizacji zamówienia wyłącznie osoby nieskazane prawomocnym wyrokiem sądu za umyślne przestępstwo lub umyślne przestępstwo skarbowe.</w:t>
      </w:r>
    </w:p>
    <w:p w14:paraId="422CF6FB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KPRM w każdym czasie może odmówić bez podania przyczyny udziału wskazanej przez Wykonawcę osoby w wydarzeniu. W takim wypadku Wykonawca ma obowiązek wskazania kolejnej osoby, która zostanie zaakceptowana przez KPRM i uzupełnienia powstałego wakatu.</w:t>
      </w:r>
    </w:p>
    <w:p w14:paraId="520BD7CC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Zamawiający nie dopuszcza możliwości stosowania przez Wykonawcę własnego brandingu, w szczególności poprzez identyfikację pochodzenia świadczonych przez niego usług.</w:t>
      </w:r>
    </w:p>
    <w:p w14:paraId="2B627F88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Na terenie wydarzenia, w dniu wydarzenia nie mogą stać żadne pojazdy.</w:t>
      </w:r>
    </w:p>
    <w:p w14:paraId="7CC356C0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Na terenie wydarzenia jest możliwość udostępnienia Wykonawcy przyłącza do prądu 230V, Wykonawca z tego tytułu nie ponosi żadnych dodatkowych kosztów.</w:t>
      </w:r>
    </w:p>
    <w:p w14:paraId="6CE3F57D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Zamawiający informuje o obowiązku posiadania dokumentu tożsamości przez każdą z osób wyznaczoną do realizacji przedmiotu umowy przez Wykonawcę w związku z realizacja umowy na obszarze KPRM.</w:t>
      </w:r>
    </w:p>
    <w:p w14:paraId="004DB26D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i jego przedstawiciele skierowani do realizacji przedmiotu umowy są zobowiązani do zapoznania się i przestrzegania regulaminu imprezy oraz instrukcji postępowania w przypadku powstania pożaru lub innego miejscowego zagrożenia w miejscu i w czasie Imprezy, które Zamawiający udostępni Wykonawcy oraz przepisów ogólnie obowiązujących w zakresie ochrony przeciwpożarowej i bhp.</w:t>
      </w:r>
    </w:p>
    <w:p w14:paraId="3FC2B65F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Wykonawca zobowiązany jest stosować się na terenie wydarzenia do zarządzeń i poleceń SOP oraz upoważnionych przedstawicieli KPRM.</w:t>
      </w:r>
    </w:p>
    <w:p w14:paraId="2BDB2BE3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Na terenie wydarzenia obowiązuje zakaz prowadzenia sprzedaży produktów.</w:t>
      </w:r>
    </w:p>
    <w:p w14:paraId="122F6F5F" w14:textId="77777777" w:rsidR="00EF1767" w:rsidRPr="00EF1767" w:rsidRDefault="00EF1767" w:rsidP="0024517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bookmarkStart w:id="0" w:name="_Hlk194068169"/>
      <w:r w:rsidRPr="00EF1767">
        <w:rPr>
          <w:rFonts w:ascii="Aptos" w:hAnsi="Aptos" w:cs="Calibri"/>
          <w:sz w:val="20"/>
          <w:szCs w:val="20"/>
        </w:rPr>
        <w:t>Dodatkowe wymagania dotyczące stoisk/namiotów:</w:t>
      </w:r>
    </w:p>
    <w:p w14:paraId="10A99575" w14:textId="77777777" w:rsidR="00EF1767" w:rsidRPr="00EF1767" w:rsidRDefault="00EF1767" w:rsidP="0024517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drewniane lub drewnopochodne elementy podestów sceny oraz podłogi w obiektach namiotowych powinny być wykonane z materiałów zabezpieczonych do stopnia trudno zapalności (klasy reakcji na ogień co najmniej D-s1),</w:t>
      </w:r>
    </w:p>
    <w:p w14:paraId="646782BE" w14:textId="006E0F6A" w:rsidR="00EF1767" w:rsidRPr="00925AF1" w:rsidRDefault="00EF1767" w:rsidP="00925AF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 w:rsidRPr="00EF1767">
        <w:rPr>
          <w:rFonts w:ascii="Aptos" w:hAnsi="Aptos" w:cs="Calibri"/>
          <w:sz w:val="20"/>
          <w:szCs w:val="20"/>
        </w:rPr>
        <w:t>wszystkie obiekty tymczasowe typu namiotowego lub z obudową pneumatyczną, które będą lokalizowane na terenie imprezy masowej powinny spełniać wymagania Polskiej Normy PN-EN 13782:2007 Obiekty tymczasowe - Namioty – Bezpieczeństwo</w:t>
      </w:r>
      <w:r w:rsidR="00925AF1">
        <w:rPr>
          <w:rFonts w:ascii="Aptos" w:hAnsi="Aptos" w:cs="Calibri"/>
          <w:sz w:val="20"/>
          <w:szCs w:val="20"/>
        </w:rPr>
        <w:t>.</w:t>
      </w:r>
    </w:p>
    <w:bookmarkEnd w:id="0"/>
    <w:p w14:paraId="720FA19D" w14:textId="77777777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color w:val="FF0000"/>
          <w:sz w:val="20"/>
          <w:szCs w:val="20"/>
        </w:rPr>
      </w:pPr>
    </w:p>
    <w:p w14:paraId="2AB73FE2" w14:textId="77777777" w:rsid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3D583100" w14:textId="77777777" w:rsid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2D035192" w14:textId="77777777" w:rsid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245BE2F2" w14:textId="77777777" w:rsidR="00CC2ED6" w:rsidRDefault="00CC2ED6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452E45B8" w14:textId="77777777" w:rsidR="00CC2ED6" w:rsidRDefault="00CC2ED6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6C9C85D5" w14:textId="77777777" w:rsidR="00CC2ED6" w:rsidRDefault="00CC2ED6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331BCC85" w14:textId="77777777" w:rsidR="00CC2ED6" w:rsidRDefault="00CC2ED6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2A12B2A2" w14:textId="77777777" w:rsidR="00CC2ED6" w:rsidRDefault="00CC2ED6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1BE97797" w14:textId="77777777" w:rsidR="00CC2ED6" w:rsidRDefault="00CC2ED6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48F1BAA0" w14:textId="77777777" w:rsidR="00CC2ED6" w:rsidRDefault="00CC2ED6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6F04BD4A" w14:textId="77777777" w:rsidR="00CC2ED6" w:rsidRDefault="00CC2ED6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7C2FD587" w14:textId="77777777" w:rsidR="00925AF1" w:rsidRDefault="00925AF1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22FBE027" w14:textId="77777777" w:rsidR="00925AF1" w:rsidRDefault="00925AF1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3E73016E" w14:textId="77777777" w:rsidR="00925AF1" w:rsidRDefault="00925AF1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008DFC39" w14:textId="77777777" w:rsidR="00925AF1" w:rsidRDefault="00925AF1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602FD71E" w14:textId="77777777" w:rsidR="00925AF1" w:rsidRDefault="00925AF1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43862EB2" w14:textId="77777777" w:rsidR="00925AF1" w:rsidRDefault="00925AF1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3B6E0105" w14:textId="77777777" w:rsidR="00925AF1" w:rsidRDefault="00925AF1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13051B6A" w14:textId="77777777" w:rsidR="00925AF1" w:rsidRDefault="00925AF1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0B256EEA" w14:textId="77777777" w:rsidR="00925AF1" w:rsidRDefault="00925AF1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23DF2ED8" w14:textId="77777777" w:rsidR="00C90AB3" w:rsidRDefault="00C90AB3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5CB80822" w14:textId="2B1D735B" w:rsidR="00EF1767" w:rsidRPr="00EF1767" w:rsidRDefault="00C90AB3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lastRenderedPageBreak/>
        <w:t>Z</w:t>
      </w:r>
      <w:r w:rsidR="00EF1767" w:rsidRPr="00EF1767">
        <w:rPr>
          <w:rFonts w:ascii="Aptos" w:hAnsi="Aptos" w:cs="Calibri"/>
          <w:sz w:val="20"/>
          <w:szCs w:val="20"/>
        </w:rPr>
        <w:t>ałącznik nr 1</w:t>
      </w:r>
    </w:p>
    <w:p w14:paraId="1B1CE32F" w14:textId="42241D73" w:rsidR="00EF1767" w:rsidRPr="00EF1767" w:rsidRDefault="00CC2ED6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t>„</w:t>
      </w:r>
      <w:r w:rsidR="00EF1767" w:rsidRPr="00EF1767">
        <w:rPr>
          <w:rFonts w:ascii="Aptos" w:hAnsi="Aptos" w:cs="Calibri"/>
          <w:sz w:val="20"/>
          <w:szCs w:val="20"/>
        </w:rPr>
        <w:t>Plakat wydarzenia</w:t>
      </w:r>
      <w:r>
        <w:rPr>
          <w:rFonts w:ascii="Aptos" w:hAnsi="Aptos" w:cs="Calibri"/>
          <w:sz w:val="20"/>
          <w:szCs w:val="20"/>
        </w:rPr>
        <w:t>”</w:t>
      </w:r>
    </w:p>
    <w:p w14:paraId="3E444BF4" w14:textId="5B191DBC" w:rsidR="00EF1767" w:rsidRPr="00EF1767" w:rsidRDefault="00EF1767" w:rsidP="00EF1767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</w:p>
    <w:p w14:paraId="369E56C9" w14:textId="57B27FBB" w:rsidR="00CB664C" w:rsidRDefault="00EF1767" w:rsidP="00EF1767">
      <w:pPr>
        <w:spacing w:line="276" w:lineRule="auto"/>
        <w:rPr>
          <w:rFonts w:ascii="Aptos" w:hAnsi="Aptos"/>
          <w:sz w:val="20"/>
          <w:szCs w:val="20"/>
        </w:rPr>
      </w:pPr>
      <w:r w:rsidRPr="00EF1767">
        <w:rPr>
          <w:rFonts w:ascii="Aptos" w:hAnsi="Aptos"/>
          <w:noProof/>
          <w:sz w:val="20"/>
          <w:szCs w:val="20"/>
        </w:rPr>
        <w:drawing>
          <wp:inline distT="0" distB="0" distL="0" distR="0" wp14:anchorId="75DB11AE" wp14:editId="64BD2A67">
            <wp:extent cx="5514989" cy="7764969"/>
            <wp:effectExtent l="0" t="0" r="0" b="7620"/>
            <wp:docPr id="9057099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709944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89" cy="776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6CC3" w14:textId="77777777" w:rsidR="00EF1767" w:rsidRDefault="00EF1767" w:rsidP="00EF1767">
      <w:pPr>
        <w:spacing w:line="276" w:lineRule="auto"/>
        <w:rPr>
          <w:rFonts w:ascii="Aptos" w:hAnsi="Aptos"/>
          <w:sz w:val="20"/>
          <w:szCs w:val="20"/>
        </w:rPr>
      </w:pPr>
    </w:p>
    <w:p w14:paraId="4E741AC1" w14:textId="77777777" w:rsidR="00EF1767" w:rsidRDefault="00EF1767" w:rsidP="00EF1767">
      <w:pPr>
        <w:spacing w:line="276" w:lineRule="auto"/>
        <w:rPr>
          <w:rFonts w:ascii="Aptos" w:hAnsi="Aptos"/>
          <w:sz w:val="20"/>
          <w:szCs w:val="20"/>
        </w:rPr>
      </w:pPr>
    </w:p>
    <w:p w14:paraId="1D022819" w14:textId="77777777" w:rsidR="00C90AB3" w:rsidRPr="00EF1767" w:rsidRDefault="00C90AB3" w:rsidP="00C90AB3">
      <w:pPr>
        <w:spacing w:after="0" w:line="276" w:lineRule="auto"/>
        <w:jc w:val="both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lastRenderedPageBreak/>
        <w:t>Z</w:t>
      </w:r>
      <w:r w:rsidRPr="00EF1767">
        <w:rPr>
          <w:rFonts w:ascii="Aptos" w:hAnsi="Aptos" w:cs="Calibri"/>
          <w:sz w:val="20"/>
          <w:szCs w:val="20"/>
        </w:rPr>
        <w:t>ałącznik nr 1</w:t>
      </w:r>
    </w:p>
    <w:p w14:paraId="771FE0DB" w14:textId="578F5018" w:rsidR="00C90AB3" w:rsidRDefault="00C90AB3" w:rsidP="00EF1767">
      <w:pPr>
        <w:spacing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Logotyp Zamawiającego </w:t>
      </w:r>
    </w:p>
    <w:p w14:paraId="22AE0ACF" w14:textId="77C84042" w:rsidR="00C90AB3" w:rsidRDefault="00E92A22" w:rsidP="00EF1767">
      <w:pPr>
        <w:spacing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drawing>
          <wp:inline distT="0" distB="0" distL="0" distR="0" wp14:anchorId="147ED151" wp14:editId="515CFBCC">
            <wp:extent cx="2713371" cy="2905125"/>
            <wp:effectExtent l="0" t="0" r="0" b="0"/>
            <wp:docPr id="1820985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3" cy="2913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5E9CC" w14:textId="77777777" w:rsidR="00C90AB3" w:rsidRPr="00EF1767" w:rsidRDefault="00C90AB3" w:rsidP="00EF1767">
      <w:pPr>
        <w:spacing w:line="276" w:lineRule="auto"/>
        <w:rPr>
          <w:rFonts w:ascii="Aptos" w:hAnsi="Aptos"/>
          <w:sz w:val="20"/>
          <w:szCs w:val="20"/>
        </w:rPr>
      </w:pPr>
    </w:p>
    <w:sectPr w:rsidR="00C90AB3" w:rsidRPr="00EF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859"/>
    <w:multiLevelType w:val="hybridMultilevel"/>
    <w:tmpl w:val="7228EC4A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24245B3"/>
    <w:multiLevelType w:val="hybridMultilevel"/>
    <w:tmpl w:val="2EA60E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1441F"/>
    <w:multiLevelType w:val="hybridMultilevel"/>
    <w:tmpl w:val="F8F0A7FC"/>
    <w:lvl w:ilvl="0" w:tplc="E5F236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254C4"/>
    <w:multiLevelType w:val="hybridMultilevel"/>
    <w:tmpl w:val="4156EB4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076C6C1F"/>
    <w:multiLevelType w:val="hybridMultilevel"/>
    <w:tmpl w:val="EB82A23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78235BE"/>
    <w:multiLevelType w:val="hybridMultilevel"/>
    <w:tmpl w:val="F65E0CB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0B18373B"/>
    <w:multiLevelType w:val="hybridMultilevel"/>
    <w:tmpl w:val="2124C6D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1B2E7D"/>
    <w:multiLevelType w:val="hybridMultilevel"/>
    <w:tmpl w:val="5874F6A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0C777535"/>
    <w:multiLevelType w:val="hybridMultilevel"/>
    <w:tmpl w:val="020CEE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205D42"/>
    <w:multiLevelType w:val="hybridMultilevel"/>
    <w:tmpl w:val="DCB0D12A"/>
    <w:lvl w:ilvl="0" w:tplc="0415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0" w15:restartNumberingAfterBreak="0">
    <w:nsid w:val="11DA1E19"/>
    <w:multiLevelType w:val="hybridMultilevel"/>
    <w:tmpl w:val="062620EE"/>
    <w:lvl w:ilvl="0" w:tplc="4AB80180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2C6649E"/>
    <w:multiLevelType w:val="hybridMultilevel"/>
    <w:tmpl w:val="485C7D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76D6439"/>
    <w:multiLevelType w:val="hybridMultilevel"/>
    <w:tmpl w:val="3496A98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E13F03"/>
    <w:multiLevelType w:val="hybridMultilevel"/>
    <w:tmpl w:val="219A65A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C465624"/>
    <w:multiLevelType w:val="hybridMultilevel"/>
    <w:tmpl w:val="58A673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CD54584"/>
    <w:multiLevelType w:val="hybridMultilevel"/>
    <w:tmpl w:val="0204C2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F62F35"/>
    <w:multiLevelType w:val="hybridMultilevel"/>
    <w:tmpl w:val="AF12E9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23830"/>
    <w:multiLevelType w:val="hybridMultilevel"/>
    <w:tmpl w:val="D242E8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536764"/>
    <w:multiLevelType w:val="hybridMultilevel"/>
    <w:tmpl w:val="54DCF4D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26D858BC"/>
    <w:multiLevelType w:val="hybridMultilevel"/>
    <w:tmpl w:val="0EA0571E"/>
    <w:lvl w:ilvl="0" w:tplc="0415000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</w:abstractNum>
  <w:abstractNum w:abstractNumId="20" w15:restartNumberingAfterBreak="0">
    <w:nsid w:val="279C46C6"/>
    <w:multiLevelType w:val="hybridMultilevel"/>
    <w:tmpl w:val="6D3C1F18"/>
    <w:lvl w:ilvl="0" w:tplc="E1A87D60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7BD3707"/>
    <w:multiLevelType w:val="hybridMultilevel"/>
    <w:tmpl w:val="392CA266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2E453FBC"/>
    <w:multiLevelType w:val="hybridMultilevel"/>
    <w:tmpl w:val="98CC5D46"/>
    <w:lvl w:ilvl="0" w:tplc="661A8A0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2FB3213C"/>
    <w:multiLevelType w:val="hybridMultilevel"/>
    <w:tmpl w:val="25F8F102"/>
    <w:lvl w:ilvl="0" w:tplc="04150001">
      <w:start w:val="1"/>
      <w:numFmt w:val="bullet"/>
      <w:lvlText w:val=""/>
      <w:lvlJc w:val="left"/>
      <w:pPr>
        <w:ind w:left="1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24" w15:restartNumberingAfterBreak="0">
    <w:nsid w:val="313871ED"/>
    <w:multiLevelType w:val="hybridMultilevel"/>
    <w:tmpl w:val="A9C6A6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A06199"/>
    <w:multiLevelType w:val="hybridMultilevel"/>
    <w:tmpl w:val="E8B2B1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7282DF8"/>
    <w:multiLevelType w:val="hybridMultilevel"/>
    <w:tmpl w:val="A1F236E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394C5C55"/>
    <w:multiLevelType w:val="hybridMultilevel"/>
    <w:tmpl w:val="F448F8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AB0496"/>
    <w:multiLevelType w:val="hybridMultilevel"/>
    <w:tmpl w:val="3EFCAC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C764DAB"/>
    <w:multiLevelType w:val="hybridMultilevel"/>
    <w:tmpl w:val="E7B25DAC"/>
    <w:lvl w:ilvl="0" w:tplc="CA0016D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DE2732"/>
    <w:multiLevelType w:val="hybridMultilevel"/>
    <w:tmpl w:val="1F08DA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3C3526A"/>
    <w:multiLevelType w:val="hybridMultilevel"/>
    <w:tmpl w:val="4B4047A8"/>
    <w:lvl w:ilvl="0" w:tplc="661A8A0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43C35ADD"/>
    <w:multiLevelType w:val="hybridMultilevel"/>
    <w:tmpl w:val="41F822DC"/>
    <w:lvl w:ilvl="0" w:tplc="661A8A0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46317C97"/>
    <w:multiLevelType w:val="hybridMultilevel"/>
    <w:tmpl w:val="06B216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79B4334"/>
    <w:multiLevelType w:val="hybridMultilevel"/>
    <w:tmpl w:val="9A18FA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7DA399C"/>
    <w:multiLevelType w:val="hybridMultilevel"/>
    <w:tmpl w:val="368E726A"/>
    <w:lvl w:ilvl="0" w:tplc="0415000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12" w:hanging="360"/>
      </w:pPr>
      <w:rPr>
        <w:rFonts w:ascii="Wingdings" w:hAnsi="Wingdings" w:hint="default"/>
      </w:rPr>
    </w:lvl>
  </w:abstractNum>
  <w:abstractNum w:abstractNumId="36" w15:restartNumberingAfterBreak="0">
    <w:nsid w:val="4A723F58"/>
    <w:multiLevelType w:val="hybridMultilevel"/>
    <w:tmpl w:val="772664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3D046B"/>
    <w:multiLevelType w:val="hybridMultilevel"/>
    <w:tmpl w:val="68BC686A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8" w15:restartNumberingAfterBreak="0">
    <w:nsid w:val="4C982BFA"/>
    <w:multiLevelType w:val="hybridMultilevel"/>
    <w:tmpl w:val="AEEC48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C9B2311"/>
    <w:multiLevelType w:val="hybridMultilevel"/>
    <w:tmpl w:val="BD225D26"/>
    <w:lvl w:ilvl="0" w:tplc="26B43E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4D3F3879"/>
    <w:multiLevelType w:val="hybridMultilevel"/>
    <w:tmpl w:val="7AC44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F052EFD"/>
    <w:multiLevelType w:val="hybridMultilevel"/>
    <w:tmpl w:val="059802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F327F0E"/>
    <w:multiLevelType w:val="hybridMultilevel"/>
    <w:tmpl w:val="B0E834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FC039F5"/>
    <w:multiLevelType w:val="hybridMultilevel"/>
    <w:tmpl w:val="7FDC8C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06E6286"/>
    <w:multiLevelType w:val="hybridMultilevel"/>
    <w:tmpl w:val="DCA6532C"/>
    <w:lvl w:ilvl="0" w:tplc="661A8A0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5" w15:restartNumberingAfterBreak="0">
    <w:nsid w:val="52153750"/>
    <w:multiLevelType w:val="hybridMultilevel"/>
    <w:tmpl w:val="7A8CCF2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6" w15:restartNumberingAfterBreak="0">
    <w:nsid w:val="53053178"/>
    <w:multiLevelType w:val="hybridMultilevel"/>
    <w:tmpl w:val="49D00EDC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7" w15:restartNumberingAfterBreak="0">
    <w:nsid w:val="56D61AF6"/>
    <w:multiLevelType w:val="hybridMultilevel"/>
    <w:tmpl w:val="8A7648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8C42CB6"/>
    <w:multiLevelType w:val="hybridMultilevel"/>
    <w:tmpl w:val="5A1C4506"/>
    <w:lvl w:ilvl="0" w:tplc="04150011">
      <w:start w:val="1"/>
      <w:numFmt w:val="decimal"/>
      <w:lvlText w:val="%1)"/>
      <w:lvlJc w:val="left"/>
      <w:pPr>
        <w:ind w:left="819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9" w15:restartNumberingAfterBreak="0">
    <w:nsid w:val="5AB05010"/>
    <w:multiLevelType w:val="hybridMultilevel"/>
    <w:tmpl w:val="CB1EFB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DD030DA"/>
    <w:multiLevelType w:val="hybridMultilevel"/>
    <w:tmpl w:val="5B7AE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3B5804"/>
    <w:multiLevelType w:val="hybridMultilevel"/>
    <w:tmpl w:val="294A83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33416FC"/>
    <w:multiLevelType w:val="hybridMultilevel"/>
    <w:tmpl w:val="DFFC61EC"/>
    <w:lvl w:ilvl="0" w:tplc="661A8A0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3" w15:restartNumberingAfterBreak="0">
    <w:nsid w:val="637E1EC4"/>
    <w:multiLevelType w:val="hybridMultilevel"/>
    <w:tmpl w:val="EDB009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3981956"/>
    <w:multiLevelType w:val="hybridMultilevel"/>
    <w:tmpl w:val="3CEA2AF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5" w15:restartNumberingAfterBreak="0">
    <w:nsid w:val="66797FA4"/>
    <w:multiLevelType w:val="hybridMultilevel"/>
    <w:tmpl w:val="0FA0B1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77135CC"/>
    <w:multiLevelType w:val="hybridMultilevel"/>
    <w:tmpl w:val="EB1C11F8"/>
    <w:lvl w:ilvl="0" w:tplc="C330AA7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905CB5"/>
    <w:multiLevelType w:val="hybridMultilevel"/>
    <w:tmpl w:val="92184D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8154B75"/>
    <w:multiLevelType w:val="hybridMultilevel"/>
    <w:tmpl w:val="2206C85C"/>
    <w:lvl w:ilvl="0" w:tplc="0415000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2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9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702" w:hanging="360"/>
      </w:pPr>
      <w:rPr>
        <w:rFonts w:ascii="Wingdings" w:hAnsi="Wingdings" w:hint="default"/>
      </w:rPr>
    </w:lvl>
  </w:abstractNum>
  <w:abstractNum w:abstractNumId="59" w15:restartNumberingAfterBreak="0">
    <w:nsid w:val="69385B38"/>
    <w:multiLevelType w:val="hybridMultilevel"/>
    <w:tmpl w:val="7696CC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DBE6178"/>
    <w:multiLevelType w:val="hybridMultilevel"/>
    <w:tmpl w:val="EF98406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DC454CA"/>
    <w:multiLevelType w:val="hybridMultilevel"/>
    <w:tmpl w:val="1A6E4E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E83654"/>
    <w:multiLevelType w:val="hybridMultilevel"/>
    <w:tmpl w:val="7298BC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E1729D6"/>
    <w:multiLevelType w:val="hybridMultilevel"/>
    <w:tmpl w:val="08FE57A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6E4932FE"/>
    <w:multiLevelType w:val="hybridMultilevel"/>
    <w:tmpl w:val="C1242DE8"/>
    <w:lvl w:ilvl="0" w:tplc="0542F89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5" w15:restartNumberingAfterBreak="0">
    <w:nsid w:val="7081618E"/>
    <w:multiLevelType w:val="hybridMultilevel"/>
    <w:tmpl w:val="89341870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6" w15:restartNumberingAfterBreak="0">
    <w:nsid w:val="712613BD"/>
    <w:multiLevelType w:val="hybridMultilevel"/>
    <w:tmpl w:val="ED1037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25B4AB3"/>
    <w:multiLevelType w:val="hybridMultilevel"/>
    <w:tmpl w:val="BCCED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073127"/>
    <w:multiLevelType w:val="hybridMultilevel"/>
    <w:tmpl w:val="EE52858C"/>
    <w:lvl w:ilvl="0" w:tplc="04150001">
      <w:start w:val="1"/>
      <w:numFmt w:val="bullet"/>
      <w:lvlText w:val=""/>
      <w:lvlJc w:val="left"/>
      <w:pPr>
        <w:ind w:left="198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69" w15:restartNumberingAfterBreak="0">
    <w:nsid w:val="75C54C7D"/>
    <w:multiLevelType w:val="hybridMultilevel"/>
    <w:tmpl w:val="4F583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9B68BB"/>
    <w:multiLevelType w:val="hybridMultilevel"/>
    <w:tmpl w:val="AF246E08"/>
    <w:lvl w:ilvl="0" w:tplc="661A8A0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1" w15:restartNumberingAfterBreak="0">
    <w:nsid w:val="7BCA5255"/>
    <w:multiLevelType w:val="hybridMultilevel"/>
    <w:tmpl w:val="7374A2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BD449AB"/>
    <w:multiLevelType w:val="hybridMultilevel"/>
    <w:tmpl w:val="D0722C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3" w15:restartNumberingAfterBreak="0">
    <w:nsid w:val="7FC6231E"/>
    <w:multiLevelType w:val="hybridMultilevel"/>
    <w:tmpl w:val="F992E308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4" w15:restartNumberingAfterBreak="0">
    <w:nsid w:val="7FE12CA6"/>
    <w:multiLevelType w:val="hybridMultilevel"/>
    <w:tmpl w:val="0E16D750"/>
    <w:lvl w:ilvl="0" w:tplc="661A8A0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59519080">
    <w:abstractNumId w:val="56"/>
  </w:num>
  <w:num w:numId="2" w16cid:durableId="653685123">
    <w:abstractNumId w:val="2"/>
  </w:num>
  <w:num w:numId="3" w16cid:durableId="10570995">
    <w:abstractNumId w:val="46"/>
  </w:num>
  <w:num w:numId="4" w16cid:durableId="767821132">
    <w:abstractNumId w:val="53"/>
  </w:num>
  <w:num w:numId="5" w16cid:durableId="1514683638">
    <w:abstractNumId w:val="29"/>
  </w:num>
  <w:num w:numId="6" w16cid:durableId="1524321103">
    <w:abstractNumId w:val="38"/>
  </w:num>
  <w:num w:numId="7" w16cid:durableId="1461461590">
    <w:abstractNumId w:val="50"/>
  </w:num>
  <w:num w:numId="8" w16cid:durableId="775369416">
    <w:abstractNumId w:val="63"/>
  </w:num>
  <w:num w:numId="9" w16cid:durableId="1872259723">
    <w:abstractNumId w:val="48"/>
  </w:num>
  <w:num w:numId="10" w16cid:durableId="139468985">
    <w:abstractNumId w:val="61"/>
  </w:num>
  <w:num w:numId="11" w16cid:durableId="418065292">
    <w:abstractNumId w:val="32"/>
  </w:num>
  <w:num w:numId="12" w16cid:durableId="629551194">
    <w:abstractNumId w:val="12"/>
  </w:num>
  <w:num w:numId="13" w16cid:durableId="1919553101">
    <w:abstractNumId w:val="34"/>
  </w:num>
  <w:num w:numId="14" w16cid:durableId="690763698">
    <w:abstractNumId w:val="0"/>
  </w:num>
  <w:num w:numId="15" w16cid:durableId="387386877">
    <w:abstractNumId w:val="47"/>
  </w:num>
  <w:num w:numId="16" w16cid:durableId="902445252">
    <w:abstractNumId w:val="4"/>
  </w:num>
  <w:num w:numId="17" w16cid:durableId="1550261916">
    <w:abstractNumId w:val="30"/>
  </w:num>
  <w:num w:numId="18" w16cid:durableId="1757634682">
    <w:abstractNumId w:val="19"/>
  </w:num>
  <w:num w:numId="19" w16cid:durableId="480660859">
    <w:abstractNumId w:val="43"/>
  </w:num>
  <w:num w:numId="20" w16cid:durableId="340204327">
    <w:abstractNumId w:val="70"/>
  </w:num>
  <w:num w:numId="21" w16cid:durableId="99112696">
    <w:abstractNumId w:val="58"/>
  </w:num>
  <w:num w:numId="22" w16cid:durableId="1100030720">
    <w:abstractNumId w:val="8"/>
  </w:num>
  <w:num w:numId="23" w16cid:durableId="1544977500">
    <w:abstractNumId w:val="35"/>
  </w:num>
  <w:num w:numId="24" w16cid:durableId="1766926097">
    <w:abstractNumId w:val="66"/>
  </w:num>
  <w:num w:numId="25" w16cid:durableId="1435518663">
    <w:abstractNumId w:val="68"/>
  </w:num>
  <w:num w:numId="26" w16cid:durableId="1648365429">
    <w:abstractNumId w:val="62"/>
  </w:num>
  <w:num w:numId="27" w16cid:durableId="691803715">
    <w:abstractNumId w:val="23"/>
  </w:num>
  <w:num w:numId="28" w16cid:durableId="1397050283">
    <w:abstractNumId w:val="11"/>
  </w:num>
  <w:num w:numId="29" w16cid:durableId="36200625">
    <w:abstractNumId w:val="9"/>
  </w:num>
  <w:num w:numId="30" w16cid:durableId="90971703">
    <w:abstractNumId w:val="42"/>
  </w:num>
  <w:num w:numId="31" w16cid:durableId="1886718915">
    <w:abstractNumId w:val="25"/>
  </w:num>
  <w:num w:numId="32" w16cid:durableId="1444690441">
    <w:abstractNumId w:val="21"/>
  </w:num>
  <w:num w:numId="33" w16cid:durableId="1709799626">
    <w:abstractNumId w:val="14"/>
  </w:num>
  <w:num w:numId="34" w16cid:durableId="1163934204">
    <w:abstractNumId w:val="71"/>
  </w:num>
  <w:num w:numId="35" w16cid:durableId="947085012">
    <w:abstractNumId w:val="59"/>
  </w:num>
  <w:num w:numId="36" w16cid:durableId="1471243737">
    <w:abstractNumId w:val="51"/>
  </w:num>
  <w:num w:numId="37" w16cid:durableId="1301378711">
    <w:abstractNumId w:val="16"/>
  </w:num>
  <w:num w:numId="38" w16cid:durableId="595476757">
    <w:abstractNumId w:val="1"/>
  </w:num>
  <w:num w:numId="39" w16cid:durableId="659694006">
    <w:abstractNumId w:val="15"/>
  </w:num>
  <w:num w:numId="40" w16cid:durableId="275336367">
    <w:abstractNumId w:val="55"/>
  </w:num>
  <w:num w:numId="41" w16cid:durableId="2141335907">
    <w:abstractNumId w:val="67"/>
  </w:num>
  <w:num w:numId="42" w16cid:durableId="1286615602">
    <w:abstractNumId w:val="49"/>
  </w:num>
  <w:num w:numId="43" w16cid:durableId="2144544933">
    <w:abstractNumId w:val="27"/>
  </w:num>
  <w:num w:numId="44" w16cid:durableId="1417827731">
    <w:abstractNumId w:val="36"/>
  </w:num>
  <w:num w:numId="45" w16cid:durableId="316808673">
    <w:abstractNumId w:val="33"/>
  </w:num>
  <w:num w:numId="46" w16cid:durableId="1456371459">
    <w:abstractNumId w:val="41"/>
  </w:num>
  <w:num w:numId="47" w16cid:durableId="1701054619">
    <w:abstractNumId w:val="24"/>
  </w:num>
  <w:num w:numId="48" w16cid:durableId="1103693985">
    <w:abstractNumId w:val="40"/>
  </w:num>
  <w:num w:numId="49" w16cid:durableId="1486816428">
    <w:abstractNumId w:val="17"/>
  </w:num>
  <w:num w:numId="50" w16cid:durableId="2028828439">
    <w:abstractNumId w:val="60"/>
  </w:num>
  <w:num w:numId="51" w16cid:durableId="1694845581">
    <w:abstractNumId w:val="57"/>
  </w:num>
  <w:num w:numId="52" w16cid:durableId="337998469">
    <w:abstractNumId w:val="28"/>
  </w:num>
  <w:num w:numId="53" w16cid:durableId="1559243711">
    <w:abstractNumId w:val="69"/>
  </w:num>
  <w:num w:numId="54" w16cid:durableId="456031521">
    <w:abstractNumId w:val="6"/>
  </w:num>
  <w:num w:numId="55" w16cid:durableId="1748727392">
    <w:abstractNumId w:val="13"/>
  </w:num>
  <w:num w:numId="56" w16cid:durableId="1206060382">
    <w:abstractNumId w:val="39"/>
  </w:num>
  <w:num w:numId="57" w16cid:durableId="1131746937">
    <w:abstractNumId w:val="31"/>
  </w:num>
  <w:num w:numId="58" w16cid:durableId="840585166">
    <w:abstractNumId w:val="54"/>
  </w:num>
  <w:num w:numId="59" w16cid:durableId="149684403">
    <w:abstractNumId w:val="74"/>
  </w:num>
  <w:num w:numId="60" w16cid:durableId="1347253021">
    <w:abstractNumId w:val="64"/>
  </w:num>
  <w:num w:numId="61" w16cid:durableId="863900874">
    <w:abstractNumId w:val="37"/>
  </w:num>
  <w:num w:numId="62" w16cid:durableId="828138968">
    <w:abstractNumId w:val="45"/>
  </w:num>
  <w:num w:numId="63" w16cid:durableId="1380663630">
    <w:abstractNumId w:val="7"/>
  </w:num>
  <w:num w:numId="64" w16cid:durableId="1589652897">
    <w:abstractNumId w:val="26"/>
  </w:num>
  <w:num w:numId="65" w16cid:durableId="2094744613">
    <w:abstractNumId w:val="73"/>
  </w:num>
  <w:num w:numId="66" w16cid:durableId="934945536">
    <w:abstractNumId w:val="20"/>
  </w:num>
  <w:num w:numId="67" w16cid:durableId="1256598467">
    <w:abstractNumId w:val="18"/>
  </w:num>
  <w:num w:numId="68" w16cid:durableId="2037998475">
    <w:abstractNumId w:val="5"/>
  </w:num>
  <w:num w:numId="69" w16cid:durableId="1529827901">
    <w:abstractNumId w:val="10"/>
  </w:num>
  <w:num w:numId="70" w16cid:durableId="198587283">
    <w:abstractNumId w:val="44"/>
  </w:num>
  <w:num w:numId="71" w16cid:durableId="119492545">
    <w:abstractNumId w:val="65"/>
  </w:num>
  <w:num w:numId="72" w16cid:durableId="1654605333">
    <w:abstractNumId w:val="52"/>
  </w:num>
  <w:num w:numId="73" w16cid:durableId="664554627">
    <w:abstractNumId w:val="3"/>
  </w:num>
  <w:num w:numId="74" w16cid:durableId="1242445506">
    <w:abstractNumId w:val="72"/>
  </w:num>
  <w:num w:numId="75" w16cid:durableId="32537682">
    <w:abstractNumId w:val="2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BB"/>
    <w:rsid w:val="000717BB"/>
    <w:rsid w:val="000C1921"/>
    <w:rsid w:val="000C4098"/>
    <w:rsid w:val="000F65A9"/>
    <w:rsid w:val="00177A59"/>
    <w:rsid w:val="001E790B"/>
    <w:rsid w:val="00245173"/>
    <w:rsid w:val="002B5772"/>
    <w:rsid w:val="00332E0D"/>
    <w:rsid w:val="003C3129"/>
    <w:rsid w:val="00470091"/>
    <w:rsid w:val="00564EFE"/>
    <w:rsid w:val="005A2DC6"/>
    <w:rsid w:val="006B1056"/>
    <w:rsid w:val="00877DF9"/>
    <w:rsid w:val="008B0D8A"/>
    <w:rsid w:val="00925AF1"/>
    <w:rsid w:val="009320D3"/>
    <w:rsid w:val="009A7ACA"/>
    <w:rsid w:val="00C261A7"/>
    <w:rsid w:val="00C90AB3"/>
    <w:rsid w:val="00CA0D9E"/>
    <w:rsid w:val="00CB664C"/>
    <w:rsid w:val="00CC2ED6"/>
    <w:rsid w:val="00DA0177"/>
    <w:rsid w:val="00DA3318"/>
    <w:rsid w:val="00DA6C68"/>
    <w:rsid w:val="00E01B19"/>
    <w:rsid w:val="00E05369"/>
    <w:rsid w:val="00E92A22"/>
    <w:rsid w:val="00EF1767"/>
    <w:rsid w:val="00F17292"/>
    <w:rsid w:val="00F3707E"/>
    <w:rsid w:val="00FA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6249"/>
  <w15:chartTrackingRefBased/>
  <w15:docId w15:val="{1F5370AF-FA6D-4757-AB83-0B959AEF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7BB"/>
  </w:style>
  <w:style w:type="paragraph" w:styleId="Nagwek1">
    <w:name w:val="heading 1"/>
    <w:basedOn w:val="Normalny"/>
    <w:next w:val="Normalny"/>
    <w:link w:val="Nagwek1Znak"/>
    <w:uiPriority w:val="9"/>
    <w:qFormat/>
    <w:rsid w:val="00071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1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1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1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1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1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1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1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1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1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1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1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17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17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17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17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17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17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1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1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1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1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1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17BB"/>
    <w:rPr>
      <w:i/>
      <w:iCs/>
      <w:color w:val="404040" w:themeColor="text1" w:themeTint="BF"/>
    </w:rPr>
  </w:style>
  <w:style w:type="paragraph" w:styleId="Akapitzlist">
    <w:name w:val="List Paragraph"/>
    <w:aliases w:val="Akapit z listą BS,Kolorowa lista — akcent 11,Wypunktowanie,Numerowanie,BulletC,Wyliczanie,Obiekt,List Paragraph,normalny tekst,Akapit z listą31,Bullets,List Paragraph1,Preambuła,T_SZ_List Paragraph,Akapit normalny,Bullet Number,lp1"/>
    <w:basedOn w:val="Normalny"/>
    <w:link w:val="AkapitzlistZnak"/>
    <w:uiPriority w:val="34"/>
    <w:qFormat/>
    <w:rsid w:val="000717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17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1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17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17B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,Kolorowa lista — akcent 11 Znak,Wypunktowanie Znak,Numerowanie Znak,BulletC Znak,Wyliczanie Znak,Obiekt Znak,List Paragraph Znak,normalny tekst Znak,Akapit z listą31 Znak,Bullets Znak,List Paragraph1 Znak"/>
    <w:basedOn w:val="Domylnaczcionkaakapitu"/>
    <w:link w:val="Akapitzlist"/>
    <w:uiPriority w:val="34"/>
    <w:qFormat/>
    <w:locked/>
    <w:rsid w:val="000717BB"/>
  </w:style>
  <w:style w:type="character" w:styleId="Hipercze">
    <w:name w:val="Hyperlink"/>
    <w:basedOn w:val="Domylnaczcionkaakapitu"/>
    <w:uiPriority w:val="99"/>
    <w:unhideWhenUsed/>
    <w:rsid w:val="000717BB"/>
    <w:rPr>
      <w:color w:val="467886" w:themeColor="hyperlink"/>
      <w:u w:val="single"/>
    </w:rPr>
  </w:style>
  <w:style w:type="paragraph" w:customStyle="1" w:styleId="Default">
    <w:name w:val="Default"/>
    <w:rsid w:val="000717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2574</Words>
  <Characters>15447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Ziółkowska Joanna  (BK)</dc:creator>
  <cp:keywords/>
  <dc:description/>
  <cp:lastModifiedBy>Wylaź Michał  (BK)</cp:lastModifiedBy>
  <cp:revision>2</cp:revision>
  <dcterms:created xsi:type="dcterms:W3CDTF">2026-04-20T08:42:00Z</dcterms:created>
  <dcterms:modified xsi:type="dcterms:W3CDTF">2026-04-20T08:42:00Z</dcterms:modified>
</cp:coreProperties>
</file>