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7E" w:rsidRPr="00F059DD" w:rsidRDefault="00086F5F" w:rsidP="00086F5F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C64A2DBF-89DE-44B6-B045-F99CFE9B866A" style="width:455.25pt;height:399pt">
            <v:imagedata r:id="rId10" o:title=""/>
          </v:shape>
        </w:pict>
      </w:r>
    </w:p>
    <w:p w:rsidR="00A13D7E" w:rsidRPr="00F059DD" w:rsidRDefault="00A13D7E" w:rsidP="00A13D7E">
      <w:pPr>
        <w:rPr>
          <w:noProof/>
        </w:rPr>
        <w:sectPr w:rsidR="00A13D7E" w:rsidRPr="00F059DD" w:rsidSect="00086F5F">
          <w:footerReference w:type="even" r:id="rId11"/>
          <w:footerReference w:type="default" r:id="rId12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A13D7E" w:rsidRPr="00F059DD" w:rsidRDefault="00A13D7E" w:rsidP="00624AF6">
      <w:pPr>
        <w:pStyle w:val="Exposdesmotifstitre"/>
        <w:rPr>
          <w:noProof/>
        </w:rPr>
      </w:pPr>
      <w:bookmarkStart w:id="0" w:name="_GoBack"/>
      <w:bookmarkEnd w:id="0"/>
      <w:r w:rsidRPr="00F059DD">
        <w:rPr>
          <w:noProof/>
        </w:rPr>
        <w:lastRenderedPageBreak/>
        <w:t>UZASADNIENIE</w:t>
      </w:r>
    </w:p>
    <w:p w:rsidR="00A13D7E" w:rsidRPr="00F059DD" w:rsidRDefault="00A13D7E" w:rsidP="00624AF6">
      <w:pPr>
        <w:pStyle w:val="ManualHeading1"/>
        <w:rPr>
          <w:noProof/>
        </w:rPr>
      </w:pPr>
      <w:r w:rsidRPr="00F059DD">
        <w:rPr>
          <w:noProof/>
        </w:rPr>
        <w:t>1.</w:t>
      </w:r>
      <w:r w:rsidRPr="00F059DD">
        <w:rPr>
          <w:noProof/>
        </w:rPr>
        <w:tab/>
        <w:t>KONTEKST WNIOSKU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</w:rPr>
      </w:pPr>
      <w:r w:rsidRPr="00F059DD">
        <w:rPr>
          <w:noProof/>
          <w:color w:val="000000"/>
          <w:u w:color="000000"/>
          <w:bdr w:val="nil"/>
        </w:rPr>
        <w:t>•</w:t>
      </w:r>
      <w:r w:rsidRPr="00F059DD">
        <w:rPr>
          <w:noProof/>
        </w:rPr>
        <w:tab/>
        <w:t>Przyczyny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Pr="00F059DD">
        <w:rPr>
          <w:noProof/>
        </w:rPr>
        <w:t>e wniosku</w:t>
      </w:r>
    </w:p>
    <w:p w:rsidR="008211F4" w:rsidRPr="00F059DD" w:rsidRDefault="00DE52A1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hyperlink r:id="rId13">
        <w:r w:rsidR="008211F4" w:rsidRPr="00F059DD">
          <w:rPr>
            <w:noProof/>
          </w:rPr>
          <w:t>Rozporządzeniem (UE) 2019/1242</w:t>
        </w:r>
      </w:hyperlink>
      <w:r w:rsidR="008211F4" w:rsidRPr="00F059DD">
        <w:rPr>
          <w:rStyle w:val="FootnoteReference"/>
          <w:rFonts w:eastAsia="Arial Unicode MS"/>
          <w:noProof/>
        </w:rPr>
        <w:footnoteReference w:id="2"/>
      </w:r>
      <w:r w:rsidR="008211F4" w:rsidRPr="00F059DD">
        <w:rPr>
          <w:noProof/>
        </w:rPr>
        <w:t xml:space="preserve"> ustanowiono normy emisji CO</w:t>
      </w:r>
      <w:r w:rsidR="008211F4" w:rsidRPr="00F059DD">
        <w:rPr>
          <w:noProof/>
          <w:vertAlign w:val="subscript"/>
        </w:rPr>
        <w:t>2</w:t>
      </w:r>
      <w:r w:rsidR="008211F4" w:rsidRPr="00F059DD">
        <w:rPr>
          <w:noProof/>
        </w:rPr>
        <w:t xml:space="preserve"> dla nowych pojazdów ciężkich. Stanowi ono kluczowy wkład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rea</w:t>
      </w:r>
      <w:r w:rsidR="008211F4" w:rsidRPr="00F059DD">
        <w:rPr>
          <w:noProof/>
        </w:rPr>
        <w:t>lizację założeń określonych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uni</w:t>
      </w:r>
      <w:r w:rsidR="008211F4" w:rsidRPr="00F059DD">
        <w:rPr>
          <w:noProof/>
        </w:rPr>
        <w:t>jnym prawie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kli</w:t>
      </w:r>
      <w:r w:rsidR="008211F4" w:rsidRPr="00F059DD">
        <w:rPr>
          <w:noProof/>
        </w:rPr>
        <w:t>macie,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tym</w:t>
      </w:r>
      <w:r w:rsidR="008211F4" w:rsidRPr="00F059DD">
        <w:rPr>
          <w:noProof/>
        </w:rPr>
        <w:t xml:space="preserve"> neutralności klimatycznej </w:t>
      </w:r>
      <w:r w:rsidR="008211F4" w:rsidRPr="00660A3E">
        <w:rPr>
          <w:noProof/>
        </w:rPr>
        <w:t>do</w:t>
      </w:r>
      <w:r w:rsidR="00660A3E" w:rsidRPr="00660A3E">
        <w:rPr>
          <w:noProof/>
        </w:rPr>
        <w:t> </w:t>
      </w:r>
      <w:r w:rsidR="008211F4" w:rsidRPr="00660A3E">
        <w:rPr>
          <w:noProof/>
        </w:rPr>
        <w:t>2</w:t>
      </w:r>
      <w:r w:rsidR="008211F4" w:rsidRPr="00F059DD">
        <w:rPr>
          <w:noProof/>
        </w:rPr>
        <w:t>0</w:t>
      </w:r>
      <w:r w:rsidR="008211F4" w:rsidRPr="00660A3E">
        <w:rPr>
          <w:noProof/>
        </w:rPr>
        <w:t>50</w:t>
      </w:r>
      <w:r w:rsidR="00660A3E" w:rsidRPr="00660A3E">
        <w:rPr>
          <w:noProof/>
        </w:rPr>
        <w:t> </w:t>
      </w:r>
      <w:r w:rsidR="008211F4" w:rsidRPr="00660A3E">
        <w:rPr>
          <w:noProof/>
        </w:rPr>
        <w:t>r.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="008211F4" w:rsidRPr="00F059DD">
        <w:rPr>
          <w:noProof/>
        </w:rPr>
        <w:t xml:space="preserve">u </w:t>
      </w:r>
      <w:r w:rsidR="008211F4" w:rsidRPr="00660A3E">
        <w:rPr>
          <w:noProof/>
        </w:rPr>
        <w:t>na</w:t>
      </w:r>
      <w:r w:rsidR="00660A3E" w:rsidRPr="00660A3E">
        <w:rPr>
          <w:noProof/>
        </w:rPr>
        <w:t> </w:t>
      </w:r>
      <w:r w:rsidR="008211F4" w:rsidRPr="00660A3E">
        <w:rPr>
          <w:noProof/>
        </w:rPr>
        <w:t>2</w:t>
      </w:r>
      <w:r w:rsidR="008211F4" w:rsidRPr="00F059DD">
        <w:rPr>
          <w:noProof/>
        </w:rPr>
        <w:t>0</w:t>
      </w:r>
      <w:r w:rsidR="008211F4" w:rsidRPr="00660A3E">
        <w:rPr>
          <w:noProof/>
        </w:rPr>
        <w:t>30</w:t>
      </w:r>
      <w:r w:rsidR="00660A3E" w:rsidRPr="00660A3E">
        <w:rPr>
          <w:noProof/>
        </w:rPr>
        <w:t> </w:t>
      </w:r>
      <w:r w:rsidR="008211F4" w:rsidRPr="00660A3E">
        <w:rPr>
          <w:noProof/>
        </w:rPr>
        <w:t>r.</w:t>
      </w:r>
      <w:r w:rsidR="008211F4" w:rsidRPr="00F059DD">
        <w:rPr>
          <w:noProof/>
        </w:rPr>
        <w:t>, jakim jest ograniczenie emisji CO</w:t>
      </w:r>
      <w:r w:rsidR="008211F4" w:rsidRPr="00F059DD">
        <w:rPr>
          <w:noProof/>
          <w:vertAlign w:val="subscript"/>
        </w:rPr>
        <w:t>2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cał</w:t>
      </w:r>
      <w:r w:rsidR="008211F4" w:rsidRPr="00F059DD">
        <w:rPr>
          <w:noProof/>
        </w:rPr>
        <w:t>ej gospodarce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5</w:t>
      </w:r>
      <w:r w:rsidR="008211F4" w:rsidRPr="00F059DD">
        <w:rPr>
          <w:noProof/>
        </w:rPr>
        <w:t>5 %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por</w:t>
      </w:r>
      <w:r w:rsidR="008211F4" w:rsidRPr="00F059DD">
        <w:rPr>
          <w:noProof/>
        </w:rPr>
        <w:t>ównaniu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rok</w:t>
      </w:r>
      <w:r w:rsidR="008211F4" w:rsidRPr="00F059DD">
        <w:rPr>
          <w:noProof/>
        </w:rPr>
        <w:t xml:space="preserve">iem 1990. 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F059DD">
        <w:rPr>
          <w:noProof/>
        </w:rPr>
        <w:t>Sektor motoryzacyjny ma kluczowe znaczenie dla gospodarki UE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odp</w:t>
      </w:r>
      <w:r w:rsidRPr="00F059DD">
        <w:rPr>
          <w:noProof/>
        </w:rPr>
        <w:t xml:space="preserve">owiada za ponad </w:t>
      </w:r>
      <w:r w:rsidRPr="00660A3E">
        <w:rPr>
          <w:noProof/>
        </w:rPr>
        <w:t>7</w:t>
      </w:r>
      <w:r w:rsidR="00660A3E" w:rsidRPr="00660A3E">
        <w:rPr>
          <w:noProof/>
        </w:rPr>
        <w:t> </w:t>
      </w:r>
      <w:r w:rsidRPr="00660A3E">
        <w:rPr>
          <w:noProof/>
        </w:rPr>
        <w:t>%</w:t>
      </w:r>
      <w:r w:rsidRPr="00F059DD">
        <w:rPr>
          <w:noProof/>
        </w:rPr>
        <w:t xml:space="preserve"> PKB Unii. Zapewnia on miejsca pracy – bezpośrednio lub pośrednio –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emyśle wytwórczym,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bra</w:t>
      </w:r>
      <w:r w:rsidRPr="00F059DD">
        <w:rPr>
          <w:noProof/>
        </w:rPr>
        <w:t>nżach sprzedaży, utrzymania, budownictwa oraz usług transportowych – dla około 13 mln Europejczyków. Sektor motoryzacyjny przechodzi transformację strukturalną, obejmującą zmiany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czy</w:t>
      </w:r>
      <w:r w:rsidRPr="00F059DD">
        <w:rPr>
          <w:noProof/>
        </w:rPr>
        <w:t>stych technologiach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tec</w:t>
      </w:r>
      <w:r w:rsidRPr="00F059DD">
        <w:rPr>
          <w:noProof/>
        </w:rPr>
        <w:t>hnologiach cyfrowych. Normy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zapewniają inwestorom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cał</w:t>
      </w:r>
      <w:r w:rsidRPr="00F059DD">
        <w:rPr>
          <w:noProof/>
        </w:rPr>
        <w:t>ym łańcuchu wartości długoterminową pewność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ewidywalność, co umożliwia taką transformację sektorową,</w:t>
      </w:r>
      <w:r w:rsidR="00660A3E" w:rsidRPr="00F059DD">
        <w:rPr>
          <w:noProof/>
        </w:rPr>
        <w:t xml:space="preserve"> a</w:t>
      </w:r>
      <w:r w:rsidR="00660A3E">
        <w:rPr>
          <w:noProof/>
        </w:rPr>
        <w:t> </w:t>
      </w:r>
      <w:r w:rsidR="00660A3E" w:rsidRPr="00F059DD">
        <w:rPr>
          <w:noProof/>
        </w:rPr>
        <w:t>jed</w:t>
      </w:r>
      <w:r w:rsidRPr="00F059DD">
        <w:rPr>
          <w:noProof/>
        </w:rPr>
        <w:t>nocześnie dają wystarczająco dużo czasu na sprawiedliwe przejście na pojazdy bezemisyjne.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before="0" w:after="240"/>
        <w:rPr>
          <w:rFonts w:eastAsia="Arial Unicode MS"/>
          <w:noProof/>
        </w:rPr>
      </w:pPr>
      <w:r w:rsidRPr="00F059DD">
        <w:rPr>
          <w:noProof/>
        </w:rPr>
        <w:t>Rozporządzenie wymaga, aby roczne średnie emisje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dla unijnego parku pojazdów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now</w:t>
      </w:r>
      <w:r w:rsidRPr="00F059DD">
        <w:rPr>
          <w:noProof/>
        </w:rPr>
        <w:t>ych pojazdów ciężkich były zmniejszane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ods</w:t>
      </w:r>
      <w:r w:rsidRPr="00F059DD">
        <w:rPr>
          <w:noProof/>
        </w:rPr>
        <w:t>tępach pięcioletnich. W 20</w:t>
      </w:r>
      <w:r w:rsidRPr="00660A3E">
        <w:rPr>
          <w:noProof/>
        </w:rPr>
        <w:t>25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każ</w:t>
      </w:r>
      <w:r w:rsidRPr="00F059DD">
        <w:rPr>
          <w:noProof/>
        </w:rPr>
        <w:t xml:space="preserve">dym okresie sprawozdawczym obejmującym lata 2025–2029 zacznie obowiązywać </w:t>
      </w:r>
      <w:r w:rsidRPr="00660A3E">
        <w:rPr>
          <w:noProof/>
        </w:rPr>
        <w:t>cel</w:t>
      </w:r>
      <w:r w:rsidR="00660A3E" w:rsidRPr="00660A3E">
        <w:rPr>
          <w:noProof/>
        </w:rPr>
        <w:t> </w:t>
      </w:r>
      <w:r w:rsidRPr="00660A3E">
        <w:rPr>
          <w:noProof/>
        </w:rPr>
        <w:t>1</w:t>
      </w:r>
      <w:r w:rsidRPr="00F059DD">
        <w:rPr>
          <w:noProof/>
        </w:rPr>
        <w:t>5 % redukcji emisji CO</w:t>
      </w:r>
      <w:r w:rsidRPr="00F059DD">
        <w:rPr>
          <w:noProof/>
          <w:vertAlign w:val="subscript"/>
        </w:rPr>
        <w:t>2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por</w:t>
      </w:r>
      <w:r w:rsidRPr="00F059DD">
        <w:rPr>
          <w:noProof/>
        </w:rPr>
        <w:t>ównaniu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war</w:t>
      </w:r>
      <w:r w:rsidRPr="00F059DD">
        <w:rPr>
          <w:noProof/>
        </w:rPr>
        <w:t>tościami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2</w:t>
      </w:r>
      <w:r w:rsidRPr="00F059DD">
        <w:rPr>
          <w:noProof/>
        </w:rPr>
        <w:t>0</w:t>
      </w:r>
      <w:r w:rsidRPr="00660A3E">
        <w:rPr>
          <w:noProof/>
        </w:rPr>
        <w:t>19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 xml:space="preserve"> dla pojazdów ciężarowych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dop</w:t>
      </w:r>
      <w:r w:rsidRPr="00F059DD">
        <w:rPr>
          <w:noProof/>
        </w:rPr>
        <w:t>uszczalnej masie całkowitej (TPMLM) powyżej 16 t. Następnie zacznie obowiązywać cel redukcji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dla szerszej grupy pojazdów ciężkich,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tym</w:t>
      </w:r>
      <w:r w:rsidRPr="00F059DD">
        <w:rPr>
          <w:noProof/>
        </w:rPr>
        <w:t xml:space="preserve"> samochodów ciężarowych o TPMLM &gt; 5 t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aut</w:t>
      </w:r>
      <w:r w:rsidRPr="00F059DD">
        <w:rPr>
          <w:noProof/>
        </w:rPr>
        <w:t>obusów o TPMLM &gt; 7,5 t,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4</w:t>
      </w:r>
      <w:r w:rsidRPr="00F059DD">
        <w:rPr>
          <w:noProof/>
        </w:rPr>
        <w:t xml:space="preserve">3 % począwszy </w:t>
      </w:r>
      <w:r w:rsidRPr="00660A3E">
        <w:rPr>
          <w:noProof/>
        </w:rPr>
        <w:t>od</w:t>
      </w:r>
      <w:r w:rsidR="00660A3E" w:rsidRPr="00660A3E">
        <w:rPr>
          <w:noProof/>
        </w:rPr>
        <w:t> </w:t>
      </w:r>
      <w:r w:rsidRPr="00660A3E">
        <w:rPr>
          <w:noProof/>
        </w:rPr>
        <w:t>2</w:t>
      </w:r>
      <w:r w:rsidRPr="00F059DD">
        <w:rPr>
          <w:noProof/>
        </w:rPr>
        <w:t>0</w:t>
      </w:r>
      <w:r w:rsidRPr="00660A3E">
        <w:rPr>
          <w:noProof/>
        </w:rPr>
        <w:t>30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 xml:space="preserve"> Ten ostatni cel faktycznie wymaga znacznego udziału pojazdów bezemisyjnych (np. elektrycznych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nap</w:t>
      </w:r>
      <w:r w:rsidRPr="00F059DD">
        <w:rPr>
          <w:noProof/>
        </w:rPr>
        <w:t xml:space="preserve">ędzie akumulatorowym) wśród zarejestrowanych nowych pojazdów danego producenta. 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spacing w:before="0" w:after="240"/>
        <w:rPr>
          <w:rFonts w:eastAsia="Arial Unicode MS"/>
          <w:noProof/>
        </w:rPr>
      </w:pPr>
      <w:r w:rsidRPr="00F059DD">
        <w:rPr>
          <w:noProof/>
        </w:rPr>
        <w:t>Corocznie ustala się średnie poziomy emisji CO</w:t>
      </w:r>
      <w:r w:rsidRPr="00F059DD">
        <w:rPr>
          <w:noProof/>
          <w:vertAlign w:val="subscript"/>
        </w:rPr>
        <w:t>2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doc</w:t>
      </w:r>
      <w:r w:rsidRPr="00F059DD">
        <w:rPr>
          <w:noProof/>
        </w:rPr>
        <w:t>elowy indywidualny poziom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dla każdego producenta,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opa</w:t>
      </w:r>
      <w:r w:rsidRPr="00F059DD">
        <w:rPr>
          <w:noProof/>
        </w:rPr>
        <w:t>rciu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doc</w:t>
      </w:r>
      <w:r w:rsidRPr="00F059DD">
        <w:rPr>
          <w:noProof/>
        </w:rPr>
        <w:t>elowy poziom emisji dla unijnego parku pojazdów, aby ocenić wyniki producentów pod względem zgodności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ich</w:t>
      </w:r>
      <w:r w:rsidRPr="00F059DD">
        <w:rPr>
          <w:noProof/>
        </w:rPr>
        <w:t xml:space="preserve"> docelowymi poziomami emisji. </w:t>
      </w:r>
    </w:p>
    <w:p w:rsidR="008211F4" w:rsidRPr="00F059DD" w:rsidRDefault="008211F4" w:rsidP="00F516B0">
      <w:pPr>
        <w:rPr>
          <w:noProof/>
        </w:rPr>
      </w:pPr>
      <w:r w:rsidRPr="00F059DD">
        <w:rPr>
          <w:noProof/>
        </w:rPr>
        <w:t>Rozporządzenie (UE) 2019/1242 umożliwia producentom gromadzenie jednostek emisji, jeżeli ich indywidualne poziomy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są niższe od ścieżki redukcji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>, która jest trajektorią liniową między celami mającymi zastosowanie na początku dwóch kolejnych pięcioletnich okresów. Te jednostki emisji mogą następnie zostać wykorzystane do zapewnienia zgodności na późniejszym etapie.</w:t>
      </w:r>
    </w:p>
    <w:p w:rsidR="000B294A" w:rsidRPr="00F059DD" w:rsidRDefault="000B294A" w:rsidP="000B294A">
      <w:pPr>
        <w:rPr>
          <w:rFonts w:eastAsia="Arial Unicode MS"/>
          <w:noProof/>
        </w:rPr>
      </w:pPr>
      <w:r w:rsidRPr="00F059DD">
        <w:rPr>
          <w:noProof/>
        </w:rPr>
        <w:t>Ta ukierunkowana zmiana zapewnia producentom dodatkową elastyczność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zak</w:t>
      </w:r>
      <w:r w:rsidRPr="00F059DD">
        <w:rPr>
          <w:noProof/>
        </w:rPr>
        <w:t>resie docelowych poziomów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>, umożliwiając im gromadzenie większej liczby jednostek emisji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lat</w:t>
      </w:r>
      <w:r w:rsidRPr="00F059DD">
        <w:rPr>
          <w:noProof/>
        </w:rPr>
        <w:t>ach przed 20</w:t>
      </w:r>
      <w:r w:rsidRPr="00660A3E">
        <w:rPr>
          <w:noProof/>
        </w:rPr>
        <w:t>30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 xml:space="preserve"> Ułatwiłoby to osiągnięcie zgodności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okr</w:t>
      </w:r>
      <w:r w:rsidRPr="00F059DD">
        <w:rPr>
          <w:noProof/>
        </w:rPr>
        <w:t xml:space="preserve">esie </w:t>
      </w:r>
      <w:r w:rsidRPr="00660A3E">
        <w:rPr>
          <w:noProof/>
        </w:rPr>
        <w:t>od</w:t>
      </w:r>
      <w:r w:rsidR="00660A3E" w:rsidRPr="00660A3E">
        <w:rPr>
          <w:noProof/>
        </w:rPr>
        <w:t> </w:t>
      </w:r>
      <w:r w:rsidRPr="00660A3E">
        <w:rPr>
          <w:noProof/>
        </w:rPr>
        <w:t>2</w:t>
      </w:r>
      <w:r w:rsidRPr="00F059DD">
        <w:rPr>
          <w:noProof/>
        </w:rPr>
        <w:t>0</w:t>
      </w:r>
      <w:r w:rsidRPr="00660A3E">
        <w:rPr>
          <w:noProof/>
        </w:rPr>
        <w:t>30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>, przy jednoczesnym utrzymaniu celów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zak</w:t>
      </w:r>
      <w:r w:rsidRPr="00F059DD">
        <w:rPr>
          <w:noProof/>
        </w:rPr>
        <w:t>resie redukcji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>. Ewentualne dalsze zmiany niniejszego rozporządzenia pozostają całkowicie poza zakresem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Pr="00F059DD">
        <w:rPr>
          <w:noProof/>
        </w:rPr>
        <w:t>ami niniejszego wniosku. Potrzeba wprowadzenia takich zmian może zostać oceniona,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sto</w:t>
      </w:r>
      <w:r w:rsidRPr="00F059DD">
        <w:rPr>
          <w:noProof/>
        </w:rPr>
        <w:t>sownych przypadkach,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kon</w:t>
      </w:r>
      <w:r w:rsidRPr="00F059DD">
        <w:rPr>
          <w:noProof/>
        </w:rPr>
        <w:t>tekście zbliżającego się przeglądu rozporządzenia. Aby utrzymać pewność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ewidywalność regulacyjną, Parlament Europejski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Rad</w:t>
      </w:r>
      <w:r w:rsidRPr="00F059DD">
        <w:rPr>
          <w:noProof/>
        </w:rPr>
        <w:t>a powinny szybko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nie</w:t>
      </w:r>
      <w:r w:rsidRPr="00F059DD">
        <w:rPr>
          <w:noProof/>
        </w:rPr>
        <w:t>zwłocznie uzgodnić tę dodatkową elastyczność. Komisja będzie konstruktywnie współpracować ze współprawodawcami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Pr="00F059DD">
        <w:rPr>
          <w:noProof/>
        </w:rPr>
        <w:t>u zapewnienia, aby proces legislacyjny dotyczący niniejszego wniosku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peł</w:t>
      </w:r>
      <w:r w:rsidRPr="00F059DD">
        <w:rPr>
          <w:noProof/>
        </w:rPr>
        <w:t>ni zachował jego zasadniczy przedmiot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nie</w:t>
      </w:r>
      <w:r w:rsidRPr="00F059DD">
        <w:rPr>
          <w:noProof/>
        </w:rPr>
        <w:t xml:space="preserve"> zniekształcał go.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 w:rsidRPr="00F059DD">
        <w:rPr>
          <w:noProof/>
          <w:color w:val="000000"/>
          <w:u w:color="000000"/>
          <w:bdr w:val="nil"/>
        </w:rPr>
        <w:t>•</w:t>
      </w:r>
      <w:r w:rsidRPr="00F059DD">
        <w:rPr>
          <w:noProof/>
        </w:rPr>
        <w:tab/>
        <w:t>Spójność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episami obowiązującymi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tej</w:t>
      </w:r>
      <w:r w:rsidRPr="00F059DD">
        <w:rPr>
          <w:noProof/>
        </w:rPr>
        <w:t xml:space="preserve"> dziedzinie polityki</w:t>
      </w:r>
    </w:p>
    <w:p w:rsidR="008211F4" w:rsidRPr="00F059DD" w:rsidRDefault="008211F4" w:rsidP="008211F4">
      <w:pPr>
        <w:rPr>
          <w:rFonts w:eastAsia="Calibri"/>
          <w:noProof/>
          <w:szCs w:val="24"/>
        </w:rPr>
      </w:pPr>
      <w:r w:rsidRPr="00F059DD">
        <w:rPr>
          <w:noProof/>
        </w:rPr>
        <w:t>Niniejszy wniosek nie zmienia przepisów prawa materialnego rozporządzenia (UE) 2019/1242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utr</w:t>
      </w:r>
      <w:r w:rsidRPr="00F059DD">
        <w:rPr>
          <w:noProof/>
        </w:rPr>
        <w:t>zymuje jego cele. Wniosek stanowi odpowiedź na obawy wyrażane przez sektor motoryzacyjny w UE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zap</w:t>
      </w:r>
      <w:r w:rsidRPr="00F059DD">
        <w:rPr>
          <w:noProof/>
        </w:rPr>
        <w:t>ewnia producentom dodatkową elastyczność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zak</w:t>
      </w:r>
      <w:r w:rsidRPr="00F059DD">
        <w:rPr>
          <w:noProof/>
        </w:rPr>
        <w:t xml:space="preserve">resie przestrzegania celów rozporządzenia. 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</w:rPr>
      </w:pPr>
      <w:r w:rsidRPr="00F059DD">
        <w:rPr>
          <w:noProof/>
          <w:color w:val="000000"/>
          <w:u w:color="000000"/>
          <w:bdr w:val="nil"/>
        </w:rPr>
        <w:t>•</w:t>
      </w:r>
      <w:r w:rsidRPr="00F059DD">
        <w:rPr>
          <w:noProof/>
        </w:rPr>
        <w:tab/>
        <w:t>Spójność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inn</w:t>
      </w:r>
      <w:r w:rsidRPr="00F059DD">
        <w:rPr>
          <w:noProof/>
        </w:rPr>
        <w:t>ymi politykami Unii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F059DD">
        <w:rPr>
          <w:noProof/>
        </w:rPr>
        <w:t>Rozporządzenie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spr</w:t>
      </w:r>
      <w:r w:rsidRPr="00F059DD">
        <w:rPr>
          <w:noProof/>
        </w:rPr>
        <w:t>awie europejskiego prawa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kli</w:t>
      </w:r>
      <w:r w:rsidRPr="00F059DD">
        <w:rPr>
          <w:noProof/>
        </w:rPr>
        <w:t>macie</w:t>
      </w:r>
      <w:r w:rsidRPr="00F059DD">
        <w:rPr>
          <w:rStyle w:val="FootnoteReference"/>
          <w:rFonts w:eastAsia="Arial Unicode MS"/>
          <w:noProof/>
        </w:rPr>
        <w:footnoteReference w:id="3"/>
      </w:r>
      <w:r w:rsidRPr="00F059DD">
        <w:rPr>
          <w:rFonts w:ascii="Arial" w:hAnsi="Arial"/>
          <w:noProof/>
          <w:sz w:val="27"/>
          <w:shd w:val="clear" w:color="auto" w:fill="FFFFFF"/>
        </w:rPr>
        <w:t xml:space="preserve"> </w:t>
      </w:r>
      <w:r w:rsidRPr="00F059DD">
        <w:rPr>
          <w:noProof/>
        </w:rPr>
        <w:t xml:space="preserve">ustanawia ramy na potrzeby osiągnięcia neutralności klimatycznej w UE </w:t>
      </w:r>
      <w:r w:rsidRPr="00660A3E">
        <w:rPr>
          <w:noProof/>
        </w:rPr>
        <w:t>do</w:t>
      </w:r>
      <w:r w:rsidR="00660A3E" w:rsidRPr="00660A3E">
        <w:rPr>
          <w:noProof/>
        </w:rPr>
        <w:t> </w:t>
      </w:r>
      <w:r w:rsidRPr="00660A3E">
        <w:rPr>
          <w:noProof/>
        </w:rPr>
        <w:t>2</w:t>
      </w:r>
      <w:r w:rsidRPr="00F059DD">
        <w:rPr>
          <w:noProof/>
        </w:rPr>
        <w:t>0</w:t>
      </w:r>
      <w:r w:rsidRPr="00660A3E">
        <w:rPr>
          <w:noProof/>
        </w:rPr>
        <w:t>50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 xml:space="preserve"> Rozporządzenie nakłada wymóg ograniczenia emisji gazów cieplarnianych netto w UE o co najmniej 55 % (w porównaniu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poz</w:t>
      </w:r>
      <w:r w:rsidRPr="00F059DD">
        <w:rPr>
          <w:noProof/>
        </w:rPr>
        <w:t>iomami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1</w:t>
      </w:r>
      <w:r w:rsidRPr="00F059DD">
        <w:rPr>
          <w:noProof/>
        </w:rPr>
        <w:t>9</w:t>
      </w:r>
      <w:r w:rsidRPr="00660A3E">
        <w:rPr>
          <w:noProof/>
        </w:rPr>
        <w:t>90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 xml:space="preserve">) </w:t>
      </w:r>
      <w:r w:rsidRPr="00660A3E">
        <w:rPr>
          <w:noProof/>
        </w:rPr>
        <w:t>do</w:t>
      </w:r>
      <w:r w:rsidR="00660A3E" w:rsidRPr="00660A3E">
        <w:rPr>
          <w:noProof/>
        </w:rPr>
        <w:t> </w:t>
      </w:r>
      <w:r w:rsidRPr="00660A3E">
        <w:rPr>
          <w:noProof/>
        </w:rPr>
        <w:t>2</w:t>
      </w:r>
      <w:r w:rsidRPr="00F059DD">
        <w:rPr>
          <w:noProof/>
        </w:rPr>
        <w:t>0</w:t>
      </w:r>
      <w:r w:rsidRPr="00660A3E">
        <w:rPr>
          <w:noProof/>
        </w:rPr>
        <w:t>30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 xml:space="preserve"> Zgodnie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Pr="00F059DD">
        <w:rPr>
          <w:noProof/>
        </w:rPr>
        <w:t>ami unijnego prawa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kli</w:t>
      </w:r>
      <w:r w:rsidRPr="00F059DD">
        <w:rPr>
          <w:noProof/>
        </w:rPr>
        <w:t>macie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zak</w:t>
      </w:r>
      <w:r w:rsidRPr="00F059DD">
        <w:rPr>
          <w:noProof/>
        </w:rPr>
        <w:t>resie ograniczenia emisji,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roz</w:t>
      </w:r>
      <w:r w:rsidRPr="00F059DD">
        <w:rPr>
          <w:noProof/>
        </w:rPr>
        <w:t>porządzeniu (UE) 2019/1242 określono cele redukcji emisji dla pojazdów ciężkich.</w:t>
      </w:r>
    </w:p>
    <w:p w:rsidR="001F5EFB" w:rsidRPr="00F059DD" w:rsidRDefault="001F5EFB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F059DD">
        <w:rPr>
          <w:noProof/>
        </w:rPr>
        <w:t>Komisja zaproponowała również zmianę Europejskiego prawa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kli</w:t>
      </w:r>
      <w:r w:rsidRPr="00F059DD">
        <w:rPr>
          <w:noProof/>
        </w:rPr>
        <w:t>macie,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któ</w:t>
      </w:r>
      <w:r w:rsidRPr="00F059DD">
        <w:rPr>
          <w:noProof/>
        </w:rPr>
        <w:t xml:space="preserve">rym zapisano cel </w:t>
      </w:r>
      <w:r w:rsidRPr="00660A3E">
        <w:rPr>
          <w:noProof/>
        </w:rPr>
        <w:t>na</w:t>
      </w:r>
      <w:r w:rsidR="00660A3E" w:rsidRPr="00660A3E">
        <w:rPr>
          <w:noProof/>
        </w:rPr>
        <w:t> </w:t>
      </w:r>
      <w:r w:rsidRPr="00660A3E">
        <w:rPr>
          <w:noProof/>
        </w:rPr>
        <w:t>2</w:t>
      </w:r>
      <w:r w:rsidRPr="00F059DD">
        <w:rPr>
          <w:noProof/>
        </w:rPr>
        <w:t>0</w:t>
      </w:r>
      <w:r w:rsidRPr="00660A3E">
        <w:rPr>
          <w:noProof/>
        </w:rPr>
        <w:t>40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 xml:space="preserve"> polegający na redukcji emisji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9</w:t>
      </w:r>
      <w:r w:rsidRPr="00F059DD">
        <w:rPr>
          <w:noProof/>
        </w:rPr>
        <w:t>0 %. Zarówno Rada, jak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Par</w:t>
      </w:r>
      <w:r w:rsidRPr="00F059DD">
        <w:rPr>
          <w:noProof/>
        </w:rPr>
        <w:t>lament Europejski ustalili swoje stanowiska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spr</w:t>
      </w:r>
      <w:r w:rsidRPr="00F059DD">
        <w:rPr>
          <w:noProof/>
        </w:rPr>
        <w:t>awie tego dossier, które obecnie podlega procedurze współdecyzji.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F059DD">
        <w:rPr>
          <w:noProof/>
        </w:rPr>
        <w:t>Niniejszy wniosek nie zmienia celów redukcji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ani nie obniża ogólnych ambicji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zak</w:t>
      </w:r>
      <w:r w:rsidRPr="00F059DD">
        <w:rPr>
          <w:noProof/>
        </w:rPr>
        <w:t>resie norm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>. Wprowadza on dodatkową elastyczność dla producentów pojazdów ciężkich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Pr="00F059DD">
        <w:rPr>
          <w:noProof/>
        </w:rPr>
        <w:t xml:space="preserve">u osiągnięcia celów redukcji emisji </w:t>
      </w:r>
      <w:r w:rsidRPr="00660A3E">
        <w:rPr>
          <w:noProof/>
        </w:rPr>
        <w:t>na</w:t>
      </w:r>
      <w:r w:rsidR="00660A3E" w:rsidRPr="00660A3E">
        <w:rPr>
          <w:noProof/>
        </w:rPr>
        <w:t> </w:t>
      </w:r>
      <w:r w:rsidRPr="00660A3E">
        <w:rPr>
          <w:noProof/>
        </w:rPr>
        <w:t>2</w:t>
      </w:r>
      <w:r w:rsidRPr="00F059DD">
        <w:rPr>
          <w:noProof/>
        </w:rPr>
        <w:t>0</w:t>
      </w:r>
      <w:r w:rsidRPr="00660A3E">
        <w:rPr>
          <w:noProof/>
        </w:rPr>
        <w:t>30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>, przy jednoczesnym zachowaniu pewności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ewidywalności dla inwestorów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cał</w:t>
      </w:r>
      <w:r w:rsidRPr="00F059DD">
        <w:rPr>
          <w:noProof/>
        </w:rPr>
        <w:t>ym łańcuchu wartości.</w:t>
      </w:r>
    </w:p>
    <w:p w:rsidR="00A13D7E" w:rsidRPr="00F059DD" w:rsidRDefault="00A13D7E" w:rsidP="00624AF6">
      <w:pPr>
        <w:pStyle w:val="ManualHeading1"/>
        <w:rPr>
          <w:noProof/>
        </w:rPr>
      </w:pPr>
      <w:r w:rsidRPr="00F059DD">
        <w:rPr>
          <w:noProof/>
        </w:rPr>
        <w:t>2.</w:t>
      </w:r>
      <w:r w:rsidRPr="00F059DD">
        <w:rPr>
          <w:noProof/>
        </w:rPr>
        <w:tab/>
        <w:t>PODSTAWA PRAWNA, POMOCNICZOŚĆ I PROPORCJONALNOŚĆ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  <w:u w:color="000000"/>
          <w:bdr w:val="nil"/>
        </w:rPr>
      </w:pPr>
      <w:r w:rsidRPr="00F059DD">
        <w:rPr>
          <w:noProof/>
          <w:u w:color="000000"/>
          <w:bdr w:val="nil"/>
        </w:rPr>
        <w:t>•</w:t>
      </w:r>
      <w:r w:rsidRPr="00F059DD">
        <w:rPr>
          <w:noProof/>
        </w:rPr>
        <w:tab/>
      </w:r>
      <w:r w:rsidRPr="00F059DD">
        <w:rPr>
          <w:noProof/>
          <w:u w:color="000000"/>
          <w:bdr w:val="nil"/>
        </w:rPr>
        <w:t>Podstawa prawna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F059DD">
        <w:rPr>
          <w:noProof/>
        </w:rPr>
        <w:t xml:space="preserve">Podstawę prawną wniosku stanowi </w:t>
      </w:r>
      <w:r w:rsidRPr="00660A3E">
        <w:rPr>
          <w:noProof/>
        </w:rPr>
        <w:t>art.</w:t>
      </w:r>
      <w:r w:rsidR="00660A3E" w:rsidRPr="00660A3E">
        <w:rPr>
          <w:noProof/>
        </w:rPr>
        <w:t> </w:t>
      </w:r>
      <w:r w:rsidRPr="00660A3E">
        <w:rPr>
          <w:noProof/>
        </w:rPr>
        <w:t>1</w:t>
      </w:r>
      <w:r w:rsidRPr="00F059DD">
        <w:rPr>
          <w:noProof/>
        </w:rPr>
        <w:t>92 Traktatu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fun</w:t>
      </w:r>
      <w:r w:rsidRPr="00F059DD">
        <w:rPr>
          <w:noProof/>
        </w:rPr>
        <w:t>kcjonowaniu Unii Europejskiej (TFUE). Zgodnie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660A3E">
        <w:rPr>
          <w:noProof/>
        </w:rPr>
        <w:t>art</w:t>
      </w:r>
      <w:r w:rsidRPr="00660A3E">
        <w:rPr>
          <w:noProof/>
        </w:rPr>
        <w:t>.</w:t>
      </w:r>
      <w:r w:rsidR="00660A3E" w:rsidRPr="00660A3E">
        <w:rPr>
          <w:noProof/>
        </w:rPr>
        <w:t> </w:t>
      </w:r>
      <w:r w:rsidRPr="00660A3E">
        <w:rPr>
          <w:noProof/>
        </w:rPr>
        <w:t>1</w:t>
      </w:r>
      <w:r w:rsidRPr="00F059DD">
        <w:rPr>
          <w:noProof/>
        </w:rPr>
        <w:t>91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660A3E">
        <w:rPr>
          <w:noProof/>
        </w:rPr>
        <w:t>art</w:t>
      </w:r>
      <w:r w:rsidRPr="00660A3E">
        <w:rPr>
          <w:noProof/>
        </w:rPr>
        <w:t>.</w:t>
      </w:r>
      <w:r w:rsidR="00660A3E" w:rsidRPr="00660A3E">
        <w:rPr>
          <w:noProof/>
        </w:rPr>
        <w:t> </w:t>
      </w:r>
      <w:r w:rsidRPr="00660A3E">
        <w:rPr>
          <w:noProof/>
        </w:rPr>
        <w:t>1</w:t>
      </w:r>
      <w:r w:rsidRPr="00F059DD">
        <w:rPr>
          <w:noProof/>
        </w:rPr>
        <w:t xml:space="preserve">92 </w:t>
      </w:r>
      <w:r w:rsidRPr="00660A3E">
        <w:rPr>
          <w:noProof/>
        </w:rPr>
        <w:t>ust.</w:t>
      </w:r>
      <w:r w:rsidR="00660A3E" w:rsidRPr="00660A3E">
        <w:rPr>
          <w:noProof/>
        </w:rPr>
        <w:t> </w:t>
      </w:r>
      <w:r w:rsidRPr="00660A3E">
        <w:rPr>
          <w:noProof/>
        </w:rPr>
        <w:t>1</w:t>
      </w:r>
      <w:r w:rsidRPr="00F059DD">
        <w:rPr>
          <w:noProof/>
        </w:rPr>
        <w:t xml:space="preserve"> TFUE Unia Europejska przyczynia się do osiągnięcia m.in. następujących celów: zachowania, ochrony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pop</w:t>
      </w:r>
      <w:r w:rsidRPr="00F059DD">
        <w:rPr>
          <w:noProof/>
        </w:rPr>
        <w:t>rawy jakości środowiska; promowania na płaszczyźnie międzynarodowej środków zmierzających do rozwiązywania regionalnych lub światowych problemów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dzi</w:t>
      </w:r>
      <w:r w:rsidRPr="00F059DD">
        <w:rPr>
          <w:noProof/>
        </w:rPr>
        <w:t>edzinie środowiska,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szc</w:t>
      </w:r>
      <w:r w:rsidRPr="00F059DD">
        <w:rPr>
          <w:noProof/>
        </w:rPr>
        <w:t xml:space="preserve">zególności zwalczania zmian klimatu. Na podstawie </w:t>
      </w:r>
      <w:r w:rsidRPr="00660A3E">
        <w:rPr>
          <w:noProof/>
        </w:rPr>
        <w:t>art.</w:t>
      </w:r>
      <w:r w:rsidR="00660A3E" w:rsidRPr="00660A3E">
        <w:rPr>
          <w:noProof/>
        </w:rPr>
        <w:t> </w:t>
      </w:r>
      <w:r w:rsidRPr="00660A3E">
        <w:rPr>
          <w:noProof/>
        </w:rPr>
        <w:t>1</w:t>
      </w:r>
      <w:r w:rsidRPr="00F059DD">
        <w:rPr>
          <w:noProof/>
        </w:rPr>
        <w:t>92 TFUE Unia przyjęła już polityki mające na celu rozwiązanie problemu emisji CO</w:t>
      </w:r>
      <w:r w:rsidRPr="00F059DD">
        <w:rPr>
          <w:noProof/>
          <w:vertAlign w:val="subscript"/>
        </w:rPr>
        <w:t>2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poj</w:t>
      </w:r>
      <w:r w:rsidRPr="00F059DD">
        <w:rPr>
          <w:noProof/>
        </w:rPr>
        <w:t>azdów ciężkich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roz</w:t>
      </w:r>
      <w:r w:rsidRPr="00F059DD">
        <w:rPr>
          <w:noProof/>
        </w:rPr>
        <w:t>porządzeniu (UE) 2019/1242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jeg</w:t>
      </w:r>
      <w:r w:rsidRPr="00F059DD">
        <w:rPr>
          <w:noProof/>
        </w:rPr>
        <w:t>o pierwszej zmianie rozporządzeniem (UE) 2024/1610</w:t>
      </w:r>
      <w:r w:rsidRPr="00F059DD">
        <w:rPr>
          <w:rStyle w:val="FootnoteReference"/>
          <w:rFonts w:eastAsia="Arial Unicode MS"/>
          <w:noProof/>
        </w:rPr>
        <w:footnoteReference w:id="4"/>
      </w:r>
      <w:r w:rsidRPr="00F059DD">
        <w:rPr>
          <w:noProof/>
        </w:rPr>
        <w:t xml:space="preserve">. 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  <w:u w:color="000000"/>
          <w:bdr w:val="nil"/>
        </w:rPr>
      </w:pPr>
      <w:r w:rsidRPr="00F059DD">
        <w:rPr>
          <w:noProof/>
          <w:u w:color="000000"/>
          <w:bdr w:val="nil"/>
        </w:rPr>
        <w:t>•</w:t>
      </w:r>
      <w:r w:rsidRPr="00F059DD">
        <w:rPr>
          <w:noProof/>
        </w:rPr>
        <w:tab/>
      </w:r>
      <w:r w:rsidRPr="00F059DD">
        <w:rPr>
          <w:noProof/>
          <w:u w:color="000000"/>
          <w:bdr w:val="nil"/>
        </w:rPr>
        <w:t xml:space="preserve">Pomocniczość (w przypadku kompetencji niewyłącznych) 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F059DD">
        <w:rPr>
          <w:noProof/>
        </w:rPr>
        <w:t>Niniejsza inicjatywa jest zgodna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zas</w:t>
      </w:r>
      <w:r w:rsidRPr="00F059DD">
        <w:rPr>
          <w:noProof/>
        </w:rPr>
        <w:t>adą pomocniczości. Zmiana rozporządzenia (UE) 2019/1242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Pr="00F059DD">
        <w:rPr>
          <w:noProof/>
        </w:rPr>
        <w:t xml:space="preserve">u zapewnienia dodatkowej elastyczności nie może zostać zrealizowana przez same państwa członkowskie. 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  <w:u w:color="000000"/>
          <w:bdr w:val="nil"/>
        </w:rPr>
      </w:pPr>
      <w:r w:rsidRPr="00F059DD">
        <w:rPr>
          <w:noProof/>
          <w:u w:color="000000"/>
          <w:bdr w:val="nil"/>
        </w:rPr>
        <w:t>•</w:t>
      </w:r>
      <w:r w:rsidRPr="00F059DD">
        <w:rPr>
          <w:noProof/>
        </w:rPr>
        <w:tab/>
      </w:r>
      <w:r w:rsidRPr="00F059DD">
        <w:rPr>
          <w:noProof/>
          <w:u w:color="000000"/>
          <w:bdr w:val="nil"/>
        </w:rPr>
        <w:t>Proporcjonalność</w:t>
      </w:r>
    </w:p>
    <w:p w:rsidR="008211F4" w:rsidRPr="00660A3E" w:rsidRDefault="008211F4" w:rsidP="008211F4">
      <w:pPr>
        <w:rPr>
          <w:noProof/>
        </w:rPr>
      </w:pPr>
      <w:r w:rsidRPr="00F059DD">
        <w:rPr>
          <w:noProof/>
        </w:rPr>
        <w:t>Wniosek jest zgodny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zas</w:t>
      </w:r>
      <w:r w:rsidRPr="00F059DD">
        <w:rPr>
          <w:noProof/>
        </w:rPr>
        <w:t>adą proporcjonalności, ponieważ nie wykracza poza to, co jest konieczne do osiągnięcia celów Unii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zak</w:t>
      </w:r>
      <w:r w:rsidRPr="00F059DD">
        <w:rPr>
          <w:noProof/>
        </w:rPr>
        <w:t>resie ograniczenia emisji gazów cieplarnianych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spo</w:t>
      </w:r>
      <w:r w:rsidRPr="00F059DD">
        <w:rPr>
          <w:noProof/>
        </w:rPr>
        <w:t>sób racjonalny pod względem kosztów, przy jednoczesnym zapewnieniu producentom pojazdów dodatkowej elastyczności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zak</w:t>
      </w:r>
      <w:r w:rsidRPr="00F059DD">
        <w:rPr>
          <w:noProof/>
        </w:rPr>
        <w:t>resie dostosowania się do wymagań, przy jednoczesnym utrzymaniu poziomu ambicji celów</w:t>
      </w:r>
      <w:r w:rsidRPr="00660A3E">
        <w:rPr>
          <w:noProof/>
        </w:rPr>
        <w:t>.</w:t>
      </w:r>
      <w:r w:rsidR="00660A3E" w:rsidRPr="00660A3E">
        <w:rPr>
          <w:noProof/>
        </w:rPr>
        <w:t xml:space="preserve"> 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  <w:u w:color="000000"/>
          <w:bdr w:val="nil"/>
        </w:rPr>
      </w:pPr>
      <w:r w:rsidRPr="00F059DD">
        <w:rPr>
          <w:noProof/>
          <w:u w:color="000000"/>
          <w:bdr w:val="nil"/>
        </w:rPr>
        <w:t>•</w:t>
      </w:r>
      <w:r w:rsidRPr="00F059DD">
        <w:rPr>
          <w:noProof/>
        </w:rPr>
        <w:tab/>
      </w:r>
      <w:r w:rsidRPr="00F059DD">
        <w:rPr>
          <w:noProof/>
          <w:u w:color="000000"/>
          <w:bdr w:val="nil"/>
        </w:rPr>
        <w:t>Wybór instrumentu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F059DD">
        <w:rPr>
          <w:noProof/>
        </w:rPr>
        <w:t>Proponowana zmiana rozporządzenia (UE) 2019/1242 dotyczy jedynie zapewnienia dodatkowej elastyczności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odn</w:t>
      </w:r>
      <w:r w:rsidRPr="00F059DD">
        <w:rPr>
          <w:noProof/>
        </w:rPr>
        <w:t>iesieniu do okresów dostosowania się do wymagań</w:t>
      </w:r>
      <w:r w:rsidR="00660A3E" w:rsidRPr="00F059DD">
        <w:rPr>
          <w:noProof/>
        </w:rPr>
        <w:t>. W</w:t>
      </w:r>
      <w:r w:rsidR="00660A3E">
        <w:rPr>
          <w:noProof/>
        </w:rPr>
        <w:t> </w:t>
      </w:r>
      <w:r w:rsidR="00660A3E" w:rsidRPr="00F059DD">
        <w:rPr>
          <w:noProof/>
        </w:rPr>
        <w:t>zwi</w:t>
      </w:r>
      <w:r w:rsidRPr="00F059DD">
        <w:rPr>
          <w:noProof/>
        </w:rPr>
        <w:t>ązku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tym</w:t>
      </w:r>
      <w:r w:rsidRPr="00F059DD">
        <w:rPr>
          <w:noProof/>
        </w:rPr>
        <w:t xml:space="preserve"> należy przyjąć tę samą formę aktu, tj. rozporządzenie.</w:t>
      </w:r>
    </w:p>
    <w:p w:rsidR="00A13D7E" w:rsidRPr="00F059DD" w:rsidRDefault="00A13D7E" w:rsidP="00624AF6">
      <w:pPr>
        <w:pStyle w:val="ManualHeading1"/>
        <w:rPr>
          <w:noProof/>
        </w:rPr>
      </w:pPr>
      <w:r w:rsidRPr="00F059DD">
        <w:rPr>
          <w:noProof/>
        </w:rPr>
        <w:t>3.</w:t>
      </w:r>
      <w:r w:rsidRPr="00F059DD">
        <w:rPr>
          <w:noProof/>
        </w:rPr>
        <w:tab/>
        <w:t>WYNIKI OCEN EX POST, KONSULTACJI Z ZAINTERESOWANYMI STRONAMI I OCEN SKUTKÓW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  <w:u w:color="000000"/>
          <w:bdr w:val="nil"/>
        </w:rPr>
      </w:pPr>
      <w:r w:rsidRPr="00F059DD">
        <w:rPr>
          <w:noProof/>
          <w:u w:color="000000"/>
          <w:bdr w:val="nil"/>
        </w:rPr>
        <w:t>•</w:t>
      </w:r>
      <w:r w:rsidRPr="00F059DD">
        <w:rPr>
          <w:noProof/>
        </w:rPr>
        <w:tab/>
      </w:r>
      <w:r w:rsidRPr="00F059DD">
        <w:rPr>
          <w:noProof/>
          <w:u w:color="000000"/>
          <w:bdr w:val="nil"/>
        </w:rPr>
        <w:t>Oceny ex post/oceny adekwatności obowiązującego prawodawstwa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F059DD">
        <w:rPr>
          <w:noProof/>
        </w:rPr>
        <w:t>Ocena wniosku nie jest konieczna, ponieważ przewiduje on jedynie tymczasową elastyczność dla producentów pojazdów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Pr="00F059DD">
        <w:rPr>
          <w:noProof/>
        </w:rPr>
        <w:t>u osiągnięcia celów redukcji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</w:t>
      </w:r>
      <w:r w:rsidRPr="00660A3E">
        <w:rPr>
          <w:noProof/>
        </w:rPr>
        <w:t>na</w:t>
      </w:r>
      <w:r w:rsidR="00660A3E" w:rsidRPr="00660A3E">
        <w:rPr>
          <w:noProof/>
        </w:rPr>
        <w:t> </w:t>
      </w:r>
      <w:r w:rsidRPr="00660A3E">
        <w:rPr>
          <w:noProof/>
        </w:rPr>
        <w:t>2</w:t>
      </w:r>
      <w:r w:rsidRPr="00F059DD">
        <w:rPr>
          <w:noProof/>
        </w:rPr>
        <w:t>0</w:t>
      </w:r>
      <w:r w:rsidRPr="00660A3E">
        <w:rPr>
          <w:noProof/>
        </w:rPr>
        <w:t>30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  <w:u w:color="000000"/>
          <w:bdr w:val="nil"/>
        </w:rPr>
      </w:pPr>
      <w:r w:rsidRPr="00F059DD">
        <w:rPr>
          <w:noProof/>
          <w:u w:color="000000"/>
          <w:bdr w:val="nil"/>
        </w:rPr>
        <w:t>•</w:t>
      </w:r>
      <w:r w:rsidRPr="00F059DD">
        <w:rPr>
          <w:noProof/>
        </w:rPr>
        <w:tab/>
      </w:r>
      <w:r w:rsidRPr="00F059DD">
        <w:rPr>
          <w:noProof/>
          <w:u w:color="000000"/>
          <w:bdr w:val="nil"/>
        </w:rPr>
        <w:t>Konsultacje</w:t>
      </w:r>
      <w:r w:rsidR="00660A3E" w:rsidRPr="00F059DD">
        <w:rPr>
          <w:noProof/>
          <w:u w:color="000000"/>
          <w:bdr w:val="nil"/>
        </w:rPr>
        <w:t xml:space="preserve"> z</w:t>
      </w:r>
      <w:r w:rsidR="00660A3E">
        <w:rPr>
          <w:noProof/>
          <w:u w:color="000000"/>
          <w:bdr w:val="nil"/>
        </w:rPr>
        <w:t> </w:t>
      </w:r>
      <w:r w:rsidR="00660A3E" w:rsidRPr="00F059DD">
        <w:rPr>
          <w:noProof/>
          <w:u w:color="000000"/>
          <w:bdr w:val="nil"/>
        </w:rPr>
        <w:t>zai</w:t>
      </w:r>
      <w:r w:rsidRPr="00F059DD">
        <w:rPr>
          <w:noProof/>
          <w:u w:color="000000"/>
          <w:bdr w:val="nil"/>
        </w:rPr>
        <w:t>nteresowanymi stronami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F059DD">
        <w:rPr>
          <w:noProof/>
        </w:rPr>
        <w:t>Komisja przeprowadziła intensywne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sze</w:t>
      </w:r>
      <w:r w:rsidRPr="00F059DD">
        <w:rPr>
          <w:noProof/>
        </w:rPr>
        <w:t>roko zakrojone dyskusje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pro</w:t>
      </w:r>
      <w:r w:rsidRPr="00F059DD">
        <w:rPr>
          <w:noProof/>
        </w:rPr>
        <w:t>ducentami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zai</w:t>
      </w:r>
      <w:r w:rsidRPr="00F059DD">
        <w:rPr>
          <w:noProof/>
        </w:rPr>
        <w:t>nteresowanymi stronami łańcucha wartości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emyśle motoryzacyjnym podczas spotkań dwustronnych oraz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kon</w:t>
      </w:r>
      <w:r w:rsidRPr="00F059DD">
        <w:rPr>
          <w:noProof/>
        </w:rPr>
        <w:t>tekście spotkań na wysokim szczeblu dotyczących pojazdów ciężkich, które odbyły się w III i IV kwartale 20</w:t>
      </w:r>
      <w:r w:rsidRPr="00660A3E">
        <w:rPr>
          <w:noProof/>
        </w:rPr>
        <w:t>25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 xml:space="preserve"> 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  <w:u w:color="000000"/>
          <w:bdr w:val="nil"/>
        </w:rPr>
      </w:pPr>
      <w:r w:rsidRPr="00F059DD">
        <w:rPr>
          <w:noProof/>
          <w:u w:color="000000"/>
          <w:bdr w:val="nil"/>
        </w:rPr>
        <w:t>•</w:t>
      </w:r>
      <w:r w:rsidRPr="00F059DD">
        <w:rPr>
          <w:noProof/>
        </w:rPr>
        <w:tab/>
      </w:r>
      <w:r w:rsidRPr="00F059DD">
        <w:rPr>
          <w:noProof/>
          <w:u w:color="000000"/>
          <w:bdr w:val="nil"/>
        </w:rPr>
        <w:t>Gromadzenie</w:t>
      </w:r>
      <w:r w:rsidR="00660A3E" w:rsidRPr="00F059DD">
        <w:rPr>
          <w:noProof/>
          <w:u w:color="000000"/>
          <w:bdr w:val="nil"/>
        </w:rPr>
        <w:t xml:space="preserve"> i</w:t>
      </w:r>
      <w:r w:rsidR="00660A3E">
        <w:rPr>
          <w:noProof/>
          <w:u w:color="000000"/>
          <w:bdr w:val="nil"/>
        </w:rPr>
        <w:t> </w:t>
      </w:r>
      <w:r w:rsidR="00660A3E" w:rsidRPr="00F059DD">
        <w:rPr>
          <w:noProof/>
          <w:u w:color="000000"/>
          <w:bdr w:val="nil"/>
        </w:rPr>
        <w:t>wyk</w:t>
      </w:r>
      <w:r w:rsidRPr="00F059DD">
        <w:rPr>
          <w:noProof/>
          <w:u w:color="000000"/>
          <w:bdr w:val="nil"/>
        </w:rPr>
        <w:t>orzystanie wiedzy eksperckiej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F059DD">
        <w:rPr>
          <w:noProof/>
        </w:rPr>
        <w:t>Wniosek opracowano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nas</w:t>
      </w:r>
      <w:r w:rsidRPr="00F059DD">
        <w:rPr>
          <w:noProof/>
        </w:rPr>
        <w:t>tępstwie wewnętrznej kontroli istniejących obowiązków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opa</w:t>
      </w:r>
      <w:r w:rsidRPr="00F059DD">
        <w:rPr>
          <w:noProof/>
        </w:rPr>
        <w:t>rto go na doświadczeniach we wdrażaniu powiązanych przepisów,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tym</w:t>
      </w:r>
      <w:r w:rsidRPr="00F059DD">
        <w:rPr>
          <w:noProof/>
        </w:rPr>
        <w:t xml:space="preserve"> na procesie corocznego monitorowania przestrzegania przez producentów wymagań dotyczących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. 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  <w:u w:color="000000"/>
          <w:bdr w:val="nil"/>
        </w:rPr>
      </w:pPr>
      <w:r w:rsidRPr="00F059DD">
        <w:rPr>
          <w:noProof/>
          <w:u w:color="000000"/>
          <w:bdr w:val="nil"/>
        </w:rPr>
        <w:t>•</w:t>
      </w:r>
      <w:r w:rsidRPr="00F059DD">
        <w:rPr>
          <w:noProof/>
        </w:rPr>
        <w:tab/>
      </w:r>
      <w:r w:rsidRPr="00F059DD">
        <w:rPr>
          <w:noProof/>
          <w:u w:color="000000"/>
          <w:bdr w:val="nil"/>
        </w:rPr>
        <w:t>Ocena skutków</w:t>
      </w:r>
    </w:p>
    <w:p w:rsidR="008211F4" w:rsidRPr="00F059DD" w:rsidRDefault="008211F4" w:rsidP="00A16156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 w:rsidRPr="00F059DD">
        <w:rPr>
          <w:noProof/>
        </w:rPr>
        <w:t xml:space="preserve">Wniosek dotyczy wprowadzenia ukierunkowanych zmian w </w:t>
      </w:r>
      <w:hyperlink r:id="rId14" w:history="1">
        <w:r w:rsidRPr="00F059DD">
          <w:rPr>
            <w:noProof/>
          </w:rPr>
          <w:t>rozporządzeniu (UE) 2019/1242</w:t>
        </w:r>
      </w:hyperlink>
      <w:r w:rsidRPr="00F059DD">
        <w:rPr>
          <w:noProof/>
        </w:rPr>
        <w:t>, aby zapewnić producentom dodatkową tymczasową elastyczność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odn</w:t>
      </w:r>
      <w:r w:rsidRPr="00F059DD">
        <w:rPr>
          <w:noProof/>
        </w:rPr>
        <w:t>iesieniu do ich obowiązków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zak</w:t>
      </w:r>
      <w:r w:rsidRPr="00F059DD">
        <w:rPr>
          <w:noProof/>
        </w:rPr>
        <w:t>resie dostosowania się do wymagań. Nie zmienia on poziomu ambicji celów</w:t>
      </w:r>
      <w:r w:rsidR="00660A3E" w:rsidRPr="00F059DD">
        <w:rPr>
          <w:noProof/>
        </w:rPr>
        <w:t>. W</w:t>
      </w:r>
      <w:r w:rsidR="00660A3E">
        <w:rPr>
          <w:noProof/>
        </w:rPr>
        <w:t> </w:t>
      </w:r>
      <w:r w:rsidR="00660A3E" w:rsidRPr="00F059DD">
        <w:rPr>
          <w:noProof/>
        </w:rPr>
        <w:t>zwi</w:t>
      </w:r>
      <w:r w:rsidRPr="00F059DD">
        <w:rPr>
          <w:noProof/>
        </w:rPr>
        <w:t>ązku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tym</w:t>
      </w:r>
      <w:r w:rsidRPr="00F059DD">
        <w:rPr>
          <w:noProof/>
        </w:rPr>
        <w:t xml:space="preserve"> nie przeprowadzono oceny skutków.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  <w:u w:color="000000"/>
          <w:bdr w:val="nil"/>
        </w:rPr>
      </w:pPr>
      <w:r w:rsidRPr="00F059DD">
        <w:rPr>
          <w:noProof/>
          <w:u w:color="000000"/>
          <w:bdr w:val="nil"/>
        </w:rPr>
        <w:t>•</w:t>
      </w:r>
      <w:r w:rsidRPr="00F059DD">
        <w:rPr>
          <w:noProof/>
        </w:rPr>
        <w:tab/>
      </w:r>
      <w:r w:rsidRPr="00F059DD">
        <w:rPr>
          <w:noProof/>
          <w:u w:color="000000"/>
          <w:bdr w:val="nil"/>
        </w:rPr>
        <w:t>Sprawność regulacyjna</w:t>
      </w:r>
      <w:r w:rsidR="00660A3E" w:rsidRPr="00F059DD">
        <w:rPr>
          <w:noProof/>
          <w:u w:color="000000"/>
          <w:bdr w:val="nil"/>
        </w:rPr>
        <w:t xml:space="preserve"> i</w:t>
      </w:r>
      <w:r w:rsidR="00660A3E">
        <w:rPr>
          <w:noProof/>
          <w:u w:color="000000"/>
          <w:bdr w:val="nil"/>
        </w:rPr>
        <w:t> </w:t>
      </w:r>
      <w:r w:rsidR="00660A3E" w:rsidRPr="00F059DD">
        <w:rPr>
          <w:noProof/>
          <w:u w:color="000000"/>
          <w:bdr w:val="nil"/>
        </w:rPr>
        <w:t>upr</w:t>
      </w:r>
      <w:r w:rsidRPr="00F059DD">
        <w:rPr>
          <w:noProof/>
          <w:u w:color="000000"/>
          <w:bdr w:val="nil"/>
        </w:rPr>
        <w:t>oszczenie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F059DD">
        <w:rPr>
          <w:noProof/>
        </w:rPr>
        <w:t>Oczekuje się, że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por</w:t>
      </w:r>
      <w:r w:rsidRPr="00F059DD">
        <w:rPr>
          <w:noProof/>
        </w:rPr>
        <w:t>ównaniu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obe</w:t>
      </w:r>
      <w:r w:rsidRPr="00F059DD">
        <w:rPr>
          <w:noProof/>
        </w:rPr>
        <w:t>cnym rozporządzeniem wniosek nie spowoduje wzrostu kosztów administracyjnych. Ponadto nie wiąże się on ze zwiększeniem złożoności ram prawnych.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  <w:u w:color="000000"/>
          <w:bdr w:val="nil"/>
        </w:rPr>
      </w:pPr>
      <w:r w:rsidRPr="00F059DD">
        <w:rPr>
          <w:noProof/>
          <w:u w:color="000000"/>
          <w:bdr w:val="nil"/>
        </w:rPr>
        <w:t>•</w:t>
      </w:r>
      <w:r w:rsidRPr="00F059DD">
        <w:rPr>
          <w:noProof/>
        </w:rPr>
        <w:tab/>
      </w:r>
      <w:r w:rsidRPr="00F059DD">
        <w:rPr>
          <w:noProof/>
          <w:u w:color="000000"/>
          <w:bdr w:val="nil"/>
        </w:rPr>
        <w:t>Prawa podstawowe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F059DD">
        <w:rPr>
          <w:noProof/>
        </w:rPr>
        <w:t>Wniosek przygotowano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pos</w:t>
      </w:r>
      <w:r w:rsidRPr="00F059DD">
        <w:rPr>
          <w:noProof/>
        </w:rPr>
        <w:t>zanowaniem praw podstawowych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zas</w:t>
      </w:r>
      <w:r w:rsidRPr="00F059DD">
        <w:rPr>
          <w:noProof/>
        </w:rPr>
        <w:t>ad uznanych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szc</w:t>
      </w:r>
      <w:r w:rsidRPr="00F059DD">
        <w:rPr>
          <w:noProof/>
        </w:rPr>
        <w:t>zególności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Kar</w:t>
      </w:r>
      <w:r w:rsidRPr="00F059DD">
        <w:rPr>
          <w:noProof/>
        </w:rPr>
        <w:t>cie praw podstawowych Unii Europejskiej</w:t>
      </w:r>
      <w:r w:rsidRPr="00F059DD">
        <w:rPr>
          <w:rStyle w:val="FootnoteReference"/>
          <w:rFonts w:eastAsia="Arial Unicode MS"/>
          <w:noProof/>
        </w:rPr>
        <w:footnoteReference w:id="5"/>
      </w:r>
      <w:r w:rsidR="00660A3E" w:rsidRPr="00F059DD">
        <w:rPr>
          <w:noProof/>
        </w:rPr>
        <w:t>. W</w:t>
      </w:r>
      <w:r w:rsidR="00660A3E">
        <w:rPr>
          <w:noProof/>
        </w:rPr>
        <w:t> </w:t>
      </w:r>
      <w:r w:rsidR="00660A3E" w:rsidRPr="00F059DD">
        <w:rPr>
          <w:noProof/>
        </w:rPr>
        <w:t>szc</w:t>
      </w:r>
      <w:r w:rsidRPr="00F059DD">
        <w:rPr>
          <w:noProof/>
        </w:rPr>
        <w:t>zególności przyczynia się on do osiągnięcia celu dotyczącego wysokiego poziomu ochrony środowiska zgodnie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zas</w:t>
      </w:r>
      <w:r w:rsidRPr="00F059DD">
        <w:rPr>
          <w:noProof/>
        </w:rPr>
        <w:t>adą zrównoważonego rozwoju,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któ</w:t>
      </w:r>
      <w:r w:rsidRPr="00F059DD">
        <w:rPr>
          <w:noProof/>
        </w:rPr>
        <w:t>rej mowa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660A3E">
        <w:rPr>
          <w:noProof/>
        </w:rPr>
        <w:t>art</w:t>
      </w:r>
      <w:r w:rsidRPr="00660A3E">
        <w:rPr>
          <w:noProof/>
        </w:rPr>
        <w:t>.</w:t>
      </w:r>
      <w:r w:rsidR="00660A3E" w:rsidRPr="00660A3E">
        <w:rPr>
          <w:noProof/>
        </w:rPr>
        <w:t> </w:t>
      </w:r>
      <w:r w:rsidRPr="00660A3E">
        <w:rPr>
          <w:noProof/>
        </w:rPr>
        <w:t>3</w:t>
      </w:r>
      <w:r w:rsidRPr="00F059DD">
        <w:rPr>
          <w:noProof/>
        </w:rPr>
        <w:t>7 Karty praw podstawowych Unii Europejskiej.</w:t>
      </w:r>
    </w:p>
    <w:p w:rsidR="00A13D7E" w:rsidRPr="00F059DD" w:rsidRDefault="00A13D7E" w:rsidP="00624AF6">
      <w:pPr>
        <w:pStyle w:val="ManualHeading1"/>
        <w:rPr>
          <w:noProof/>
        </w:rPr>
      </w:pPr>
      <w:r w:rsidRPr="00F059DD">
        <w:rPr>
          <w:noProof/>
        </w:rPr>
        <w:t>4.</w:t>
      </w:r>
      <w:r w:rsidRPr="00F059DD">
        <w:rPr>
          <w:noProof/>
        </w:rPr>
        <w:tab/>
        <w:t>WPŁYW NA BUDŻET</w:t>
      </w:r>
    </w:p>
    <w:p w:rsidR="008211F4" w:rsidRPr="00F059DD" w:rsidRDefault="008211F4" w:rsidP="008211F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 w:rsidRPr="00F059DD">
        <w:rPr>
          <w:noProof/>
        </w:rPr>
        <w:t>Ocenę skutków finansowych regulacji określającą wpływ na zasoby budżetowe, ludzkie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adm</w:t>
      </w:r>
      <w:r w:rsidRPr="00F059DD">
        <w:rPr>
          <w:noProof/>
        </w:rPr>
        <w:t>inistracyjne załączono do wniosku poprzedzającego przyjęcie rozporządzenia (UE) 2019/1242 ostatnio zmienionego rozporządzeniem (UE) 2024/1610.</w:t>
      </w:r>
    </w:p>
    <w:p w:rsidR="00A13D7E" w:rsidRPr="00F059DD" w:rsidRDefault="00A13D7E" w:rsidP="00624AF6">
      <w:pPr>
        <w:pStyle w:val="ManualHeading1"/>
        <w:rPr>
          <w:noProof/>
        </w:rPr>
      </w:pPr>
      <w:r w:rsidRPr="00F059DD">
        <w:rPr>
          <w:noProof/>
        </w:rPr>
        <w:t>5.</w:t>
      </w:r>
      <w:r w:rsidRPr="00F059DD">
        <w:rPr>
          <w:noProof/>
        </w:rPr>
        <w:tab/>
        <w:t>ELEMENTY FAKULTATYWNE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  <w:u w:color="000000"/>
          <w:bdr w:val="nil"/>
        </w:rPr>
      </w:pPr>
      <w:r w:rsidRPr="00F059DD">
        <w:rPr>
          <w:noProof/>
          <w:u w:color="000000"/>
          <w:bdr w:val="nil"/>
        </w:rPr>
        <w:t>•</w:t>
      </w:r>
      <w:r w:rsidRPr="00F059DD">
        <w:rPr>
          <w:noProof/>
        </w:rPr>
        <w:tab/>
      </w:r>
      <w:r w:rsidRPr="00F059DD">
        <w:rPr>
          <w:noProof/>
          <w:u w:color="000000"/>
          <w:bdr w:val="nil"/>
        </w:rPr>
        <w:t>Plany wdrożenia</w:t>
      </w:r>
      <w:r w:rsidR="00660A3E" w:rsidRPr="00F059DD">
        <w:rPr>
          <w:noProof/>
          <w:u w:color="000000"/>
          <w:bdr w:val="nil"/>
        </w:rPr>
        <w:t xml:space="preserve"> i</w:t>
      </w:r>
      <w:r w:rsidR="00660A3E">
        <w:rPr>
          <w:noProof/>
          <w:u w:color="000000"/>
          <w:bdr w:val="nil"/>
        </w:rPr>
        <w:t> </w:t>
      </w:r>
      <w:r w:rsidR="00660A3E" w:rsidRPr="00F059DD">
        <w:rPr>
          <w:noProof/>
          <w:u w:color="000000"/>
          <w:bdr w:val="nil"/>
        </w:rPr>
        <w:t>mon</w:t>
      </w:r>
      <w:r w:rsidRPr="00F059DD">
        <w:rPr>
          <w:noProof/>
          <w:u w:color="000000"/>
          <w:bdr w:val="nil"/>
        </w:rPr>
        <w:t>itorowanie, ocena</w:t>
      </w:r>
      <w:r w:rsidR="00660A3E" w:rsidRPr="00F059DD">
        <w:rPr>
          <w:noProof/>
          <w:u w:color="000000"/>
          <w:bdr w:val="nil"/>
        </w:rPr>
        <w:t xml:space="preserve"> i</w:t>
      </w:r>
      <w:r w:rsidR="00660A3E">
        <w:rPr>
          <w:noProof/>
          <w:u w:color="000000"/>
          <w:bdr w:val="nil"/>
        </w:rPr>
        <w:t> </w:t>
      </w:r>
      <w:r w:rsidR="00660A3E" w:rsidRPr="00F059DD">
        <w:rPr>
          <w:noProof/>
          <w:u w:color="000000"/>
          <w:bdr w:val="nil"/>
        </w:rPr>
        <w:t>spr</w:t>
      </w:r>
      <w:r w:rsidRPr="00F059DD">
        <w:rPr>
          <w:noProof/>
          <w:u w:color="000000"/>
          <w:bdr w:val="nil"/>
        </w:rPr>
        <w:t>awozdania</w:t>
      </w:r>
    </w:p>
    <w:p w:rsidR="00A13D7E" w:rsidRPr="00F059DD" w:rsidRDefault="008211F4" w:rsidP="008211F4">
      <w:pPr>
        <w:rPr>
          <w:noProof/>
        </w:rPr>
      </w:pPr>
      <w:r w:rsidRPr="00F059DD">
        <w:rPr>
          <w:noProof/>
        </w:rPr>
        <w:t>Wniosek nie zmienia istoty przepisów, dlatego ocena wdrożenia pozostaje taka sama jak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ypadku wniosku poprzedzającego przyjęcie rozporządzenia (UE) 2019/1242 zmienionego rozporządzeniem (UE) 2024/1610.</w:t>
      </w:r>
    </w:p>
    <w:p w:rsidR="00A13D7E" w:rsidRPr="00F059DD" w:rsidRDefault="00A13D7E" w:rsidP="00624AF6">
      <w:pPr>
        <w:pStyle w:val="ManualHeading2"/>
        <w:rPr>
          <w:rFonts w:eastAsia="Arial Unicode MS"/>
          <w:noProof/>
          <w:u w:color="000000"/>
          <w:bdr w:val="nil"/>
        </w:rPr>
      </w:pPr>
      <w:r w:rsidRPr="00F059DD">
        <w:rPr>
          <w:noProof/>
          <w:u w:color="000000"/>
          <w:bdr w:val="nil"/>
        </w:rPr>
        <w:t>•</w:t>
      </w:r>
      <w:r w:rsidRPr="00F059DD">
        <w:rPr>
          <w:noProof/>
        </w:rPr>
        <w:tab/>
      </w:r>
      <w:r w:rsidRPr="00F059DD">
        <w:rPr>
          <w:noProof/>
          <w:u w:color="000000"/>
          <w:bdr w:val="nil"/>
        </w:rPr>
        <w:t>Szczegółowe objaśnienia poszczególnych przepisów wniosku</w:t>
      </w:r>
    </w:p>
    <w:p w:rsidR="008211F4" w:rsidRPr="00F059DD" w:rsidRDefault="008211F4" w:rsidP="008211F4">
      <w:pPr>
        <w:rPr>
          <w:noProof/>
        </w:rPr>
      </w:pPr>
      <w:r w:rsidRPr="00F059DD">
        <w:rPr>
          <w:noProof/>
        </w:rPr>
        <w:t xml:space="preserve">Art. 1 </w:t>
      </w:r>
      <w:r w:rsidRPr="00660A3E">
        <w:rPr>
          <w:noProof/>
        </w:rPr>
        <w:t>ust.</w:t>
      </w:r>
      <w:r w:rsidR="00660A3E" w:rsidRPr="00660A3E">
        <w:rPr>
          <w:noProof/>
        </w:rPr>
        <w:t> </w:t>
      </w:r>
      <w:r w:rsidRPr="00660A3E">
        <w:rPr>
          <w:noProof/>
        </w:rPr>
        <w:t>1</w:t>
      </w:r>
      <w:r w:rsidRPr="00F059DD">
        <w:rPr>
          <w:noProof/>
        </w:rPr>
        <w:t xml:space="preserve"> niniejszego rozporządzenia zmienia:</w:t>
      </w:r>
    </w:p>
    <w:p w:rsidR="008211F4" w:rsidRPr="00F059DD" w:rsidRDefault="008211F4" w:rsidP="00BF2412">
      <w:pPr>
        <w:pStyle w:val="Bullet0"/>
        <w:numPr>
          <w:ilvl w:val="0"/>
          <w:numId w:val="18"/>
        </w:numPr>
        <w:rPr>
          <w:noProof/>
        </w:rPr>
      </w:pPr>
      <w:r w:rsidRPr="00660A3E">
        <w:rPr>
          <w:noProof/>
        </w:rPr>
        <w:t>art.</w:t>
      </w:r>
      <w:r w:rsidR="00660A3E" w:rsidRPr="00660A3E">
        <w:rPr>
          <w:noProof/>
        </w:rPr>
        <w:t> </w:t>
      </w:r>
      <w:r w:rsidRPr="00660A3E">
        <w:rPr>
          <w:noProof/>
        </w:rPr>
        <w:t>7</w:t>
      </w:r>
      <w:r w:rsidRPr="00F059DD">
        <w:rPr>
          <w:noProof/>
        </w:rPr>
        <w:t xml:space="preserve"> </w:t>
      </w:r>
      <w:r w:rsidRPr="00660A3E">
        <w:rPr>
          <w:noProof/>
        </w:rPr>
        <w:t>ust.</w:t>
      </w:r>
      <w:r w:rsidR="00660A3E" w:rsidRPr="00660A3E">
        <w:rPr>
          <w:noProof/>
        </w:rPr>
        <w:t> </w:t>
      </w:r>
      <w:r w:rsidRPr="00660A3E">
        <w:rPr>
          <w:noProof/>
        </w:rPr>
        <w:t>1</w:t>
      </w:r>
      <w:r w:rsidRPr="00F059DD">
        <w:rPr>
          <w:noProof/>
        </w:rPr>
        <w:t xml:space="preserve"> </w:t>
      </w:r>
      <w:r w:rsidRPr="00660A3E">
        <w:rPr>
          <w:noProof/>
        </w:rPr>
        <w:t>lit.</w:t>
      </w:r>
      <w:r w:rsidR="00660A3E" w:rsidRPr="00660A3E">
        <w:rPr>
          <w:noProof/>
        </w:rPr>
        <w:t> </w:t>
      </w:r>
      <w:r w:rsidRPr="00660A3E">
        <w:rPr>
          <w:noProof/>
        </w:rPr>
        <w:t>a)</w:t>
      </w:r>
      <w:r w:rsidRPr="00F059DD">
        <w:rPr>
          <w:noProof/>
        </w:rPr>
        <w:t xml:space="preserve"> rozporządzenia (UE) 2019/1242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Pr="00F059DD">
        <w:rPr>
          <w:noProof/>
        </w:rPr>
        <w:t xml:space="preserve">u </w:t>
      </w:r>
      <w:bookmarkStart w:id="1" w:name="_Hlk115453247"/>
      <w:r w:rsidRPr="00F059DD">
        <w:rPr>
          <w:noProof/>
        </w:rPr>
        <w:t>określenia zmienionych zasad określania jednostek emisji</w:t>
      </w:r>
      <w:bookmarkEnd w:id="1"/>
      <w:r w:rsidRPr="00F059DD">
        <w:rPr>
          <w:noProof/>
        </w:rPr>
        <w:t>;</w:t>
      </w:r>
    </w:p>
    <w:p w:rsidR="008211F4" w:rsidRPr="00F059DD" w:rsidRDefault="008211F4" w:rsidP="00F516B0">
      <w:pPr>
        <w:pStyle w:val="Bullet0"/>
        <w:rPr>
          <w:noProof/>
        </w:rPr>
      </w:pPr>
      <w:r w:rsidRPr="00F059DD">
        <w:rPr>
          <w:noProof/>
        </w:rPr>
        <w:t>załączniku I do rozporządzenia (UE) 2019/1242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Pr="00F059DD">
        <w:rPr>
          <w:noProof/>
        </w:rPr>
        <w:t>u wprowadzenia niezbędnych wzorów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zał</w:t>
      </w:r>
      <w:r w:rsidRPr="00F059DD">
        <w:rPr>
          <w:noProof/>
        </w:rPr>
        <w:t xml:space="preserve">ączniku I </w:t>
      </w:r>
      <w:r w:rsidRPr="00660A3E">
        <w:rPr>
          <w:noProof/>
        </w:rPr>
        <w:t>pkt</w:t>
      </w:r>
      <w:r w:rsidR="00660A3E" w:rsidRPr="00660A3E">
        <w:rPr>
          <w:noProof/>
        </w:rPr>
        <w:t> </w:t>
      </w:r>
      <w:r w:rsidRPr="00660A3E">
        <w:rPr>
          <w:noProof/>
        </w:rPr>
        <w:t>5</w:t>
      </w:r>
      <w:r w:rsidRPr="00F059DD">
        <w:rPr>
          <w:noProof/>
        </w:rPr>
        <w:t>.2, wdrażającym zmianę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660A3E">
        <w:rPr>
          <w:noProof/>
        </w:rPr>
        <w:t>art</w:t>
      </w:r>
      <w:r w:rsidRPr="00660A3E">
        <w:rPr>
          <w:noProof/>
        </w:rPr>
        <w:t>.</w:t>
      </w:r>
      <w:r w:rsidR="00660A3E" w:rsidRPr="00660A3E">
        <w:rPr>
          <w:noProof/>
        </w:rPr>
        <w:t> </w:t>
      </w:r>
      <w:r w:rsidRPr="00660A3E">
        <w:rPr>
          <w:noProof/>
        </w:rPr>
        <w:t>7</w:t>
      </w:r>
      <w:r w:rsidRPr="00F059DD">
        <w:rPr>
          <w:noProof/>
        </w:rPr>
        <w:t xml:space="preserve"> </w:t>
      </w:r>
      <w:r w:rsidRPr="00660A3E">
        <w:rPr>
          <w:noProof/>
        </w:rPr>
        <w:t>ust.</w:t>
      </w:r>
      <w:r w:rsidR="00660A3E" w:rsidRPr="00660A3E">
        <w:rPr>
          <w:noProof/>
        </w:rPr>
        <w:t> </w:t>
      </w:r>
      <w:r w:rsidRPr="00660A3E">
        <w:rPr>
          <w:noProof/>
        </w:rPr>
        <w:t>1</w:t>
      </w:r>
      <w:r w:rsidRPr="00F059DD">
        <w:rPr>
          <w:noProof/>
        </w:rPr>
        <w:t xml:space="preserve"> </w:t>
      </w:r>
      <w:r w:rsidRPr="00660A3E">
        <w:rPr>
          <w:noProof/>
        </w:rPr>
        <w:t>lit.</w:t>
      </w:r>
      <w:r w:rsidR="00660A3E" w:rsidRPr="00660A3E">
        <w:rPr>
          <w:noProof/>
        </w:rPr>
        <w:t> </w:t>
      </w:r>
      <w:r w:rsidRPr="00660A3E">
        <w:rPr>
          <w:noProof/>
        </w:rPr>
        <w:t>a)</w:t>
      </w:r>
      <w:r w:rsidRPr="00F059DD">
        <w:rPr>
          <w:noProof/>
        </w:rPr>
        <w:t xml:space="preserve">. </w:t>
      </w:r>
    </w:p>
    <w:p w:rsidR="00A13D7E" w:rsidRPr="00F059DD" w:rsidRDefault="00A13D7E" w:rsidP="00624AF6">
      <w:pPr>
        <w:rPr>
          <w:noProof/>
        </w:rPr>
        <w:sectPr w:rsidR="00A13D7E" w:rsidRPr="00F059DD" w:rsidSect="00086F5F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:rsidR="007F1CAC" w:rsidRDefault="00DE52A1">
      <w:pPr>
        <w:pStyle w:val="Rfrenceinterinstitutionnelle"/>
        <w:rPr>
          <w:noProof/>
        </w:rPr>
      </w:pPr>
      <w:r>
        <w:rPr>
          <w:noProof/>
        </w:rPr>
        <w:t>2025/0423 (COD)</w:t>
      </w:r>
    </w:p>
    <w:p w:rsidR="00A13D7E" w:rsidRPr="00F059DD" w:rsidRDefault="00A23876" w:rsidP="00A23876">
      <w:pPr>
        <w:pStyle w:val="Statut"/>
        <w:rPr>
          <w:noProof/>
        </w:rPr>
      </w:pPr>
      <w:r w:rsidRPr="00A23876">
        <w:rPr>
          <w:noProof/>
        </w:rPr>
        <w:t>Wniosek</w:t>
      </w:r>
    </w:p>
    <w:p w:rsidR="00A13D7E" w:rsidRPr="00F059DD" w:rsidRDefault="00A23876" w:rsidP="00A23876">
      <w:pPr>
        <w:pStyle w:val="Typedudocument"/>
        <w:rPr>
          <w:noProof/>
        </w:rPr>
      </w:pPr>
      <w:r w:rsidRPr="00A23876">
        <w:rPr>
          <w:noProof/>
        </w:rPr>
        <w:t>ROZPORZĄDZENIE PARLAMENTU EUROPEJSKIEGO I RADY</w:t>
      </w:r>
    </w:p>
    <w:p w:rsidR="00A13D7E" w:rsidRPr="00F059DD" w:rsidRDefault="00A23876" w:rsidP="00A23876">
      <w:pPr>
        <w:pStyle w:val="Titreobjet"/>
        <w:rPr>
          <w:noProof/>
        </w:rPr>
      </w:pPr>
      <w:r w:rsidRPr="00A23876">
        <w:rPr>
          <w:noProof/>
        </w:rPr>
        <w:t xml:space="preserve">zmieniające rozporządzenie (UE) 2019/1242 w odniesieniu do obliczania jednostek emisji dla pojazdów ciężkich za okresy sprawozdawcze w latach 2025–2029 </w:t>
      </w:r>
      <w:r w:rsidRPr="00A23876">
        <w:rPr>
          <w:noProof/>
        </w:rPr>
        <w:br/>
        <w:t xml:space="preserve"> </w:t>
      </w:r>
      <w:r w:rsidRPr="00A23876">
        <w:rPr>
          <w:noProof/>
        </w:rPr>
        <w:br/>
        <w:t xml:space="preserve"> </w:t>
      </w:r>
      <w:r w:rsidRPr="00A23876">
        <w:rPr>
          <w:noProof/>
        </w:rPr>
        <w:br/>
      </w:r>
    </w:p>
    <w:p w:rsidR="00A13D7E" w:rsidRPr="00F059DD" w:rsidRDefault="00A23876" w:rsidP="00A23876">
      <w:pPr>
        <w:pStyle w:val="IntrtEEE"/>
        <w:rPr>
          <w:noProof/>
        </w:rPr>
      </w:pPr>
      <w:r w:rsidRPr="00A23876">
        <w:rPr>
          <w:noProof/>
        </w:rPr>
        <w:t>(Tekst mający znaczenie dla EOG)</w:t>
      </w:r>
    </w:p>
    <w:p w:rsidR="00A13D7E" w:rsidRPr="00F059DD" w:rsidRDefault="00A13D7E" w:rsidP="00624AF6">
      <w:pPr>
        <w:pStyle w:val="Institutionquiagit"/>
        <w:rPr>
          <w:noProof/>
        </w:rPr>
      </w:pPr>
      <w:r w:rsidRPr="00F059DD">
        <w:rPr>
          <w:noProof/>
        </w:rPr>
        <w:t>PARLAMENT EUROPEJSKI I RADA UNII EUROPEJSKIEJ,</w:t>
      </w:r>
    </w:p>
    <w:p w:rsidR="00A13D7E" w:rsidRPr="00F059DD" w:rsidRDefault="00A13D7E" w:rsidP="00624AF6">
      <w:pPr>
        <w:rPr>
          <w:noProof/>
        </w:rPr>
      </w:pPr>
      <w:r w:rsidRPr="00F059DD">
        <w:rPr>
          <w:noProof/>
        </w:rPr>
        <w:t>uwzględniając Traktat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fun</w:t>
      </w:r>
      <w:r w:rsidRPr="00F059DD">
        <w:rPr>
          <w:noProof/>
        </w:rPr>
        <w:t>kcjonowaniu Unii Europejskiej,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szc</w:t>
      </w:r>
      <w:r w:rsidRPr="00F059DD">
        <w:rPr>
          <w:noProof/>
        </w:rPr>
        <w:t xml:space="preserve">zególności jego </w:t>
      </w:r>
      <w:r w:rsidRPr="00660A3E">
        <w:rPr>
          <w:noProof/>
        </w:rPr>
        <w:t>art.</w:t>
      </w:r>
      <w:r w:rsidR="00660A3E" w:rsidRPr="00660A3E">
        <w:rPr>
          <w:noProof/>
        </w:rPr>
        <w:t> </w:t>
      </w:r>
      <w:r w:rsidRPr="00660A3E">
        <w:rPr>
          <w:noProof/>
        </w:rPr>
        <w:t>1</w:t>
      </w:r>
      <w:r w:rsidRPr="00F059DD">
        <w:rPr>
          <w:noProof/>
        </w:rPr>
        <w:t xml:space="preserve">92 </w:t>
      </w:r>
      <w:r w:rsidRPr="00660A3E">
        <w:rPr>
          <w:noProof/>
        </w:rPr>
        <w:t>ust.</w:t>
      </w:r>
      <w:r w:rsidR="00660A3E" w:rsidRPr="00660A3E">
        <w:rPr>
          <w:noProof/>
        </w:rPr>
        <w:t> </w:t>
      </w:r>
      <w:r w:rsidRPr="00660A3E">
        <w:rPr>
          <w:noProof/>
        </w:rPr>
        <w:t>1</w:t>
      </w:r>
      <w:r w:rsidRPr="00F059DD">
        <w:rPr>
          <w:noProof/>
        </w:rPr>
        <w:t>,</w:t>
      </w:r>
    </w:p>
    <w:p w:rsidR="00A13D7E" w:rsidRPr="00F059DD" w:rsidRDefault="00A13D7E" w:rsidP="00624AF6">
      <w:pPr>
        <w:rPr>
          <w:noProof/>
        </w:rPr>
      </w:pPr>
      <w:r w:rsidRPr="00F059DD">
        <w:rPr>
          <w:noProof/>
        </w:rPr>
        <w:t>uwzględniając wniosek Komisji Europejskiej,</w:t>
      </w:r>
    </w:p>
    <w:p w:rsidR="00A13D7E" w:rsidRPr="00F059DD" w:rsidRDefault="00A13D7E" w:rsidP="00624AF6">
      <w:pPr>
        <w:rPr>
          <w:noProof/>
        </w:rPr>
      </w:pPr>
      <w:r w:rsidRPr="00F059DD">
        <w:rPr>
          <w:noProof/>
        </w:rPr>
        <w:t>po przekazaniu projektu aktu ustawodawczego parlamentom narodowym,</w:t>
      </w:r>
    </w:p>
    <w:p w:rsidR="00A13D7E" w:rsidRPr="00F059DD" w:rsidRDefault="00A13D7E" w:rsidP="00624AF6">
      <w:pPr>
        <w:rPr>
          <w:noProof/>
        </w:rPr>
      </w:pPr>
      <w:r w:rsidRPr="00F059DD">
        <w:rPr>
          <w:noProof/>
        </w:rPr>
        <w:t>uwzględniając opinię Europejskiego Komitetu Ekonomiczno-Społecznego</w:t>
      </w:r>
      <w:r w:rsidRPr="00F059DD">
        <w:rPr>
          <w:rStyle w:val="FootnoteReference"/>
          <w:noProof/>
        </w:rPr>
        <w:footnoteReference w:id="6"/>
      </w:r>
      <w:r w:rsidRPr="00F059DD">
        <w:rPr>
          <w:noProof/>
        </w:rPr>
        <w:t xml:space="preserve">, </w:t>
      </w:r>
    </w:p>
    <w:p w:rsidR="00A13D7E" w:rsidRPr="00F059DD" w:rsidRDefault="00A13D7E" w:rsidP="00624AF6">
      <w:pPr>
        <w:rPr>
          <w:noProof/>
        </w:rPr>
      </w:pPr>
      <w:r w:rsidRPr="00F059DD">
        <w:rPr>
          <w:noProof/>
        </w:rPr>
        <w:t>uwzględniając opinię Komitetu Regionów</w:t>
      </w:r>
      <w:r w:rsidRPr="00F059DD">
        <w:rPr>
          <w:rStyle w:val="FootnoteReference"/>
          <w:noProof/>
        </w:rPr>
        <w:footnoteReference w:id="7"/>
      </w:r>
      <w:r w:rsidRPr="00F059DD">
        <w:rPr>
          <w:noProof/>
        </w:rPr>
        <w:t xml:space="preserve">, </w:t>
      </w:r>
    </w:p>
    <w:p w:rsidR="00A13D7E" w:rsidRPr="00F059DD" w:rsidRDefault="00A13D7E" w:rsidP="00624AF6">
      <w:pPr>
        <w:rPr>
          <w:noProof/>
        </w:rPr>
      </w:pPr>
      <w:r w:rsidRPr="00F059DD">
        <w:rPr>
          <w:noProof/>
        </w:rPr>
        <w:t>stanowiąc zgodnie ze zwykłą procedurą ustawodawczą,</w:t>
      </w:r>
    </w:p>
    <w:p w:rsidR="00A13D7E" w:rsidRPr="00F059DD" w:rsidRDefault="00A13D7E" w:rsidP="00624AF6">
      <w:pPr>
        <w:rPr>
          <w:noProof/>
        </w:rPr>
      </w:pPr>
      <w:r w:rsidRPr="00F059DD">
        <w:rPr>
          <w:noProof/>
        </w:rPr>
        <w:t>a także mając na uwadze, co następuje:</w:t>
      </w:r>
    </w:p>
    <w:p w:rsidR="009E5E57" w:rsidRPr="00F059DD" w:rsidRDefault="004214D4" w:rsidP="004214D4">
      <w:pPr>
        <w:pStyle w:val="ManualConsidrant"/>
        <w:rPr>
          <w:noProof/>
        </w:rPr>
      </w:pPr>
      <w:r w:rsidRPr="004214D4">
        <w:rPr>
          <w:noProof/>
        </w:rPr>
        <w:t>(1)</w:t>
      </w:r>
      <w:r w:rsidRPr="004214D4">
        <w:rPr>
          <w:noProof/>
        </w:rPr>
        <w:tab/>
      </w:r>
      <w:r w:rsidR="009E5E57" w:rsidRPr="00F059DD">
        <w:rPr>
          <w:noProof/>
        </w:rPr>
        <w:t>W rozporządzeniu Parlamentu Europejskiego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Rad</w:t>
      </w:r>
      <w:r w:rsidR="009E5E57" w:rsidRPr="00F059DD">
        <w:rPr>
          <w:noProof/>
        </w:rPr>
        <w:t>y (UE) 2019/1242</w:t>
      </w:r>
      <w:r w:rsidR="009E5E57" w:rsidRPr="00F059DD">
        <w:rPr>
          <w:rStyle w:val="FootnoteReference"/>
          <w:noProof/>
        </w:rPr>
        <w:footnoteReference w:id="8"/>
      </w:r>
      <w:r w:rsidR="009E5E57" w:rsidRPr="00F059DD">
        <w:rPr>
          <w:noProof/>
        </w:rPr>
        <w:t xml:space="preserve"> określono docelowe poziomy emisji CO</w:t>
      </w:r>
      <w:r w:rsidR="009E5E57" w:rsidRPr="00F059DD">
        <w:rPr>
          <w:noProof/>
          <w:vertAlign w:val="subscript"/>
        </w:rPr>
        <w:t>2</w:t>
      </w:r>
      <w:r w:rsidR="009E5E57" w:rsidRPr="00F059DD">
        <w:rPr>
          <w:noProof/>
        </w:rPr>
        <w:t xml:space="preserve"> dla nowych pojazdów ciężkich, stanowiące kluczowy element unijnych ram mających na celu ograniczenie </w:t>
      </w:r>
      <w:r w:rsidR="009E5E57" w:rsidRPr="00660A3E">
        <w:rPr>
          <w:noProof/>
        </w:rPr>
        <w:t>do</w:t>
      </w:r>
      <w:r w:rsidR="00660A3E" w:rsidRPr="00660A3E">
        <w:rPr>
          <w:noProof/>
        </w:rPr>
        <w:t> </w:t>
      </w:r>
      <w:r w:rsidR="009E5E57" w:rsidRPr="00660A3E">
        <w:rPr>
          <w:noProof/>
        </w:rPr>
        <w:t>2</w:t>
      </w:r>
      <w:r w:rsidR="009E5E57" w:rsidRPr="00F059DD">
        <w:rPr>
          <w:noProof/>
        </w:rPr>
        <w:t>0</w:t>
      </w:r>
      <w:r w:rsidR="009E5E57" w:rsidRPr="00660A3E">
        <w:rPr>
          <w:noProof/>
        </w:rPr>
        <w:t>30</w:t>
      </w:r>
      <w:r w:rsidR="00660A3E" w:rsidRPr="00660A3E">
        <w:rPr>
          <w:noProof/>
        </w:rPr>
        <w:t> </w:t>
      </w:r>
      <w:r w:rsidR="009E5E57" w:rsidRPr="00660A3E">
        <w:rPr>
          <w:noProof/>
        </w:rPr>
        <w:t>r.</w:t>
      </w:r>
      <w:r w:rsidR="009E5E57" w:rsidRPr="00F059DD">
        <w:rPr>
          <w:noProof/>
        </w:rPr>
        <w:t xml:space="preserve"> emisji gazów cieplarnianych netto o co najmniej 55 %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sto</w:t>
      </w:r>
      <w:r w:rsidR="009E5E57" w:rsidRPr="00F059DD">
        <w:rPr>
          <w:noProof/>
        </w:rPr>
        <w:t>sunku do poziomów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1</w:t>
      </w:r>
      <w:r w:rsidR="009E5E57" w:rsidRPr="00F059DD">
        <w:rPr>
          <w:noProof/>
        </w:rPr>
        <w:t>9</w:t>
      </w:r>
      <w:r w:rsidR="009E5E57" w:rsidRPr="00660A3E">
        <w:rPr>
          <w:noProof/>
        </w:rPr>
        <w:t>90</w:t>
      </w:r>
      <w:r w:rsidR="00660A3E" w:rsidRPr="00660A3E">
        <w:rPr>
          <w:noProof/>
        </w:rPr>
        <w:t> </w:t>
      </w:r>
      <w:r w:rsidR="009E5E57" w:rsidRPr="00660A3E">
        <w:rPr>
          <w:noProof/>
        </w:rPr>
        <w:t>r.</w:t>
      </w:r>
      <w:r w:rsidR="009E5E57" w:rsidRPr="00F059DD">
        <w:rPr>
          <w:noProof/>
        </w:rPr>
        <w:t xml:space="preserve"> oraz osiągnięcie neutralności klimatycznej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cał</w:t>
      </w:r>
      <w:r w:rsidR="009E5E57" w:rsidRPr="00F059DD">
        <w:rPr>
          <w:noProof/>
        </w:rPr>
        <w:t xml:space="preserve">ej gospodarce </w:t>
      </w:r>
      <w:r w:rsidR="009E5E57" w:rsidRPr="00660A3E">
        <w:rPr>
          <w:noProof/>
        </w:rPr>
        <w:t>do</w:t>
      </w:r>
      <w:r w:rsidR="00660A3E" w:rsidRPr="00660A3E">
        <w:rPr>
          <w:noProof/>
        </w:rPr>
        <w:t> </w:t>
      </w:r>
      <w:r w:rsidR="009E5E57" w:rsidRPr="00660A3E">
        <w:rPr>
          <w:noProof/>
        </w:rPr>
        <w:t>2</w:t>
      </w:r>
      <w:r w:rsidR="009E5E57" w:rsidRPr="00F059DD">
        <w:rPr>
          <w:noProof/>
        </w:rPr>
        <w:t>0</w:t>
      </w:r>
      <w:r w:rsidR="009E5E57" w:rsidRPr="00660A3E">
        <w:rPr>
          <w:noProof/>
        </w:rPr>
        <w:t>50</w:t>
      </w:r>
      <w:r w:rsidR="00660A3E" w:rsidRPr="00660A3E">
        <w:rPr>
          <w:noProof/>
        </w:rPr>
        <w:t> </w:t>
      </w:r>
      <w:r w:rsidR="009E5E57" w:rsidRPr="00660A3E">
        <w:rPr>
          <w:noProof/>
        </w:rPr>
        <w:t>r.</w:t>
      </w:r>
      <w:r w:rsidR="009E5E57" w:rsidRPr="00F059DD">
        <w:rPr>
          <w:noProof/>
        </w:rPr>
        <w:t xml:space="preserve"> </w:t>
      </w:r>
    </w:p>
    <w:p w:rsidR="009E5E57" w:rsidRPr="00F059DD" w:rsidRDefault="004214D4" w:rsidP="004214D4">
      <w:pPr>
        <w:pStyle w:val="ManualConsidrant"/>
        <w:rPr>
          <w:noProof/>
        </w:rPr>
      </w:pPr>
      <w:r w:rsidRPr="004214D4">
        <w:rPr>
          <w:noProof/>
        </w:rPr>
        <w:t>(2)</w:t>
      </w:r>
      <w:r w:rsidRPr="004214D4">
        <w:rPr>
          <w:noProof/>
        </w:rPr>
        <w:tab/>
      </w:r>
      <w:r w:rsidR="009E5E57" w:rsidRPr="00F059DD">
        <w:rPr>
          <w:noProof/>
        </w:rPr>
        <w:t>Rozporządzenie (UE) 2019/1242 wprowadza coraz bardziej rygorystyczne cele redukcji emisji CO</w:t>
      </w:r>
      <w:r w:rsidR="009E5E57" w:rsidRPr="00F059DD">
        <w:rPr>
          <w:noProof/>
          <w:vertAlign w:val="subscript"/>
        </w:rPr>
        <w:t>2</w:t>
      </w:r>
      <w:r w:rsidR="009E5E57" w:rsidRPr="00F059DD">
        <w:rPr>
          <w:noProof/>
        </w:rPr>
        <w:t xml:space="preserve"> dla producentów Normy te zapewniają inwestorom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cał</w:t>
      </w:r>
      <w:r w:rsidR="009E5E57" w:rsidRPr="00F059DD">
        <w:rPr>
          <w:noProof/>
        </w:rPr>
        <w:t>ym łańcuchu wartości długoterminową pewność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="009E5E57" w:rsidRPr="00F059DD">
        <w:rPr>
          <w:noProof/>
        </w:rPr>
        <w:t>ewidywalność,</w:t>
      </w:r>
      <w:r w:rsidR="00660A3E" w:rsidRPr="00F059DD">
        <w:rPr>
          <w:noProof/>
        </w:rPr>
        <w:t xml:space="preserve"> a</w:t>
      </w:r>
      <w:r w:rsidR="00660A3E">
        <w:rPr>
          <w:noProof/>
        </w:rPr>
        <w:t> </w:t>
      </w:r>
      <w:r w:rsidR="00660A3E" w:rsidRPr="00F059DD">
        <w:rPr>
          <w:noProof/>
        </w:rPr>
        <w:t>jed</w:t>
      </w:r>
      <w:r w:rsidR="009E5E57" w:rsidRPr="00F059DD">
        <w:rPr>
          <w:noProof/>
        </w:rPr>
        <w:t>nocześnie dają wystarczająco dużo czasu na przeprowadzenie transformacji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spo</w:t>
      </w:r>
      <w:r w:rsidR="009E5E57" w:rsidRPr="00F059DD">
        <w:rPr>
          <w:noProof/>
        </w:rPr>
        <w:t>sób sprawiedliwy. Konieczne jest zatem utrzymanie poziomu docelowych poziomów redukcji emisji CO2 ustanowionych na podstawie rozporządzenia (UE) 2019/1242 na niezmienionym poziomie.</w:t>
      </w:r>
    </w:p>
    <w:p w:rsidR="009E5E57" w:rsidRPr="00F059DD" w:rsidRDefault="004214D4" w:rsidP="004214D4">
      <w:pPr>
        <w:pStyle w:val="ManualConsidrant"/>
        <w:rPr>
          <w:noProof/>
        </w:rPr>
      </w:pPr>
      <w:r w:rsidRPr="004214D4">
        <w:rPr>
          <w:noProof/>
        </w:rPr>
        <w:t>(3)</w:t>
      </w:r>
      <w:r w:rsidRPr="004214D4">
        <w:rPr>
          <w:noProof/>
        </w:rPr>
        <w:tab/>
      </w:r>
      <w:r w:rsidR="009E5E57" w:rsidRPr="00F059DD">
        <w:rPr>
          <w:noProof/>
        </w:rPr>
        <w:t xml:space="preserve">Aby ułatwić osiągnięcie celów mających zastosowanie </w:t>
      </w:r>
      <w:r w:rsidR="009E5E57" w:rsidRPr="00660A3E">
        <w:rPr>
          <w:noProof/>
        </w:rPr>
        <w:t>od</w:t>
      </w:r>
      <w:r w:rsidR="00660A3E" w:rsidRPr="00660A3E">
        <w:rPr>
          <w:noProof/>
        </w:rPr>
        <w:t> </w:t>
      </w:r>
      <w:r w:rsidR="009E5E57" w:rsidRPr="00660A3E">
        <w:rPr>
          <w:noProof/>
        </w:rPr>
        <w:t>2</w:t>
      </w:r>
      <w:r w:rsidR="009E5E57" w:rsidRPr="00F059DD">
        <w:rPr>
          <w:noProof/>
        </w:rPr>
        <w:t>0</w:t>
      </w:r>
      <w:r w:rsidR="009E5E57" w:rsidRPr="00660A3E">
        <w:rPr>
          <w:noProof/>
        </w:rPr>
        <w:t>30</w:t>
      </w:r>
      <w:r w:rsidR="00660A3E" w:rsidRPr="00660A3E">
        <w:rPr>
          <w:noProof/>
        </w:rPr>
        <w:t> </w:t>
      </w:r>
      <w:r w:rsidR="009E5E57" w:rsidRPr="00660A3E">
        <w:rPr>
          <w:noProof/>
        </w:rPr>
        <w:t>r.</w:t>
      </w:r>
      <w:r w:rsidR="009E5E57" w:rsidRPr="00F059DD">
        <w:rPr>
          <w:noProof/>
        </w:rPr>
        <w:t>, biorąc pod uwagę opóźnienie we wdrażaniu publicznej infrastruktury ładowania wzdłuż autostrad dla pojazdów ciężkich, producenci powinni mieć możliwość generowania większej liczby jednostek emisji przed 20</w:t>
      </w:r>
      <w:r w:rsidR="009E5E57" w:rsidRPr="00660A3E">
        <w:rPr>
          <w:noProof/>
        </w:rPr>
        <w:t>30</w:t>
      </w:r>
      <w:r w:rsidR="00660A3E" w:rsidRPr="00660A3E">
        <w:rPr>
          <w:noProof/>
        </w:rPr>
        <w:t> </w:t>
      </w:r>
      <w:r w:rsidR="009E5E57" w:rsidRPr="00660A3E">
        <w:rPr>
          <w:noProof/>
        </w:rPr>
        <w:t>r.</w:t>
      </w:r>
      <w:r w:rsidR="009E5E57" w:rsidRPr="00F059DD">
        <w:rPr>
          <w:noProof/>
        </w:rPr>
        <w:t>, co może również zachęcać do wcześniejszego wprowadzania bezemisyjnych pojazdów ciężkich.</w:t>
      </w:r>
    </w:p>
    <w:p w:rsidR="009E5E57" w:rsidRPr="00F059DD" w:rsidRDefault="004214D4" w:rsidP="004214D4">
      <w:pPr>
        <w:pStyle w:val="ManualConsidrant"/>
        <w:rPr>
          <w:noProof/>
        </w:rPr>
      </w:pPr>
      <w:r w:rsidRPr="004214D4">
        <w:rPr>
          <w:noProof/>
        </w:rPr>
        <w:t>(4)</w:t>
      </w:r>
      <w:r w:rsidRPr="004214D4">
        <w:rPr>
          <w:noProof/>
        </w:rPr>
        <w:tab/>
      </w:r>
      <w:r w:rsidR="009E5E57" w:rsidRPr="00F059DD">
        <w:rPr>
          <w:noProof/>
        </w:rPr>
        <w:t>W związku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tym</w:t>
      </w:r>
      <w:r w:rsidR="009E5E57" w:rsidRPr="00F059DD">
        <w:rPr>
          <w:noProof/>
        </w:rPr>
        <w:t xml:space="preserve"> producenci powinni gromadzić jednostki emisji wyłącznie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okr</w:t>
      </w:r>
      <w:r w:rsidR="009E5E57" w:rsidRPr="00F059DD">
        <w:rPr>
          <w:noProof/>
        </w:rPr>
        <w:t xml:space="preserve">esach sprawozdawczych </w:t>
      </w:r>
      <w:r w:rsidR="009E5E57" w:rsidRPr="00660A3E">
        <w:rPr>
          <w:noProof/>
        </w:rPr>
        <w:t>lat</w:t>
      </w:r>
      <w:r w:rsidR="00660A3E" w:rsidRPr="00660A3E">
        <w:rPr>
          <w:noProof/>
        </w:rPr>
        <w:t> </w:t>
      </w:r>
      <w:r w:rsidR="009E5E57" w:rsidRPr="00660A3E">
        <w:rPr>
          <w:noProof/>
        </w:rPr>
        <w:t>2</w:t>
      </w:r>
      <w:r w:rsidR="009E5E57" w:rsidRPr="00F059DD">
        <w:rPr>
          <w:noProof/>
        </w:rPr>
        <w:t>025–2029, jeżeli ich indywidualne poziomy emisji CO</w:t>
      </w:r>
      <w:r w:rsidR="009E5E57" w:rsidRPr="00F059DD">
        <w:rPr>
          <w:noProof/>
          <w:vertAlign w:val="subscript"/>
        </w:rPr>
        <w:t>2</w:t>
      </w:r>
      <w:r w:rsidR="009E5E57" w:rsidRPr="00F059DD">
        <w:rPr>
          <w:noProof/>
        </w:rPr>
        <w:t xml:space="preserve"> są niższe od docelowych indywidualnych poziomów emisji CO</w:t>
      </w:r>
      <w:r w:rsidR="009E5E57" w:rsidRPr="00F059DD">
        <w:rPr>
          <w:noProof/>
          <w:vertAlign w:val="subscript"/>
        </w:rPr>
        <w:t>2</w:t>
      </w:r>
      <w:r w:rsidR="009E5E57" w:rsidRPr="00F059DD">
        <w:rPr>
          <w:noProof/>
        </w:rPr>
        <w:t>,</w:t>
      </w:r>
      <w:r w:rsidR="00660A3E" w:rsidRPr="00F059DD">
        <w:rPr>
          <w:noProof/>
        </w:rPr>
        <w:t xml:space="preserve"> a</w:t>
      </w:r>
      <w:r w:rsidR="00660A3E">
        <w:rPr>
          <w:noProof/>
        </w:rPr>
        <w:t> </w:t>
      </w:r>
      <w:r w:rsidR="00660A3E" w:rsidRPr="00F059DD">
        <w:rPr>
          <w:noProof/>
        </w:rPr>
        <w:t>nie</w:t>
      </w:r>
      <w:r w:rsidR="009E5E57" w:rsidRPr="00F059DD">
        <w:rPr>
          <w:noProof/>
        </w:rPr>
        <w:t xml:space="preserve"> niższe od ścieżki redukcji emisji CO</w:t>
      </w:r>
      <w:r w:rsidR="009E5E57" w:rsidRPr="00F059DD">
        <w:rPr>
          <w:noProof/>
          <w:vertAlign w:val="subscript"/>
        </w:rPr>
        <w:t>2</w:t>
      </w:r>
      <w:r w:rsidR="009E5E57" w:rsidRPr="00F059DD">
        <w:rPr>
          <w:noProof/>
        </w:rPr>
        <w:t>.</w:t>
      </w:r>
    </w:p>
    <w:p w:rsidR="009E5E57" w:rsidRPr="00F059DD" w:rsidRDefault="004214D4" w:rsidP="004214D4">
      <w:pPr>
        <w:pStyle w:val="ManualConsidrant"/>
        <w:rPr>
          <w:noProof/>
        </w:rPr>
      </w:pPr>
      <w:r w:rsidRPr="004214D4">
        <w:rPr>
          <w:noProof/>
        </w:rPr>
        <w:t>(5)</w:t>
      </w:r>
      <w:r w:rsidRPr="004214D4">
        <w:rPr>
          <w:noProof/>
        </w:rPr>
        <w:tab/>
      </w:r>
      <w:r w:rsidR="00C07B97" w:rsidRPr="00F059DD">
        <w:rPr>
          <w:noProof/>
        </w:rPr>
        <w:t>Biorąc pod uwagę, że wprowadzanie bezemisyjnych autobusów miejskich jest już na zaawansowanym etapie, a na ich stosowanie nie ma negatywnego wpływu ewentualny brak rozwoju publicznej infrastruktury ładowania wzdłuż autostrad, zmiana ta nie powinna mieć zastosowania do autobusów miejskich.</w:t>
      </w:r>
    </w:p>
    <w:p w:rsidR="005A12F7" w:rsidRPr="00F059DD" w:rsidRDefault="004214D4" w:rsidP="004214D4">
      <w:pPr>
        <w:pStyle w:val="ManualConsidrant"/>
        <w:rPr>
          <w:noProof/>
        </w:rPr>
      </w:pPr>
      <w:r w:rsidRPr="004214D4">
        <w:rPr>
          <w:noProof/>
        </w:rPr>
        <w:t>(6)</w:t>
      </w:r>
      <w:r w:rsidRPr="004214D4">
        <w:rPr>
          <w:noProof/>
        </w:rPr>
        <w:tab/>
      </w:r>
      <w:r w:rsidR="005A12F7" w:rsidRPr="00F059DD">
        <w:rPr>
          <w:noProof/>
        </w:rPr>
        <w:t>Ponieważ cele niniejszego rozporządzenia, polegające na zapewnieniu producentom pojazdów dodatkowej elastyczności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zak</w:t>
      </w:r>
      <w:r w:rsidR="005A12F7" w:rsidRPr="00F059DD">
        <w:rPr>
          <w:noProof/>
        </w:rPr>
        <w:t>resie zgodności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="005A12F7" w:rsidRPr="00F059DD">
        <w:rPr>
          <w:noProof/>
        </w:rPr>
        <w:t>episami przy jednoczesnym utrzymaniu ambitnego poziomu celów redukcji emisji CO</w:t>
      </w:r>
      <w:r w:rsidR="005A12F7" w:rsidRPr="00F059DD">
        <w:rPr>
          <w:noProof/>
          <w:vertAlign w:val="subscript"/>
        </w:rPr>
        <w:t>2</w:t>
      </w:r>
      <w:r w:rsidR="005A12F7" w:rsidRPr="00F059DD">
        <w:rPr>
          <w:noProof/>
        </w:rPr>
        <w:t>, nie mogą zostać osiągnięte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spo</w:t>
      </w:r>
      <w:r w:rsidR="005A12F7" w:rsidRPr="00F059DD">
        <w:rPr>
          <w:noProof/>
        </w:rPr>
        <w:t>sób wystarczający przez państwa członkowskie, natomiast ze względu na skalę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sku</w:t>
      </w:r>
      <w:r w:rsidR="005A12F7" w:rsidRPr="00F059DD">
        <w:rPr>
          <w:noProof/>
        </w:rPr>
        <w:t>tki działania możliwe jest ich lepsze osiągnięcie na poziomie Unii, Unia może przyjąć środki zgodne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zas</w:t>
      </w:r>
      <w:r w:rsidR="005A12F7" w:rsidRPr="00F059DD">
        <w:rPr>
          <w:noProof/>
        </w:rPr>
        <w:t>adą pomocniczości określoną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660A3E">
        <w:rPr>
          <w:noProof/>
        </w:rPr>
        <w:t>art</w:t>
      </w:r>
      <w:r w:rsidR="005A12F7" w:rsidRPr="00660A3E">
        <w:rPr>
          <w:noProof/>
        </w:rPr>
        <w:t>.</w:t>
      </w:r>
      <w:r w:rsidR="00660A3E" w:rsidRPr="00660A3E">
        <w:rPr>
          <w:noProof/>
        </w:rPr>
        <w:t> </w:t>
      </w:r>
      <w:r w:rsidR="005A12F7" w:rsidRPr="00660A3E">
        <w:rPr>
          <w:noProof/>
        </w:rPr>
        <w:t>5</w:t>
      </w:r>
      <w:r w:rsidR="005A12F7" w:rsidRPr="00F059DD">
        <w:rPr>
          <w:noProof/>
        </w:rPr>
        <w:t xml:space="preserve"> Traktatu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Uni</w:t>
      </w:r>
      <w:r w:rsidR="005A12F7" w:rsidRPr="00F059DD">
        <w:rPr>
          <w:noProof/>
        </w:rPr>
        <w:t>i Europejskiej. Zgodnie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zas</w:t>
      </w:r>
      <w:r w:rsidR="005A12F7" w:rsidRPr="00F059DD">
        <w:rPr>
          <w:noProof/>
        </w:rPr>
        <w:t>adą proporcjonalności określoną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tym</w:t>
      </w:r>
      <w:r w:rsidR="005A12F7" w:rsidRPr="00F059DD">
        <w:rPr>
          <w:noProof/>
        </w:rPr>
        <w:t xml:space="preserve"> artykule niniejsze rozporządzenie nie wykracza poza to, co jest konieczne do osiągnięcia tych celów.</w:t>
      </w:r>
    </w:p>
    <w:p w:rsidR="009E5E57" w:rsidRPr="00F059DD" w:rsidRDefault="004214D4" w:rsidP="004214D4">
      <w:pPr>
        <w:pStyle w:val="ManualConsidrant"/>
        <w:rPr>
          <w:noProof/>
        </w:rPr>
      </w:pPr>
      <w:r w:rsidRPr="004214D4">
        <w:rPr>
          <w:noProof/>
        </w:rPr>
        <w:t>(7)</w:t>
      </w:r>
      <w:r w:rsidRPr="004214D4">
        <w:rPr>
          <w:noProof/>
        </w:rPr>
        <w:tab/>
      </w:r>
      <w:r w:rsidR="009E5E57" w:rsidRPr="00F059DD">
        <w:rPr>
          <w:noProof/>
        </w:rPr>
        <w:t>Należy zatem odpowiednio zmienić rozporządzenie (UE) 2019/1242,</w:t>
      </w:r>
    </w:p>
    <w:p w:rsidR="00A13D7E" w:rsidRPr="00F059DD" w:rsidRDefault="00A13D7E" w:rsidP="00624AF6">
      <w:pPr>
        <w:pStyle w:val="Formuledadoption"/>
        <w:rPr>
          <w:noProof/>
        </w:rPr>
      </w:pPr>
      <w:r w:rsidRPr="00F059DD">
        <w:rPr>
          <w:noProof/>
        </w:rPr>
        <w:t>PRZYJMUJĄ NINIEJSZE ROZPORZĄDZENIE:</w:t>
      </w:r>
    </w:p>
    <w:p w:rsidR="00A13D7E" w:rsidRPr="00F059DD" w:rsidRDefault="00A13D7E" w:rsidP="00624AF6">
      <w:pPr>
        <w:pStyle w:val="Titrearticle"/>
        <w:rPr>
          <w:noProof/>
        </w:rPr>
      </w:pPr>
      <w:r w:rsidRPr="00F059DD">
        <w:rPr>
          <w:noProof/>
        </w:rPr>
        <w:t>Artykuł 1</w:t>
      </w:r>
    </w:p>
    <w:p w:rsidR="009E5E57" w:rsidRPr="00F059DD" w:rsidRDefault="009E5E57" w:rsidP="009E5E57">
      <w:pPr>
        <w:rPr>
          <w:noProof/>
        </w:rPr>
      </w:pPr>
      <w:r w:rsidRPr="00F059DD">
        <w:rPr>
          <w:noProof/>
        </w:rPr>
        <w:t xml:space="preserve">W rozporządzeniu (UE) 2019/1242 wprowadza się następujące zmiany: </w:t>
      </w:r>
    </w:p>
    <w:p w:rsidR="009E5E57" w:rsidRPr="00F059DD" w:rsidRDefault="00660A3E" w:rsidP="00660A3E">
      <w:pPr>
        <w:pStyle w:val="Point0"/>
        <w:rPr>
          <w:noProof/>
        </w:rPr>
      </w:pPr>
      <w:r>
        <w:rPr>
          <w:noProof/>
        </w:rPr>
        <w:t>1)</w:t>
      </w:r>
      <w:r>
        <w:rPr>
          <w:noProof/>
        </w:rPr>
        <w:tab/>
      </w:r>
      <w:r w:rsidR="00C07B97" w:rsidRPr="00F059DD">
        <w:rPr>
          <w:noProof/>
        </w:rPr>
        <w:t xml:space="preserve">w </w:t>
      </w:r>
      <w:r w:rsidR="00C07B97" w:rsidRPr="00660A3E">
        <w:rPr>
          <w:noProof/>
        </w:rPr>
        <w:t>art.</w:t>
      </w:r>
      <w:r w:rsidRPr="00660A3E">
        <w:rPr>
          <w:noProof/>
        </w:rPr>
        <w:t> </w:t>
      </w:r>
      <w:r w:rsidR="00C07B97" w:rsidRPr="00660A3E">
        <w:rPr>
          <w:noProof/>
        </w:rPr>
        <w:t>7</w:t>
      </w:r>
      <w:r w:rsidR="00C07B97" w:rsidRPr="00F059DD">
        <w:rPr>
          <w:noProof/>
        </w:rPr>
        <w:t xml:space="preserve"> ust. 1 </w:t>
      </w:r>
      <w:r w:rsidR="00C07B97" w:rsidRPr="00660A3E">
        <w:rPr>
          <w:noProof/>
        </w:rPr>
        <w:t>lit.</w:t>
      </w:r>
      <w:r w:rsidRPr="00660A3E">
        <w:rPr>
          <w:noProof/>
        </w:rPr>
        <w:t> </w:t>
      </w:r>
      <w:r w:rsidR="00C07B97" w:rsidRPr="00660A3E">
        <w:rPr>
          <w:noProof/>
        </w:rPr>
        <w:t>a)</w:t>
      </w:r>
      <w:r w:rsidR="00C07B97" w:rsidRPr="00F059DD">
        <w:rPr>
          <w:noProof/>
        </w:rPr>
        <w:t xml:space="preserve"> wprowadza się następujące zmiany:</w:t>
      </w:r>
    </w:p>
    <w:p w:rsidR="009E5E57" w:rsidRPr="00F059DD" w:rsidRDefault="009E5E57" w:rsidP="0019660B">
      <w:pPr>
        <w:rPr>
          <w:noProof/>
        </w:rPr>
      </w:pPr>
      <w:r w:rsidRPr="00F059DD">
        <w:rPr>
          <w:noProof/>
        </w:rPr>
        <w:t>„a)</w:t>
      </w:r>
      <w:r w:rsidRPr="00F059DD">
        <w:rPr>
          <w:noProof/>
        </w:rPr>
        <w:tab/>
        <w:t>różnica między ścieżką redukcji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>,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któ</w:t>
      </w:r>
      <w:r w:rsidRPr="00F059DD">
        <w:rPr>
          <w:noProof/>
        </w:rPr>
        <w:t>rej mowa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660A3E">
        <w:rPr>
          <w:noProof/>
        </w:rPr>
        <w:t>ust</w:t>
      </w:r>
      <w:r w:rsidRPr="00660A3E">
        <w:rPr>
          <w:noProof/>
        </w:rPr>
        <w:t>.</w:t>
      </w:r>
      <w:r w:rsidR="00660A3E" w:rsidRPr="00660A3E">
        <w:rPr>
          <w:noProof/>
        </w:rPr>
        <w:t> </w:t>
      </w:r>
      <w:r w:rsidRPr="00660A3E">
        <w:rPr>
          <w:noProof/>
        </w:rPr>
        <w:t>2</w:t>
      </w:r>
      <w:r w:rsidRPr="00F059DD">
        <w:rPr>
          <w:noProof/>
        </w:rPr>
        <w:t>, dla okresu sprawozdawczego roku 2025,</w:t>
      </w:r>
      <w:r w:rsidR="00660A3E" w:rsidRPr="00F059DD">
        <w:rPr>
          <w:noProof/>
        </w:rPr>
        <w:t xml:space="preserve"> a</w:t>
      </w:r>
      <w:r w:rsidR="00660A3E">
        <w:rPr>
          <w:noProof/>
        </w:rPr>
        <w:t> </w:t>
      </w:r>
      <w:r w:rsidR="00660A3E" w:rsidRPr="00F059DD">
        <w:rPr>
          <w:noProof/>
        </w:rPr>
        <w:t>śre</w:t>
      </w:r>
      <w:r w:rsidRPr="00F059DD">
        <w:rPr>
          <w:noProof/>
        </w:rPr>
        <w:t>dnimi indywidualnymi poziomami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danego producenta dla okresów sprawozdawczych </w:t>
      </w:r>
      <w:r w:rsidRPr="00660A3E">
        <w:rPr>
          <w:noProof/>
        </w:rPr>
        <w:t>od</w:t>
      </w:r>
      <w:r w:rsidR="00660A3E" w:rsidRPr="00660A3E">
        <w:rPr>
          <w:noProof/>
        </w:rPr>
        <w:t> </w:t>
      </w:r>
      <w:r w:rsidRPr="00660A3E">
        <w:rPr>
          <w:noProof/>
        </w:rPr>
        <w:t>2</w:t>
      </w:r>
      <w:r w:rsidRPr="00F059DD">
        <w:rPr>
          <w:noProof/>
        </w:rPr>
        <w:t>0</w:t>
      </w:r>
      <w:r w:rsidRPr="00660A3E">
        <w:rPr>
          <w:noProof/>
        </w:rPr>
        <w:t>25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 xml:space="preserve"> </w:t>
      </w:r>
      <w:r w:rsidRPr="00660A3E">
        <w:rPr>
          <w:noProof/>
        </w:rPr>
        <w:t>do</w:t>
      </w:r>
      <w:r w:rsidR="00660A3E" w:rsidRPr="00660A3E">
        <w:rPr>
          <w:noProof/>
        </w:rPr>
        <w:t> </w:t>
      </w:r>
      <w:r w:rsidRPr="00660A3E">
        <w:rPr>
          <w:noProof/>
        </w:rPr>
        <w:t>2</w:t>
      </w:r>
      <w:r w:rsidRPr="00F059DD">
        <w:rPr>
          <w:noProof/>
        </w:rPr>
        <w:t>0</w:t>
      </w:r>
      <w:r w:rsidRPr="00660A3E">
        <w:rPr>
          <w:noProof/>
        </w:rPr>
        <w:t>29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>; oraz różnica między ścieżką redukcji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dla okresów sprawozdawczych innych niż dla </w:t>
      </w:r>
      <w:r w:rsidRPr="00660A3E">
        <w:rPr>
          <w:noProof/>
        </w:rPr>
        <w:t>lat</w:t>
      </w:r>
      <w:r w:rsidR="00660A3E" w:rsidRPr="00660A3E">
        <w:rPr>
          <w:noProof/>
        </w:rPr>
        <w:t> </w:t>
      </w:r>
      <w:r w:rsidRPr="00660A3E">
        <w:rPr>
          <w:noProof/>
        </w:rPr>
        <w:t>2</w:t>
      </w:r>
      <w:r w:rsidRPr="00F059DD">
        <w:rPr>
          <w:noProof/>
        </w:rPr>
        <w:t>025–2029</w:t>
      </w:r>
      <w:r w:rsidR="00660A3E" w:rsidRPr="00F059DD">
        <w:rPr>
          <w:noProof/>
        </w:rPr>
        <w:t xml:space="preserve"> a</w:t>
      </w:r>
      <w:r w:rsidR="00660A3E">
        <w:rPr>
          <w:noProof/>
        </w:rPr>
        <w:t> </w:t>
      </w:r>
      <w:r w:rsidR="00660A3E" w:rsidRPr="00F059DD">
        <w:rPr>
          <w:noProof/>
        </w:rPr>
        <w:t>śre</w:t>
      </w:r>
      <w:r w:rsidRPr="00F059DD">
        <w:rPr>
          <w:noProof/>
        </w:rPr>
        <w:t>dnimi indywidualnymi poziomami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danego producenta dla tego samego okresu sprawozdawczego; jeżeli różnica ta jest dodatnia („jednostki emisji”); lub”</w:t>
      </w:r>
    </w:p>
    <w:p w:rsidR="009E5E57" w:rsidRPr="00F059DD" w:rsidRDefault="00660A3E" w:rsidP="00660A3E">
      <w:pPr>
        <w:pStyle w:val="Point0"/>
        <w:rPr>
          <w:noProof/>
        </w:rPr>
      </w:pPr>
      <w:r>
        <w:rPr>
          <w:noProof/>
        </w:rPr>
        <w:t>2)</w:t>
      </w:r>
      <w:r>
        <w:rPr>
          <w:noProof/>
        </w:rPr>
        <w:tab/>
      </w:r>
      <w:r w:rsidR="009E5E57" w:rsidRPr="00F059DD">
        <w:rPr>
          <w:noProof/>
        </w:rPr>
        <w:t>w załączniku I wprowadza się zmiany zgodnie</w:t>
      </w:r>
      <w:r w:rsidRPr="00F059DD">
        <w:rPr>
          <w:noProof/>
        </w:rPr>
        <w:t xml:space="preserve"> z</w:t>
      </w:r>
      <w:r>
        <w:rPr>
          <w:noProof/>
        </w:rPr>
        <w:t> </w:t>
      </w:r>
      <w:r w:rsidRPr="00F059DD">
        <w:rPr>
          <w:noProof/>
        </w:rPr>
        <w:t>zał</w:t>
      </w:r>
      <w:r w:rsidR="009E5E57" w:rsidRPr="00F059DD">
        <w:rPr>
          <w:noProof/>
        </w:rPr>
        <w:t>ącznikiem do niniejszego rozporządzenia.</w:t>
      </w:r>
    </w:p>
    <w:p w:rsidR="00A13D7E" w:rsidRPr="00F059DD" w:rsidRDefault="00A13D7E" w:rsidP="00624AF6">
      <w:pPr>
        <w:pStyle w:val="Titrearticle"/>
        <w:rPr>
          <w:noProof/>
        </w:rPr>
      </w:pPr>
      <w:r w:rsidRPr="00F059DD">
        <w:rPr>
          <w:noProof/>
        </w:rPr>
        <w:t>Artykuł 2</w:t>
      </w:r>
    </w:p>
    <w:p w:rsidR="009E5E57" w:rsidRPr="00F059DD" w:rsidRDefault="009E5E57" w:rsidP="009E5E57">
      <w:pPr>
        <w:rPr>
          <w:noProof/>
        </w:rPr>
      </w:pPr>
      <w:r w:rsidRPr="00F059DD">
        <w:rPr>
          <w:noProof/>
        </w:rPr>
        <w:t>Niniejsze rozporządzenie wchodzi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życ</w:t>
      </w:r>
      <w:r w:rsidRPr="00F059DD">
        <w:rPr>
          <w:noProof/>
        </w:rPr>
        <w:t>ie dwudziestego dnia po jego opublikowaniu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i/>
          <w:noProof/>
        </w:rPr>
        <w:t>Dzi</w:t>
      </w:r>
      <w:r w:rsidRPr="00F059DD">
        <w:rPr>
          <w:i/>
          <w:noProof/>
        </w:rPr>
        <w:t>enniku Urzędowym Unii Europejskiej</w:t>
      </w:r>
      <w:r w:rsidRPr="00F059DD">
        <w:rPr>
          <w:noProof/>
        </w:rPr>
        <w:t>.</w:t>
      </w:r>
    </w:p>
    <w:p w:rsidR="00A13D7E" w:rsidRPr="00F059DD" w:rsidRDefault="00A13D7E" w:rsidP="004B2337">
      <w:pPr>
        <w:pStyle w:val="Applicationdirecte"/>
        <w:keepNext/>
        <w:keepLines/>
        <w:rPr>
          <w:noProof/>
        </w:rPr>
      </w:pPr>
      <w:r w:rsidRPr="00F059DD">
        <w:rPr>
          <w:noProof/>
        </w:rPr>
        <w:t>Niniejsze rozporządzenie wiąże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cał</w:t>
      </w:r>
      <w:r w:rsidRPr="00F059DD">
        <w:rPr>
          <w:noProof/>
        </w:rPr>
        <w:t>ości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jes</w:t>
      </w:r>
      <w:r w:rsidRPr="00F059DD">
        <w:rPr>
          <w:noProof/>
        </w:rPr>
        <w:t>t bezpośrednio stosowane we wszystkich państwach członkowskich.</w:t>
      </w:r>
    </w:p>
    <w:p w:rsidR="00A13D7E" w:rsidRPr="00F059DD" w:rsidRDefault="00A23876" w:rsidP="004B2337">
      <w:pPr>
        <w:pStyle w:val="Fait"/>
        <w:rPr>
          <w:noProof/>
        </w:rPr>
      </w:pPr>
      <w:r>
        <w:rPr>
          <w:noProof/>
        </w:rPr>
        <w:t>Sporządzono w Brukseli dnia  r.</w:t>
      </w:r>
    </w:p>
    <w:p w:rsidR="00A13D7E" w:rsidRPr="00F059DD" w:rsidRDefault="00A13D7E" w:rsidP="004B2337">
      <w:pPr>
        <w:pStyle w:val="Institutionquisigne"/>
        <w:rPr>
          <w:noProof/>
        </w:rPr>
      </w:pPr>
      <w:r w:rsidRPr="00F059DD">
        <w:rPr>
          <w:noProof/>
        </w:rPr>
        <w:t>W imieniu Parlamentu Europejskiego</w:t>
      </w:r>
      <w:r w:rsidRPr="00F059DD">
        <w:rPr>
          <w:noProof/>
        </w:rPr>
        <w:tab/>
        <w:t>W imieniu Rady</w:t>
      </w:r>
    </w:p>
    <w:p w:rsidR="00A13D7E" w:rsidRPr="00F059DD" w:rsidRDefault="00A13D7E" w:rsidP="00A13D7E">
      <w:pPr>
        <w:pStyle w:val="Personnequisigne"/>
        <w:rPr>
          <w:noProof/>
        </w:rPr>
      </w:pPr>
      <w:r w:rsidRPr="00F059DD">
        <w:rPr>
          <w:noProof/>
        </w:rPr>
        <w:t>Przewodnicząca</w:t>
      </w:r>
      <w:r w:rsidRPr="00F059DD">
        <w:rPr>
          <w:noProof/>
        </w:rPr>
        <w:tab/>
        <w:t>Przewodniczący</w:t>
      </w:r>
    </w:p>
    <w:p w:rsidR="00A13D7E" w:rsidRPr="00F059DD" w:rsidRDefault="00A13D7E" w:rsidP="00A13D7E">
      <w:pPr>
        <w:rPr>
          <w:noProof/>
        </w:rPr>
        <w:sectPr w:rsidR="00A13D7E" w:rsidRPr="00F059DD" w:rsidSect="00086F5F"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:rsidR="00A13D7E" w:rsidRPr="00F059DD" w:rsidRDefault="00A13D7E" w:rsidP="00624AF6">
      <w:pPr>
        <w:pStyle w:val="Fichefinanciretitre"/>
        <w:keepNext/>
        <w:rPr>
          <w:noProof/>
        </w:rPr>
      </w:pPr>
      <w:r w:rsidRPr="00F059DD">
        <w:rPr>
          <w:noProof/>
        </w:rPr>
        <w:t>OCENA SKUTKÓW FINANSOWYCH I CYFROWYCH REGULACJI</w:t>
      </w:r>
    </w:p>
    <w:p w:rsidR="00A13D7E" w:rsidRPr="00F059DD" w:rsidRDefault="00A13D7E" w:rsidP="00624AF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</w:t>
      </w:r>
      <w:r w:rsidRPr="00F059DD">
        <w:rPr>
          <w:noProof/>
        </w:rPr>
        <w:tab/>
        <w:t>STRUKTURA WNIOSKU/INICJATYWY</w:t>
      </w:r>
      <w:r w:rsidRPr="00F059DD">
        <w:rPr>
          <w:noProof/>
        </w:rPr>
        <w:tab/>
      </w:r>
      <w:r w:rsidRPr="00F059DD">
        <w:rPr>
          <w:noProof/>
          <w:webHidden/>
        </w:rPr>
        <w:t>3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1.1.</w:t>
      </w:r>
      <w:r w:rsidRPr="00F059DD">
        <w:rPr>
          <w:noProof/>
        </w:rPr>
        <w:tab/>
        <w:t>Tytuł wniosku/inicjatywy</w:t>
      </w:r>
      <w:r w:rsidRPr="00F059DD">
        <w:rPr>
          <w:noProof/>
        </w:rPr>
        <w:tab/>
      </w:r>
      <w:r w:rsidRPr="00F059DD">
        <w:rPr>
          <w:noProof/>
          <w:webHidden/>
        </w:rPr>
        <w:t>3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1.2.</w:t>
      </w:r>
      <w:r w:rsidRPr="00F059DD">
        <w:rPr>
          <w:noProof/>
        </w:rPr>
        <w:tab/>
        <w:t>Obszary polityki, których dotyczy wniosek/inicjatywa</w:t>
      </w:r>
      <w:r w:rsidRPr="00F059DD">
        <w:rPr>
          <w:noProof/>
        </w:rPr>
        <w:tab/>
      </w:r>
      <w:r w:rsidRPr="00F059DD">
        <w:rPr>
          <w:noProof/>
          <w:webHidden/>
        </w:rPr>
        <w:t>3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1.3.</w:t>
      </w:r>
      <w:r w:rsidRPr="00F059DD">
        <w:rPr>
          <w:noProof/>
        </w:rPr>
        <w:tab/>
        <w:t>Cel(e)</w:t>
      </w:r>
      <w:r w:rsidRPr="00F059DD">
        <w:rPr>
          <w:noProof/>
        </w:rPr>
        <w:tab/>
      </w:r>
      <w:r w:rsidRPr="00F059DD">
        <w:rPr>
          <w:noProof/>
          <w:webHidden/>
        </w:rPr>
        <w:t>3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1.3.1.</w:t>
      </w:r>
      <w:r w:rsidRPr="00F059DD">
        <w:rPr>
          <w:noProof/>
        </w:rPr>
        <w:tab/>
        <w:t>Cel(e) ogólny(-e)</w:t>
      </w:r>
      <w:r w:rsidRPr="00F059DD">
        <w:rPr>
          <w:noProof/>
        </w:rPr>
        <w:tab/>
      </w:r>
      <w:r w:rsidRPr="00F059DD">
        <w:rPr>
          <w:noProof/>
          <w:webHidden/>
        </w:rPr>
        <w:t>3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1.3.2.</w:t>
      </w:r>
      <w:r w:rsidRPr="00F059DD">
        <w:rPr>
          <w:noProof/>
        </w:rPr>
        <w:tab/>
        <w:t>Cel(e) szczegółowy(-e)</w:t>
      </w:r>
      <w:r w:rsidRPr="00F059DD">
        <w:rPr>
          <w:noProof/>
        </w:rPr>
        <w:tab/>
      </w:r>
      <w:r w:rsidRPr="00F059DD">
        <w:rPr>
          <w:noProof/>
          <w:webHidden/>
        </w:rPr>
        <w:t>3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1.3.3.</w:t>
      </w:r>
      <w:r w:rsidRPr="00F059DD">
        <w:rPr>
          <w:noProof/>
        </w:rPr>
        <w:tab/>
        <w:t>Oczekiwane wyniki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wpł</w:t>
      </w:r>
      <w:r w:rsidRPr="00F059DD">
        <w:rPr>
          <w:noProof/>
        </w:rPr>
        <w:t>yw</w:t>
      </w:r>
      <w:r w:rsidRPr="00F059DD">
        <w:rPr>
          <w:noProof/>
        </w:rPr>
        <w:tab/>
      </w:r>
      <w:r w:rsidRPr="00F059DD">
        <w:rPr>
          <w:noProof/>
          <w:webHidden/>
        </w:rPr>
        <w:t>3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1.3.4.</w:t>
      </w:r>
      <w:r w:rsidRPr="00F059DD">
        <w:rPr>
          <w:noProof/>
        </w:rPr>
        <w:tab/>
        <w:t>Wskaźniki dotyczące realizacji celów</w:t>
      </w:r>
      <w:r w:rsidRPr="00F059DD">
        <w:rPr>
          <w:noProof/>
        </w:rPr>
        <w:tab/>
      </w:r>
      <w:r w:rsidRPr="00F059DD">
        <w:rPr>
          <w:noProof/>
          <w:webHidden/>
        </w:rPr>
        <w:t>3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1.4.</w:t>
      </w:r>
      <w:r w:rsidRPr="00F059DD">
        <w:rPr>
          <w:noProof/>
        </w:rPr>
        <w:tab/>
        <w:t>Wniosek/inicjatywa dotyczy:</w:t>
      </w:r>
      <w:r w:rsidRPr="00F059DD">
        <w:rPr>
          <w:noProof/>
        </w:rPr>
        <w:tab/>
      </w:r>
      <w:r w:rsidRPr="00F059DD">
        <w:rPr>
          <w:noProof/>
          <w:webHidden/>
        </w:rPr>
        <w:t>4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1.5.</w:t>
      </w:r>
      <w:r w:rsidRPr="00F059DD">
        <w:rPr>
          <w:noProof/>
        </w:rPr>
        <w:tab/>
        <w:t>Uzasadnienie wniosku/inicjatywy</w:t>
      </w:r>
      <w:r w:rsidRPr="00F059DD">
        <w:rPr>
          <w:noProof/>
        </w:rPr>
        <w:tab/>
      </w:r>
      <w:r w:rsidRPr="00F059DD">
        <w:rPr>
          <w:noProof/>
          <w:webHidden/>
        </w:rPr>
        <w:t>4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1.5.1.</w:t>
      </w:r>
      <w:r w:rsidRPr="00F059DD">
        <w:rPr>
          <w:noProof/>
        </w:rPr>
        <w:tab/>
        <w:t>Potrzeby, które należy zaspokoić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per</w:t>
      </w:r>
      <w:r w:rsidRPr="00F059DD">
        <w:rPr>
          <w:noProof/>
        </w:rPr>
        <w:t>spektywie krótko- lub długoterminowej,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tym</w:t>
      </w:r>
      <w:r w:rsidRPr="00F059DD">
        <w:rPr>
          <w:noProof/>
        </w:rPr>
        <w:t xml:space="preserve"> szczegółowy terminarz przebiegu realizacji inicjatywy</w:t>
      </w:r>
      <w:r w:rsidRPr="00F059DD">
        <w:rPr>
          <w:noProof/>
        </w:rPr>
        <w:tab/>
      </w:r>
      <w:r w:rsidRPr="00F059DD">
        <w:rPr>
          <w:noProof/>
          <w:webHidden/>
        </w:rPr>
        <w:t>4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1.5.2.</w:t>
      </w:r>
      <w:r w:rsidRPr="00F059DD">
        <w:rPr>
          <w:noProof/>
        </w:rPr>
        <w:tab/>
        <w:t>Wartość dodana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tyt</w:t>
      </w:r>
      <w:r w:rsidRPr="00F059DD">
        <w:rPr>
          <w:noProof/>
        </w:rPr>
        <w:t>ułu zaangażowania Unii Europejskiej (może wynikać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róż</w:t>
      </w:r>
      <w:r w:rsidRPr="00F059DD">
        <w:rPr>
          <w:noProof/>
        </w:rPr>
        <w:t>nych czynników, na przykład korzyści koordynacyjnych, pewności prawa, większej efektywności lub komplementarności). Na potrzeby tej sekcji „wartość dodaną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tyt</w:t>
      </w:r>
      <w:r w:rsidRPr="00F059DD">
        <w:rPr>
          <w:noProof/>
        </w:rPr>
        <w:t>ułu zaangażowania Unii Europejskiej” należy rozumieć jako wartość wynikającą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uni</w:t>
      </w:r>
      <w:r w:rsidRPr="00F059DD">
        <w:rPr>
          <w:noProof/>
        </w:rPr>
        <w:t>jnej interwencji, wykraczającą poza wartość, która zostałaby wytworzona przez same państwa członkowskie.</w:t>
      </w:r>
      <w:r w:rsidRPr="00F059DD">
        <w:rPr>
          <w:noProof/>
        </w:rPr>
        <w:tab/>
      </w:r>
      <w:r w:rsidRPr="00F059DD">
        <w:rPr>
          <w:noProof/>
          <w:webHidden/>
        </w:rPr>
        <w:t>4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1.5.3.</w:t>
      </w:r>
      <w:r w:rsidRPr="00F059DD">
        <w:rPr>
          <w:noProof/>
        </w:rPr>
        <w:tab/>
        <w:t>Główne wnioski wyciągnięte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pod</w:t>
      </w:r>
      <w:r w:rsidRPr="00F059DD">
        <w:rPr>
          <w:noProof/>
        </w:rPr>
        <w:t>obnych działań</w:t>
      </w:r>
      <w:r w:rsidRPr="00F059DD">
        <w:rPr>
          <w:noProof/>
        </w:rPr>
        <w:tab/>
      </w:r>
      <w:r w:rsidRPr="00F059DD">
        <w:rPr>
          <w:noProof/>
          <w:webHidden/>
        </w:rPr>
        <w:t>4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1.5.4.</w:t>
      </w:r>
      <w:r w:rsidRPr="00F059DD">
        <w:rPr>
          <w:noProof/>
        </w:rPr>
        <w:tab/>
        <w:t>Spójność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wie</w:t>
      </w:r>
      <w:r w:rsidRPr="00F059DD">
        <w:rPr>
          <w:noProof/>
        </w:rPr>
        <w:t>loletnimi ramami finansowymi oraz możliwa synergia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inn</w:t>
      </w:r>
      <w:r w:rsidRPr="00F059DD">
        <w:rPr>
          <w:noProof/>
        </w:rPr>
        <w:t>ymi właściwymi instrumentami</w:t>
      </w:r>
      <w:r w:rsidRPr="00F059DD">
        <w:rPr>
          <w:noProof/>
        </w:rPr>
        <w:tab/>
      </w:r>
      <w:r w:rsidRPr="00F059DD">
        <w:rPr>
          <w:noProof/>
          <w:webHidden/>
        </w:rPr>
        <w:t>5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1.5.5.</w:t>
      </w:r>
      <w:r w:rsidRPr="00F059DD">
        <w:rPr>
          <w:noProof/>
        </w:rPr>
        <w:tab/>
        <w:t>Ocena różnych dostępnych możliwości finansowania,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tym</w:t>
      </w:r>
      <w:r w:rsidRPr="00F059DD">
        <w:rPr>
          <w:noProof/>
        </w:rPr>
        <w:t xml:space="preserve"> możliwości przegrupowania środków</w:t>
      </w:r>
      <w:r w:rsidRPr="00F059DD">
        <w:rPr>
          <w:noProof/>
        </w:rPr>
        <w:tab/>
      </w:r>
      <w:r w:rsidRPr="00F059DD">
        <w:rPr>
          <w:noProof/>
          <w:webHidden/>
        </w:rPr>
        <w:t>5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1.6.</w:t>
      </w:r>
      <w:r w:rsidRPr="00F059DD">
        <w:rPr>
          <w:noProof/>
        </w:rPr>
        <w:tab/>
        <w:t>Czas trwania wniosku/inicjatywy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jeg</w:t>
      </w:r>
      <w:r w:rsidRPr="00F059DD">
        <w:rPr>
          <w:noProof/>
        </w:rPr>
        <w:t>o/jej wpływu finansowego</w:t>
      </w:r>
      <w:r w:rsidRPr="00F059DD">
        <w:rPr>
          <w:noProof/>
        </w:rPr>
        <w:tab/>
      </w:r>
      <w:r w:rsidRPr="00F059DD">
        <w:rPr>
          <w:noProof/>
          <w:webHidden/>
        </w:rPr>
        <w:t>6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1.7.</w:t>
      </w:r>
      <w:r w:rsidRPr="00F059DD">
        <w:rPr>
          <w:noProof/>
        </w:rPr>
        <w:tab/>
        <w:t>Planowane metody wykonania budżetu</w:t>
      </w:r>
      <w:r w:rsidRPr="00F059DD">
        <w:rPr>
          <w:noProof/>
        </w:rPr>
        <w:tab/>
      </w:r>
      <w:r w:rsidRPr="00F059DD">
        <w:rPr>
          <w:noProof/>
          <w:webHidden/>
        </w:rPr>
        <w:t>6</w:t>
      </w:r>
    </w:p>
    <w:p w:rsidR="00A13D7E" w:rsidRPr="00F059DD" w:rsidRDefault="00A13D7E" w:rsidP="00624AF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2.</w:t>
      </w:r>
      <w:r w:rsidRPr="00F059DD">
        <w:rPr>
          <w:noProof/>
        </w:rPr>
        <w:tab/>
        <w:t>ŚRODKI ZARZĄDZANIA</w:t>
      </w:r>
      <w:r w:rsidRPr="00F059DD">
        <w:rPr>
          <w:noProof/>
        </w:rPr>
        <w:tab/>
      </w:r>
      <w:r w:rsidRPr="00F059DD">
        <w:rPr>
          <w:noProof/>
          <w:webHidden/>
        </w:rPr>
        <w:t>8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2.1.</w:t>
      </w:r>
      <w:r w:rsidRPr="00F059DD">
        <w:rPr>
          <w:noProof/>
        </w:rPr>
        <w:tab/>
        <w:t>Zasady nadzoru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spr</w:t>
      </w:r>
      <w:r w:rsidRPr="00F059DD">
        <w:rPr>
          <w:noProof/>
        </w:rPr>
        <w:t>awozdawczości</w:t>
      </w:r>
      <w:r w:rsidRPr="00F059DD">
        <w:rPr>
          <w:noProof/>
        </w:rPr>
        <w:tab/>
      </w:r>
      <w:r w:rsidRPr="00F059DD">
        <w:rPr>
          <w:noProof/>
          <w:webHidden/>
        </w:rPr>
        <w:t>8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2.2.</w:t>
      </w:r>
      <w:r w:rsidRPr="00F059DD">
        <w:rPr>
          <w:noProof/>
        </w:rPr>
        <w:tab/>
        <w:t>System zarządzania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kon</w:t>
      </w:r>
      <w:r w:rsidRPr="00F059DD">
        <w:rPr>
          <w:noProof/>
        </w:rPr>
        <w:t>troli</w:t>
      </w:r>
      <w:r w:rsidRPr="00F059DD">
        <w:rPr>
          <w:noProof/>
        </w:rPr>
        <w:tab/>
      </w:r>
      <w:r w:rsidRPr="00F059DD">
        <w:rPr>
          <w:noProof/>
          <w:webHidden/>
        </w:rPr>
        <w:t>8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2.2.1.</w:t>
      </w:r>
      <w:r w:rsidRPr="00F059DD">
        <w:rPr>
          <w:noProof/>
        </w:rPr>
        <w:tab/>
        <w:t>Uzasadnienie dla proponowanych metod wykonania budżetu, mechanizmów finansowania wykonania, sposobów dokonywania płatności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str</w:t>
      </w:r>
      <w:r w:rsidRPr="00F059DD">
        <w:rPr>
          <w:noProof/>
        </w:rPr>
        <w:t>ategii kontroli</w:t>
      </w:r>
      <w:r w:rsidRPr="00F059DD">
        <w:rPr>
          <w:noProof/>
        </w:rPr>
        <w:tab/>
      </w:r>
      <w:r w:rsidRPr="00F059DD">
        <w:rPr>
          <w:noProof/>
          <w:webHidden/>
        </w:rPr>
        <w:t>8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2.2.2.</w:t>
      </w:r>
      <w:r w:rsidRPr="00F059DD">
        <w:rPr>
          <w:noProof/>
        </w:rPr>
        <w:tab/>
        <w:t>Informacje dotyczące zidentyfikowanego ryzyka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sys</w:t>
      </w:r>
      <w:r w:rsidRPr="00F059DD">
        <w:rPr>
          <w:noProof/>
        </w:rPr>
        <w:t>temów kontroli wewnętrznej ustanowionych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Pr="00F059DD">
        <w:rPr>
          <w:noProof/>
        </w:rPr>
        <w:t>u jego ograniczenia</w:t>
      </w:r>
      <w:r w:rsidRPr="00F059DD">
        <w:rPr>
          <w:noProof/>
        </w:rPr>
        <w:tab/>
      </w:r>
      <w:r w:rsidRPr="00F059DD">
        <w:rPr>
          <w:noProof/>
          <w:webHidden/>
        </w:rPr>
        <w:t>8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2.2.3.</w:t>
      </w:r>
      <w:r w:rsidRPr="00F059DD">
        <w:rPr>
          <w:noProof/>
        </w:rPr>
        <w:tab/>
        <w:t>Oszacowanie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uza</w:t>
      </w:r>
      <w:r w:rsidRPr="00F059DD">
        <w:rPr>
          <w:noProof/>
        </w:rPr>
        <w:t>sadnienie efektywności kosztowej kontroli (relacja kosztów kontroli do wartości zarządzanych funduszy powiązanych) oraz ocena prawdopodobnego ryzyka błędu (przy płatności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y zamykaniu)</w:t>
      </w:r>
      <w:r w:rsidRPr="00F059DD">
        <w:rPr>
          <w:noProof/>
        </w:rPr>
        <w:tab/>
      </w:r>
      <w:r w:rsidRPr="00F059DD">
        <w:rPr>
          <w:noProof/>
          <w:webHidden/>
        </w:rPr>
        <w:t>8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2.3.</w:t>
      </w:r>
      <w:r w:rsidRPr="00F059DD">
        <w:rPr>
          <w:noProof/>
        </w:rPr>
        <w:tab/>
        <w:t>Środki zapobiegania nadużyciom finansowym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nie</w:t>
      </w:r>
      <w:r w:rsidRPr="00F059DD">
        <w:rPr>
          <w:noProof/>
        </w:rPr>
        <w:t>prawidłowościom</w:t>
      </w:r>
      <w:r w:rsidRPr="00F059DD">
        <w:rPr>
          <w:noProof/>
        </w:rPr>
        <w:tab/>
      </w:r>
      <w:r w:rsidRPr="00F059DD">
        <w:rPr>
          <w:noProof/>
          <w:webHidden/>
        </w:rPr>
        <w:t>9</w:t>
      </w:r>
    </w:p>
    <w:p w:rsidR="00A13D7E" w:rsidRPr="00F059DD" w:rsidRDefault="00A13D7E" w:rsidP="00624AF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</w:t>
      </w:r>
      <w:r w:rsidRPr="00F059DD">
        <w:rPr>
          <w:noProof/>
        </w:rPr>
        <w:tab/>
        <w:t>SZACUNKOWY WPŁYW FINANSOWY WNIOSKU/INICJATYWY</w:t>
      </w:r>
      <w:r w:rsidRPr="00F059DD">
        <w:rPr>
          <w:noProof/>
        </w:rPr>
        <w:tab/>
      </w:r>
      <w:r w:rsidRPr="00F059DD">
        <w:rPr>
          <w:noProof/>
          <w:webHidden/>
        </w:rPr>
        <w:t>10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3.1.</w:t>
      </w:r>
      <w:r w:rsidRPr="00F059DD">
        <w:rPr>
          <w:noProof/>
        </w:rPr>
        <w:tab/>
        <w:t>Działy wieloletnich ram finansowych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lin</w:t>
      </w:r>
      <w:r w:rsidRPr="00F059DD">
        <w:rPr>
          <w:noProof/>
        </w:rPr>
        <w:t>ie budżetowe po stronie wydatków, na które wniosek/inicjatywa ma wpływ</w:t>
      </w:r>
      <w:r w:rsidRPr="00F059DD">
        <w:rPr>
          <w:noProof/>
        </w:rPr>
        <w:tab/>
      </w:r>
      <w:r w:rsidRPr="00F059DD">
        <w:rPr>
          <w:noProof/>
          <w:webHidden/>
        </w:rPr>
        <w:t>10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</w:t>
      </w:r>
      <w:r w:rsidRPr="00F059DD">
        <w:rPr>
          <w:noProof/>
        </w:rPr>
        <w:tab/>
        <w:t>Szacunkowy wpływ finansowy wniosku na środki</w:t>
      </w:r>
      <w:r w:rsidRPr="00F059DD">
        <w:rPr>
          <w:noProof/>
        </w:rPr>
        <w:tab/>
      </w:r>
      <w:r w:rsidRPr="00F059DD">
        <w:rPr>
          <w:noProof/>
          <w:webHidden/>
        </w:rPr>
        <w:t>12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3.2.1.</w:t>
      </w:r>
      <w:r w:rsidRPr="00F059DD">
        <w:rPr>
          <w:noProof/>
        </w:rPr>
        <w:tab/>
        <w:t>Podsumowanie szacunkowego wpływu na środki operacyjne</w:t>
      </w:r>
      <w:r w:rsidRPr="00F059DD">
        <w:rPr>
          <w:noProof/>
        </w:rPr>
        <w:tab/>
      </w:r>
      <w:r w:rsidRPr="00F059DD">
        <w:rPr>
          <w:noProof/>
          <w:webHidden/>
        </w:rPr>
        <w:t>12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3.2.1.1.</w:t>
      </w:r>
      <w:r w:rsidRPr="00F059DD">
        <w:rPr>
          <w:noProof/>
        </w:rPr>
        <w:tab/>
        <w:t>Środki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uch</w:t>
      </w:r>
      <w:r w:rsidRPr="00F059DD">
        <w:rPr>
          <w:noProof/>
        </w:rPr>
        <w:t>walonego budżetu</w:t>
      </w:r>
      <w:r w:rsidRPr="00F059DD">
        <w:rPr>
          <w:noProof/>
        </w:rPr>
        <w:tab/>
      </w:r>
      <w:r w:rsidRPr="00F059DD">
        <w:rPr>
          <w:noProof/>
          <w:webHidden/>
        </w:rPr>
        <w:t>12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3.2.1.2.</w:t>
      </w:r>
      <w:r w:rsidRPr="00F059DD">
        <w:rPr>
          <w:noProof/>
        </w:rPr>
        <w:tab/>
        <w:t>Środki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zew</w:t>
      </w:r>
      <w:r w:rsidRPr="00F059DD">
        <w:rPr>
          <w:noProof/>
        </w:rPr>
        <w:t>nętrznych dochodów przeznaczonych na określony cel</w:t>
      </w:r>
      <w:r w:rsidRPr="00F059DD">
        <w:rPr>
          <w:noProof/>
        </w:rPr>
        <w:tab/>
      </w:r>
      <w:r w:rsidRPr="00F059DD">
        <w:rPr>
          <w:noProof/>
          <w:webHidden/>
        </w:rPr>
        <w:t>17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3.2.2.</w:t>
      </w:r>
      <w:r w:rsidRPr="00F059DD">
        <w:rPr>
          <w:noProof/>
        </w:rPr>
        <w:tab/>
        <w:t>Szacowany produkt finansowany ze środków operacyjnych</w:t>
      </w:r>
      <w:r w:rsidRPr="00F059DD">
        <w:rPr>
          <w:noProof/>
        </w:rPr>
        <w:tab/>
      </w:r>
      <w:r w:rsidRPr="00F059DD">
        <w:rPr>
          <w:noProof/>
          <w:webHidden/>
        </w:rPr>
        <w:t>22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3.2.3.</w:t>
      </w:r>
      <w:r w:rsidRPr="00F059DD">
        <w:rPr>
          <w:noProof/>
        </w:rPr>
        <w:tab/>
        <w:t>Podsumowanie szacunkowego wpływu na środki administracyjne</w:t>
      </w:r>
      <w:r w:rsidRPr="00F059DD">
        <w:rPr>
          <w:noProof/>
        </w:rPr>
        <w:tab/>
      </w:r>
      <w:r w:rsidRPr="00F059DD">
        <w:rPr>
          <w:noProof/>
          <w:webHidden/>
        </w:rPr>
        <w:t>24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3.2.3.1. Środki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uch</w:t>
      </w:r>
      <w:r w:rsidRPr="00F059DD">
        <w:rPr>
          <w:noProof/>
        </w:rPr>
        <w:t>walonego budżetu</w:t>
      </w:r>
      <w:r w:rsidRPr="00F059DD">
        <w:rPr>
          <w:noProof/>
        </w:rPr>
        <w:tab/>
      </w:r>
      <w:r w:rsidRPr="00F059DD">
        <w:rPr>
          <w:noProof/>
          <w:webHidden/>
        </w:rPr>
        <w:t>24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3.2.3.2.</w:t>
      </w:r>
      <w:r w:rsidRPr="00F059DD">
        <w:rPr>
          <w:noProof/>
        </w:rPr>
        <w:tab/>
        <w:t>Środki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zew</w:t>
      </w:r>
      <w:r w:rsidRPr="00F059DD">
        <w:rPr>
          <w:noProof/>
        </w:rPr>
        <w:t>nętrznych dochodów przeznaczonych na określony cel</w:t>
      </w:r>
      <w:r w:rsidRPr="00F059DD">
        <w:rPr>
          <w:noProof/>
        </w:rPr>
        <w:tab/>
      </w:r>
      <w:r w:rsidRPr="00F059DD">
        <w:rPr>
          <w:noProof/>
          <w:webHidden/>
        </w:rPr>
        <w:t>24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3.2.3.3.</w:t>
      </w:r>
      <w:r w:rsidRPr="00F059DD">
        <w:rPr>
          <w:noProof/>
        </w:rPr>
        <w:tab/>
        <w:t>Ogółem środki</w:t>
      </w:r>
      <w:r w:rsidRPr="00F059DD">
        <w:rPr>
          <w:noProof/>
        </w:rPr>
        <w:tab/>
      </w:r>
      <w:r w:rsidRPr="00F059DD">
        <w:rPr>
          <w:noProof/>
          <w:webHidden/>
        </w:rPr>
        <w:t>24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3.2.4.</w:t>
      </w:r>
      <w:r w:rsidRPr="00F059DD">
        <w:rPr>
          <w:noProof/>
        </w:rPr>
        <w:tab/>
        <w:t>Szacowane zapotrzebowanie na zasoby ludzkie</w:t>
      </w:r>
      <w:r w:rsidRPr="00F059DD">
        <w:rPr>
          <w:noProof/>
        </w:rPr>
        <w:tab/>
      </w:r>
      <w:r w:rsidRPr="00F059DD">
        <w:rPr>
          <w:noProof/>
          <w:webHidden/>
        </w:rPr>
        <w:t>25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3.2.4.1.</w:t>
      </w:r>
      <w:r w:rsidRPr="00F059DD">
        <w:rPr>
          <w:noProof/>
        </w:rPr>
        <w:tab/>
        <w:t>Finansowane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uch</w:t>
      </w:r>
      <w:r w:rsidRPr="00F059DD">
        <w:rPr>
          <w:noProof/>
        </w:rPr>
        <w:t>walonego budżetu</w:t>
      </w:r>
      <w:r w:rsidRPr="00F059DD">
        <w:rPr>
          <w:noProof/>
        </w:rPr>
        <w:tab/>
      </w:r>
      <w:r w:rsidRPr="00F059DD">
        <w:rPr>
          <w:noProof/>
          <w:webHidden/>
        </w:rPr>
        <w:t>25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3.2.4.2.</w:t>
      </w:r>
      <w:r w:rsidRPr="00F059DD">
        <w:rPr>
          <w:noProof/>
        </w:rPr>
        <w:tab/>
        <w:t>Finansowane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zew</w:t>
      </w:r>
      <w:r w:rsidRPr="00F059DD">
        <w:rPr>
          <w:noProof/>
        </w:rPr>
        <w:t>nętrznych dochodów przeznaczonych na określony cel</w:t>
      </w:r>
      <w:r w:rsidRPr="00F059DD">
        <w:rPr>
          <w:noProof/>
        </w:rPr>
        <w:tab/>
      </w:r>
      <w:r w:rsidRPr="00F059DD">
        <w:rPr>
          <w:noProof/>
          <w:webHidden/>
        </w:rPr>
        <w:t>26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3.2.4.3.</w:t>
      </w:r>
      <w:r w:rsidRPr="00F059DD">
        <w:rPr>
          <w:noProof/>
        </w:rPr>
        <w:tab/>
        <w:t>Zapotrzebowanie na zasoby ludzkie ogółem</w:t>
      </w:r>
      <w:r w:rsidRPr="00F059DD">
        <w:rPr>
          <w:noProof/>
        </w:rPr>
        <w:tab/>
      </w:r>
      <w:r w:rsidRPr="00F059DD">
        <w:rPr>
          <w:noProof/>
          <w:webHidden/>
        </w:rPr>
        <w:t>26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3.2.5.</w:t>
      </w:r>
      <w:r w:rsidRPr="00F059DD">
        <w:rPr>
          <w:noProof/>
        </w:rPr>
        <w:tab/>
        <w:t>Przegląd szacowanego wpływu na inwestycje związane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tec</w:t>
      </w:r>
      <w:r w:rsidRPr="00F059DD">
        <w:rPr>
          <w:noProof/>
        </w:rPr>
        <w:t>hnologiami cyfrowymi</w:t>
      </w:r>
      <w:r w:rsidRPr="00F059DD">
        <w:rPr>
          <w:noProof/>
        </w:rPr>
        <w:tab/>
      </w:r>
      <w:r w:rsidRPr="00F059DD">
        <w:rPr>
          <w:noProof/>
          <w:webHidden/>
        </w:rPr>
        <w:t>28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3.2.6.</w:t>
      </w:r>
      <w:r w:rsidRPr="00F059DD">
        <w:rPr>
          <w:noProof/>
        </w:rPr>
        <w:tab/>
        <w:t>Zgodność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obo</w:t>
      </w:r>
      <w:r w:rsidRPr="00F059DD">
        <w:rPr>
          <w:noProof/>
        </w:rPr>
        <w:t>wiązującymi wieloletnimi ramami finansowymi</w:t>
      </w:r>
      <w:r w:rsidRPr="00F059DD">
        <w:rPr>
          <w:noProof/>
        </w:rPr>
        <w:tab/>
      </w:r>
      <w:r w:rsidRPr="00F059DD">
        <w:rPr>
          <w:noProof/>
          <w:webHidden/>
        </w:rPr>
        <w:t>28</w:t>
      </w:r>
    </w:p>
    <w:p w:rsidR="00A13D7E" w:rsidRPr="00F059DD" w:rsidRDefault="00A13D7E" w:rsidP="00624AF6">
      <w:pPr>
        <w:pStyle w:val="TOC3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3.2.7.</w:t>
      </w:r>
      <w:r w:rsidRPr="00F059DD">
        <w:rPr>
          <w:noProof/>
        </w:rPr>
        <w:tab/>
        <w:t>Udział osób trzecich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fin</w:t>
      </w:r>
      <w:r w:rsidRPr="00F059DD">
        <w:rPr>
          <w:noProof/>
        </w:rPr>
        <w:t>ansowaniu</w:t>
      </w:r>
      <w:r w:rsidRPr="00F059DD">
        <w:rPr>
          <w:noProof/>
        </w:rPr>
        <w:tab/>
      </w:r>
      <w:r w:rsidRPr="00F059DD">
        <w:rPr>
          <w:noProof/>
          <w:webHidden/>
        </w:rPr>
        <w:t>28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3.3.</w:t>
      </w:r>
      <w:r w:rsidRPr="00F059DD">
        <w:rPr>
          <w:noProof/>
        </w:rPr>
        <w:tab/>
        <w:t>Szacunkowy wpływ na dochody</w:t>
      </w:r>
      <w:r w:rsidRPr="00F059DD">
        <w:rPr>
          <w:noProof/>
        </w:rPr>
        <w:tab/>
      </w:r>
      <w:r w:rsidRPr="00F059DD">
        <w:rPr>
          <w:noProof/>
          <w:webHidden/>
        </w:rPr>
        <w:t>29</w:t>
      </w:r>
    </w:p>
    <w:p w:rsidR="00A13D7E" w:rsidRPr="00F059DD" w:rsidRDefault="00A13D7E" w:rsidP="00624AF6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4.</w:t>
      </w:r>
      <w:r w:rsidRPr="00F059DD">
        <w:rPr>
          <w:noProof/>
        </w:rPr>
        <w:tab/>
      </w:r>
      <w:r w:rsidRPr="00F059DD">
        <w:rPr>
          <w:caps/>
          <w:noProof/>
        </w:rPr>
        <w:t>Wymiar cyfrowy</w:t>
      </w:r>
      <w:r w:rsidRPr="00F059DD">
        <w:rPr>
          <w:noProof/>
        </w:rPr>
        <w:tab/>
      </w:r>
      <w:r w:rsidRPr="00F059DD">
        <w:rPr>
          <w:noProof/>
          <w:webHidden/>
        </w:rPr>
        <w:t>29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4.1.</w:t>
      </w:r>
      <w:r w:rsidRPr="00F059DD">
        <w:rPr>
          <w:noProof/>
        </w:rPr>
        <w:tab/>
        <w:t>Wymogi cyfrowe</w:t>
      </w:r>
      <w:r w:rsidRPr="00F059DD">
        <w:rPr>
          <w:noProof/>
        </w:rPr>
        <w:tab/>
      </w:r>
      <w:r w:rsidRPr="00F059DD">
        <w:rPr>
          <w:noProof/>
          <w:webHidden/>
        </w:rPr>
        <w:t>30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4.2.</w:t>
      </w:r>
      <w:r w:rsidRPr="00F059DD">
        <w:rPr>
          <w:noProof/>
        </w:rPr>
        <w:tab/>
        <w:t>Dane</w:t>
      </w:r>
      <w:r w:rsidRPr="00F059DD">
        <w:rPr>
          <w:noProof/>
        </w:rPr>
        <w:tab/>
      </w:r>
      <w:r w:rsidRPr="00F059DD">
        <w:rPr>
          <w:noProof/>
          <w:webHidden/>
        </w:rPr>
        <w:t>30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4.3.</w:t>
      </w:r>
      <w:r w:rsidRPr="00F059DD">
        <w:rPr>
          <w:noProof/>
        </w:rPr>
        <w:tab/>
        <w:t>Rozwiązania cyfrowe</w:t>
      </w:r>
      <w:r w:rsidRPr="00F059DD">
        <w:rPr>
          <w:noProof/>
        </w:rPr>
        <w:tab/>
      </w:r>
      <w:r w:rsidRPr="00F059DD">
        <w:rPr>
          <w:noProof/>
          <w:webHidden/>
        </w:rPr>
        <w:t>31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4.4.</w:t>
      </w:r>
      <w:r w:rsidRPr="00F059DD">
        <w:rPr>
          <w:noProof/>
        </w:rPr>
        <w:tab/>
        <w:t>Ocena interoperacyjności</w:t>
      </w:r>
      <w:r w:rsidRPr="00F059DD">
        <w:rPr>
          <w:noProof/>
        </w:rPr>
        <w:tab/>
      </w:r>
      <w:r w:rsidRPr="00F059DD">
        <w:rPr>
          <w:noProof/>
          <w:webHidden/>
        </w:rPr>
        <w:t>31</w:t>
      </w:r>
    </w:p>
    <w:p w:rsidR="00A13D7E" w:rsidRPr="00F059DD" w:rsidRDefault="00A13D7E" w:rsidP="00624AF6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F059DD">
        <w:rPr>
          <w:noProof/>
        </w:rPr>
        <w:t>4.5.</w:t>
      </w:r>
      <w:r w:rsidRPr="00F059DD">
        <w:rPr>
          <w:noProof/>
        </w:rPr>
        <w:tab/>
        <w:t>Środki wspierające cyfrowe wdrażanie</w:t>
      </w:r>
      <w:r w:rsidRPr="00F059DD">
        <w:rPr>
          <w:noProof/>
        </w:rPr>
        <w:tab/>
      </w:r>
      <w:r w:rsidRPr="00F059DD">
        <w:rPr>
          <w:noProof/>
          <w:webHidden/>
        </w:rPr>
        <w:t>32</w:t>
      </w:r>
    </w:p>
    <w:p w:rsidR="00A13D7E" w:rsidRPr="00F059DD" w:rsidRDefault="00A13D7E" w:rsidP="00624AF6">
      <w:pPr>
        <w:pStyle w:val="TOC1"/>
        <w:ind w:left="0" w:firstLine="0"/>
        <w:rPr>
          <w:noProof/>
        </w:rPr>
        <w:sectPr w:rsidR="00A13D7E" w:rsidRPr="00F059DD" w:rsidSect="00086F5F">
          <w:pgSz w:w="11907" w:h="16840" w:code="9"/>
          <w:pgMar w:top="1134" w:right="1418" w:bottom="1134" w:left="1418" w:header="709" w:footer="709" w:gutter="0"/>
          <w:pgNumType w:start="1"/>
          <w:cols w:space="720"/>
          <w:docGrid w:linePitch="360"/>
        </w:sectPr>
      </w:pPr>
    </w:p>
    <w:p w:rsidR="00A13D7E" w:rsidRPr="00F059DD" w:rsidRDefault="00A13D7E" w:rsidP="00624AF6">
      <w:pPr>
        <w:pStyle w:val="ManualHeading1"/>
        <w:rPr>
          <w:noProof/>
        </w:rPr>
      </w:pPr>
      <w:bookmarkStart w:id="2" w:name="_Toc514938007"/>
      <w:bookmarkStart w:id="3" w:name="_Toc520485025"/>
      <w:bookmarkStart w:id="4" w:name="_Toc160804567"/>
      <w:bookmarkStart w:id="5" w:name="_Toc167220259"/>
      <w:bookmarkStart w:id="6" w:name="_Toc177548992"/>
      <w:r w:rsidRPr="00F059DD">
        <w:rPr>
          <w:noProof/>
        </w:rPr>
        <w:t>1.</w:t>
      </w:r>
      <w:r w:rsidRPr="00F059DD">
        <w:rPr>
          <w:noProof/>
        </w:rPr>
        <w:tab/>
        <w:t>STRUKTURA WNIOSKU/INICJATYWY</w:t>
      </w:r>
      <w:bookmarkEnd w:id="2"/>
      <w:bookmarkEnd w:id="3"/>
      <w:bookmarkEnd w:id="4"/>
      <w:bookmarkEnd w:id="5"/>
      <w:bookmarkEnd w:id="6"/>
      <w:r w:rsidRPr="00F059DD">
        <w:rPr>
          <w:noProof/>
        </w:rPr>
        <w:t xml:space="preserve"> </w:t>
      </w:r>
    </w:p>
    <w:p w:rsidR="00A13D7E" w:rsidRPr="00F059DD" w:rsidRDefault="00A13D7E" w:rsidP="00624AF6">
      <w:pPr>
        <w:pStyle w:val="ManualHeading2"/>
        <w:rPr>
          <w:noProof/>
        </w:rPr>
      </w:pPr>
      <w:bookmarkStart w:id="7" w:name="_Toc514938008"/>
      <w:bookmarkStart w:id="8" w:name="_Toc520485026"/>
      <w:bookmarkStart w:id="9" w:name="_Toc160804568"/>
      <w:bookmarkStart w:id="10" w:name="_Toc167220260"/>
      <w:bookmarkStart w:id="11" w:name="_Toc177548993"/>
      <w:r w:rsidRPr="00F059DD">
        <w:rPr>
          <w:noProof/>
        </w:rPr>
        <w:t>1.1.</w:t>
      </w:r>
      <w:r w:rsidRPr="00F059DD">
        <w:rPr>
          <w:noProof/>
        </w:rPr>
        <w:tab/>
        <w:t>Tytuł wniosku/inicjatywy</w:t>
      </w:r>
      <w:bookmarkEnd w:id="7"/>
      <w:bookmarkEnd w:id="8"/>
      <w:bookmarkEnd w:id="9"/>
      <w:bookmarkEnd w:id="10"/>
      <w:bookmarkEnd w:id="11"/>
    </w:p>
    <w:p w:rsidR="00A13D7E" w:rsidRPr="00F059DD" w:rsidRDefault="00312C37" w:rsidP="00312C37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Wniosek dotyczący rozporządzenia Parlamentu Europejskiego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Rad</w:t>
      </w:r>
      <w:r w:rsidRPr="00F059DD">
        <w:rPr>
          <w:noProof/>
        </w:rPr>
        <w:t>y zmieniającego rozporządzenie (UE) 2019/1242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Pr="00F059DD">
        <w:rPr>
          <w:noProof/>
        </w:rPr>
        <w:t>u uwzględnienia dodatkowej elastyczności dla producentów nowych pojazdów ciężkich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odn</w:t>
      </w:r>
      <w:r w:rsidRPr="00F059DD">
        <w:rPr>
          <w:noProof/>
        </w:rPr>
        <w:t>iesieniu do obliczania jednostek emisji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okr</w:t>
      </w:r>
      <w:r w:rsidRPr="00F059DD">
        <w:rPr>
          <w:noProof/>
        </w:rPr>
        <w:t>esach sprawozdawczych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lat</w:t>
      </w:r>
      <w:r w:rsidRPr="00F059DD">
        <w:rPr>
          <w:noProof/>
        </w:rPr>
        <w:t>ach 2025–2029</w:t>
      </w:r>
    </w:p>
    <w:p w:rsidR="00A13D7E" w:rsidRPr="00F059DD" w:rsidRDefault="00A13D7E" w:rsidP="00624AF6">
      <w:pPr>
        <w:pStyle w:val="ManualHeading2"/>
        <w:rPr>
          <w:i/>
          <w:noProof/>
        </w:rPr>
      </w:pPr>
      <w:bookmarkStart w:id="12" w:name="_Toc514938011"/>
      <w:bookmarkStart w:id="13" w:name="_Toc520485027"/>
      <w:bookmarkStart w:id="14" w:name="_Toc160804569"/>
      <w:bookmarkStart w:id="15" w:name="_Toc167220261"/>
      <w:bookmarkStart w:id="16" w:name="_Toc177548994"/>
      <w:r w:rsidRPr="00F059DD">
        <w:rPr>
          <w:noProof/>
        </w:rPr>
        <w:t>1.2.</w:t>
      </w:r>
      <w:r w:rsidRPr="00F059DD">
        <w:rPr>
          <w:noProof/>
        </w:rPr>
        <w:tab/>
        <w:t>Obszary polityki, których dotyczy wniosek/inicjatywa</w:t>
      </w:r>
      <w:bookmarkEnd w:id="12"/>
      <w:bookmarkEnd w:id="13"/>
      <w:bookmarkEnd w:id="14"/>
      <w:bookmarkEnd w:id="15"/>
      <w:bookmarkEnd w:id="16"/>
      <w:r w:rsidRPr="00F059DD">
        <w:rPr>
          <w:i/>
          <w:noProof/>
        </w:rPr>
        <w:t xml:space="preserve"> </w:t>
      </w:r>
    </w:p>
    <w:p w:rsidR="00312C37" w:rsidRPr="00F059DD" w:rsidRDefault="00312C37" w:rsidP="00312C37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bookmarkStart w:id="17" w:name="_Toc514938015"/>
      <w:bookmarkStart w:id="18" w:name="_Toc520485029"/>
      <w:bookmarkStart w:id="19" w:name="_Toc160804571"/>
      <w:bookmarkStart w:id="20" w:name="_Toc167220263"/>
      <w:bookmarkStart w:id="21" w:name="_Toc177548995"/>
      <w:r w:rsidRPr="00F059DD">
        <w:rPr>
          <w:noProof/>
        </w:rPr>
        <w:t>Polityka klimatyczna</w:t>
      </w:r>
    </w:p>
    <w:p w:rsidR="00A13D7E" w:rsidRPr="00F059DD" w:rsidRDefault="00A13D7E" w:rsidP="00624AF6">
      <w:pPr>
        <w:pStyle w:val="ManualHeading2"/>
        <w:rPr>
          <w:noProof/>
        </w:rPr>
      </w:pPr>
      <w:r w:rsidRPr="00F059DD">
        <w:rPr>
          <w:noProof/>
        </w:rPr>
        <w:t>1.3.</w:t>
      </w:r>
      <w:r w:rsidRPr="00F059DD">
        <w:rPr>
          <w:noProof/>
        </w:rPr>
        <w:tab/>
        <w:t>Cel(e)</w:t>
      </w:r>
      <w:bookmarkEnd w:id="17"/>
      <w:bookmarkEnd w:id="18"/>
      <w:bookmarkEnd w:id="19"/>
      <w:bookmarkEnd w:id="20"/>
      <w:bookmarkEnd w:id="21"/>
    </w:p>
    <w:p w:rsidR="00A13D7E" w:rsidRPr="00F059DD" w:rsidRDefault="00A13D7E" w:rsidP="00624AF6">
      <w:pPr>
        <w:pStyle w:val="ManualHeading3"/>
        <w:rPr>
          <w:noProof/>
        </w:rPr>
      </w:pPr>
      <w:bookmarkStart w:id="22" w:name="_Toc514938016"/>
      <w:bookmarkStart w:id="23" w:name="_Toc520485030"/>
      <w:bookmarkStart w:id="24" w:name="_Toc160804572"/>
      <w:bookmarkStart w:id="25" w:name="_Toc167220264"/>
      <w:bookmarkStart w:id="26" w:name="_Toc177548996"/>
      <w:r w:rsidRPr="00F059DD">
        <w:rPr>
          <w:noProof/>
        </w:rPr>
        <w:t>1.3.1.</w:t>
      </w:r>
      <w:r w:rsidRPr="00F059DD">
        <w:rPr>
          <w:noProof/>
        </w:rPr>
        <w:tab/>
        <w:t>Cel(e) ogólny(-e)</w:t>
      </w:r>
      <w:bookmarkEnd w:id="22"/>
      <w:bookmarkEnd w:id="23"/>
      <w:bookmarkEnd w:id="24"/>
      <w:bookmarkEnd w:id="25"/>
      <w:bookmarkEnd w:id="26"/>
    </w:p>
    <w:p w:rsidR="00096239" w:rsidRPr="00F059DD" w:rsidRDefault="00096239" w:rsidP="00096239">
      <w:pPr>
        <w:pStyle w:val="Text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noProof/>
        </w:rPr>
      </w:pPr>
      <w:bookmarkStart w:id="27" w:name="_Toc514938018"/>
      <w:bookmarkStart w:id="28" w:name="_Toc520485031"/>
      <w:bookmarkStart w:id="29" w:name="_Toc160804573"/>
      <w:bookmarkStart w:id="30" w:name="_Toc167220265"/>
      <w:bookmarkStart w:id="31" w:name="_Toc177548997"/>
      <w:r w:rsidRPr="00F059DD">
        <w:rPr>
          <w:noProof/>
        </w:rPr>
        <w:t>Normy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zapewniają inwestorom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cał</w:t>
      </w:r>
      <w:r w:rsidRPr="00F059DD">
        <w:rPr>
          <w:noProof/>
        </w:rPr>
        <w:t>ym łańcuchu wartości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emyśle motoryzacyjnym długoterminową pewność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ewidywalność,</w:t>
      </w:r>
      <w:r w:rsidR="00660A3E" w:rsidRPr="00F059DD">
        <w:rPr>
          <w:noProof/>
        </w:rPr>
        <w:t xml:space="preserve"> a</w:t>
      </w:r>
      <w:r w:rsidR="00660A3E">
        <w:rPr>
          <w:noProof/>
        </w:rPr>
        <w:t> </w:t>
      </w:r>
      <w:r w:rsidR="00660A3E" w:rsidRPr="00F059DD">
        <w:rPr>
          <w:noProof/>
        </w:rPr>
        <w:t>jed</w:t>
      </w:r>
      <w:r w:rsidRPr="00F059DD">
        <w:rPr>
          <w:noProof/>
        </w:rPr>
        <w:t>nocześnie dają wystarczająco dużo czasu na przeprowadzenie transformacji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spo</w:t>
      </w:r>
      <w:r w:rsidRPr="00F059DD">
        <w:rPr>
          <w:noProof/>
        </w:rPr>
        <w:t xml:space="preserve">sób sprawiedliwy. </w:t>
      </w:r>
      <w:bookmarkStart w:id="32" w:name="_Hlk192068732"/>
      <w:r w:rsidRPr="00F059DD">
        <w:rPr>
          <w:noProof/>
        </w:rPr>
        <w:t>Wniosek zmieniający ma na celu zapewnienie producentom dodatkowej elastyczności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estrzeganiu docelowego poziomu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</w:t>
      </w:r>
      <w:r w:rsidRPr="00660A3E">
        <w:rPr>
          <w:noProof/>
        </w:rPr>
        <w:t>na</w:t>
      </w:r>
      <w:r w:rsidR="00660A3E" w:rsidRPr="00660A3E">
        <w:rPr>
          <w:noProof/>
        </w:rPr>
        <w:t> </w:t>
      </w:r>
      <w:r w:rsidRPr="00660A3E">
        <w:rPr>
          <w:noProof/>
        </w:rPr>
        <w:t>2</w:t>
      </w:r>
      <w:r w:rsidRPr="00F059DD">
        <w:rPr>
          <w:noProof/>
        </w:rPr>
        <w:t>0</w:t>
      </w:r>
      <w:r w:rsidRPr="00660A3E">
        <w:rPr>
          <w:noProof/>
        </w:rPr>
        <w:t>30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>, przy jednoczesnym pozostawieniu poziomu ambicji bez zmian.</w:t>
      </w:r>
    </w:p>
    <w:bookmarkEnd w:id="32"/>
    <w:p w:rsidR="00A13D7E" w:rsidRPr="00F059DD" w:rsidRDefault="00A13D7E" w:rsidP="00624AF6">
      <w:pPr>
        <w:pStyle w:val="ManualHeading3"/>
        <w:rPr>
          <w:noProof/>
        </w:rPr>
      </w:pPr>
      <w:r w:rsidRPr="00F059DD">
        <w:rPr>
          <w:noProof/>
        </w:rPr>
        <w:t>1.3.2.</w:t>
      </w:r>
      <w:r w:rsidRPr="00F059DD">
        <w:rPr>
          <w:noProof/>
        </w:rPr>
        <w:tab/>
        <w:t>Cel(e) szczegółowy(-e)</w:t>
      </w:r>
      <w:bookmarkEnd w:id="27"/>
      <w:bookmarkEnd w:id="28"/>
      <w:bookmarkEnd w:id="29"/>
      <w:bookmarkEnd w:id="30"/>
      <w:bookmarkEnd w:id="31"/>
    </w:p>
    <w:p w:rsidR="00096239" w:rsidRPr="00F059DD" w:rsidRDefault="00096239" w:rsidP="00096239">
      <w:pPr>
        <w:pStyle w:val="Text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rFonts w:eastAsia="Times New Roman"/>
          <w:noProof/>
          <w:szCs w:val="24"/>
        </w:rPr>
      </w:pPr>
      <w:bookmarkStart w:id="33" w:name="_Toc514938019"/>
      <w:bookmarkStart w:id="34" w:name="_Toc520485032"/>
      <w:bookmarkStart w:id="35" w:name="_Toc160804574"/>
      <w:bookmarkStart w:id="36" w:name="_Toc167220266"/>
      <w:bookmarkStart w:id="37" w:name="_Toc177548998"/>
      <w:r w:rsidRPr="00F059DD">
        <w:rPr>
          <w:noProof/>
        </w:rPr>
        <w:t>Wniosek dotyczy wprowadzenia ukierunkowanych zmian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roz</w:t>
      </w:r>
      <w:r w:rsidRPr="00F059DD">
        <w:rPr>
          <w:noProof/>
        </w:rPr>
        <w:t>porządzeniu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spr</w:t>
      </w:r>
      <w:r w:rsidRPr="00F059DD">
        <w:rPr>
          <w:noProof/>
        </w:rPr>
        <w:t>awie norm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dla pojazdów ciężkich, tak aby zapewnić producentom dodatkową elastyczność: przewidziano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nim</w:t>
      </w:r>
      <w:r w:rsidRPr="00F059DD">
        <w:rPr>
          <w:noProof/>
        </w:rPr>
        <w:t xml:space="preserve"> możliwość gromadzenia większej liczby jednostek emisji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lat</w:t>
      </w:r>
      <w:r w:rsidRPr="00F059DD">
        <w:rPr>
          <w:noProof/>
        </w:rPr>
        <w:t>ach przed 20</w:t>
      </w:r>
      <w:r w:rsidRPr="00660A3E">
        <w:rPr>
          <w:noProof/>
        </w:rPr>
        <w:t>30</w:t>
      </w:r>
      <w:r w:rsidR="00660A3E" w:rsidRPr="00660A3E">
        <w:rPr>
          <w:noProof/>
        </w:rPr>
        <w:t> </w:t>
      </w:r>
      <w:r w:rsidRPr="00660A3E">
        <w:rPr>
          <w:noProof/>
        </w:rPr>
        <w:t>r.</w:t>
      </w:r>
      <w:r w:rsidRPr="00F059DD">
        <w:rPr>
          <w:noProof/>
        </w:rPr>
        <w:t>, które następnie można wykorzystać do zapewnienia zgodności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kol</w:t>
      </w:r>
      <w:r w:rsidRPr="00F059DD">
        <w:rPr>
          <w:noProof/>
        </w:rPr>
        <w:t>ejnych latach.</w:t>
      </w:r>
    </w:p>
    <w:p w:rsidR="00A13D7E" w:rsidRPr="00F059DD" w:rsidRDefault="00A13D7E" w:rsidP="00624AF6">
      <w:pPr>
        <w:pStyle w:val="ManualHeading3"/>
        <w:rPr>
          <w:noProof/>
        </w:rPr>
      </w:pPr>
      <w:r w:rsidRPr="00F059DD">
        <w:rPr>
          <w:noProof/>
        </w:rPr>
        <w:t>1.3.3.</w:t>
      </w:r>
      <w:r w:rsidRPr="00F059DD">
        <w:rPr>
          <w:noProof/>
        </w:rPr>
        <w:tab/>
        <w:t>Oczekiwane wyniki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wpł</w:t>
      </w:r>
      <w:r w:rsidRPr="00F059DD">
        <w:rPr>
          <w:noProof/>
        </w:rPr>
        <w:t>yw</w:t>
      </w:r>
      <w:bookmarkEnd w:id="33"/>
      <w:bookmarkEnd w:id="34"/>
      <w:bookmarkEnd w:id="35"/>
      <w:bookmarkEnd w:id="36"/>
      <w:bookmarkEnd w:id="37"/>
    </w:p>
    <w:p w:rsidR="00A13D7E" w:rsidRPr="00F059DD" w:rsidRDefault="00A13D7E" w:rsidP="00624AF6">
      <w:pPr>
        <w:pStyle w:val="Text1"/>
        <w:rPr>
          <w:i/>
          <w:noProof/>
          <w:sz w:val="20"/>
        </w:rPr>
      </w:pPr>
      <w:r w:rsidRPr="00F059DD">
        <w:rPr>
          <w:i/>
          <w:noProof/>
          <w:sz w:val="20"/>
        </w:rPr>
        <w:t>Należy wskazać, jakie efekty przyniesie wniosek/inicjatywa beneficjentom/grupie docelowej.</w:t>
      </w:r>
    </w:p>
    <w:p w:rsidR="00096239" w:rsidRPr="00F059DD" w:rsidRDefault="00096239" w:rsidP="00096239">
      <w:pPr>
        <w:pStyle w:val="Text1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noProof/>
        </w:rPr>
      </w:pPr>
      <w:bookmarkStart w:id="38" w:name="_Toc514938023"/>
      <w:bookmarkStart w:id="39" w:name="_Toc520485033"/>
      <w:bookmarkStart w:id="40" w:name="_Toc160804575"/>
      <w:bookmarkStart w:id="41" w:name="_Toc167220267"/>
      <w:bookmarkStart w:id="42" w:name="_Toc177548999"/>
      <w:r w:rsidRPr="00F059DD">
        <w:rPr>
          <w:noProof/>
        </w:rPr>
        <w:t>Jeśli zmiana zostanie przyjęta, producenci będą musieli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okr</w:t>
      </w:r>
      <w:r w:rsidRPr="00F059DD">
        <w:rPr>
          <w:noProof/>
        </w:rPr>
        <w:t xml:space="preserve">esach sprawozdawczych </w:t>
      </w:r>
      <w:r w:rsidRPr="00660A3E">
        <w:rPr>
          <w:noProof/>
        </w:rPr>
        <w:t>lat</w:t>
      </w:r>
      <w:r w:rsidR="00660A3E" w:rsidRPr="00660A3E">
        <w:rPr>
          <w:noProof/>
        </w:rPr>
        <w:t> </w:t>
      </w:r>
      <w:r w:rsidRPr="00660A3E">
        <w:rPr>
          <w:noProof/>
        </w:rPr>
        <w:t>2</w:t>
      </w:r>
      <w:r w:rsidRPr="00F059DD">
        <w:rPr>
          <w:noProof/>
        </w:rPr>
        <w:t>025–2029 gromadzić jednostki emisji, jeżeli ich indywidualne poziomy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będę niższe od docelowych poziomów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>,</w:t>
      </w:r>
      <w:r w:rsidR="00660A3E" w:rsidRPr="00F059DD">
        <w:rPr>
          <w:noProof/>
        </w:rPr>
        <w:t xml:space="preserve"> a</w:t>
      </w:r>
      <w:r w:rsidR="00660A3E">
        <w:rPr>
          <w:noProof/>
        </w:rPr>
        <w:t> </w:t>
      </w:r>
      <w:r w:rsidR="00660A3E" w:rsidRPr="00F059DD">
        <w:rPr>
          <w:noProof/>
        </w:rPr>
        <w:t>nie</w:t>
      </w:r>
      <w:r w:rsidRPr="00F059DD">
        <w:rPr>
          <w:noProof/>
        </w:rPr>
        <w:t xml:space="preserve"> niższy od ścieżki redukcji emisji. </w:t>
      </w:r>
    </w:p>
    <w:p w:rsidR="00A13D7E" w:rsidRPr="00F059DD" w:rsidRDefault="00A13D7E" w:rsidP="00624AF6">
      <w:pPr>
        <w:pStyle w:val="ManualHeading3"/>
        <w:rPr>
          <w:noProof/>
        </w:rPr>
      </w:pPr>
      <w:r w:rsidRPr="00F059DD">
        <w:rPr>
          <w:noProof/>
        </w:rPr>
        <w:t>1.3.4.</w:t>
      </w:r>
      <w:r w:rsidRPr="00F059DD">
        <w:rPr>
          <w:noProof/>
        </w:rPr>
        <w:tab/>
        <w:t>Wskaźniki dotyczące realizacji celów</w:t>
      </w:r>
      <w:bookmarkEnd w:id="38"/>
      <w:bookmarkEnd w:id="39"/>
      <w:bookmarkEnd w:id="40"/>
      <w:bookmarkEnd w:id="41"/>
      <w:bookmarkEnd w:id="42"/>
    </w:p>
    <w:p w:rsidR="00A13D7E" w:rsidRPr="00F059DD" w:rsidRDefault="00A13D7E" w:rsidP="00624AF6">
      <w:pPr>
        <w:pStyle w:val="Text1"/>
        <w:rPr>
          <w:i/>
          <w:noProof/>
          <w:sz w:val="20"/>
        </w:rPr>
      </w:pPr>
      <w:r w:rsidRPr="00F059DD">
        <w:rPr>
          <w:i/>
          <w:noProof/>
          <w:sz w:val="20"/>
        </w:rPr>
        <w:t>Należy wskazać wskaźniki stosowane do monitorowania postępów</w:t>
      </w:r>
      <w:r w:rsidR="00660A3E" w:rsidRPr="00F059DD">
        <w:rPr>
          <w:i/>
          <w:noProof/>
          <w:sz w:val="20"/>
        </w:rPr>
        <w:t xml:space="preserve"> i</w:t>
      </w:r>
      <w:r w:rsidR="00660A3E">
        <w:rPr>
          <w:i/>
          <w:noProof/>
          <w:sz w:val="20"/>
        </w:rPr>
        <w:t> </w:t>
      </w:r>
      <w:r w:rsidR="00660A3E" w:rsidRPr="00F059DD">
        <w:rPr>
          <w:i/>
          <w:noProof/>
          <w:sz w:val="20"/>
        </w:rPr>
        <w:t>osi</w:t>
      </w:r>
      <w:r w:rsidRPr="00F059DD">
        <w:rPr>
          <w:i/>
          <w:noProof/>
          <w:sz w:val="20"/>
        </w:rPr>
        <w:t>ągnięć.</w:t>
      </w:r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bookmarkStart w:id="43" w:name="_Toc177549000"/>
      <w:r w:rsidRPr="00F059DD">
        <w:rPr>
          <w:noProof/>
        </w:rPr>
        <w:t>Monitorowanie przestrzegania przez producentów wymagań dotyczących CO</w:t>
      </w:r>
      <w:r w:rsidRPr="00F059DD">
        <w:rPr>
          <w:noProof/>
          <w:vertAlign w:val="subscript"/>
        </w:rPr>
        <w:t>2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okr</w:t>
      </w:r>
      <w:r w:rsidRPr="00F059DD">
        <w:rPr>
          <w:noProof/>
        </w:rPr>
        <w:t>esie 2025–2030.</w:t>
      </w:r>
    </w:p>
    <w:p w:rsidR="00A13D7E" w:rsidRPr="00F059DD" w:rsidRDefault="00A13D7E" w:rsidP="00624AF6">
      <w:pPr>
        <w:pStyle w:val="ManualHeading2"/>
        <w:rPr>
          <w:noProof/>
        </w:rPr>
      </w:pPr>
      <w:r w:rsidRPr="00F059DD">
        <w:rPr>
          <w:noProof/>
        </w:rPr>
        <w:t>1.4.</w:t>
      </w:r>
      <w:r w:rsidRPr="00F059DD">
        <w:rPr>
          <w:noProof/>
        </w:rPr>
        <w:tab/>
        <w:t>Wniosek/inicjatywa dotyczy:</w:t>
      </w:r>
      <w:bookmarkEnd w:id="43"/>
      <w:r w:rsidRPr="00F059DD">
        <w:rPr>
          <w:noProof/>
        </w:rPr>
        <w:t xml:space="preserve"> </w:t>
      </w:r>
    </w:p>
    <w:p w:rsidR="00A13D7E" w:rsidRPr="00F059DD" w:rsidRDefault="00A13D7E" w:rsidP="00624AF6">
      <w:pPr>
        <w:pStyle w:val="Text1"/>
        <w:rPr>
          <w:noProof/>
          <w:sz w:val="22"/>
        </w:rPr>
      </w:pPr>
      <w:r w:rsidRPr="00F059DD">
        <w:rPr>
          <w:rFonts w:ascii="Wingdings" w:hAnsi="Wingdings"/>
          <w:noProof/>
          <w:sz w:val="22"/>
        </w:rPr>
        <w:t></w:t>
      </w:r>
      <w:r w:rsidRPr="00F059DD">
        <w:rPr>
          <w:i/>
          <w:noProof/>
          <w:sz w:val="22"/>
        </w:rPr>
        <w:t xml:space="preserve"> </w:t>
      </w:r>
      <w:r w:rsidRPr="00F059DD">
        <w:rPr>
          <w:noProof/>
        </w:rPr>
        <w:t>nowego działania</w:t>
      </w:r>
      <w:r w:rsidRPr="00F059DD">
        <w:rPr>
          <w:noProof/>
          <w:sz w:val="22"/>
        </w:rPr>
        <w:t xml:space="preserve"> </w:t>
      </w:r>
    </w:p>
    <w:p w:rsidR="00A13D7E" w:rsidRPr="00F059DD" w:rsidRDefault="00A13D7E" w:rsidP="00624AF6">
      <w:pPr>
        <w:pStyle w:val="Text1"/>
        <w:rPr>
          <w:noProof/>
          <w:sz w:val="22"/>
        </w:rPr>
      </w:pPr>
      <w:r w:rsidRPr="00F059DD">
        <w:rPr>
          <w:rFonts w:ascii="Wingdings" w:hAnsi="Wingdings"/>
          <w:noProof/>
          <w:sz w:val="22"/>
        </w:rPr>
        <w:t></w:t>
      </w:r>
      <w:r w:rsidRPr="00F059DD">
        <w:rPr>
          <w:i/>
          <w:noProof/>
          <w:sz w:val="22"/>
        </w:rPr>
        <w:t xml:space="preserve"> </w:t>
      </w:r>
      <w:r w:rsidRPr="00F059DD">
        <w:rPr>
          <w:noProof/>
        </w:rPr>
        <w:t>nowego działania, będącego następstwem projektu pilotażowego/działania przygotowawczego</w:t>
      </w:r>
      <w:r w:rsidRPr="00F059DD">
        <w:rPr>
          <w:rStyle w:val="FootnoteReference"/>
          <w:noProof/>
        </w:rPr>
        <w:footnoteReference w:id="9"/>
      </w:r>
      <w:r w:rsidRPr="00F059DD">
        <w:rPr>
          <w:noProof/>
          <w:sz w:val="22"/>
        </w:rPr>
        <w:t xml:space="preserve"> </w:t>
      </w:r>
    </w:p>
    <w:p w:rsidR="00A13D7E" w:rsidRPr="00F059DD" w:rsidRDefault="00096239" w:rsidP="00624AF6">
      <w:pPr>
        <w:pStyle w:val="Text1"/>
        <w:rPr>
          <w:noProof/>
          <w:sz w:val="22"/>
        </w:rPr>
      </w:pPr>
      <w:r w:rsidRPr="00F059DD">
        <w:rPr>
          <w:rFonts w:ascii="Wingdings" w:hAnsi="Wingdings"/>
          <w:noProof/>
        </w:rPr>
        <w:t></w:t>
      </w:r>
      <w:r w:rsidRPr="00F059DD">
        <w:rPr>
          <w:i/>
          <w:noProof/>
          <w:sz w:val="22"/>
        </w:rPr>
        <w:t xml:space="preserve"> </w:t>
      </w:r>
      <w:r w:rsidRPr="00F059DD">
        <w:rPr>
          <w:noProof/>
        </w:rPr>
        <w:t>przedłużenia bieżącego działania</w:t>
      </w:r>
      <w:r w:rsidRPr="00F059DD">
        <w:rPr>
          <w:noProof/>
          <w:sz w:val="22"/>
        </w:rPr>
        <w:t xml:space="preserve"> </w:t>
      </w:r>
    </w:p>
    <w:p w:rsidR="00A13D7E" w:rsidRPr="00F059DD" w:rsidRDefault="00A13D7E" w:rsidP="00624AF6">
      <w:pPr>
        <w:pStyle w:val="Text1"/>
        <w:rPr>
          <w:noProof/>
        </w:rPr>
      </w:pPr>
      <w:r w:rsidRPr="00F059DD">
        <w:rPr>
          <w:rFonts w:ascii="Wingdings" w:hAnsi="Wingdings"/>
          <w:noProof/>
          <w:sz w:val="22"/>
        </w:rPr>
        <w:t></w:t>
      </w:r>
      <w:r w:rsidRPr="00F059DD">
        <w:rPr>
          <w:i/>
          <w:noProof/>
          <w:sz w:val="22"/>
        </w:rPr>
        <w:t xml:space="preserve"> </w:t>
      </w:r>
      <w:r w:rsidRPr="00F059DD">
        <w:rPr>
          <w:noProof/>
        </w:rPr>
        <w:t>połączenia lub przekształcenia co najmniej jednego działania pod kątem innego/nowego działania</w:t>
      </w:r>
    </w:p>
    <w:p w:rsidR="00096239" w:rsidRPr="00F059DD" w:rsidRDefault="00096239" w:rsidP="00096239">
      <w:pPr>
        <w:pStyle w:val="ManualHeading2"/>
        <w:rPr>
          <w:bCs/>
          <w:noProof/>
          <w:szCs w:val="24"/>
        </w:rPr>
      </w:pPr>
      <w:bookmarkStart w:id="44" w:name="_Toc514938025"/>
      <w:bookmarkStart w:id="45" w:name="_Toc520485034"/>
      <w:bookmarkStart w:id="46" w:name="_Toc160804576"/>
      <w:bookmarkStart w:id="47" w:name="_Toc167220268"/>
      <w:bookmarkStart w:id="48" w:name="_Toc177549001"/>
      <w:r w:rsidRPr="00F059DD">
        <w:rPr>
          <w:noProof/>
        </w:rPr>
        <w:t>1.5.</w:t>
      </w:r>
      <w:r w:rsidRPr="00F059DD">
        <w:rPr>
          <w:noProof/>
        </w:rPr>
        <w:tab/>
        <w:t>Uzasadnienie wniosku/inicjatywy</w:t>
      </w:r>
      <w:bookmarkEnd w:id="44"/>
      <w:bookmarkEnd w:id="45"/>
      <w:bookmarkEnd w:id="46"/>
      <w:bookmarkEnd w:id="47"/>
      <w:bookmarkEnd w:id="48"/>
      <w:r w:rsidRPr="00F059DD">
        <w:rPr>
          <w:noProof/>
        </w:rPr>
        <w:t xml:space="preserve"> </w:t>
      </w:r>
    </w:p>
    <w:p w:rsidR="00096239" w:rsidRPr="00F059DD" w:rsidRDefault="00096239" w:rsidP="00096239">
      <w:pPr>
        <w:pStyle w:val="ManualHeading3"/>
        <w:rPr>
          <w:noProof/>
        </w:rPr>
      </w:pPr>
      <w:bookmarkStart w:id="49" w:name="_Toc514938026"/>
      <w:bookmarkStart w:id="50" w:name="_Toc520485035"/>
      <w:bookmarkStart w:id="51" w:name="_Toc160804577"/>
      <w:bookmarkStart w:id="52" w:name="_Toc167220269"/>
      <w:bookmarkStart w:id="53" w:name="_Toc177549002"/>
      <w:r w:rsidRPr="00F059DD">
        <w:rPr>
          <w:noProof/>
        </w:rPr>
        <w:t>1.5.1.</w:t>
      </w:r>
      <w:r w:rsidRPr="00F059DD">
        <w:rPr>
          <w:noProof/>
        </w:rPr>
        <w:tab/>
        <w:t>Potrzeby, które należy zaspokoić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per</w:t>
      </w:r>
      <w:r w:rsidRPr="00F059DD">
        <w:rPr>
          <w:noProof/>
        </w:rPr>
        <w:t>spektywie krótko- lub długoterminowej,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tym</w:t>
      </w:r>
      <w:r w:rsidRPr="00F059DD">
        <w:rPr>
          <w:noProof/>
        </w:rPr>
        <w:t xml:space="preserve"> szczegółowy terminarz przebiegu realizacji inicjatywy</w:t>
      </w:r>
      <w:bookmarkEnd w:id="49"/>
      <w:bookmarkEnd w:id="50"/>
      <w:bookmarkEnd w:id="51"/>
      <w:bookmarkEnd w:id="52"/>
      <w:bookmarkEnd w:id="53"/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Wniosek zmieniający ma na celu zapewnienie producentom dodatkowej elastyczności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estrzeganiu docelowego poziomu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>, przy jednoczesnym utrzymaniu poziomu ambicji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zak</w:t>
      </w:r>
      <w:r w:rsidRPr="00F059DD">
        <w:rPr>
          <w:noProof/>
        </w:rPr>
        <w:t>resie celów redukcji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dla okresu 2025–2040.</w:t>
      </w:r>
    </w:p>
    <w:p w:rsidR="00096239" w:rsidRPr="00F059DD" w:rsidRDefault="00096239" w:rsidP="00096239">
      <w:pPr>
        <w:pStyle w:val="ManualHeading3"/>
        <w:rPr>
          <w:bCs/>
          <w:noProof/>
          <w:szCs w:val="24"/>
        </w:rPr>
      </w:pPr>
      <w:bookmarkStart w:id="54" w:name="_Toc514938029"/>
      <w:bookmarkStart w:id="55" w:name="_Toc520485036"/>
      <w:bookmarkStart w:id="56" w:name="_Toc160804578"/>
      <w:bookmarkStart w:id="57" w:name="_Toc167220270"/>
      <w:bookmarkStart w:id="58" w:name="_Toc177549003"/>
      <w:r w:rsidRPr="00F059DD">
        <w:rPr>
          <w:noProof/>
        </w:rPr>
        <w:t>1.5.2.</w:t>
      </w:r>
      <w:r w:rsidRPr="00F059DD">
        <w:rPr>
          <w:noProof/>
        </w:rPr>
        <w:tab/>
        <w:t>Wartość dodana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tyt</w:t>
      </w:r>
      <w:r w:rsidRPr="00F059DD">
        <w:rPr>
          <w:noProof/>
        </w:rPr>
        <w:t>ułu zaangażowania Unii Europejskiej (może wynikać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róż</w:t>
      </w:r>
      <w:r w:rsidRPr="00F059DD">
        <w:rPr>
          <w:noProof/>
        </w:rPr>
        <w:t>nych czynników, na przykład korzyści koordynacyjnych, pewności prawa, większej efektywności lub komplementarności). Na potrzeby tej sekcji „wartość dodaną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tyt</w:t>
      </w:r>
      <w:r w:rsidRPr="00F059DD">
        <w:rPr>
          <w:noProof/>
        </w:rPr>
        <w:t>ułu zaangażowania Unii Europejskiej” należy rozumieć jako wartość wynikającą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uni</w:t>
      </w:r>
      <w:r w:rsidRPr="00F059DD">
        <w:rPr>
          <w:noProof/>
        </w:rPr>
        <w:t>jnej interwencji, wykraczającą poza wartość, która zostałaby wytworzona przez same państwa członkowskie.</w:t>
      </w:r>
      <w:bookmarkEnd w:id="54"/>
      <w:bookmarkEnd w:id="55"/>
      <w:bookmarkEnd w:id="56"/>
      <w:bookmarkEnd w:id="57"/>
      <w:bookmarkEnd w:id="58"/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Zmiana klimatu jest problemem transgranicznym, którego nie można rozwiązać wyłącznie poprzez działania krajowe lub lokalne. Niezbędna jest koordynacja działań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dzi</w:t>
      </w:r>
      <w:r w:rsidRPr="00F059DD">
        <w:rPr>
          <w:noProof/>
        </w:rPr>
        <w:t>edzinie klimatu na poziomie europejskim,</w:t>
      </w:r>
      <w:r w:rsidR="00660A3E" w:rsidRPr="00F059DD">
        <w:rPr>
          <w:noProof/>
        </w:rPr>
        <w:t xml:space="preserve"> a</w:t>
      </w:r>
      <w:r w:rsidR="00660A3E">
        <w:rPr>
          <w:noProof/>
        </w:rPr>
        <w:t> </w:t>
      </w:r>
      <w:r w:rsidR="00660A3E" w:rsidRPr="00F059DD">
        <w:rPr>
          <w:noProof/>
        </w:rPr>
        <w:t>dzi</w:t>
      </w:r>
      <w:r w:rsidRPr="00F059DD">
        <w:rPr>
          <w:noProof/>
        </w:rPr>
        <w:t>ałanie UE jest uzasadnione na podstawie zasady pomocniczości. Biorąc pod uwagę potrzebę zmiany rozporządzenia (UE) 2019/1242 poprzez zapewnienie dodatkowej elastyczności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odn</w:t>
      </w:r>
      <w:r w:rsidRPr="00F059DD">
        <w:rPr>
          <w:noProof/>
        </w:rPr>
        <w:t>iesieniu do okresów dostosowania się do wymagań, państwa członkowskie nie mogą same osiągnąć celów niniejszej inicjatywy.</w:t>
      </w:r>
    </w:p>
    <w:p w:rsidR="00096239" w:rsidRPr="00F059DD" w:rsidRDefault="00096239" w:rsidP="00096239">
      <w:pPr>
        <w:pStyle w:val="ManualHeading3"/>
        <w:rPr>
          <w:noProof/>
        </w:rPr>
      </w:pPr>
      <w:bookmarkStart w:id="59" w:name="_Toc514938030"/>
      <w:bookmarkStart w:id="60" w:name="_Toc520485037"/>
      <w:bookmarkStart w:id="61" w:name="_Toc160804579"/>
      <w:bookmarkStart w:id="62" w:name="_Toc167220271"/>
      <w:bookmarkStart w:id="63" w:name="_Toc177549004"/>
      <w:r w:rsidRPr="00F059DD">
        <w:rPr>
          <w:noProof/>
        </w:rPr>
        <w:t>1.5.3.</w:t>
      </w:r>
      <w:r w:rsidRPr="00F059DD">
        <w:rPr>
          <w:noProof/>
        </w:rPr>
        <w:tab/>
        <w:t>Główne wnioski wyciągnięte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pod</w:t>
      </w:r>
      <w:r w:rsidRPr="00F059DD">
        <w:rPr>
          <w:noProof/>
        </w:rPr>
        <w:t>obnych działań</w:t>
      </w:r>
      <w:bookmarkEnd w:id="59"/>
      <w:bookmarkEnd w:id="60"/>
      <w:bookmarkEnd w:id="61"/>
      <w:bookmarkEnd w:id="62"/>
      <w:bookmarkEnd w:id="63"/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Wniosek oparto na istniejącym prawodawstwie, które zapewnią stałe redukcje emisji CO</w:t>
      </w:r>
      <w:r w:rsidRPr="00F059DD">
        <w:rPr>
          <w:noProof/>
          <w:vertAlign w:val="subscript"/>
        </w:rPr>
        <w:t>2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uni</w:t>
      </w:r>
      <w:r w:rsidRPr="00F059DD">
        <w:rPr>
          <w:noProof/>
        </w:rPr>
        <w:t>jnego parku nowych pojazdów ciężkich.</w:t>
      </w:r>
    </w:p>
    <w:p w:rsidR="00096239" w:rsidRPr="00F059DD" w:rsidRDefault="00096239" w:rsidP="00096239">
      <w:pPr>
        <w:pStyle w:val="ManualHeading3"/>
        <w:rPr>
          <w:noProof/>
        </w:rPr>
      </w:pPr>
      <w:bookmarkStart w:id="64" w:name="_Toc514938033"/>
      <w:bookmarkStart w:id="65" w:name="_Toc520485038"/>
      <w:bookmarkStart w:id="66" w:name="_Toc160804580"/>
      <w:bookmarkStart w:id="67" w:name="_Toc167220272"/>
      <w:bookmarkStart w:id="68" w:name="_Toc177549005"/>
      <w:r w:rsidRPr="00F059DD">
        <w:rPr>
          <w:noProof/>
        </w:rPr>
        <w:t>1.5.4.</w:t>
      </w:r>
      <w:r w:rsidRPr="00F059DD">
        <w:rPr>
          <w:noProof/>
        </w:rPr>
        <w:tab/>
        <w:t>Spójność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wie</w:t>
      </w:r>
      <w:r w:rsidRPr="00F059DD">
        <w:rPr>
          <w:noProof/>
        </w:rPr>
        <w:t>loletnimi ramami finansowymi oraz możliwa synergia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inn</w:t>
      </w:r>
      <w:r w:rsidRPr="00F059DD">
        <w:rPr>
          <w:noProof/>
        </w:rPr>
        <w:t>ymi właściwymi instrumentami</w:t>
      </w:r>
      <w:bookmarkEnd w:id="64"/>
      <w:bookmarkEnd w:id="65"/>
      <w:bookmarkEnd w:id="66"/>
      <w:bookmarkEnd w:id="67"/>
      <w:bookmarkEnd w:id="68"/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 xml:space="preserve">Dodatkowe zasoby nie są wymagane. </w:t>
      </w:r>
    </w:p>
    <w:p w:rsidR="00096239" w:rsidRPr="00F059DD" w:rsidRDefault="00096239" w:rsidP="00096239">
      <w:pPr>
        <w:pStyle w:val="ManualHeading3"/>
        <w:rPr>
          <w:noProof/>
        </w:rPr>
      </w:pPr>
      <w:bookmarkStart w:id="69" w:name="_Toc514938036"/>
      <w:bookmarkStart w:id="70" w:name="_Toc520485039"/>
      <w:bookmarkStart w:id="71" w:name="_Toc160804581"/>
      <w:bookmarkStart w:id="72" w:name="_Toc167220273"/>
      <w:bookmarkStart w:id="73" w:name="_Toc177549006"/>
      <w:r w:rsidRPr="00F059DD">
        <w:rPr>
          <w:noProof/>
        </w:rPr>
        <w:t>1.5.5.</w:t>
      </w:r>
      <w:r w:rsidRPr="00F059DD">
        <w:rPr>
          <w:noProof/>
        </w:rPr>
        <w:tab/>
        <w:t>Ocena różnych dostępnych możliwości finansowania,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tym</w:t>
      </w:r>
      <w:r w:rsidRPr="00F059DD">
        <w:rPr>
          <w:noProof/>
        </w:rPr>
        <w:t xml:space="preserve"> możliwości przegrupowania środków</w:t>
      </w:r>
      <w:bookmarkEnd w:id="69"/>
      <w:bookmarkEnd w:id="70"/>
      <w:bookmarkEnd w:id="71"/>
      <w:bookmarkEnd w:id="72"/>
      <w:bookmarkEnd w:id="73"/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 xml:space="preserve">Dodatkowe zasoby nie są wymagane. </w:t>
      </w:r>
    </w:p>
    <w:p w:rsidR="00096239" w:rsidRPr="00F059DD" w:rsidRDefault="00096239" w:rsidP="00096239">
      <w:pPr>
        <w:pStyle w:val="ManualHeading2"/>
        <w:rPr>
          <w:bCs/>
          <w:noProof/>
          <w:szCs w:val="24"/>
        </w:rPr>
      </w:pPr>
      <w:r w:rsidRPr="00F059DD">
        <w:rPr>
          <w:noProof/>
        </w:rPr>
        <w:br w:type="page"/>
      </w:r>
      <w:bookmarkStart w:id="74" w:name="_Toc514938039"/>
      <w:bookmarkStart w:id="75" w:name="_Toc520485040"/>
      <w:bookmarkStart w:id="76" w:name="_Toc160804582"/>
      <w:bookmarkStart w:id="77" w:name="_Toc167220274"/>
      <w:bookmarkStart w:id="78" w:name="_Toc177549007"/>
      <w:r w:rsidRPr="00F059DD">
        <w:rPr>
          <w:noProof/>
        </w:rPr>
        <w:t>1.6.</w:t>
      </w:r>
      <w:r w:rsidRPr="00F059DD">
        <w:rPr>
          <w:noProof/>
        </w:rPr>
        <w:tab/>
        <w:t>Czas trwania wniosku/inicjatywy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jeg</w:t>
      </w:r>
      <w:r w:rsidRPr="00F059DD">
        <w:rPr>
          <w:noProof/>
        </w:rPr>
        <w:t>o/jej wpływu finansowego</w:t>
      </w:r>
      <w:bookmarkEnd w:id="74"/>
      <w:bookmarkEnd w:id="75"/>
      <w:bookmarkEnd w:id="76"/>
      <w:bookmarkEnd w:id="77"/>
      <w:bookmarkEnd w:id="78"/>
    </w:p>
    <w:p w:rsidR="00096239" w:rsidRPr="00F059DD" w:rsidRDefault="00096239" w:rsidP="00096239">
      <w:pPr>
        <w:pStyle w:val="Text1"/>
        <w:rPr>
          <w:noProof/>
        </w:rPr>
      </w:pPr>
      <w:r w:rsidRPr="00F059DD">
        <w:rPr>
          <w:rFonts w:ascii="Wingdings" w:hAnsi="Wingdings"/>
          <w:noProof/>
        </w:rPr>
        <w:t></w:t>
      </w:r>
      <w:r w:rsidRPr="00F059DD">
        <w:rPr>
          <w:noProof/>
        </w:rPr>
        <w:t xml:space="preserve"> </w:t>
      </w:r>
      <w:r w:rsidRPr="00F059DD">
        <w:rPr>
          <w:b/>
          <w:noProof/>
        </w:rPr>
        <w:t xml:space="preserve">Ograniczony czas trwania </w:t>
      </w:r>
    </w:p>
    <w:p w:rsidR="00096239" w:rsidRPr="00F059DD" w:rsidRDefault="00096239" w:rsidP="00096239">
      <w:pPr>
        <w:pStyle w:val="ListDash2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ab/>
        <w:t xml:space="preserve">Czas trwania wniosku/inicjatywy: od [DD/MM]RRRR r. do [DD/MM]RRRR r. </w:t>
      </w:r>
    </w:p>
    <w:p w:rsidR="00096239" w:rsidRPr="00F059DD" w:rsidRDefault="00096239" w:rsidP="00096239">
      <w:pPr>
        <w:pStyle w:val="ListDash2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ab/>
        <w:t>Czas trwania wpływu finansowego: od RRRR r. do RRRR r.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odn</w:t>
      </w:r>
      <w:r w:rsidRPr="00F059DD">
        <w:rPr>
          <w:noProof/>
        </w:rPr>
        <w:t>iesieniu do środków na zobowiązania oraz od RRRR r. do RRRR r.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odn</w:t>
      </w:r>
      <w:r w:rsidRPr="00F059DD">
        <w:rPr>
          <w:noProof/>
        </w:rPr>
        <w:t xml:space="preserve">iesieniu do środków na płatności. </w:t>
      </w:r>
    </w:p>
    <w:p w:rsidR="00096239" w:rsidRPr="00F059DD" w:rsidRDefault="00096239" w:rsidP="00096239">
      <w:pPr>
        <w:pStyle w:val="Text1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 xml:space="preserve"> </w:t>
      </w:r>
      <w:r w:rsidRPr="00F059DD">
        <w:rPr>
          <w:b/>
          <w:noProof/>
        </w:rPr>
        <w:t>Nieograniczony czas trwania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noProof/>
        </w:rPr>
        <w:t>Wprowadzenie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życ</w:t>
      </w:r>
      <w:r w:rsidRPr="00F059DD">
        <w:rPr>
          <w:noProof/>
        </w:rPr>
        <w:t>ie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okr</w:t>
      </w:r>
      <w:r w:rsidRPr="00F059DD">
        <w:rPr>
          <w:noProof/>
        </w:rPr>
        <w:t>esem rozruchu od RRRR r. do RRRR r.,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noProof/>
        </w:rPr>
        <w:t>po którym następuje faza operacyjna.</w:t>
      </w:r>
    </w:p>
    <w:p w:rsidR="00096239" w:rsidRPr="00660A3E" w:rsidRDefault="00096239" w:rsidP="00096239">
      <w:pPr>
        <w:pStyle w:val="ManualHeading2"/>
        <w:rPr>
          <w:bCs/>
          <w:noProof/>
          <w:szCs w:val="24"/>
        </w:rPr>
      </w:pPr>
      <w:bookmarkStart w:id="79" w:name="_Toc514938040"/>
      <w:bookmarkStart w:id="80" w:name="_Toc520485041"/>
      <w:bookmarkStart w:id="81" w:name="_Toc160804583"/>
      <w:bookmarkStart w:id="82" w:name="_Toc167220275"/>
      <w:bookmarkStart w:id="83" w:name="_Toc177549008"/>
      <w:r w:rsidRPr="00F059DD">
        <w:rPr>
          <w:noProof/>
        </w:rPr>
        <w:t>1.7.</w:t>
      </w:r>
      <w:r w:rsidRPr="00F059DD">
        <w:rPr>
          <w:noProof/>
        </w:rPr>
        <w:tab/>
        <w:t>Planowane metody wykonania budżetu</w:t>
      </w:r>
      <w:r w:rsidRPr="00660A3E">
        <w:rPr>
          <w:rStyle w:val="FootnoteReference"/>
          <w:noProof/>
        </w:rPr>
        <w:footnoteReference w:id="10"/>
      </w:r>
      <w:bookmarkEnd w:id="79"/>
      <w:bookmarkEnd w:id="80"/>
      <w:bookmarkEnd w:id="81"/>
      <w:bookmarkEnd w:id="82"/>
      <w:bookmarkEnd w:id="83"/>
      <w:r w:rsidR="00660A3E" w:rsidRPr="00660A3E">
        <w:rPr>
          <w:rStyle w:val="FootnoteReference"/>
          <w:noProof/>
        </w:rPr>
        <w:t xml:space="preserve"> </w:t>
      </w:r>
    </w:p>
    <w:p w:rsidR="00096239" w:rsidRPr="00F059DD" w:rsidRDefault="00096239" w:rsidP="00096239">
      <w:pPr>
        <w:pStyle w:val="Text1"/>
        <w:rPr>
          <w:noProof/>
        </w:rPr>
      </w:pPr>
      <w:r w:rsidRPr="00F059DD">
        <w:rPr>
          <w:rFonts w:ascii="Wingdings" w:hAnsi="Wingdings"/>
          <w:noProof/>
        </w:rPr>
        <w:t></w:t>
      </w:r>
      <w:r w:rsidRPr="00F059DD">
        <w:rPr>
          <w:i/>
          <w:noProof/>
        </w:rPr>
        <w:t xml:space="preserve"> </w:t>
      </w:r>
      <w:r w:rsidRPr="00F059DD">
        <w:rPr>
          <w:b/>
          <w:noProof/>
        </w:rPr>
        <w:t>Bezpośrednie zarządzanie</w:t>
      </w:r>
      <w:r w:rsidRPr="00F059DD">
        <w:rPr>
          <w:noProof/>
        </w:rPr>
        <w:t xml:space="preserve"> przez Komisję</w:t>
      </w:r>
    </w:p>
    <w:p w:rsidR="00096239" w:rsidRPr="00F059DD" w:rsidRDefault="00096239" w:rsidP="00096239">
      <w:pPr>
        <w:pStyle w:val="ListDash2"/>
        <w:rPr>
          <w:rFonts w:cs="EUAlbertina"/>
          <w:noProof/>
        </w:rPr>
      </w:pPr>
      <w:r w:rsidRPr="00F059DD">
        <w:rPr>
          <w:rFonts w:ascii="Wingdings" w:hAnsi="Wingdings"/>
          <w:noProof/>
        </w:rPr>
        <w:t>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ram</w:t>
      </w:r>
      <w:r w:rsidRPr="00F059DD">
        <w:rPr>
          <w:noProof/>
        </w:rPr>
        <w:t>ach jej służb,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tym</w:t>
      </w:r>
      <w:r w:rsidRPr="00F059DD">
        <w:rPr>
          <w:noProof/>
        </w:rPr>
        <w:t xml:space="preserve"> za pośrednictwem jej pracowników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del</w:t>
      </w:r>
      <w:r w:rsidRPr="00F059DD">
        <w:rPr>
          <w:noProof/>
        </w:rPr>
        <w:t xml:space="preserve">egaturach Unii </w:t>
      </w:r>
    </w:p>
    <w:p w:rsidR="00096239" w:rsidRPr="00F059DD" w:rsidRDefault="00096239" w:rsidP="00096239">
      <w:pPr>
        <w:pStyle w:val="ListDash2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ab/>
        <w:t xml:space="preserve">przez agencje wykonawcze </w:t>
      </w:r>
    </w:p>
    <w:p w:rsidR="00096239" w:rsidRPr="00F059DD" w:rsidRDefault="00096239" w:rsidP="00096239">
      <w:pPr>
        <w:pStyle w:val="Text1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b/>
          <w:i/>
          <w:noProof/>
        </w:rPr>
        <w:t xml:space="preserve"> </w:t>
      </w:r>
      <w:r w:rsidRPr="00F059DD">
        <w:rPr>
          <w:b/>
          <w:noProof/>
        </w:rPr>
        <w:t>Zarządzanie dzielone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pań</w:t>
      </w:r>
      <w:r w:rsidRPr="00F059DD">
        <w:rPr>
          <w:noProof/>
        </w:rPr>
        <w:t xml:space="preserve">stwami członkowskimi </w:t>
      </w:r>
    </w:p>
    <w:p w:rsidR="00096239" w:rsidRPr="00F059DD" w:rsidRDefault="00096239" w:rsidP="00096239">
      <w:pPr>
        <w:pStyle w:val="Text1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i/>
          <w:noProof/>
        </w:rPr>
        <w:t xml:space="preserve"> </w:t>
      </w:r>
      <w:r w:rsidRPr="00F059DD">
        <w:rPr>
          <w:b/>
          <w:noProof/>
        </w:rPr>
        <w:t>Zarządzanie pośrednie</w:t>
      </w:r>
      <w:r w:rsidRPr="00F059DD">
        <w:rPr>
          <w:noProof/>
        </w:rPr>
        <w:t xml:space="preserve"> przez przekazanie zadań związanych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wyk</w:t>
      </w:r>
      <w:r w:rsidRPr="00F059DD">
        <w:rPr>
          <w:noProof/>
        </w:rPr>
        <w:t>onaniem budżetu:</w:t>
      </w:r>
    </w:p>
    <w:p w:rsidR="00096239" w:rsidRPr="00F059DD" w:rsidRDefault="00096239" w:rsidP="00096239">
      <w:pPr>
        <w:pStyle w:val="ListDash2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 xml:space="preserve"> państwom trzecim lub organom przez nie wyznaczonym</w:t>
      </w:r>
    </w:p>
    <w:p w:rsidR="00096239" w:rsidRPr="00F059DD" w:rsidRDefault="00096239" w:rsidP="00096239">
      <w:pPr>
        <w:pStyle w:val="ListDash2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 xml:space="preserve"> organizacjom międzynarodowym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ich</w:t>
      </w:r>
      <w:r w:rsidRPr="00F059DD">
        <w:rPr>
          <w:noProof/>
        </w:rPr>
        <w:t xml:space="preserve"> agencjom (wyszczególnić)</w:t>
      </w:r>
    </w:p>
    <w:p w:rsidR="00096239" w:rsidRPr="00F059DD" w:rsidRDefault="00096239" w:rsidP="00096239">
      <w:pPr>
        <w:pStyle w:val="ListDash2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 xml:space="preserve"> Europejskiemu Bankowi Inwestycyjnemu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Eur</w:t>
      </w:r>
      <w:r w:rsidRPr="00F059DD">
        <w:rPr>
          <w:noProof/>
        </w:rPr>
        <w:t>opejskiemu Funduszowi Inwestycyjnemu</w:t>
      </w:r>
    </w:p>
    <w:p w:rsidR="00096239" w:rsidRPr="00F059DD" w:rsidRDefault="00096239" w:rsidP="00096239">
      <w:pPr>
        <w:pStyle w:val="ListDash2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 xml:space="preserve"> organom,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któ</w:t>
      </w:r>
      <w:r w:rsidRPr="00F059DD">
        <w:rPr>
          <w:noProof/>
        </w:rPr>
        <w:t>rych mowa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660A3E">
        <w:rPr>
          <w:noProof/>
        </w:rPr>
        <w:t>art</w:t>
      </w:r>
      <w:r w:rsidRPr="00660A3E">
        <w:rPr>
          <w:noProof/>
        </w:rPr>
        <w:t>.</w:t>
      </w:r>
      <w:r w:rsidR="00660A3E" w:rsidRPr="00660A3E">
        <w:rPr>
          <w:noProof/>
        </w:rPr>
        <w:t> </w:t>
      </w:r>
      <w:r w:rsidRPr="00660A3E">
        <w:rPr>
          <w:noProof/>
        </w:rPr>
        <w:t>7</w:t>
      </w:r>
      <w:r w:rsidRPr="00F059DD">
        <w:rPr>
          <w:noProof/>
        </w:rPr>
        <w:t>0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7</w:t>
      </w:r>
      <w:r w:rsidRPr="00F059DD">
        <w:rPr>
          <w:noProof/>
        </w:rPr>
        <w:t>1 rozporządzenia finansowego</w:t>
      </w:r>
    </w:p>
    <w:p w:rsidR="00096239" w:rsidRPr="00F059DD" w:rsidRDefault="00096239" w:rsidP="00096239">
      <w:pPr>
        <w:pStyle w:val="ListDash2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 xml:space="preserve"> organom prawa publicznego</w:t>
      </w:r>
    </w:p>
    <w:p w:rsidR="00096239" w:rsidRPr="00F059DD" w:rsidRDefault="00096239" w:rsidP="00096239">
      <w:pPr>
        <w:pStyle w:val="ListDash2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 xml:space="preserve"> podmiotom podlegającym prawu prywatnemu, które świadczą usługi użyteczności publicznej,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zak</w:t>
      </w:r>
      <w:r w:rsidRPr="00F059DD">
        <w:rPr>
          <w:noProof/>
        </w:rPr>
        <w:t>resie,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jak</w:t>
      </w:r>
      <w:r w:rsidRPr="00F059DD">
        <w:rPr>
          <w:noProof/>
        </w:rPr>
        <w:t>im są im zapewnione odpowiednie gwarancje finansowe</w:t>
      </w:r>
    </w:p>
    <w:p w:rsidR="00096239" w:rsidRPr="00F059DD" w:rsidRDefault="00096239" w:rsidP="00096239">
      <w:pPr>
        <w:pStyle w:val="ListDash2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 xml:space="preserve"> podmiotom podlegającym prawu prywatnemu państwa członkowskiego, którym powierzono realizację partnerstwa publiczno-prywatnego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zap</w:t>
      </w:r>
      <w:r w:rsidRPr="00F059DD">
        <w:rPr>
          <w:noProof/>
        </w:rPr>
        <w:t>ewniono odpowiednie gwarancje finansowe</w:t>
      </w:r>
    </w:p>
    <w:p w:rsidR="00096239" w:rsidRPr="00F059DD" w:rsidRDefault="00096239" w:rsidP="00096239">
      <w:pPr>
        <w:pStyle w:val="ListDash2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 xml:space="preserve"> podmiotom lub osobom odpowiedzialnym za wykonanie określonych działań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dzi</w:t>
      </w:r>
      <w:r w:rsidRPr="00F059DD">
        <w:rPr>
          <w:noProof/>
        </w:rPr>
        <w:t>edzinie wspólnej polityki zagranicznej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bez</w:t>
      </w:r>
      <w:r w:rsidRPr="00F059DD">
        <w:rPr>
          <w:noProof/>
        </w:rPr>
        <w:t>pieczeństwa na mocy tytułu V Traktatu</w:t>
      </w:r>
      <w:r w:rsidR="00660A3E" w:rsidRPr="00F059DD">
        <w:rPr>
          <w:noProof/>
        </w:rPr>
        <w:t xml:space="preserve"> o</w:t>
      </w:r>
      <w:r w:rsidR="00660A3E">
        <w:rPr>
          <w:noProof/>
        </w:rPr>
        <w:t> </w:t>
      </w:r>
      <w:r w:rsidR="00660A3E" w:rsidRPr="00F059DD">
        <w:rPr>
          <w:noProof/>
        </w:rPr>
        <w:t>Uni</w:t>
      </w:r>
      <w:r w:rsidRPr="00F059DD">
        <w:rPr>
          <w:noProof/>
        </w:rPr>
        <w:t>i Europejskiej oraz określonym we właściwym podstawowym akcie prawnym</w:t>
      </w:r>
    </w:p>
    <w:p w:rsidR="00096239" w:rsidRPr="00F059DD" w:rsidRDefault="00096239" w:rsidP="00096239">
      <w:pPr>
        <w:pStyle w:val="ListDash2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rFonts w:ascii="Wingdings" w:hAnsi="Wingdings"/>
          <w:noProof/>
        </w:rPr>
        <w:t></w:t>
      </w:r>
      <w:r w:rsidRPr="00F059DD">
        <w:rPr>
          <w:noProof/>
        </w:rPr>
        <w:t xml:space="preserve"> podmiotom mającym siedzibę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pań</w:t>
      </w:r>
      <w:r w:rsidRPr="00F059DD">
        <w:rPr>
          <w:noProof/>
        </w:rPr>
        <w:t>stwie członkowskim, podlegającym prawu prywatnemu państwa członkowskiego lub prawu Unii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kwa</w:t>
      </w:r>
      <w:r w:rsidRPr="00F059DD">
        <w:rPr>
          <w:noProof/>
        </w:rPr>
        <w:t>lifikującym się, zgodnie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episami sektorowymi, do powierzenia im wykonywania środków finansowych Unii lub gwarancji budżetowych,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zak</w:t>
      </w:r>
      <w:r w:rsidRPr="00F059DD">
        <w:rPr>
          <w:noProof/>
        </w:rPr>
        <w:t>resie,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jak</w:t>
      </w:r>
      <w:r w:rsidRPr="00F059DD">
        <w:rPr>
          <w:noProof/>
        </w:rPr>
        <w:t>im podmioty te są kontrolowane przez podmioty prawa publicznego lub podmioty podlegające prawu prywatnemu świadczące usługi użyteczności publicznej,</w:t>
      </w:r>
      <w:r w:rsidR="00660A3E" w:rsidRPr="00F059DD">
        <w:rPr>
          <w:noProof/>
        </w:rPr>
        <w:t xml:space="preserve"> a</w:t>
      </w:r>
      <w:r w:rsidR="00660A3E">
        <w:rPr>
          <w:noProof/>
        </w:rPr>
        <w:t> </w:t>
      </w:r>
      <w:r w:rsidR="00660A3E" w:rsidRPr="00F059DD">
        <w:rPr>
          <w:noProof/>
        </w:rPr>
        <w:t>tak</w:t>
      </w:r>
      <w:r w:rsidRPr="00F059DD">
        <w:rPr>
          <w:noProof/>
        </w:rPr>
        <w:t>że posiadają odpowiednie gwarancje finansowe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for</w:t>
      </w:r>
      <w:r w:rsidRPr="00F059DD">
        <w:rPr>
          <w:noProof/>
        </w:rPr>
        <w:t>mie odpowiedzialności solidarnej organów kontrolnych lub równoważne gwarancje finansowe, które mogą być ograniczone,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odn</w:t>
      </w:r>
      <w:r w:rsidRPr="00F059DD">
        <w:rPr>
          <w:noProof/>
        </w:rPr>
        <w:t>iesieniu do każdego działania, do maksymalnej kwoty wsparcia Unii.</w:t>
      </w:r>
    </w:p>
    <w:p w:rsidR="00096239" w:rsidRPr="00F059DD" w:rsidRDefault="00096239" w:rsidP="00096239">
      <w:pPr>
        <w:rPr>
          <w:noProof/>
        </w:rPr>
      </w:pPr>
      <w:r w:rsidRPr="00F059DD">
        <w:rPr>
          <w:noProof/>
        </w:rPr>
        <w:t xml:space="preserve">Uwagi </w:t>
      </w:r>
    </w:p>
    <w:p w:rsidR="00096239" w:rsidRPr="00F059DD" w:rsidRDefault="00096239" w:rsidP="00096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 xml:space="preserve">Dodatkowe zasoby nie są wymagane. </w:t>
      </w:r>
    </w:p>
    <w:p w:rsidR="00096239" w:rsidRPr="00F059DD" w:rsidRDefault="00096239" w:rsidP="00096239">
      <w:pPr>
        <w:rPr>
          <w:noProof/>
        </w:rPr>
        <w:sectPr w:rsidR="00096239" w:rsidRPr="00F059DD" w:rsidSect="00086F5F"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</w:p>
    <w:p w:rsidR="00096239" w:rsidRPr="00F059DD" w:rsidRDefault="00096239" w:rsidP="00096239">
      <w:pPr>
        <w:pStyle w:val="ManualHeading1"/>
        <w:rPr>
          <w:bCs/>
          <w:noProof/>
          <w:szCs w:val="24"/>
        </w:rPr>
      </w:pPr>
      <w:bookmarkStart w:id="84" w:name="_Toc514938041"/>
      <w:bookmarkStart w:id="85" w:name="_Toc520485042"/>
      <w:bookmarkStart w:id="86" w:name="_Toc160804584"/>
      <w:bookmarkStart w:id="87" w:name="_Toc167220276"/>
      <w:bookmarkStart w:id="88" w:name="_Toc177549009"/>
      <w:r w:rsidRPr="00F059DD">
        <w:rPr>
          <w:noProof/>
        </w:rPr>
        <w:t>2.</w:t>
      </w:r>
      <w:r w:rsidRPr="00F059DD">
        <w:rPr>
          <w:noProof/>
        </w:rPr>
        <w:tab/>
        <w:t>ŚRODKI ZARZĄDZANIA</w:t>
      </w:r>
      <w:bookmarkEnd w:id="84"/>
      <w:bookmarkEnd w:id="85"/>
      <w:bookmarkEnd w:id="86"/>
      <w:bookmarkEnd w:id="87"/>
      <w:bookmarkEnd w:id="88"/>
      <w:r w:rsidRPr="00F059DD">
        <w:rPr>
          <w:noProof/>
        </w:rPr>
        <w:t xml:space="preserve"> </w:t>
      </w:r>
    </w:p>
    <w:p w:rsidR="00096239" w:rsidRPr="00F059DD" w:rsidRDefault="00096239" w:rsidP="00096239">
      <w:pPr>
        <w:pStyle w:val="ManualHeading2"/>
        <w:rPr>
          <w:noProof/>
        </w:rPr>
      </w:pPr>
      <w:bookmarkStart w:id="89" w:name="_Toc514938042"/>
      <w:bookmarkStart w:id="90" w:name="_Toc520485043"/>
      <w:bookmarkStart w:id="91" w:name="_Toc160804585"/>
      <w:bookmarkStart w:id="92" w:name="_Toc167220277"/>
      <w:bookmarkStart w:id="93" w:name="_Toc177549010"/>
      <w:r w:rsidRPr="00F059DD">
        <w:rPr>
          <w:noProof/>
        </w:rPr>
        <w:t>2.1.</w:t>
      </w:r>
      <w:r w:rsidRPr="00F059DD">
        <w:rPr>
          <w:noProof/>
        </w:rPr>
        <w:tab/>
        <w:t>Zasady nadzoru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spr</w:t>
      </w:r>
      <w:r w:rsidRPr="00F059DD">
        <w:rPr>
          <w:noProof/>
        </w:rPr>
        <w:t>awozdawczości</w:t>
      </w:r>
      <w:bookmarkEnd w:id="89"/>
      <w:bookmarkEnd w:id="90"/>
      <w:bookmarkEnd w:id="91"/>
      <w:bookmarkEnd w:id="92"/>
      <w:bookmarkEnd w:id="93"/>
      <w:r w:rsidRPr="00F059DD">
        <w:rPr>
          <w:noProof/>
        </w:rPr>
        <w:t xml:space="preserve"> </w:t>
      </w:r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Nie wprowadza się żadnych zmian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episach dotyczących monitorowania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spr</w:t>
      </w:r>
      <w:r w:rsidRPr="00F059DD">
        <w:rPr>
          <w:noProof/>
        </w:rPr>
        <w:t>awozdawczości, ponieważ obecny system umożliwia również monitorowanie stosowania proponowanej dodatkowej elastyczności.</w:t>
      </w:r>
    </w:p>
    <w:p w:rsidR="00096239" w:rsidRPr="00F059DD" w:rsidRDefault="00096239" w:rsidP="00096239">
      <w:pPr>
        <w:pStyle w:val="ManualHeading2"/>
        <w:rPr>
          <w:bCs/>
          <w:noProof/>
          <w:szCs w:val="24"/>
        </w:rPr>
      </w:pPr>
      <w:bookmarkStart w:id="94" w:name="_Toc514938045"/>
      <w:bookmarkStart w:id="95" w:name="_Toc520485044"/>
      <w:bookmarkStart w:id="96" w:name="_Toc160804586"/>
      <w:bookmarkStart w:id="97" w:name="_Toc167220278"/>
      <w:bookmarkStart w:id="98" w:name="_Toc177549011"/>
      <w:r w:rsidRPr="00F059DD">
        <w:rPr>
          <w:noProof/>
        </w:rPr>
        <w:t>2.2.</w:t>
      </w:r>
      <w:r w:rsidRPr="00F059DD">
        <w:rPr>
          <w:noProof/>
        </w:rPr>
        <w:tab/>
        <w:t>System zarządzania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kon</w:t>
      </w:r>
      <w:r w:rsidRPr="00F059DD">
        <w:rPr>
          <w:noProof/>
        </w:rPr>
        <w:t>troli</w:t>
      </w:r>
      <w:bookmarkEnd w:id="94"/>
      <w:bookmarkEnd w:id="95"/>
      <w:bookmarkEnd w:id="96"/>
      <w:bookmarkEnd w:id="97"/>
      <w:bookmarkEnd w:id="98"/>
      <w:r w:rsidRPr="00F059DD">
        <w:rPr>
          <w:noProof/>
        </w:rPr>
        <w:t xml:space="preserve"> </w:t>
      </w:r>
    </w:p>
    <w:p w:rsidR="00096239" w:rsidRPr="00F059DD" w:rsidRDefault="00096239" w:rsidP="00096239">
      <w:pPr>
        <w:pStyle w:val="ManualHeading3"/>
        <w:rPr>
          <w:noProof/>
        </w:rPr>
      </w:pPr>
      <w:bookmarkStart w:id="99" w:name="_Toc514938046"/>
      <w:bookmarkStart w:id="100" w:name="_Toc520485045"/>
      <w:bookmarkStart w:id="101" w:name="_Toc160804587"/>
      <w:bookmarkStart w:id="102" w:name="_Toc167220279"/>
      <w:bookmarkStart w:id="103" w:name="_Toc177549012"/>
      <w:r w:rsidRPr="00F059DD">
        <w:rPr>
          <w:noProof/>
        </w:rPr>
        <w:t>2.2.1.</w:t>
      </w:r>
      <w:r w:rsidRPr="00F059DD">
        <w:rPr>
          <w:noProof/>
        </w:rPr>
        <w:tab/>
        <w:t>Uzasadnienie dla proponowanych metod wykonania budżetu, mechanizmów finansowania wykonania, sposobów dokonywania płatności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str</w:t>
      </w:r>
      <w:r w:rsidRPr="00F059DD">
        <w:rPr>
          <w:noProof/>
        </w:rPr>
        <w:t>ategii kontroli</w:t>
      </w:r>
      <w:bookmarkEnd w:id="99"/>
      <w:bookmarkEnd w:id="100"/>
      <w:bookmarkEnd w:id="101"/>
      <w:bookmarkEnd w:id="102"/>
      <w:bookmarkEnd w:id="103"/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Wniosek nie wdraża programu finansowego, ale wprowadza dodatkową elastyczność pod względem przestrzegania przez producentów pojazdów ciężkich docelowych poziomów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>. Tryb zarządzania, mechanizmy finansowania wykonania, warunki płatności oraz strategia kontroli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odn</w:t>
      </w:r>
      <w:r w:rsidRPr="00F059DD">
        <w:rPr>
          <w:noProof/>
        </w:rPr>
        <w:t>iesieniu do poziomu błędu nie mają zastosowania.</w:t>
      </w:r>
    </w:p>
    <w:p w:rsidR="00096239" w:rsidRPr="00F059DD" w:rsidRDefault="00096239" w:rsidP="00096239">
      <w:pPr>
        <w:pStyle w:val="ManualHeading3"/>
        <w:rPr>
          <w:bCs/>
          <w:noProof/>
          <w:szCs w:val="24"/>
        </w:rPr>
      </w:pPr>
      <w:bookmarkStart w:id="104" w:name="_Toc514938047"/>
      <w:bookmarkStart w:id="105" w:name="_Toc520485046"/>
      <w:bookmarkStart w:id="106" w:name="_Toc160804588"/>
      <w:bookmarkStart w:id="107" w:name="_Toc167220280"/>
      <w:bookmarkStart w:id="108" w:name="_Toc177549013"/>
      <w:r w:rsidRPr="00F059DD">
        <w:rPr>
          <w:noProof/>
        </w:rPr>
        <w:t>2.2.2.</w:t>
      </w:r>
      <w:r w:rsidRPr="00F059DD">
        <w:rPr>
          <w:noProof/>
        </w:rPr>
        <w:tab/>
        <w:t>Informacje dotyczące zidentyfikowanego ryzyka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sys</w:t>
      </w:r>
      <w:r w:rsidRPr="00F059DD">
        <w:rPr>
          <w:noProof/>
        </w:rPr>
        <w:t>temów kontroli wewnętrznej ustanowionych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Pr="00F059DD">
        <w:rPr>
          <w:noProof/>
        </w:rPr>
        <w:t>u jego ograniczenia</w:t>
      </w:r>
      <w:bookmarkEnd w:id="104"/>
      <w:bookmarkEnd w:id="105"/>
      <w:bookmarkEnd w:id="106"/>
      <w:bookmarkEnd w:id="107"/>
      <w:bookmarkEnd w:id="108"/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Niniejszy wniosek nie dotyczy programu wydatków. Skuteczne monitorowanie danych rejestracyjnych pojazdów ma zasadnicze znaczenie dla zapewnienia pewności prawa przy egzekwowaniu przepisów oraz dla zapewnienia producentom równych warunków działania.</w:t>
      </w:r>
    </w:p>
    <w:p w:rsidR="00096239" w:rsidRPr="00F059DD" w:rsidRDefault="00096239" w:rsidP="00096239">
      <w:pPr>
        <w:pStyle w:val="ManualHeading3"/>
        <w:rPr>
          <w:noProof/>
        </w:rPr>
      </w:pPr>
      <w:bookmarkStart w:id="109" w:name="_Toc514938048"/>
      <w:bookmarkStart w:id="110" w:name="_Toc520485047"/>
      <w:bookmarkStart w:id="111" w:name="_Toc160804589"/>
      <w:bookmarkStart w:id="112" w:name="_Toc167220281"/>
      <w:bookmarkStart w:id="113" w:name="_Toc177549014"/>
      <w:r w:rsidRPr="00F059DD">
        <w:rPr>
          <w:noProof/>
        </w:rPr>
        <w:t>2.2.3.</w:t>
      </w:r>
      <w:r w:rsidRPr="00F059DD">
        <w:rPr>
          <w:noProof/>
        </w:rPr>
        <w:tab/>
        <w:t>Oszacowanie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uza</w:t>
      </w:r>
      <w:r w:rsidRPr="00F059DD">
        <w:rPr>
          <w:noProof/>
        </w:rPr>
        <w:t>sadnienie efektywności kosztowej kontroli (relacja kosztów kontroli do wartości zarządzanych funduszy powiązanych) oraz ocena prawdopodobnego ryzyka błędu (przy płatności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y zamykaniu)</w:t>
      </w:r>
      <w:bookmarkEnd w:id="109"/>
      <w:bookmarkEnd w:id="110"/>
      <w:bookmarkEnd w:id="111"/>
      <w:bookmarkEnd w:id="112"/>
      <w:bookmarkEnd w:id="113"/>
      <w:r w:rsidRPr="00F059DD">
        <w:rPr>
          <w:noProof/>
        </w:rPr>
        <w:t xml:space="preserve"> </w:t>
      </w:r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Niniejsza inicjatywa nie pociąga za sobą nowych znaczących rodzajów kontroli/ryzyka, które nie byłyby już uwzględnione przez istniejące wewnętrzne ramy kontroli. Nie przewiduje się żadnych szczególnych środków wykraczających poza stosowanie rozporządzenia finansowego.</w:t>
      </w:r>
    </w:p>
    <w:p w:rsidR="00096239" w:rsidRPr="00F059DD" w:rsidRDefault="00096239" w:rsidP="00096239">
      <w:pPr>
        <w:pStyle w:val="ManualHeading2"/>
        <w:rPr>
          <w:bCs/>
          <w:noProof/>
          <w:szCs w:val="24"/>
        </w:rPr>
      </w:pPr>
      <w:bookmarkStart w:id="114" w:name="_Toc514938049"/>
      <w:bookmarkStart w:id="115" w:name="_Toc520485048"/>
      <w:bookmarkStart w:id="116" w:name="_Toc160804590"/>
      <w:bookmarkStart w:id="117" w:name="_Toc167220282"/>
      <w:bookmarkStart w:id="118" w:name="_Toc177549015"/>
      <w:r w:rsidRPr="00F059DD">
        <w:rPr>
          <w:noProof/>
        </w:rPr>
        <w:t>2.3.</w:t>
      </w:r>
      <w:r w:rsidRPr="00F059DD">
        <w:rPr>
          <w:noProof/>
        </w:rPr>
        <w:tab/>
        <w:t>Środki zapobiegania nadużyciom finansowym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nie</w:t>
      </w:r>
      <w:r w:rsidRPr="00F059DD">
        <w:rPr>
          <w:noProof/>
        </w:rPr>
        <w:t>prawidłowościom</w:t>
      </w:r>
      <w:bookmarkEnd w:id="114"/>
      <w:bookmarkEnd w:id="115"/>
      <w:bookmarkEnd w:id="116"/>
      <w:bookmarkEnd w:id="117"/>
      <w:bookmarkEnd w:id="118"/>
      <w:r w:rsidRPr="00F059DD">
        <w:rPr>
          <w:noProof/>
        </w:rPr>
        <w:t xml:space="preserve"> </w:t>
      </w:r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Oprócz stosowania rozporządzenia finansowego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cel</w:t>
      </w:r>
      <w:r w:rsidRPr="00F059DD">
        <w:rPr>
          <w:noProof/>
        </w:rPr>
        <w:t>u zapobiegania nadużyciom finansowym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nie</w:t>
      </w:r>
      <w:r w:rsidRPr="00F059DD">
        <w:rPr>
          <w:noProof/>
        </w:rPr>
        <w:t>prawidłowościom, dodatkowej elastyczności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zap</w:t>
      </w:r>
      <w:r w:rsidRPr="00F059DD">
        <w:rPr>
          <w:noProof/>
        </w:rPr>
        <w:t>ewnianiu zgodności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wym</w:t>
      </w:r>
      <w:r w:rsidRPr="00F059DD">
        <w:rPr>
          <w:noProof/>
        </w:rPr>
        <w:t>ogami dotyczącymi redukcji emisji CO</w:t>
      </w:r>
      <w:r w:rsidRPr="00F059DD">
        <w:rPr>
          <w:noProof/>
          <w:vertAlign w:val="subscript"/>
        </w:rPr>
        <w:t>2</w:t>
      </w:r>
      <w:r w:rsidRPr="00F059DD">
        <w:rPr>
          <w:noProof/>
        </w:rPr>
        <w:t xml:space="preserve"> przewidzianej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nin</w:t>
      </w:r>
      <w:r w:rsidRPr="00F059DD">
        <w:rPr>
          <w:noProof/>
        </w:rPr>
        <w:t>iejszym wniosku będzie towarzyszyć monitorowanie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spr</w:t>
      </w:r>
      <w:r w:rsidRPr="00F059DD">
        <w:rPr>
          <w:noProof/>
        </w:rPr>
        <w:t>awozdawczość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zak</w:t>
      </w:r>
      <w:r w:rsidRPr="00F059DD">
        <w:rPr>
          <w:noProof/>
        </w:rPr>
        <w:t>resie różnych zbiorów danych, jak przewidziano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roz</w:t>
      </w:r>
      <w:r w:rsidRPr="00F059DD">
        <w:rPr>
          <w:noProof/>
        </w:rPr>
        <w:t xml:space="preserve">porządzeniu (UE) 2019/1242. </w:t>
      </w:r>
    </w:p>
    <w:p w:rsidR="00096239" w:rsidRPr="00F059DD" w:rsidRDefault="00096239" w:rsidP="00096239">
      <w:pPr>
        <w:rPr>
          <w:noProof/>
        </w:rPr>
        <w:sectPr w:rsidR="00096239" w:rsidRPr="00F059DD" w:rsidSect="00086F5F"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</w:p>
    <w:p w:rsidR="00096239" w:rsidRPr="00F059DD" w:rsidRDefault="00096239" w:rsidP="00096239">
      <w:pPr>
        <w:pStyle w:val="ManualHeading1"/>
        <w:rPr>
          <w:bCs/>
          <w:noProof/>
          <w:szCs w:val="24"/>
        </w:rPr>
      </w:pPr>
      <w:bookmarkStart w:id="119" w:name="_Toc514938050"/>
      <w:bookmarkStart w:id="120" w:name="_Toc520485049"/>
      <w:bookmarkStart w:id="121" w:name="_Toc160804591"/>
      <w:bookmarkStart w:id="122" w:name="_Toc167220283"/>
      <w:bookmarkStart w:id="123" w:name="_Toc177549016"/>
      <w:r w:rsidRPr="00F059DD">
        <w:rPr>
          <w:noProof/>
        </w:rPr>
        <w:t>3.</w:t>
      </w:r>
      <w:r w:rsidRPr="00F059DD">
        <w:rPr>
          <w:noProof/>
        </w:rPr>
        <w:tab/>
        <w:t>SZACUNKOWY WPŁYW FINANSOWY WNIOSKU/INICJATYWY</w:t>
      </w:r>
      <w:bookmarkEnd w:id="119"/>
      <w:bookmarkEnd w:id="120"/>
      <w:bookmarkEnd w:id="121"/>
      <w:bookmarkEnd w:id="122"/>
      <w:bookmarkEnd w:id="123"/>
      <w:r w:rsidRPr="00F059DD">
        <w:rPr>
          <w:noProof/>
        </w:rPr>
        <w:t xml:space="preserve"> </w:t>
      </w:r>
    </w:p>
    <w:p w:rsidR="00096239" w:rsidRPr="00F059DD" w:rsidRDefault="00096239" w:rsidP="00096239">
      <w:pPr>
        <w:pStyle w:val="ManualHeading2"/>
        <w:rPr>
          <w:noProof/>
        </w:rPr>
      </w:pPr>
      <w:bookmarkStart w:id="124" w:name="_Toc514938051"/>
      <w:bookmarkStart w:id="125" w:name="_Toc520485050"/>
      <w:bookmarkStart w:id="126" w:name="_Toc160804592"/>
      <w:bookmarkStart w:id="127" w:name="_Toc167220284"/>
      <w:bookmarkStart w:id="128" w:name="_Toc177549017"/>
      <w:r w:rsidRPr="00F059DD">
        <w:rPr>
          <w:noProof/>
        </w:rPr>
        <w:t>3.1.</w:t>
      </w:r>
      <w:r w:rsidRPr="00F059DD">
        <w:rPr>
          <w:noProof/>
        </w:rPr>
        <w:tab/>
        <w:t>Działy wieloletnich ram finansowych</w:t>
      </w:r>
      <w:r w:rsidR="00660A3E" w:rsidRPr="00F059DD">
        <w:rPr>
          <w:noProof/>
        </w:rPr>
        <w:t xml:space="preserve"> i</w:t>
      </w:r>
      <w:r w:rsidR="00660A3E">
        <w:rPr>
          <w:noProof/>
        </w:rPr>
        <w:t> </w:t>
      </w:r>
      <w:r w:rsidR="00660A3E" w:rsidRPr="00F059DD">
        <w:rPr>
          <w:noProof/>
        </w:rPr>
        <w:t>lin</w:t>
      </w:r>
      <w:r w:rsidRPr="00F059DD">
        <w:rPr>
          <w:noProof/>
        </w:rPr>
        <w:t>ie budżetowe po stronie wydatków, na które wniosek/inicjatywa ma wpływ</w:t>
      </w:r>
      <w:bookmarkEnd w:id="124"/>
      <w:bookmarkEnd w:id="125"/>
      <w:bookmarkEnd w:id="126"/>
      <w:bookmarkEnd w:id="127"/>
      <w:bookmarkEnd w:id="128"/>
      <w:r w:rsidRPr="00F059DD">
        <w:rPr>
          <w:noProof/>
        </w:rPr>
        <w:t xml:space="preserve"> </w:t>
      </w:r>
    </w:p>
    <w:p w:rsidR="00096239" w:rsidRPr="00F059DD" w:rsidRDefault="00096239" w:rsidP="00096239">
      <w:pPr>
        <w:spacing w:after="60"/>
        <w:jc w:val="left"/>
        <w:rPr>
          <w:b/>
          <w:bCs/>
          <w:noProof/>
        </w:rPr>
      </w:pPr>
      <w:bookmarkStart w:id="129" w:name="_Hlk192070483"/>
      <w:r w:rsidRPr="00F059DD">
        <w:rPr>
          <w:noProof/>
        </w:rPr>
        <w:t>Dodatkowe zasoby nie są wymagane. Obecny zespół będzie kontynuował zarządzanie inicjatywą.</w:t>
      </w:r>
    </w:p>
    <w:bookmarkEnd w:id="129"/>
    <w:p w:rsidR="00096239" w:rsidRPr="00F059DD" w:rsidRDefault="00096239" w:rsidP="00096239">
      <w:pPr>
        <w:pStyle w:val="ListBullet1"/>
        <w:rPr>
          <w:noProof/>
        </w:rPr>
      </w:pPr>
      <w:r w:rsidRPr="00F059DD">
        <w:rPr>
          <w:noProof/>
        </w:rPr>
        <w:t xml:space="preserve">Istniejące linie budżetowe </w:t>
      </w:r>
    </w:p>
    <w:p w:rsidR="00096239" w:rsidRPr="00F059DD" w:rsidRDefault="00096239" w:rsidP="00096239">
      <w:pPr>
        <w:pStyle w:val="Text1"/>
        <w:rPr>
          <w:i/>
          <w:noProof/>
        </w:rPr>
      </w:pPr>
      <w:r w:rsidRPr="00F059DD">
        <w:rPr>
          <w:i/>
          <w:noProof/>
          <w:u w:val="single"/>
        </w:rPr>
        <w:t>Według</w:t>
      </w:r>
      <w:r w:rsidRPr="00F059DD">
        <w:rPr>
          <w:i/>
          <w:noProof/>
        </w:rPr>
        <w:t xml:space="preserve"> działów wieloletnich ram finansowych</w:t>
      </w:r>
      <w:r w:rsidR="00660A3E" w:rsidRPr="00F059DD">
        <w:rPr>
          <w:i/>
          <w:noProof/>
        </w:rPr>
        <w:t xml:space="preserve"> i</w:t>
      </w:r>
      <w:r w:rsidR="00660A3E">
        <w:rPr>
          <w:i/>
          <w:noProof/>
        </w:rPr>
        <w:t> </w:t>
      </w:r>
      <w:r w:rsidR="00660A3E" w:rsidRPr="00F059DD">
        <w:rPr>
          <w:i/>
          <w:noProof/>
        </w:rPr>
        <w:t>lin</w:t>
      </w:r>
      <w:r w:rsidRPr="00F059DD">
        <w:rPr>
          <w:i/>
          <w:noProof/>
        </w:rPr>
        <w:t>ii budżetowych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4002"/>
        <w:gridCol w:w="1092"/>
        <w:gridCol w:w="966"/>
        <w:gridCol w:w="1092"/>
        <w:gridCol w:w="966"/>
        <w:gridCol w:w="1463"/>
      </w:tblGrid>
      <w:tr w:rsidR="00096239" w:rsidRPr="00F059DD" w:rsidTr="00624AF6">
        <w:trPr>
          <w:jc w:val="center"/>
        </w:trPr>
        <w:tc>
          <w:tcPr>
            <w:tcW w:w="1092" w:type="dxa"/>
            <w:vMerge w:val="restar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</w:rPr>
            </w:pPr>
            <w:r w:rsidRPr="00F059DD">
              <w:rPr>
                <w:noProof/>
                <w:sz w:val="18"/>
              </w:rPr>
              <w:t>Dział wieloletnich ram finansowych</w:t>
            </w:r>
          </w:p>
        </w:tc>
        <w:tc>
          <w:tcPr>
            <w:tcW w:w="4002" w:type="dxa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</w:rPr>
            </w:pPr>
            <w:r w:rsidRPr="00F059DD">
              <w:rPr>
                <w:noProof/>
                <w:sz w:val="20"/>
              </w:rPr>
              <w:t>Linia budżetowa</w:t>
            </w:r>
          </w:p>
        </w:tc>
        <w:tc>
          <w:tcPr>
            <w:tcW w:w="1092" w:type="dxa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</w:rPr>
            </w:pPr>
            <w:r w:rsidRPr="00F059DD">
              <w:rPr>
                <w:noProof/>
                <w:sz w:val="18"/>
              </w:rPr>
              <w:t>Rodzaj środków</w:t>
            </w:r>
          </w:p>
        </w:tc>
        <w:tc>
          <w:tcPr>
            <w:tcW w:w="4487" w:type="dxa"/>
            <w:gridSpan w:val="4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</w:rPr>
            </w:pPr>
            <w:r w:rsidRPr="00F059DD">
              <w:rPr>
                <w:noProof/>
                <w:sz w:val="20"/>
              </w:rPr>
              <w:t xml:space="preserve">Wkład </w:t>
            </w:r>
          </w:p>
        </w:tc>
      </w:tr>
      <w:tr w:rsidR="00096239" w:rsidRPr="00F059DD" w:rsidTr="00624AF6">
        <w:trPr>
          <w:cantSplit/>
          <w:jc w:val="center"/>
        </w:trPr>
        <w:tc>
          <w:tcPr>
            <w:tcW w:w="1092" w:type="dxa"/>
            <w:vMerge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</w:p>
        </w:tc>
        <w:tc>
          <w:tcPr>
            <w:tcW w:w="4002" w:type="dxa"/>
            <w:vAlign w:val="center"/>
          </w:tcPr>
          <w:p w:rsidR="00096239" w:rsidRPr="00F059DD" w:rsidRDefault="00096239" w:rsidP="00624AF6">
            <w:pPr>
              <w:rPr>
                <w:noProof/>
              </w:rPr>
            </w:pPr>
            <w:r w:rsidRPr="00F059DD">
              <w:rPr>
                <w:noProof/>
                <w:sz w:val="20"/>
              </w:rPr>
              <w:t>Nume</w:t>
            </w:r>
            <w:r w:rsidRPr="00660A3E">
              <w:rPr>
                <w:noProof/>
                <w:sz w:val="20"/>
              </w:rPr>
              <w:t>r</w:t>
            </w:r>
            <w:r w:rsidR="00660A3E" w:rsidRPr="00660A3E">
              <w:rPr>
                <w:noProof/>
                <w:sz w:val="20"/>
              </w:rPr>
              <w:t xml:space="preserve"> </w:t>
            </w:r>
            <w:r w:rsidRPr="00660A3E">
              <w:rPr>
                <w:noProof/>
              </w:rPr>
              <w:br/>
            </w:r>
          </w:p>
        </w:tc>
        <w:tc>
          <w:tcPr>
            <w:tcW w:w="1092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  <w:r w:rsidRPr="00F059DD">
              <w:rPr>
                <w:noProof/>
                <w:sz w:val="18"/>
              </w:rPr>
              <w:t>Zróżn. / niezróżn.</w:t>
            </w:r>
            <w:r w:rsidRPr="00F059DD">
              <w:rPr>
                <w:rStyle w:val="FootnoteReference"/>
                <w:noProof/>
                <w:sz w:val="18"/>
              </w:rPr>
              <w:footnoteReference w:id="11"/>
            </w:r>
          </w:p>
        </w:tc>
        <w:tc>
          <w:tcPr>
            <w:tcW w:w="966" w:type="dxa"/>
            <w:vAlign w:val="center"/>
          </w:tcPr>
          <w:p w:rsidR="00096239" w:rsidRPr="00F059DD" w:rsidRDefault="00096239" w:rsidP="00624AF6">
            <w:pPr>
              <w:jc w:val="center"/>
              <w:rPr>
                <w:b/>
                <w:noProof/>
                <w:sz w:val="18"/>
              </w:rPr>
            </w:pPr>
            <w:r w:rsidRPr="00F059DD">
              <w:rPr>
                <w:noProof/>
                <w:sz w:val="18"/>
              </w:rPr>
              <w:t>państw EFTA</w:t>
            </w:r>
            <w:r w:rsidRPr="00F059DD">
              <w:rPr>
                <w:rStyle w:val="FootnoteReference"/>
                <w:noProof/>
                <w:sz w:val="18"/>
              </w:rPr>
              <w:footnoteReference w:id="12"/>
            </w:r>
          </w:p>
        </w:tc>
        <w:tc>
          <w:tcPr>
            <w:tcW w:w="1092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</w:rPr>
            </w:pPr>
            <w:r w:rsidRPr="00F059DD">
              <w:rPr>
                <w:noProof/>
                <w:sz w:val="18"/>
              </w:rPr>
              <w:t>krajów kandydujących</w:t>
            </w:r>
            <w:r w:rsidR="00660A3E" w:rsidRPr="00F059DD">
              <w:rPr>
                <w:noProof/>
                <w:sz w:val="18"/>
              </w:rPr>
              <w:t xml:space="preserve"> i</w:t>
            </w:r>
            <w:r w:rsidR="00660A3E">
              <w:rPr>
                <w:noProof/>
                <w:sz w:val="18"/>
              </w:rPr>
              <w:t> </w:t>
            </w:r>
            <w:r w:rsidR="00660A3E" w:rsidRPr="00F059DD">
              <w:rPr>
                <w:noProof/>
                <w:sz w:val="18"/>
              </w:rPr>
              <w:t>pot</w:t>
            </w:r>
            <w:r w:rsidRPr="00F059DD">
              <w:rPr>
                <w:noProof/>
                <w:sz w:val="18"/>
              </w:rPr>
              <w:t>encjalnych kandydatów</w:t>
            </w:r>
            <w:r w:rsidRPr="00F059DD">
              <w:rPr>
                <w:rStyle w:val="FootnoteReference"/>
                <w:noProof/>
                <w:sz w:val="18"/>
              </w:rPr>
              <w:footnoteReference w:id="13"/>
            </w:r>
          </w:p>
        </w:tc>
        <w:tc>
          <w:tcPr>
            <w:tcW w:w="96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</w:rPr>
            </w:pPr>
            <w:r w:rsidRPr="00F059DD">
              <w:rPr>
                <w:noProof/>
                <w:sz w:val="18"/>
              </w:rPr>
              <w:t>innych państw trzecich</w:t>
            </w:r>
          </w:p>
        </w:tc>
        <w:tc>
          <w:tcPr>
            <w:tcW w:w="1463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  <w:r w:rsidRPr="00F059DD">
              <w:rPr>
                <w:noProof/>
                <w:sz w:val="18"/>
              </w:rPr>
              <w:t>pochodzący</w:t>
            </w:r>
            <w:r w:rsidR="00660A3E" w:rsidRPr="00F059DD">
              <w:rPr>
                <w:noProof/>
                <w:sz w:val="18"/>
              </w:rPr>
              <w:t xml:space="preserve"> z</w:t>
            </w:r>
            <w:r w:rsidR="00660A3E">
              <w:rPr>
                <w:noProof/>
                <w:sz w:val="18"/>
              </w:rPr>
              <w:t> </w:t>
            </w:r>
            <w:r w:rsidR="00660A3E" w:rsidRPr="00F059DD">
              <w:rPr>
                <w:noProof/>
                <w:sz w:val="18"/>
              </w:rPr>
              <w:t>poz</w:t>
            </w:r>
            <w:r w:rsidRPr="00F059DD">
              <w:rPr>
                <w:noProof/>
                <w:sz w:val="18"/>
              </w:rPr>
              <w:t>ostałych dochodów przeznaczonych na określony cel</w:t>
            </w:r>
          </w:p>
        </w:tc>
      </w:tr>
      <w:tr w:rsidR="00096239" w:rsidRPr="00F059DD" w:rsidTr="00624AF6">
        <w:trPr>
          <w:jc w:val="center"/>
        </w:trPr>
        <w:tc>
          <w:tcPr>
            <w:tcW w:w="1092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</w:p>
        </w:tc>
        <w:tc>
          <w:tcPr>
            <w:tcW w:w="4002" w:type="dxa"/>
            <w:vAlign w:val="center"/>
          </w:tcPr>
          <w:p w:rsidR="00096239" w:rsidRPr="00F059DD" w:rsidRDefault="00096239" w:rsidP="00624AF6">
            <w:pPr>
              <w:spacing w:before="60"/>
              <w:rPr>
                <w:noProof/>
              </w:rPr>
            </w:pPr>
            <w:r w:rsidRPr="00F059DD">
              <w:rPr>
                <w:noProof/>
                <w:sz w:val="22"/>
              </w:rPr>
              <w:t>[XX.YY.YY.YY]</w:t>
            </w:r>
          </w:p>
          <w:p w:rsidR="00096239" w:rsidRPr="00F059DD" w:rsidRDefault="00096239" w:rsidP="00624AF6">
            <w:pPr>
              <w:spacing w:after="60"/>
              <w:rPr>
                <w:noProof/>
              </w:rPr>
            </w:pPr>
          </w:p>
        </w:tc>
        <w:tc>
          <w:tcPr>
            <w:tcW w:w="1092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  <w:r w:rsidRPr="00F059DD">
              <w:rPr>
                <w:noProof/>
                <w:sz w:val="22"/>
              </w:rPr>
              <w:t>Zróżn. / niezróżn.</w:t>
            </w:r>
          </w:p>
        </w:tc>
        <w:tc>
          <w:tcPr>
            <w:tcW w:w="96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1092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96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1463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</w:tr>
      <w:tr w:rsidR="00096239" w:rsidRPr="00F059DD" w:rsidTr="00624AF6">
        <w:trPr>
          <w:jc w:val="center"/>
        </w:trPr>
        <w:tc>
          <w:tcPr>
            <w:tcW w:w="1092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</w:p>
        </w:tc>
        <w:tc>
          <w:tcPr>
            <w:tcW w:w="4002" w:type="dxa"/>
            <w:vAlign w:val="center"/>
          </w:tcPr>
          <w:p w:rsidR="00096239" w:rsidRPr="00F059DD" w:rsidRDefault="00096239" w:rsidP="00624AF6">
            <w:pPr>
              <w:spacing w:before="60"/>
              <w:rPr>
                <w:noProof/>
              </w:rPr>
            </w:pPr>
            <w:r w:rsidRPr="00F059DD">
              <w:rPr>
                <w:noProof/>
                <w:sz w:val="22"/>
              </w:rPr>
              <w:t>[XX.YY.YY.YY]</w:t>
            </w:r>
          </w:p>
          <w:p w:rsidR="00096239" w:rsidRPr="00F059DD" w:rsidRDefault="00096239" w:rsidP="00624AF6">
            <w:pPr>
              <w:spacing w:after="60"/>
              <w:rPr>
                <w:noProof/>
              </w:rPr>
            </w:pPr>
          </w:p>
        </w:tc>
        <w:tc>
          <w:tcPr>
            <w:tcW w:w="1092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  <w:r w:rsidRPr="00F059DD">
              <w:rPr>
                <w:noProof/>
                <w:sz w:val="22"/>
              </w:rPr>
              <w:t>Zróżn. / niezróżn.</w:t>
            </w:r>
          </w:p>
        </w:tc>
        <w:tc>
          <w:tcPr>
            <w:tcW w:w="96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1092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96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1463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</w:tr>
      <w:tr w:rsidR="00096239" w:rsidRPr="00F059DD" w:rsidTr="00624AF6">
        <w:trPr>
          <w:jc w:val="center"/>
        </w:trPr>
        <w:tc>
          <w:tcPr>
            <w:tcW w:w="1092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</w:p>
        </w:tc>
        <w:tc>
          <w:tcPr>
            <w:tcW w:w="4002" w:type="dxa"/>
            <w:vAlign w:val="center"/>
          </w:tcPr>
          <w:p w:rsidR="00096239" w:rsidRPr="00F059DD" w:rsidRDefault="00096239" w:rsidP="00624AF6">
            <w:pPr>
              <w:spacing w:before="60"/>
              <w:rPr>
                <w:noProof/>
              </w:rPr>
            </w:pPr>
            <w:r w:rsidRPr="00F059DD">
              <w:rPr>
                <w:noProof/>
                <w:sz w:val="22"/>
              </w:rPr>
              <w:t>[XX.YY.YY.YY]</w:t>
            </w:r>
          </w:p>
          <w:p w:rsidR="00096239" w:rsidRPr="00F059DD" w:rsidRDefault="00096239" w:rsidP="00624AF6">
            <w:pPr>
              <w:spacing w:after="60"/>
              <w:rPr>
                <w:noProof/>
              </w:rPr>
            </w:pPr>
          </w:p>
        </w:tc>
        <w:tc>
          <w:tcPr>
            <w:tcW w:w="1092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  <w:r w:rsidRPr="00F059DD">
              <w:rPr>
                <w:noProof/>
                <w:sz w:val="22"/>
              </w:rPr>
              <w:t>Zróżn. / niezróżn.</w:t>
            </w:r>
          </w:p>
        </w:tc>
        <w:tc>
          <w:tcPr>
            <w:tcW w:w="96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1092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96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1463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</w:tr>
    </w:tbl>
    <w:p w:rsidR="00096239" w:rsidRPr="00F059DD" w:rsidRDefault="00096239" w:rsidP="00096239">
      <w:pPr>
        <w:pStyle w:val="ListBullet1"/>
        <w:rPr>
          <w:noProof/>
        </w:rPr>
      </w:pPr>
      <w:r w:rsidRPr="00F059DD">
        <w:rPr>
          <w:noProof/>
        </w:rPr>
        <w:t xml:space="preserve">Proponowane nowe linie budżetowe </w:t>
      </w:r>
    </w:p>
    <w:p w:rsidR="00096239" w:rsidRPr="00F059DD" w:rsidRDefault="00096239" w:rsidP="00096239">
      <w:pPr>
        <w:pStyle w:val="Text1"/>
        <w:rPr>
          <w:i/>
          <w:noProof/>
          <w:sz w:val="20"/>
        </w:rPr>
      </w:pPr>
      <w:r w:rsidRPr="00F059DD">
        <w:rPr>
          <w:i/>
          <w:noProof/>
          <w:u w:val="single"/>
        </w:rPr>
        <w:t>Według</w:t>
      </w:r>
      <w:r w:rsidRPr="00F059DD">
        <w:rPr>
          <w:i/>
          <w:noProof/>
        </w:rPr>
        <w:t xml:space="preserve"> działów wieloletnich ram finansowych</w:t>
      </w:r>
      <w:r w:rsidR="00660A3E" w:rsidRPr="00F059DD">
        <w:rPr>
          <w:i/>
          <w:noProof/>
        </w:rPr>
        <w:t xml:space="preserve"> i</w:t>
      </w:r>
      <w:r w:rsidR="00660A3E">
        <w:rPr>
          <w:i/>
          <w:noProof/>
        </w:rPr>
        <w:t> </w:t>
      </w:r>
      <w:r w:rsidR="00660A3E" w:rsidRPr="00F059DD">
        <w:rPr>
          <w:i/>
          <w:noProof/>
        </w:rPr>
        <w:t>lin</w:t>
      </w:r>
      <w:r w:rsidRPr="00F059DD">
        <w:rPr>
          <w:i/>
          <w:noProof/>
        </w:rPr>
        <w:t>ii budżetowych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4002"/>
        <w:gridCol w:w="1092"/>
        <w:gridCol w:w="966"/>
        <w:gridCol w:w="1092"/>
        <w:gridCol w:w="966"/>
        <w:gridCol w:w="1463"/>
      </w:tblGrid>
      <w:tr w:rsidR="00096239" w:rsidRPr="00F059DD" w:rsidTr="00624AF6">
        <w:trPr>
          <w:jc w:val="center"/>
        </w:trPr>
        <w:tc>
          <w:tcPr>
            <w:tcW w:w="1080" w:type="dxa"/>
            <w:vMerge w:val="restar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Dział wieloletnich ram finansowych</w:t>
            </w:r>
          </w:p>
        </w:tc>
        <w:tc>
          <w:tcPr>
            <w:tcW w:w="3960" w:type="dxa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</w:rPr>
            </w:pPr>
            <w:r w:rsidRPr="00F059DD">
              <w:rPr>
                <w:noProof/>
                <w:sz w:val="20"/>
              </w:rPr>
              <w:t>Linia budżetowa</w:t>
            </w:r>
          </w:p>
        </w:tc>
        <w:tc>
          <w:tcPr>
            <w:tcW w:w="1080" w:type="dxa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</w:rPr>
            </w:pPr>
            <w:r w:rsidRPr="00F059DD">
              <w:rPr>
                <w:noProof/>
                <w:sz w:val="18"/>
              </w:rPr>
              <w:t>Rodzaj środków</w:t>
            </w:r>
          </w:p>
        </w:tc>
        <w:tc>
          <w:tcPr>
            <w:tcW w:w="4440" w:type="dxa"/>
            <w:gridSpan w:val="4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</w:rPr>
            </w:pPr>
            <w:r w:rsidRPr="00F059DD">
              <w:rPr>
                <w:noProof/>
                <w:sz w:val="20"/>
              </w:rPr>
              <w:t xml:space="preserve">Wkład </w:t>
            </w:r>
          </w:p>
        </w:tc>
      </w:tr>
      <w:tr w:rsidR="00096239" w:rsidRPr="00F059DD" w:rsidTr="00624AF6">
        <w:trPr>
          <w:cantSplit/>
          <w:jc w:val="center"/>
        </w:trPr>
        <w:tc>
          <w:tcPr>
            <w:tcW w:w="1080" w:type="dxa"/>
            <w:vMerge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</w:p>
        </w:tc>
        <w:tc>
          <w:tcPr>
            <w:tcW w:w="3960" w:type="dxa"/>
            <w:vAlign w:val="center"/>
          </w:tcPr>
          <w:p w:rsidR="00096239" w:rsidRPr="00F059DD" w:rsidRDefault="00096239" w:rsidP="00624AF6">
            <w:pPr>
              <w:rPr>
                <w:noProof/>
              </w:rPr>
            </w:pPr>
            <w:r w:rsidRPr="00F059DD">
              <w:rPr>
                <w:noProof/>
                <w:sz w:val="20"/>
              </w:rPr>
              <w:t>Nume</w:t>
            </w:r>
            <w:r w:rsidRPr="00660A3E">
              <w:rPr>
                <w:noProof/>
                <w:sz w:val="20"/>
              </w:rPr>
              <w:t>r</w:t>
            </w:r>
            <w:r w:rsidR="00660A3E" w:rsidRPr="00660A3E">
              <w:rPr>
                <w:noProof/>
                <w:sz w:val="20"/>
              </w:rPr>
              <w:t xml:space="preserve"> </w:t>
            </w:r>
            <w:r w:rsidRPr="00660A3E">
              <w:rPr>
                <w:noProof/>
              </w:rPr>
              <w:br/>
            </w:r>
          </w:p>
        </w:tc>
        <w:tc>
          <w:tcPr>
            <w:tcW w:w="1080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  <w:r w:rsidRPr="00F059DD">
              <w:rPr>
                <w:noProof/>
                <w:sz w:val="18"/>
              </w:rPr>
              <w:t>Zróżn. / niezróżn.</w:t>
            </w:r>
          </w:p>
        </w:tc>
        <w:tc>
          <w:tcPr>
            <w:tcW w:w="95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</w:rPr>
            </w:pPr>
            <w:r w:rsidRPr="00F059DD">
              <w:rPr>
                <w:noProof/>
                <w:sz w:val="18"/>
              </w:rPr>
              <w:t>państw EFTA</w:t>
            </w:r>
          </w:p>
        </w:tc>
        <w:tc>
          <w:tcPr>
            <w:tcW w:w="1080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</w:rPr>
            </w:pPr>
            <w:r w:rsidRPr="00F059DD">
              <w:rPr>
                <w:noProof/>
                <w:sz w:val="18"/>
              </w:rPr>
              <w:t>krajów kandydujących</w:t>
            </w:r>
            <w:r w:rsidR="00660A3E" w:rsidRPr="00F059DD">
              <w:rPr>
                <w:noProof/>
                <w:sz w:val="18"/>
              </w:rPr>
              <w:t xml:space="preserve"> i</w:t>
            </w:r>
            <w:r w:rsidR="00660A3E">
              <w:rPr>
                <w:noProof/>
                <w:sz w:val="18"/>
              </w:rPr>
              <w:t> </w:t>
            </w:r>
            <w:r w:rsidR="00660A3E" w:rsidRPr="00F059DD">
              <w:rPr>
                <w:noProof/>
                <w:sz w:val="18"/>
              </w:rPr>
              <w:t>pot</w:t>
            </w:r>
            <w:r w:rsidRPr="00F059DD">
              <w:rPr>
                <w:noProof/>
                <w:sz w:val="18"/>
              </w:rPr>
              <w:t>encjalnych kandydatów</w:t>
            </w:r>
          </w:p>
        </w:tc>
        <w:tc>
          <w:tcPr>
            <w:tcW w:w="95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</w:rPr>
            </w:pPr>
            <w:r w:rsidRPr="00F059DD">
              <w:rPr>
                <w:noProof/>
                <w:sz w:val="18"/>
              </w:rPr>
              <w:t>innych państw trzecich</w:t>
            </w:r>
          </w:p>
        </w:tc>
        <w:tc>
          <w:tcPr>
            <w:tcW w:w="1448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  <w:r w:rsidRPr="00F059DD">
              <w:rPr>
                <w:noProof/>
                <w:sz w:val="18"/>
              </w:rPr>
              <w:t>pochodzący</w:t>
            </w:r>
            <w:r w:rsidR="00660A3E" w:rsidRPr="00F059DD">
              <w:rPr>
                <w:noProof/>
                <w:sz w:val="18"/>
              </w:rPr>
              <w:t xml:space="preserve"> z</w:t>
            </w:r>
            <w:r w:rsidR="00660A3E">
              <w:rPr>
                <w:noProof/>
                <w:sz w:val="18"/>
              </w:rPr>
              <w:t> </w:t>
            </w:r>
            <w:r w:rsidR="00660A3E" w:rsidRPr="00F059DD">
              <w:rPr>
                <w:noProof/>
                <w:sz w:val="18"/>
              </w:rPr>
              <w:t>poz</w:t>
            </w:r>
            <w:r w:rsidRPr="00F059DD">
              <w:rPr>
                <w:noProof/>
                <w:sz w:val="18"/>
              </w:rPr>
              <w:t xml:space="preserve">ostałych dochodów przeznaczonych na określony cel </w:t>
            </w:r>
          </w:p>
        </w:tc>
      </w:tr>
      <w:tr w:rsidR="00096239" w:rsidRPr="00F059DD" w:rsidTr="00624AF6">
        <w:trPr>
          <w:cantSplit/>
          <w:jc w:val="center"/>
        </w:trPr>
        <w:tc>
          <w:tcPr>
            <w:tcW w:w="1080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</w:p>
        </w:tc>
        <w:tc>
          <w:tcPr>
            <w:tcW w:w="3960" w:type="dxa"/>
            <w:vAlign w:val="center"/>
          </w:tcPr>
          <w:p w:rsidR="00096239" w:rsidRPr="00F059DD" w:rsidRDefault="00096239" w:rsidP="00624AF6">
            <w:pPr>
              <w:spacing w:before="60"/>
              <w:rPr>
                <w:noProof/>
              </w:rPr>
            </w:pPr>
            <w:r w:rsidRPr="00F059DD">
              <w:rPr>
                <w:noProof/>
                <w:sz w:val="22"/>
              </w:rPr>
              <w:t>[XX.YY.YY.YY]</w:t>
            </w:r>
          </w:p>
          <w:p w:rsidR="00096239" w:rsidRPr="00F059DD" w:rsidRDefault="00096239" w:rsidP="00624AF6">
            <w:pPr>
              <w:spacing w:after="60"/>
              <w:rPr>
                <w:noProof/>
              </w:rPr>
            </w:pPr>
          </w:p>
        </w:tc>
        <w:tc>
          <w:tcPr>
            <w:tcW w:w="1080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  <w:r w:rsidRPr="00F059DD">
              <w:rPr>
                <w:noProof/>
                <w:sz w:val="22"/>
              </w:rPr>
              <w:t>Zróżn. / niezróżn.</w:t>
            </w:r>
          </w:p>
        </w:tc>
        <w:tc>
          <w:tcPr>
            <w:tcW w:w="95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1080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95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1448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</w:tr>
      <w:tr w:rsidR="00096239" w:rsidRPr="00F059DD" w:rsidTr="00624AF6">
        <w:trPr>
          <w:cantSplit/>
          <w:jc w:val="center"/>
        </w:trPr>
        <w:tc>
          <w:tcPr>
            <w:tcW w:w="1080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</w:p>
        </w:tc>
        <w:tc>
          <w:tcPr>
            <w:tcW w:w="3960" w:type="dxa"/>
            <w:vAlign w:val="center"/>
          </w:tcPr>
          <w:p w:rsidR="00096239" w:rsidRPr="00F059DD" w:rsidRDefault="00096239" w:rsidP="00624AF6">
            <w:pPr>
              <w:spacing w:before="60"/>
              <w:rPr>
                <w:noProof/>
              </w:rPr>
            </w:pPr>
            <w:r w:rsidRPr="00F059DD">
              <w:rPr>
                <w:noProof/>
                <w:sz w:val="22"/>
              </w:rPr>
              <w:t>[XX.YY.YY.YY]</w:t>
            </w:r>
          </w:p>
          <w:p w:rsidR="00096239" w:rsidRPr="00F059DD" w:rsidRDefault="00096239" w:rsidP="00624AF6">
            <w:pPr>
              <w:spacing w:after="60"/>
              <w:rPr>
                <w:noProof/>
              </w:rPr>
            </w:pPr>
          </w:p>
        </w:tc>
        <w:tc>
          <w:tcPr>
            <w:tcW w:w="1080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  <w:r w:rsidRPr="00F059DD">
              <w:rPr>
                <w:noProof/>
                <w:sz w:val="22"/>
              </w:rPr>
              <w:t>Zróżn. / niezróżn.</w:t>
            </w:r>
          </w:p>
        </w:tc>
        <w:tc>
          <w:tcPr>
            <w:tcW w:w="95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1080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95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1448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</w:tr>
      <w:tr w:rsidR="00096239" w:rsidRPr="00F059DD" w:rsidTr="00624AF6">
        <w:trPr>
          <w:jc w:val="center"/>
        </w:trPr>
        <w:tc>
          <w:tcPr>
            <w:tcW w:w="1080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</w:p>
        </w:tc>
        <w:tc>
          <w:tcPr>
            <w:tcW w:w="3960" w:type="dxa"/>
            <w:vAlign w:val="center"/>
          </w:tcPr>
          <w:p w:rsidR="00096239" w:rsidRPr="00F059DD" w:rsidRDefault="00096239" w:rsidP="00624AF6">
            <w:pPr>
              <w:spacing w:before="60"/>
              <w:rPr>
                <w:noProof/>
              </w:rPr>
            </w:pPr>
            <w:r w:rsidRPr="00F059DD">
              <w:rPr>
                <w:noProof/>
                <w:sz w:val="22"/>
              </w:rPr>
              <w:t>[XX.YY.YY.YY]</w:t>
            </w:r>
          </w:p>
          <w:p w:rsidR="00096239" w:rsidRPr="00F059DD" w:rsidRDefault="00096239" w:rsidP="00624AF6">
            <w:pPr>
              <w:spacing w:after="60"/>
              <w:rPr>
                <w:noProof/>
              </w:rPr>
            </w:pPr>
          </w:p>
        </w:tc>
        <w:tc>
          <w:tcPr>
            <w:tcW w:w="1080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</w:rPr>
            </w:pPr>
            <w:r w:rsidRPr="00F059DD">
              <w:rPr>
                <w:noProof/>
                <w:sz w:val="22"/>
              </w:rPr>
              <w:t>Zróżn. / niezróżn.</w:t>
            </w:r>
          </w:p>
        </w:tc>
        <w:tc>
          <w:tcPr>
            <w:tcW w:w="95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1080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956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  <w:tc>
          <w:tcPr>
            <w:tcW w:w="1448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TAK/NIE</w:t>
            </w:r>
          </w:p>
        </w:tc>
      </w:tr>
    </w:tbl>
    <w:p w:rsidR="00096239" w:rsidRPr="00F059DD" w:rsidRDefault="00096239" w:rsidP="00096239">
      <w:pPr>
        <w:rPr>
          <w:noProof/>
        </w:rPr>
        <w:sectPr w:rsidR="00096239" w:rsidRPr="00F059DD" w:rsidSect="00086F5F">
          <w:pgSz w:w="11907" w:h="16840" w:code="1"/>
          <w:pgMar w:top="1134" w:right="1418" w:bottom="1134" w:left="1418" w:header="709" w:footer="709" w:gutter="0"/>
          <w:cols w:space="708"/>
          <w:docGrid w:linePitch="360"/>
        </w:sectPr>
      </w:pPr>
    </w:p>
    <w:p w:rsidR="00096239" w:rsidRPr="00F059DD" w:rsidRDefault="00096239" w:rsidP="00096239">
      <w:pPr>
        <w:pStyle w:val="ManualHeading2"/>
        <w:rPr>
          <w:bCs/>
          <w:noProof/>
          <w:szCs w:val="24"/>
        </w:rPr>
      </w:pPr>
      <w:bookmarkStart w:id="130" w:name="_Toc514938052"/>
      <w:bookmarkStart w:id="131" w:name="_Toc520485051"/>
      <w:bookmarkStart w:id="132" w:name="_Toc160804593"/>
      <w:bookmarkStart w:id="133" w:name="_Toc167220285"/>
      <w:bookmarkStart w:id="134" w:name="_Toc177549018"/>
      <w:r w:rsidRPr="00F059DD">
        <w:rPr>
          <w:noProof/>
        </w:rPr>
        <w:t>3.2.</w:t>
      </w:r>
      <w:r w:rsidRPr="00F059DD">
        <w:rPr>
          <w:noProof/>
        </w:rPr>
        <w:tab/>
        <w:t>Szacunkowy wpływ finansowy wniosku na środki</w:t>
      </w:r>
      <w:bookmarkEnd w:id="130"/>
      <w:bookmarkEnd w:id="131"/>
      <w:bookmarkEnd w:id="132"/>
      <w:bookmarkEnd w:id="133"/>
      <w:bookmarkEnd w:id="134"/>
      <w:r w:rsidRPr="00F059DD">
        <w:rPr>
          <w:noProof/>
        </w:rPr>
        <w:t xml:space="preserve"> </w:t>
      </w:r>
    </w:p>
    <w:p w:rsidR="00096239" w:rsidRPr="00F059DD" w:rsidRDefault="00096239" w:rsidP="00096239">
      <w:pPr>
        <w:pStyle w:val="ManualHeading3"/>
        <w:rPr>
          <w:noProof/>
        </w:rPr>
      </w:pPr>
      <w:bookmarkStart w:id="135" w:name="_Toc514938053"/>
      <w:bookmarkStart w:id="136" w:name="_Toc520485052"/>
      <w:bookmarkStart w:id="137" w:name="_Toc160804594"/>
      <w:bookmarkStart w:id="138" w:name="_Toc167220286"/>
      <w:bookmarkStart w:id="139" w:name="_Toc177549019"/>
      <w:r w:rsidRPr="00F059DD">
        <w:rPr>
          <w:noProof/>
        </w:rPr>
        <w:t>3.2.1.</w:t>
      </w:r>
      <w:r w:rsidRPr="00F059DD">
        <w:rPr>
          <w:noProof/>
        </w:rPr>
        <w:tab/>
        <w:t>Podsumowanie szacunkowego wpływu na środki operacyjne</w:t>
      </w:r>
      <w:bookmarkEnd w:id="135"/>
      <w:bookmarkEnd w:id="136"/>
      <w:bookmarkEnd w:id="137"/>
      <w:bookmarkEnd w:id="138"/>
      <w:bookmarkEnd w:id="139"/>
      <w:r w:rsidRPr="00F059DD">
        <w:rPr>
          <w:noProof/>
        </w:rPr>
        <w:t xml:space="preserve"> 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rFonts w:ascii="Wingdings" w:hAnsi="Wingdings"/>
          <w:noProof/>
        </w:rPr>
        <w:t></w:t>
      </w:r>
      <w:r w:rsidRPr="00F059DD">
        <w:rPr>
          <w:noProof/>
        </w:rPr>
        <w:tab/>
        <w:t>Wniosek/inicjatywa nie wiąże się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kon</w:t>
      </w:r>
      <w:r w:rsidRPr="00F059DD">
        <w:rPr>
          <w:noProof/>
        </w:rPr>
        <w:t xml:space="preserve">iecznością wykorzystania środków operacyjnych 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ab/>
        <w:t>Wniosek/inicjatywa wiąże się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kon</w:t>
      </w:r>
      <w:r w:rsidRPr="00F059DD">
        <w:rPr>
          <w:noProof/>
        </w:rPr>
        <w:t>iecznością wykorzystania środków operacyjnych, jak określono poniżej</w:t>
      </w:r>
    </w:p>
    <w:p w:rsidR="00096239" w:rsidRPr="00F059DD" w:rsidRDefault="00096239" w:rsidP="00096239">
      <w:pPr>
        <w:pStyle w:val="ManualHeading3"/>
        <w:rPr>
          <w:noProof/>
        </w:rPr>
      </w:pPr>
      <w:bookmarkStart w:id="140" w:name="_Toc160804595"/>
      <w:bookmarkStart w:id="141" w:name="_Toc167220287"/>
      <w:bookmarkStart w:id="142" w:name="_Toc177549020"/>
      <w:r w:rsidRPr="00F059DD">
        <w:rPr>
          <w:noProof/>
        </w:rPr>
        <w:t>3.2.1.1.</w:t>
      </w:r>
      <w:r w:rsidRPr="00F059DD">
        <w:rPr>
          <w:noProof/>
        </w:rPr>
        <w:tab/>
        <w:t>Środki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uch</w:t>
      </w:r>
      <w:r w:rsidRPr="00F059DD">
        <w:rPr>
          <w:noProof/>
        </w:rPr>
        <w:t>walonego budżetu</w:t>
      </w:r>
      <w:bookmarkEnd w:id="140"/>
      <w:bookmarkEnd w:id="141"/>
      <w:bookmarkEnd w:id="142"/>
    </w:p>
    <w:p w:rsidR="00096239" w:rsidRPr="00F059DD" w:rsidRDefault="00096239" w:rsidP="00096239">
      <w:pPr>
        <w:jc w:val="right"/>
        <w:rPr>
          <w:noProof/>
          <w:sz w:val="18"/>
          <w:szCs w:val="18"/>
        </w:rPr>
      </w:pPr>
      <w:r w:rsidRPr="00F059DD">
        <w:rPr>
          <w:noProof/>
          <w:sz w:val="18"/>
        </w:rPr>
        <w:t>w mln EUR (do trzech miejsc po przecinku)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1126"/>
        <w:gridCol w:w="8148"/>
      </w:tblGrid>
      <w:tr w:rsidR="00096239" w:rsidRPr="00F059DD" w:rsidTr="00624AF6">
        <w:tc>
          <w:tcPr>
            <w:tcW w:w="1739" w:type="pct"/>
            <w:shd w:val="thinDiagStripe" w:color="C0C0C0" w:fill="auto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b/>
                <w:noProof/>
              </w:rPr>
            </w:pPr>
            <w:r w:rsidRPr="00F059DD">
              <w:rPr>
                <w:b/>
                <w:noProof/>
                <w:sz w:val="22"/>
              </w:rPr>
              <w:t xml:space="preserve">Dział wieloletnich ram finansowych </w:t>
            </w:r>
          </w:p>
        </w:tc>
        <w:tc>
          <w:tcPr>
            <w:tcW w:w="396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</w:rPr>
            </w:pPr>
            <w:r w:rsidRPr="00F059DD">
              <w:rPr>
                <w:noProof/>
                <w:sz w:val="22"/>
              </w:rPr>
              <w:t>Numer</w:t>
            </w:r>
          </w:p>
        </w:tc>
        <w:tc>
          <w:tcPr>
            <w:tcW w:w="2865" w:type="pct"/>
            <w:vAlign w:val="center"/>
          </w:tcPr>
          <w:p w:rsidR="00096239" w:rsidRPr="00F059DD" w:rsidRDefault="00096239" w:rsidP="00624AF6">
            <w:pPr>
              <w:spacing w:before="60" w:after="60"/>
              <w:rPr>
                <w:noProof/>
              </w:rPr>
            </w:pPr>
          </w:p>
        </w:tc>
      </w:tr>
    </w:tbl>
    <w:p w:rsidR="00096239" w:rsidRPr="00F059DD" w:rsidRDefault="00096239" w:rsidP="00096239">
      <w:pPr>
        <w:rPr>
          <w:noProof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35"/>
        <w:gridCol w:w="1504"/>
        <w:gridCol w:w="1411"/>
        <w:gridCol w:w="1411"/>
        <w:gridCol w:w="1411"/>
        <w:gridCol w:w="1411"/>
        <w:gridCol w:w="1359"/>
        <w:gridCol w:w="1678"/>
      </w:tblGrid>
      <w:tr w:rsidR="00096239" w:rsidRPr="00F059DD" w:rsidTr="005049BA">
        <w:trPr>
          <w:trHeight w:val="420"/>
        </w:trPr>
        <w:tc>
          <w:tcPr>
            <w:tcW w:w="244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Dyrekcja Generalna: &lt;…….&gt;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288"/>
        </w:trPr>
        <w:tc>
          <w:tcPr>
            <w:tcW w:w="2444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  <w:lang w:eastAsia="en-I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1"/>
                <w:szCs w:val="21"/>
              </w:rPr>
            </w:pPr>
            <w:r w:rsidRPr="00F059DD">
              <w:rPr>
                <w:noProof/>
                <w:sz w:val="21"/>
              </w:rPr>
              <w:t xml:space="preserve">Środki operacyjne </w:t>
            </w:r>
          </w:p>
        </w:tc>
      </w:tr>
      <w:tr w:rsidR="00096239" w:rsidRPr="00F059DD" w:rsidTr="005049BA">
        <w:trPr>
          <w:trHeight w:val="288"/>
        </w:trPr>
        <w:tc>
          <w:tcPr>
            <w:tcW w:w="141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Linia budżetowa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(1a)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15"/>
        </w:trPr>
        <w:tc>
          <w:tcPr>
            <w:tcW w:w="14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  <w:lang w:eastAsia="en-IE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(2a)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15"/>
        </w:trPr>
        <w:tc>
          <w:tcPr>
            <w:tcW w:w="141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Linia budżetowa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(1b)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15"/>
        </w:trPr>
        <w:tc>
          <w:tcPr>
            <w:tcW w:w="14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(2b)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288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Środki administracyjne finansowane ze środków przydzielonych na określone programy</w:t>
            </w:r>
            <w:r w:rsidRPr="00F059DD">
              <w:rPr>
                <w:rStyle w:val="FootnoteReference"/>
                <w:noProof/>
                <w:sz w:val="22"/>
                <w:lang w:eastAsia="en-IE"/>
              </w:rPr>
              <w:footnoteReference w:id="14"/>
            </w:r>
          </w:p>
        </w:tc>
      </w:tr>
      <w:tr w:rsidR="00096239" w:rsidRPr="00F059DD" w:rsidTr="005049BA">
        <w:trPr>
          <w:trHeight w:val="288"/>
        </w:trPr>
        <w:tc>
          <w:tcPr>
            <w:tcW w:w="1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Linia budżetowa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 xml:space="preserve"> 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3)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288"/>
        </w:trPr>
        <w:tc>
          <w:tcPr>
            <w:tcW w:w="141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OGÓŁEM środki</w:t>
            </w:r>
          </w:p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bCs/>
                <w:noProof/>
                <w:sz w:val="22"/>
              </w:rPr>
              <w:t>dla Dyrekcji Generalnej</w:t>
            </w:r>
            <w:r w:rsidRPr="00F059DD">
              <w:rPr>
                <w:noProof/>
                <w:sz w:val="22"/>
              </w:rPr>
              <w:t xml:space="preserve"> &lt;….&gt;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=1a+1b+3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288"/>
        </w:trPr>
        <w:tc>
          <w:tcPr>
            <w:tcW w:w="1419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  <w:lang w:eastAsia="en-IE"/>
              </w:rPr>
            </w:pP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=2a+2b+3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</w:tbl>
    <w:p w:rsidR="00096239" w:rsidRPr="00F059DD" w:rsidRDefault="00096239" w:rsidP="00096239">
      <w:pPr>
        <w:rPr>
          <w:noProof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14"/>
        <w:gridCol w:w="1504"/>
        <w:gridCol w:w="1399"/>
        <w:gridCol w:w="1402"/>
        <w:gridCol w:w="1402"/>
        <w:gridCol w:w="1402"/>
        <w:gridCol w:w="1402"/>
        <w:gridCol w:w="1695"/>
      </w:tblGrid>
      <w:tr w:rsidR="00096239" w:rsidRPr="00F059DD" w:rsidTr="005049BA">
        <w:trPr>
          <w:trHeight w:val="300"/>
        </w:trPr>
        <w:tc>
          <w:tcPr>
            <w:tcW w:w="243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300"/>
        </w:trPr>
        <w:tc>
          <w:tcPr>
            <w:tcW w:w="243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2"/>
                <w:lang w:eastAsia="en-I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5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432"/>
        </w:trPr>
        <w:tc>
          <w:tcPr>
            <w:tcW w:w="14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noProof/>
                <w:sz w:val="21"/>
              </w:rPr>
              <w:t>OGÓŁEM środki operacyjn</w:t>
            </w:r>
            <w:r w:rsidRPr="00660A3E">
              <w:rPr>
                <w:noProof/>
                <w:sz w:val="21"/>
              </w:rPr>
              <w:t>e</w:t>
            </w:r>
            <w:r w:rsidR="00660A3E" w:rsidRPr="00660A3E">
              <w:rPr>
                <w:noProof/>
                <w:sz w:val="21"/>
              </w:rPr>
              <w:t xml:space="preserve"> </w:t>
            </w:r>
            <w:r w:rsidRPr="00660A3E">
              <w:rPr>
                <w:noProof/>
              </w:rPr>
              <w:br/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4)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456"/>
        </w:trPr>
        <w:tc>
          <w:tcPr>
            <w:tcW w:w="141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1"/>
                <w:szCs w:val="21"/>
                <w:lang w:eastAsia="en-IE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5)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924"/>
        </w:trPr>
        <w:tc>
          <w:tcPr>
            <w:tcW w:w="19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noProof/>
                <w:sz w:val="21"/>
              </w:rPr>
              <w:t xml:space="preserve">OGÓŁEM środki administracyjne finansowane ze środków przydzielonych na określone programy 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6)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564"/>
        </w:trPr>
        <w:tc>
          <w:tcPr>
            <w:tcW w:w="141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OGÓŁEM środki na DZIAŁ &lt;….&gt;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=4+6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528"/>
        </w:trPr>
        <w:tc>
          <w:tcPr>
            <w:tcW w:w="1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wieloletnich ram finansowych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=5+6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</w:tbl>
    <w:p w:rsidR="00096239" w:rsidRPr="00F059DD" w:rsidRDefault="00096239" w:rsidP="00096239">
      <w:pPr>
        <w:rPr>
          <w:noProof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1126"/>
        <w:gridCol w:w="8148"/>
      </w:tblGrid>
      <w:tr w:rsidR="00096239" w:rsidRPr="00F059DD" w:rsidTr="00624AF6">
        <w:trPr>
          <w:jc w:val="center"/>
        </w:trPr>
        <w:tc>
          <w:tcPr>
            <w:tcW w:w="1739" w:type="pct"/>
            <w:shd w:val="thinDiagStripe" w:color="C0C0C0" w:fill="auto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b/>
                <w:noProof/>
              </w:rPr>
            </w:pPr>
            <w:r w:rsidRPr="00F059DD">
              <w:rPr>
                <w:b/>
                <w:noProof/>
                <w:sz w:val="22"/>
              </w:rPr>
              <w:t>Dział wieloletnich ra</w:t>
            </w:r>
            <w:r w:rsidRPr="00660A3E">
              <w:rPr>
                <w:b/>
                <w:noProof/>
                <w:sz w:val="22"/>
              </w:rPr>
              <w:t>m</w:t>
            </w:r>
            <w:r w:rsidR="00660A3E" w:rsidRPr="00660A3E">
              <w:rPr>
                <w:b/>
                <w:noProof/>
                <w:sz w:val="22"/>
              </w:rPr>
              <w:t xml:space="preserve"> </w:t>
            </w:r>
            <w:r w:rsidRPr="00660A3E">
              <w:rPr>
                <w:b/>
                <w:noProof/>
                <w:sz w:val="22"/>
              </w:rPr>
              <w:br/>
            </w:r>
            <w:r w:rsidRPr="00F059DD">
              <w:rPr>
                <w:b/>
                <w:noProof/>
                <w:sz w:val="22"/>
              </w:rPr>
              <w:t xml:space="preserve">finansowych </w:t>
            </w:r>
          </w:p>
        </w:tc>
        <w:tc>
          <w:tcPr>
            <w:tcW w:w="396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</w:rPr>
            </w:pPr>
            <w:r w:rsidRPr="00F059DD">
              <w:rPr>
                <w:noProof/>
                <w:sz w:val="22"/>
              </w:rPr>
              <w:t>Numer</w:t>
            </w:r>
          </w:p>
        </w:tc>
        <w:tc>
          <w:tcPr>
            <w:tcW w:w="2865" w:type="pct"/>
            <w:vAlign w:val="center"/>
          </w:tcPr>
          <w:p w:rsidR="00096239" w:rsidRPr="00F059DD" w:rsidRDefault="00096239" w:rsidP="00624AF6">
            <w:pPr>
              <w:spacing w:before="60" w:after="60"/>
              <w:rPr>
                <w:noProof/>
              </w:rPr>
            </w:pPr>
          </w:p>
        </w:tc>
      </w:tr>
    </w:tbl>
    <w:p w:rsidR="00096239" w:rsidRPr="00F059DD" w:rsidRDefault="00096239" w:rsidP="00096239">
      <w:pPr>
        <w:rPr>
          <w:noProof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9"/>
        <w:gridCol w:w="1399"/>
        <w:gridCol w:w="1960"/>
        <w:gridCol w:w="1254"/>
        <w:gridCol w:w="1254"/>
        <w:gridCol w:w="1254"/>
        <w:gridCol w:w="1254"/>
        <w:gridCol w:w="1516"/>
      </w:tblGrid>
      <w:tr w:rsidR="00096239" w:rsidRPr="00F059DD" w:rsidTr="005049BA">
        <w:trPr>
          <w:trHeight w:val="300"/>
        </w:trPr>
        <w:tc>
          <w:tcPr>
            <w:tcW w:w="2703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Dyrekcja Generalna: &lt;…….&gt;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300"/>
        </w:trPr>
        <w:tc>
          <w:tcPr>
            <w:tcW w:w="2703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  <w:lang w:eastAsia="en-I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5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300"/>
        </w:trPr>
        <w:tc>
          <w:tcPr>
            <w:tcW w:w="27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noProof/>
                <w:sz w:val="21"/>
              </w:rPr>
              <w:t xml:space="preserve">Środki operacyjne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Linia budżetowa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(1a)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  <w:lang w:eastAsia="en-IE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(2a)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Linia budżetowa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(1b)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(2b)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Środki administracyjne finansowane ze środków przydzielonych na określone programy</w:t>
            </w:r>
            <w:r w:rsidRPr="00F059DD">
              <w:rPr>
                <w:rStyle w:val="FootnoteReference"/>
                <w:noProof/>
                <w:sz w:val="22"/>
                <w:lang w:eastAsia="en-IE"/>
              </w:rPr>
              <w:footnoteReference w:id="15"/>
            </w:r>
            <w:r w:rsidRPr="00F059DD">
              <w:rPr>
                <w:noProof/>
                <w:sz w:val="22"/>
              </w:rPr>
              <w:t xml:space="preserve"> 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Linia budżetowa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 xml:space="preserve">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3)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OGÓŁEM środki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=1a+1b +3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bCs/>
                <w:noProof/>
                <w:sz w:val="22"/>
              </w:rPr>
              <w:t>dla Dyrekcji Generalnej</w:t>
            </w:r>
            <w:r w:rsidRPr="00F059DD">
              <w:rPr>
                <w:noProof/>
                <w:sz w:val="22"/>
              </w:rPr>
              <w:t xml:space="preserve"> &lt;….&gt;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=2a+2b+3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</w:tbl>
    <w:p w:rsidR="00096239" w:rsidRPr="00F059DD" w:rsidRDefault="00096239" w:rsidP="00096239">
      <w:pPr>
        <w:rPr>
          <w:noProof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9"/>
        <w:gridCol w:w="1340"/>
        <w:gridCol w:w="2019"/>
        <w:gridCol w:w="1254"/>
        <w:gridCol w:w="1254"/>
        <w:gridCol w:w="1254"/>
        <w:gridCol w:w="1254"/>
        <w:gridCol w:w="1516"/>
      </w:tblGrid>
      <w:tr w:rsidR="00096239" w:rsidRPr="00F059DD" w:rsidTr="005049BA">
        <w:trPr>
          <w:trHeight w:val="300"/>
        </w:trPr>
        <w:tc>
          <w:tcPr>
            <w:tcW w:w="2703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Dyrekcja Generalna: &lt;…….&gt;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300"/>
        </w:trPr>
        <w:tc>
          <w:tcPr>
            <w:tcW w:w="2703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  <w:lang w:eastAsia="en-I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5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300"/>
        </w:trPr>
        <w:tc>
          <w:tcPr>
            <w:tcW w:w="270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noProof/>
                <w:sz w:val="21"/>
              </w:rPr>
              <w:t xml:space="preserve">Środki operacyjne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Linia budżetowa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(1a)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  <w:lang w:eastAsia="en-I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(2a)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Linia budżetowa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(1b)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(2b)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Środki administracyjne finansowane ze środków przydzielonych na określone programy</w:t>
            </w:r>
            <w:r w:rsidRPr="00F059DD">
              <w:rPr>
                <w:rStyle w:val="FootnoteReference"/>
                <w:noProof/>
                <w:sz w:val="22"/>
                <w:lang w:eastAsia="en-IE"/>
              </w:rPr>
              <w:footnoteReference w:id="16"/>
            </w:r>
            <w:r w:rsidRPr="00F059DD">
              <w:rPr>
                <w:noProof/>
                <w:sz w:val="22"/>
              </w:rPr>
              <w:t xml:space="preserve"> 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Linia budżetowa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 xml:space="preserve"> 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3)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OGÓŁEM środki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=1a+1b +3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bCs/>
                <w:noProof/>
                <w:sz w:val="22"/>
              </w:rPr>
              <w:t>dla Dyrekcji Generalnej</w:t>
            </w:r>
            <w:r w:rsidRPr="00F059DD">
              <w:rPr>
                <w:noProof/>
                <w:sz w:val="22"/>
              </w:rPr>
              <w:t xml:space="preserve"> &lt;….&gt;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=2a+2b+3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</w:tbl>
    <w:p w:rsidR="00096239" w:rsidRPr="00F059DD" w:rsidRDefault="00096239" w:rsidP="00096239">
      <w:pPr>
        <w:rPr>
          <w:noProof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13"/>
        <w:gridCol w:w="316"/>
        <w:gridCol w:w="1189"/>
        <w:gridCol w:w="151"/>
        <w:gridCol w:w="1038"/>
        <w:gridCol w:w="210"/>
        <w:gridCol w:w="830"/>
        <w:gridCol w:w="572"/>
        <w:gridCol w:w="671"/>
        <w:gridCol w:w="731"/>
        <w:gridCol w:w="512"/>
        <w:gridCol w:w="890"/>
        <w:gridCol w:w="353"/>
        <w:gridCol w:w="1049"/>
        <w:gridCol w:w="193"/>
        <w:gridCol w:w="1502"/>
      </w:tblGrid>
      <w:tr w:rsidR="00096239" w:rsidRPr="00F059DD" w:rsidTr="005049BA">
        <w:trPr>
          <w:trHeight w:val="300"/>
        </w:trPr>
        <w:tc>
          <w:tcPr>
            <w:tcW w:w="2432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 xml:space="preserve"> 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9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300"/>
        </w:trPr>
        <w:tc>
          <w:tcPr>
            <w:tcW w:w="2432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2"/>
                <w:lang w:eastAsia="en-IE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59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432"/>
        </w:trPr>
        <w:tc>
          <w:tcPr>
            <w:tcW w:w="14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noProof/>
                <w:sz w:val="21"/>
              </w:rPr>
              <w:t>OGÓŁEM środki operacyjn</w:t>
            </w:r>
            <w:r w:rsidRPr="00660A3E">
              <w:rPr>
                <w:noProof/>
                <w:sz w:val="21"/>
              </w:rPr>
              <w:t>e</w:t>
            </w:r>
            <w:r w:rsidR="00660A3E" w:rsidRPr="00660A3E">
              <w:rPr>
                <w:noProof/>
                <w:sz w:val="21"/>
              </w:rPr>
              <w:t xml:space="preserve"> </w:t>
            </w:r>
            <w:r w:rsidRPr="00660A3E">
              <w:rPr>
                <w:noProof/>
              </w:rPr>
              <w:br/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4)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456"/>
        </w:trPr>
        <w:tc>
          <w:tcPr>
            <w:tcW w:w="141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1"/>
                <w:szCs w:val="21"/>
                <w:lang w:eastAsia="en-IE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5)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924"/>
        </w:trPr>
        <w:tc>
          <w:tcPr>
            <w:tcW w:w="194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noProof/>
                <w:sz w:val="21"/>
              </w:rPr>
              <w:t xml:space="preserve">OGÓŁEM środki administracyjne finansowane ze środków przydzielonych na określone programy </w:t>
            </w:r>
          </w:p>
        </w:tc>
        <w:tc>
          <w:tcPr>
            <w:tcW w:w="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6)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564"/>
        </w:trPr>
        <w:tc>
          <w:tcPr>
            <w:tcW w:w="141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OGÓŁEM środki na DZIAŁ &lt;….&gt;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=4+6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528"/>
        </w:trPr>
        <w:tc>
          <w:tcPr>
            <w:tcW w:w="1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wieloletnich ram finansowych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=5+6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288"/>
        </w:trPr>
        <w:tc>
          <w:tcPr>
            <w:tcW w:w="15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4"/>
                <w:lang w:eastAsia="en-IE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437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3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3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3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5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rFonts w:ascii="Calibri" w:hAnsi="Calibri"/>
                <w:noProof/>
                <w:sz w:val="21"/>
              </w:rPr>
              <w:t xml:space="preserve">• </w:t>
            </w:r>
            <w:r w:rsidRPr="00F059DD">
              <w:rPr>
                <w:noProof/>
                <w:sz w:val="21"/>
              </w:rPr>
              <w:t>OGÓŁEM środki operacyjne (wszystkie działy operacyjne)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7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4)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1"/>
                <w:szCs w:val="21"/>
                <w:lang w:eastAsia="en-IE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7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5)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990"/>
        </w:trPr>
        <w:tc>
          <w:tcPr>
            <w:tcW w:w="19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rFonts w:ascii="Calibri" w:hAnsi="Calibri"/>
                <w:noProof/>
                <w:sz w:val="21"/>
              </w:rPr>
              <w:t>•</w:t>
            </w:r>
            <w:r w:rsidRPr="00F059DD">
              <w:rPr>
                <w:noProof/>
                <w:sz w:val="21"/>
              </w:rPr>
              <w:t xml:space="preserve"> OGÓŁEM środki administracyjne finansowane ze środków przydzielonych na określone programy (wszystkie działy operacyjne)</w:t>
            </w:r>
          </w:p>
        </w:tc>
        <w:tc>
          <w:tcPr>
            <w:tcW w:w="7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6)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564"/>
        </w:trPr>
        <w:tc>
          <w:tcPr>
            <w:tcW w:w="1522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 xml:space="preserve">OGÓŁEM środki na DZIAŁY </w:t>
            </w:r>
            <w:r w:rsidRPr="00660A3E">
              <w:rPr>
                <w:b/>
                <w:noProof/>
                <w:sz w:val="22"/>
              </w:rPr>
              <w:t>od</w:t>
            </w:r>
            <w:r w:rsidR="00660A3E" w:rsidRPr="00660A3E">
              <w:rPr>
                <w:b/>
                <w:noProof/>
                <w:sz w:val="22"/>
              </w:rPr>
              <w:t> </w:t>
            </w:r>
            <w:r w:rsidRPr="00660A3E">
              <w:rPr>
                <w:b/>
                <w:noProof/>
                <w:sz w:val="22"/>
              </w:rPr>
              <w:t>1</w:t>
            </w:r>
            <w:r w:rsidRPr="00F059DD">
              <w:rPr>
                <w:b/>
                <w:noProof/>
                <w:sz w:val="22"/>
              </w:rPr>
              <w:t xml:space="preserve"> </w:t>
            </w:r>
            <w:r w:rsidRPr="00660A3E">
              <w:rPr>
                <w:b/>
                <w:noProof/>
                <w:sz w:val="22"/>
              </w:rPr>
              <w:t>do</w:t>
            </w:r>
            <w:r w:rsidR="00660A3E" w:rsidRPr="00660A3E">
              <w:rPr>
                <w:b/>
                <w:noProof/>
                <w:sz w:val="22"/>
              </w:rPr>
              <w:t> </w:t>
            </w:r>
            <w:r w:rsidRPr="00660A3E">
              <w:rPr>
                <w:b/>
                <w:noProof/>
                <w:sz w:val="22"/>
              </w:rPr>
              <w:t>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731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=4+6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588"/>
        </w:trPr>
        <w:tc>
          <w:tcPr>
            <w:tcW w:w="152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wieloletnich ram finansowych</w:t>
            </w:r>
            <w:r w:rsidRPr="00F059DD">
              <w:rPr>
                <w:noProof/>
              </w:rPr>
              <w:t xml:space="preserve"> </w:t>
            </w:r>
            <w:r w:rsidRPr="00F059DD">
              <w:rPr>
                <w:noProof/>
              </w:rPr>
              <w:br/>
            </w:r>
            <w:r w:rsidRPr="00F059DD">
              <w:rPr>
                <w:noProof/>
                <w:sz w:val="20"/>
              </w:rPr>
              <w:t>(kwota referencyjna)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7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=5+6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</w:tbl>
    <w:p w:rsidR="00096239" w:rsidRPr="00F059DD" w:rsidRDefault="00096239" w:rsidP="00096239">
      <w:pPr>
        <w:rPr>
          <w:noProof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245"/>
        <w:gridCol w:w="1126"/>
        <w:gridCol w:w="1274"/>
        <w:gridCol w:w="637"/>
        <w:gridCol w:w="640"/>
        <w:gridCol w:w="1069"/>
        <w:gridCol w:w="1069"/>
        <w:gridCol w:w="1069"/>
        <w:gridCol w:w="1069"/>
        <w:gridCol w:w="1320"/>
      </w:tblGrid>
      <w:tr w:rsidR="00096239" w:rsidRPr="00F059DD" w:rsidTr="00624AF6">
        <w:trPr>
          <w:jc w:val="center"/>
        </w:trPr>
        <w:tc>
          <w:tcPr>
            <w:tcW w:w="1739" w:type="pct"/>
            <w:gridSpan w:val="2"/>
            <w:shd w:val="thinDiagStripe" w:color="C0C0C0" w:fill="auto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b/>
                <w:noProof/>
              </w:rPr>
            </w:pPr>
            <w:r w:rsidRPr="00F059DD">
              <w:rPr>
                <w:noProof/>
              </w:rPr>
              <w:br w:type="page"/>
            </w:r>
            <w:r w:rsidRPr="00F059DD">
              <w:rPr>
                <w:b/>
                <w:noProof/>
                <w:sz w:val="22"/>
              </w:rPr>
              <w:t xml:space="preserve">Dział wieloletnich ram finansowych </w:t>
            </w:r>
          </w:p>
        </w:tc>
        <w:tc>
          <w:tcPr>
            <w:tcW w:w="396" w:type="pct"/>
            <w:shd w:val="thinDiagStripe" w:color="C0C0C0" w:fill="auto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</w:rPr>
            </w:pPr>
            <w:r w:rsidRPr="00F059DD">
              <w:rPr>
                <w:b/>
                <w:noProof/>
                <w:sz w:val="22"/>
              </w:rPr>
              <w:t>7</w:t>
            </w:r>
          </w:p>
        </w:tc>
        <w:tc>
          <w:tcPr>
            <w:tcW w:w="2865" w:type="pct"/>
            <w:gridSpan w:val="8"/>
            <w:vAlign w:val="center"/>
          </w:tcPr>
          <w:p w:rsidR="00096239" w:rsidRPr="00F059DD" w:rsidRDefault="00096239" w:rsidP="00624AF6">
            <w:pPr>
              <w:spacing w:before="60" w:after="60"/>
              <w:rPr>
                <w:noProof/>
              </w:rPr>
            </w:pPr>
            <w:r w:rsidRPr="00F059DD">
              <w:rPr>
                <w:noProof/>
                <w:sz w:val="22"/>
              </w:rPr>
              <w:t>„Wydatki administracyjne”</w:t>
            </w:r>
            <w:r w:rsidRPr="00F059DD">
              <w:rPr>
                <w:rStyle w:val="FootnoteReference"/>
                <w:noProof/>
                <w:sz w:val="22"/>
              </w:rPr>
              <w:footnoteReference w:id="17"/>
            </w:r>
          </w:p>
        </w:tc>
      </w:tr>
      <w:tr w:rsidR="00096239" w:rsidRPr="00F059DD" w:rsidTr="005049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032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Cs w:val="24"/>
              </w:rPr>
            </w:pPr>
            <w:r w:rsidRPr="00F059DD">
              <w:rPr>
                <w:noProof/>
              </w:rPr>
              <w:t>Dyrekcja Generalna: &lt;…….&gt;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32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Cs w:val="24"/>
                <w:lang w:eastAsia="en-I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4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3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rFonts w:ascii="Wingdings" w:hAnsi="Wingdings" w:cs="Calibri"/>
                <w:noProof/>
                <w:sz w:val="22"/>
              </w:rPr>
            </w:pPr>
            <w:r w:rsidRPr="00F059DD">
              <w:rPr>
                <w:rFonts w:ascii="Wingdings" w:hAnsi="Wingdings"/>
                <w:noProof/>
                <w:sz w:val="22"/>
              </w:rPr>
              <w:t></w:t>
            </w:r>
            <w:r w:rsidRPr="00F059DD">
              <w:rPr>
                <w:noProof/>
                <w:sz w:val="22"/>
              </w:rPr>
              <w:t xml:space="preserve"> Zasoby ludzkie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3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rFonts w:ascii="Wingdings" w:hAnsi="Wingdings" w:cs="Calibri"/>
                <w:noProof/>
                <w:sz w:val="22"/>
              </w:rPr>
            </w:pPr>
            <w:r w:rsidRPr="00F059DD">
              <w:rPr>
                <w:rFonts w:ascii="Wingdings" w:hAnsi="Wingdings"/>
                <w:noProof/>
                <w:sz w:val="22"/>
              </w:rPr>
              <w:t></w:t>
            </w:r>
            <w:r w:rsidRPr="00F059DD">
              <w:rPr>
                <w:noProof/>
              </w:rPr>
              <w:t xml:space="preserve"> Pozostałe wydatki administracyjne</w:t>
            </w:r>
            <w:r w:rsidRPr="00F059DD">
              <w:rPr>
                <w:noProof/>
                <w:sz w:val="22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OGÓŁEM DG</w:t>
            </w:r>
            <w:r w:rsidRPr="00F059DD">
              <w:rPr>
                <w:noProof/>
                <w:sz w:val="22"/>
              </w:rPr>
              <w:t xml:space="preserve"> &lt;….&gt;</w:t>
            </w:r>
          </w:p>
        </w:tc>
        <w:tc>
          <w:tcPr>
            <w:tcW w:w="137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 xml:space="preserve">Środki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9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032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Cs w:val="24"/>
              </w:rPr>
            </w:pPr>
            <w:r w:rsidRPr="00F059DD">
              <w:rPr>
                <w:noProof/>
              </w:rPr>
              <w:t>Dyrekcja Generalna: &lt;…….&gt;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32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Cs w:val="24"/>
                <w:lang w:eastAsia="en-I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4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3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rFonts w:ascii="Wingdings" w:hAnsi="Wingdings" w:cs="Calibri"/>
                <w:noProof/>
                <w:sz w:val="22"/>
              </w:rPr>
            </w:pPr>
            <w:r w:rsidRPr="00F059DD">
              <w:rPr>
                <w:rFonts w:ascii="Wingdings" w:hAnsi="Wingdings"/>
                <w:noProof/>
                <w:sz w:val="22"/>
              </w:rPr>
              <w:t></w:t>
            </w:r>
            <w:r w:rsidRPr="00F059DD">
              <w:rPr>
                <w:noProof/>
                <w:sz w:val="22"/>
              </w:rPr>
              <w:t xml:space="preserve"> Zasoby ludzkie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3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rFonts w:ascii="Wingdings" w:hAnsi="Wingdings" w:cs="Calibri"/>
                <w:noProof/>
                <w:sz w:val="22"/>
              </w:rPr>
            </w:pPr>
            <w:r w:rsidRPr="00F059DD">
              <w:rPr>
                <w:rFonts w:ascii="Wingdings" w:hAnsi="Wingdings"/>
                <w:noProof/>
                <w:sz w:val="22"/>
              </w:rPr>
              <w:t></w:t>
            </w:r>
            <w:r w:rsidRPr="00F059DD">
              <w:rPr>
                <w:noProof/>
              </w:rPr>
              <w:t xml:space="preserve"> Pozostałe wydatki administracyjne</w:t>
            </w:r>
            <w:r w:rsidRPr="00F059DD">
              <w:rPr>
                <w:noProof/>
                <w:sz w:val="22"/>
              </w:rPr>
              <w:t xml:space="preserve">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OGÓŁEM DG</w:t>
            </w:r>
            <w:r w:rsidRPr="00F059DD">
              <w:rPr>
                <w:noProof/>
                <w:sz w:val="22"/>
              </w:rPr>
              <w:t xml:space="preserve"> &lt;….&gt;</w:t>
            </w:r>
          </w:p>
        </w:tc>
        <w:tc>
          <w:tcPr>
            <w:tcW w:w="137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 xml:space="preserve">Środki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93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258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 xml:space="preserve">OGÓŁEM środki na DZIAŁ 7 wieloletnich ram finansowych 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(Środki na zobowiązania ogółem = środki na płatności ogółem)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</w:tbl>
    <w:p w:rsidR="00096239" w:rsidRPr="00F059DD" w:rsidRDefault="00096239" w:rsidP="00096239">
      <w:pPr>
        <w:jc w:val="right"/>
        <w:rPr>
          <w:noProof/>
          <w:sz w:val="20"/>
        </w:rPr>
      </w:pPr>
      <w:r w:rsidRPr="00F059DD">
        <w:rPr>
          <w:noProof/>
          <w:sz w:val="20"/>
        </w:rPr>
        <w:t>w mln EUR (do trzech miejsc po przecinku)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37"/>
        <w:gridCol w:w="1504"/>
        <w:gridCol w:w="68"/>
        <w:gridCol w:w="1342"/>
        <w:gridCol w:w="737"/>
        <w:gridCol w:w="674"/>
        <w:gridCol w:w="580"/>
        <w:gridCol w:w="830"/>
        <w:gridCol w:w="424"/>
        <w:gridCol w:w="987"/>
        <w:gridCol w:w="267"/>
        <w:gridCol w:w="1092"/>
        <w:gridCol w:w="162"/>
        <w:gridCol w:w="1516"/>
      </w:tblGrid>
      <w:tr w:rsidR="00096239" w:rsidRPr="00F059DD" w:rsidTr="005049BA">
        <w:trPr>
          <w:trHeight w:val="288"/>
        </w:trPr>
        <w:tc>
          <w:tcPr>
            <w:tcW w:w="2703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Cs w:val="24"/>
              </w:rPr>
            </w:pPr>
            <w:r w:rsidRPr="00F059DD">
              <w:rPr>
                <w:noProof/>
              </w:rPr>
              <w:t xml:space="preserve"> 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300"/>
        </w:trPr>
        <w:tc>
          <w:tcPr>
            <w:tcW w:w="270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Cs w:val="24"/>
                <w:lang w:eastAsia="en-IE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5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564"/>
        </w:trPr>
        <w:tc>
          <w:tcPr>
            <w:tcW w:w="197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 xml:space="preserve">OGÓŁEM środki na DZIAŁY </w:t>
            </w:r>
            <w:r w:rsidRPr="00660A3E">
              <w:rPr>
                <w:b/>
                <w:noProof/>
                <w:sz w:val="22"/>
              </w:rPr>
              <w:t>od</w:t>
            </w:r>
            <w:r w:rsidR="00660A3E" w:rsidRPr="00660A3E">
              <w:rPr>
                <w:b/>
                <w:noProof/>
                <w:sz w:val="22"/>
              </w:rPr>
              <w:t> </w:t>
            </w:r>
            <w:r w:rsidRPr="00660A3E">
              <w:rPr>
                <w:b/>
                <w:noProof/>
                <w:sz w:val="22"/>
              </w:rPr>
              <w:t>1</w:t>
            </w:r>
            <w:r w:rsidRPr="00F059DD">
              <w:rPr>
                <w:b/>
                <w:noProof/>
                <w:sz w:val="22"/>
              </w:rPr>
              <w:t xml:space="preserve"> </w:t>
            </w:r>
            <w:r w:rsidRPr="00660A3E">
              <w:rPr>
                <w:b/>
                <w:noProof/>
                <w:sz w:val="22"/>
              </w:rPr>
              <w:t>do</w:t>
            </w:r>
            <w:r w:rsidR="00660A3E" w:rsidRPr="00660A3E">
              <w:rPr>
                <w:b/>
                <w:noProof/>
                <w:sz w:val="22"/>
              </w:rPr>
              <w:t> </w:t>
            </w:r>
            <w:r w:rsidRPr="00660A3E">
              <w:rPr>
                <w:b/>
                <w:noProof/>
                <w:sz w:val="22"/>
              </w:rPr>
              <w:t>7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</w:tr>
      <w:tr w:rsidR="00096239" w:rsidRPr="00F059DD" w:rsidTr="005049BA">
        <w:trPr>
          <w:trHeight w:val="540"/>
        </w:trPr>
        <w:tc>
          <w:tcPr>
            <w:tcW w:w="197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wieloletnich ram finansowych</w:t>
            </w:r>
            <w:r w:rsidRPr="00F059DD">
              <w:rPr>
                <w:b/>
                <w:noProof/>
                <w:sz w:val="22"/>
              </w:rPr>
              <w:t xml:space="preserve"> 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</w:tr>
      <w:tr w:rsidR="00096239" w:rsidRPr="00F059DD" w:rsidTr="005049BA">
        <w:trPr>
          <w:trHeight w:val="288"/>
        </w:trPr>
        <w:tc>
          <w:tcPr>
            <w:tcW w:w="141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200" w:line="276" w:lineRule="auto"/>
              <w:jc w:val="left"/>
              <w:rPr>
                <w:b/>
                <w:bCs/>
                <w:noProof/>
                <w:sz w:val="22"/>
                <w:lang w:eastAsia="en-IE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=2a+2b+3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</w:tbl>
    <w:p w:rsidR="00096239" w:rsidRPr="00F059DD" w:rsidRDefault="00096239" w:rsidP="00096239">
      <w:pPr>
        <w:spacing w:after="40"/>
        <w:rPr>
          <w:noProof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14"/>
        <w:gridCol w:w="1504"/>
        <w:gridCol w:w="1399"/>
        <w:gridCol w:w="1402"/>
        <w:gridCol w:w="1402"/>
        <w:gridCol w:w="1402"/>
        <w:gridCol w:w="1402"/>
        <w:gridCol w:w="1695"/>
      </w:tblGrid>
      <w:tr w:rsidR="00096239" w:rsidRPr="00F059DD" w:rsidTr="005049BA">
        <w:trPr>
          <w:trHeight w:val="300"/>
        </w:trPr>
        <w:tc>
          <w:tcPr>
            <w:tcW w:w="243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300"/>
        </w:trPr>
        <w:tc>
          <w:tcPr>
            <w:tcW w:w="243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2"/>
                <w:lang w:eastAsia="en-I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5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432"/>
        </w:trPr>
        <w:tc>
          <w:tcPr>
            <w:tcW w:w="14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noProof/>
                <w:sz w:val="21"/>
              </w:rPr>
              <w:t>OGÓŁEM środki operacyjn</w:t>
            </w:r>
            <w:r w:rsidRPr="00660A3E">
              <w:rPr>
                <w:noProof/>
                <w:sz w:val="21"/>
              </w:rPr>
              <w:t>e</w:t>
            </w:r>
            <w:r w:rsidR="00660A3E" w:rsidRPr="00660A3E">
              <w:rPr>
                <w:noProof/>
                <w:sz w:val="21"/>
              </w:rPr>
              <w:t xml:space="preserve"> </w:t>
            </w:r>
            <w:r w:rsidRPr="00660A3E">
              <w:rPr>
                <w:noProof/>
              </w:rPr>
              <w:br/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4)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456"/>
        </w:trPr>
        <w:tc>
          <w:tcPr>
            <w:tcW w:w="141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1"/>
                <w:szCs w:val="21"/>
                <w:lang w:eastAsia="en-IE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5)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924"/>
        </w:trPr>
        <w:tc>
          <w:tcPr>
            <w:tcW w:w="19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noProof/>
                <w:sz w:val="21"/>
              </w:rPr>
              <w:t xml:space="preserve">OGÓŁEM środki administracyjne finansowane ze środków przydzielonych na określone programy 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6)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564"/>
        </w:trPr>
        <w:tc>
          <w:tcPr>
            <w:tcW w:w="141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OGÓŁEM środki na DZIAŁ &lt;….&gt;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=4+6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528"/>
        </w:trPr>
        <w:tc>
          <w:tcPr>
            <w:tcW w:w="1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wieloletnich ram finansowych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=5+6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</w:tbl>
    <w:p w:rsidR="00096239" w:rsidRPr="00F059DD" w:rsidRDefault="00096239" w:rsidP="00096239">
      <w:pPr>
        <w:spacing w:after="40"/>
        <w:rPr>
          <w:noProof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1126"/>
        <w:gridCol w:w="8148"/>
      </w:tblGrid>
      <w:tr w:rsidR="00096239" w:rsidRPr="00F059DD" w:rsidTr="00624AF6">
        <w:trPr>
          <w:jc w:val="center"/>
        </w:trPr>
        <w:tc>
          <w:tcPr>
            <w:tcW w:w="1739" w:type="pct"/>
            <w:shd w:val="thinDiagStripe" w:color="C0C0C0" w:fill="auto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b/>
                <w:noProof/>
              </w:rPr>
            </w:pPr>
            <w:r w:rsidRPr="00F059DD">
              <w:rPr>
                <w:b/>
                <w:noProof/>
                <w:sz w:val="22"/>
              </w:rPr>
              <w:t xml:space="preserve">Dział wieloletnich ram finansowych </w:t>
            </w:r>
          </w:p>
        </w:tc>
        <w:tc>
          <w:tcPr>
            <w:tcW w:w="396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</w:rPr>
            </w:pPr>
            <w:r w:rsidRPr="00F059DD">
              <w:rPr>
                <w:noProof/>
                <w:sz w:val="22"/>
              </w:rPr>
              <w:t>Numer</w:t>
            </w:r>
          </w:p>
        </w:tc>
        <w:tc>
          <w:tcPr>
            <w:tcW w:w="2865" w:type="pct"/>
            <w:vAlign w:val="center"/>
          </w:tcPr>
          <w:p w:rsidR="00096239" w:rsidRPr="00F059DD" w:rsidRDefault="00096239" w:rsidP="00624AF6">
            <w:pPr>
              <w:spacing w:before="60" w:after="60"/>
              <w:rPr>
                <w:noProof/>
              </w:rPr>
            </w:pPr>
          </w:p>
        </w:tc>
      </w:tr>
    </w:tbl>
    <w:p w:rsidR="00096239" w:rsidRPr="00F059DD" w:rsidRDefault="00096239" w:rsidP="00096239">
      <w:pPr>
        <w:spacing w:before="0" w:after="200" w:line="276" w:lineRule="auto"/>
        <w:jc w:val="left"/>
        <w:rPr>
          <w:noProof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35"/>
        <w:gridCol w:w="1504"/>
        <w:gridCol w:w="1411"/>
        <w:gridCol w:w="1411"/>
        <w:gridCol w:w="1411"/>
        <w:gridCol w:w="1411"/>
        <w:gridCol w:w="1359"/>
        <w:gridCol w:w="1678"/>
      </w:tblGrid>
      <w:tr w:rsidR="00096239" w:rsidRPr="00F059DD" w:rsidTr="005049BA">
        <w:trPr>
          <w:trHeight w:val="420"/>
        </w:trPr>
        <w:tc>
          <w:tcPr>
            <w:tcW w:w="2444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Dyrekcja Generalna: &lt;…….&gt;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288"/>
        </w:trPr>
        <w:tc>
          <w:tcPr>
            <w:tcW w:w="2444" w:type="pct"/>
            <w:gridSpan w:val="3"/>
            <w:vMerge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  <w:lang w:eastAsia="en-I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590" w:type="pct"/>
            <w:vMerge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1"/>
                <w:szCs w:val="21"/>
              </w:rPr>
            </w:pPr>
            <w:r w:rsidRPr="00F059DD">
              <w:rPr>
                <w:noProof/>
                <w:sz w:val="21"/>
              </w:rPr>
              <w:t xml:space="preserve">Środki operacyjne </w:t>
            </w:r>
          </w:p>
        </w:tc>
      </w:tr>
      <w:tr w:rsidR="00096239" w:rsidRPr="00F059DD" w:rsidTr="005049BA">
        <w:trPr>
          <w:trHeight w:val="288"/>
        </w:trPr>
        <w:tc>
          <w:tcPr>
            <w:tcW w:w="141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Linia budżetowa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(1a)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15"/>
        </w:trPr>
        <w:tc>
          <w:tcPr>
            <w:tcW w:w="1419" w:type="pct"/>
            <w:vMerge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  <w:lang w:eastAsia="en-IE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(2a)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15"/>
        </w:trPr>
        <w:tc>
          <w:tcPr>
            <w:tcW w:w="141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Linia budżetowa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(1b)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15"/>
        </w:trPr>
        <w:tc>
          <w:tcPr>
            <w:tcW w:w="1419" w:type="pct"/>
            <w:vMerge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(2b)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288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Środki administracyjne finansowane ze środków przydzielonych na określone programy</w:t>
            </w:r>
            <w:r w:rsidRPr="00F059DD">
              <w:rPr>
                <w:rStyle w:val="FootnoteReference"/>
                <w:noProof/>
                <w:sz w:val="22"/>
                <w:lang w:eastAsia="en-IE"/>
              </w:rPr>
              <w:footnoteReference w:id="18"/>
            </w:r>
          </w:p>
        </w:tc>
      </w:tr>
      <w:tr w:rsidR="00096239" w:rsidRPr="00F059DD" w:rsidTr="005049BA">
        <w:trPr>
          <w:trHeight w:val="288"/>
        </w:trPr>
        <w:tc>
          <w:tcPr>
            <w:tcW w:w="1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Linia budżetowa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 xml:space="preserve"> 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3)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 xml:space="preserve">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288"/>
        </w:trPr>
        <w:tc>
          <w:tcPr>
            <w:tcW w:w="141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OGÓŁEM środki</w:t>
            </w:r>
          </w:p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bCs/>
                <w:noProof/>
                <w:sz w:val="22"/>
              </w:rPr>
              <w:t>dla Dyrekcji Generalnej</w:t>
            </w:r>
            <w:r w:rsidRPr="00F059DD">
              <w:rPr>
                <w:noProof/>
                <w:sz w:val="22"/>
              </w:rPr>
              <w:t xml:space="preserve"> &lt;….&gt;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=1a+1b+3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288"/>
        </w:trPr>
        <w:tc>
          <w:tcPr>
            <w:tcW w:w="1419" w:type="pct"/>
            <w:vMerge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  <w:lang w:eastAsia="en-IE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=2a+2b+3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288"/>
        </w:trPr>
        <w:tc>
          <w:tcPr>
            <w:tcW w:w="141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200" w:line="276" w:lineRule="auto"/>
              <w:jc w:val="left"/>
              <w:rPr>
                <w:b/>
                <w:bCs/>
                <w:noProof/>
                <w:sz w:val="22"/>
                <w:lang w:eastAsia="en-IE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=2a+2b+3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</w:tbl>
    <w:p w:rsidR="00096239" w:rsidRPr="00F059DD" w:rsidRDefault="00096239" w:rsidP="00096239">
      <w:pPr>
        <w:spacing w:after="40"/>
        <w:rPr>
          <w:noProof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14"/>
        <w:gridCol w:w="1504"/>
        <w:gridCol w:w="1399"/>
        <w:gridCol w:w="1402"/>
        <w:gridCol w:w="1402"/>
        <w:gridCol w:w="1402"/>
        <w:gridCol w:w="1402"/>
        <w:gridCol w:w="1695"/>
      </w:tblGrid>
      <w:tr w:rsidR="00096239" w:rsidRPr="00F059DD" w:rsidTr="005049BA">
        <w:trPr>
          <w:trHeight w:val="300"/>
        </w:trPr>
        <w:tc>
          <w:tcPr>
            <w:tcW w:w="2432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300"/>
        </w:trPr>
        <w:tc>
          <w:tcPr>
            <w:tcW w:w="2432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2"/>
                <w:lang w:eastAsia="en-IE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5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432"/>
        </w:trPr>
        <w:tc>
          <w:tcPr>
            <w:tcW w:w="14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noProof/>
                <w:sz w:val="21"/>
              </w:rPr>
              <w:t>OGÓŁEM środki operacyjn</w:t>
            </w:r>
            <w:r w:rsidRPr="00660A3E">
              <w:rPr>
                <w:noProof/>
                <w:sz w:val="21"/>
              </w:rPr>
              <w:t>e</w:t>
            </w:r>
            <w:r w:rsidR="00660A3E" w:rsidRPr="00660A3E">
              <w:rPr>
                <w:noProof/>
                <w:sz w:val="21"/>
              </w:rPr>
              <w:t xml:space="preserve"> </w:t>
            </w:r>
            <w:r w:rsidRPr="00660A3E">
              <w:rPr>
                <w:noProof/>
              </w:rPr>
              <w:br/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4)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456"/>
        </w:trPr>
        <w:tc>
          <w:tcPr>
            <w:tcW w:w="141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1"/>
                <w:szCs w:val="21"/>
                <w:lang w:eastAsia="en-IE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5)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924"/>
        </w:trPr>
        <w:tc>
          <w:tcPr>
            <w:tcW w:w="193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noProof/>
                <w:sz w:val="21"/>
              </w:rPr>
              <w:t xml:space="preserve">OGÓŁEM środki administracyjne finansowane ze środków przydzielonych na określone programy 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6)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564"/>
        </w:trPr>
        <w:tc>
          <w:tcPr>
            <w:tcW w:w="141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OGÓŁEM środki na DZIAŁ &lt;….&gt;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=4+6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528"/>
        </w:trPr>
        <w:tc>
          <w:tcPr>
            <w:tcW w:w="1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wieloletnich ram finansowych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=5+6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</w:tbl>
    <w:p w:rsidR="00096239" w:rsidRPr="00F059DD" w:rsidRDefault="00096239" w:rsidP="00096239">
      <w:pPr>
        <w:spacing w:after="40"/>
        <w:rPr>
          <w:noProof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8"/>
        <w:gridCol w:w="1339"/>
        <w:gridCol w:w="1038"/>
        <w:gridCol w:w="1041"/>
        <w:gridCol w:w="1243"/>
        <w:gridCol w:w="1243"/>
        <w:gridCol w:w="1243"/>
        <w:gridCol w:w="1243"/>
        <w:gridCol w:w="1502"/>
      </w:tblGrid>
      <w:tr w:rsidR="00096239" w:rsidRPr="00F059DD" w:rsidTr="005049BA">
        <w:trPr>
          <w:trHeight w:val="288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4"/>
                <w:lang w:eastAsia="en-I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5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rFonts w:ascii="Calibri" w:hAnsi="Calibri"/>
                <w:noProof/>
                <w:sz w:val="21"/>
              </w:rPr>
              <w:t xml:space="preserve">• </w:t>
            </w:r>
            <w:r w:rsidRPr="00F059DD">
              <w:rPr>
                <w:noProof/>
                <w:sz w:val="21"/>
              </w:rPr>
              <w:t>OGÓŁEM środki operacyjne (wszystkie działy operacyjne)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4)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15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1"/>
                <w:szCs w:val="21"/>
                <w:lang w:eastAsia="en-I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5)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990"/>
        </w:trPr>
        <w:tc>
          <w:tcPr>
            <w:tcW w:w="19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21"/>
                <w:szCs w:val="21"/>
              </w:rPr>
            </w:pPr>
            <w:r w:rsidRPr="00F059DD">
              <w:rPr>
                <w:rFonts w:ascii="Calibri" w:hAnsi="Calibri"/>
                <w:noProof/>
                <w:sz w:val="21"/>
              </w:rPr>
              <w:t>•</w:t>
            </w:r>
            <w:r w:rsidRPr="00F059DD">
              <w:rPr>
                <w:noProof/>
                <w:sz w:val="21"/>
              </w:rPr>
              <w:t xml:space="preserve"> OGÓŁEM środki administracyjne finansowane ze środków przydzielonych na określone programy (wszystkie działy operacyjne)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6)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564"/>
        </w:trPr>
        <w:tc>
          <w:tcPr>
            <w:tcW w:w="15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 xml:space="preserve">OGÓŁEM środki na DZIAŁY </w:t>
            </w:r>
            <w:r w:rsidRPr="00660A3E">
              <w:rPr>
                <w:b/>
                <w:noProof/>
                <w:sz w:val="22"/>
              </w:rPr>
              <w:t>od</w:t>
            </w:r>
            <w:r w:rsidR="00660A3E" w:rsidRPr="00660A3E">
              <w:rPr>
                <w:b/>
                <w:noProof/>
                <w:sz w:val="22"/>
              </w:rPr>
              <w:t> </w:t>
            </w:r>
            <w:r w:rsidRPr="00660A3E">
              <w:rPr>
                <w:b/>
                <w:noProof/>
                <w:sz w:val="22"/>
              </w:rPr>
              <w:t>1</w:t>
            </w:r>
            <w:r w:rsidRPr="00F059DD">
              <w:rPr>
                <w:b/>
                <w:noProof/>
                <w:sz w:val="22"/>
              </w:rPr>
              <w:t xml:space="preserve"> </w:t>
            </w:r>
            <w:r w:rsidRPr="00660A3E">
              <w:rPr>
                <w:b/>
                <w:noProof/>
                <w:sz w:val="22"/>
              </w:rPr>
              <w:t>do</w:t>
            </w:r>
            <w:r w:rsidR="00660A3E" w:rsidRPr="00660A3E">
              <w:rPr>
                <w:b/>
                <w:noProof/>
                <w:sz w:val="22"/>
              </w:rPr>
              <w:t> </w:t>
            </w:r>
            <w:r w:rsidRPr="00660A3E">
              <w:rPr>
                <w:b/>
                <w:noProof/>
                <w:sz w:val="22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=4+6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588"/>
        </w:trPr>
        <w:tc>
          <w:tcPr>
            <w:tcW w:w="15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wieloletnich ram finansowych (kwota referencyjna)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7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4"/>
                <w:szCs w:val="14"/>
              </w:rPr>
            </w:pPr>
            <w:r w:rsidRPr="00F059DD">
              <w:rPr>
                <w:noProof/>
                <w:sz w:val="14"/>
              </w:rPr>
              <w:t>=5+6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</w:tbl>
    <w:p w:rsidR="00096239" w:rsidRPr="00F059DD" w:rsidRDefault="00096239" w:rsidP="00096239">
      <w:pPr>
        <w:rPr>
          <w:noProof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1126"/>
        <w:gridCol w:w="8148"/>
      </w:tblGrid>
      <w:tr w:rsidR="00096239" w:rsidRPr="00F059DD" w:rsidTr="00624AF6">
        <w:trPr>
          <w:jc w:val="center"/>
        </w:trPr>
        <w:tc>
          <w:tcPr>
            <w:tcW w:w="1668" w:type="pct"/>
            <w:shd w:val="thinDiagStripe" w:color="C0C0C0" w:fill="auto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b/>
                <w:noProof/>
              </w:rPr>
            </w:pPr>
            <w:r w:rsidRPr="00F059DD">
              <w:rPr>
                <w:noProof/>
              </w:rPr>
              <w:br w:type="page"/>
            </w:r>
            <w:r w:rsidRPr="00F059DD">
              <w:rPr>
                <w:b/>
                <w:noProof/>
                <w:sz w:val="22"/>
              </w:rPr>
              <w:t xml:space="preserve">Dział wieloletnich ram finansowych </w:t>
            </w:r>
          </w:p>
        </w:tc>
        <w:tc>
          <w:tcPr>
            <w:tcW w:w="380" w:type="pct"/>
            <w:shd w:val="thinDiagStripe" w:color="C0C0C0" w:fill="auto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</w:rPr>
            </w:pPr>
            <w:r w:rsidRPr="00F059DD">
              <w:rPr>
                <w:b/>
                <w:noProof/>
                <w:sz w:val="22"/>
              </w:rPr>
              <w:t>7</w:t>
            </w:r>
          </w:p>
        </w:tc>
        <w:tc>
          <w:tcPr>
            <w:tcW w:w="2749" w:type="pct"/>
            <w:vAlign w:val="center"/>
          </w:tcPr>
          <w:p w:rsidR="00096239" w:rsidRPr="00F059DD" w:rsidRDefault="00096239" w:rsidP="00624AF6">
            <w:pPr>
              <w:spacing w:before="60" w:after="60"/>
              <w:rPr>
                <w:noProof/>
              </w:rPr>
            </w:pPr>
            <w:r w:rsidRPr="00F059DD">
              <w:rPr>
                <w:noProof/>
                <w:sz w:val="22"/>
              </w:rPr>
              <w:t>„Wydatki administracyjne”</w:t>
            </w:r>
            <w:r w:rsidRPr="00F059DD">
              <w:rPr>
                <w:rStyle w:val="FootnoteReference"/>
                <w:noProof/>
                <w:sz w:val="22"/>
              </w:rPr>
              <w:footnoteReference w:id="19"/>
            </w:r>
          </w:p>
        </w:tc>
      </w:tr>
    </w:tbl>
    <w:p w:rsidR="00096239" w:rsidRPr="00F059DD" w:rsidRDefault="00096239" w:rsidP="00096239">
      <w:pPr>
        <w:jc w:val="right"/>
        <w:rPr>
          <w:noProof/>
          <w:sz w:val="20"/>
        </w:rPr>
      </w:pPr>
      <w:r w:rsidRPr="00F059DD">
        <w:rPr>
          <w:noProof/>
          <w:sz w:val="20"/>
        </w:rPr>
        <w:t>w mln EUR (do trzech miejsc po przecinku)</w:t>
      </w:r>
    </w:p>
    <w:tbl>
      <w:tblPr>
        <w:tblW w:w="13140" w:type="dxa"/>
        <w:tblInd w:w="118" w:type="dxa"/>
        <w:tblLook w:val="04A0" w:firstRow="1" w:lastRow="0" w:firstColumn="1" w:lastColumn="0" w:noHBand="0" w:noVBand="1"/>
      </w:tblPr>
      <w:tblGrid>
        <w:gridCol w:w="4405"/>
        <w:gridCol w:w="2477"/>
        <w:gridCol w:w="603"/>
        <w:gridCol w:w="603"/>
        <w:gridCol w:w="1001"/>
        <w:gridCol w:w="1001"/>
        <w:gridCol w:w="1001"/>
        <w:gridCol w:w="1001"/>
        <w:gridCol w:w="1244"/>
      </w:tblGrid>
      <w:tr w:rsidR="00096239" w:rsidRPr="00F059DD" w:rsidTr="005049BA">
        <w:trPr>
          <w:trHeight w:val="288"/>
        </w:trPr>
        <w:tc>
          <w:tcPr>
            <w:tcW w:w="78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Cs w:val="24"/>
              </w:rPr>
            </w:pPr>
            <w:r w:rsidRPr="00F059DD">
              <w:rPr>
                <w:noProof/>
              </w:rPr>
              <w:t>Dyrekcja Generalna: &lt;…….&gt;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300"/>
        </w:trPr>
        <w:tc>
          <w:tcPr>
            <w:tcW w:w="78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Cs w:val="24"/>
                <w:lang w:eastAsia="en-I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300"/>
        </w:trPr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rFonts w:ascii="Wingdings" w:hAnsi="Wingdings" w:cs="Calibri"/>
                <w:noProof/>
                <w:sz w:val="22"/>
              </w:rPr>
            </w:pPr>
            <w:r w:rsidRPr="00F059DD">
              <w:rPr>
                <w:rFonts w:ascii="Wingdings" w:hAnsi="Wingdings"/>
                <w:noProof/>
                <w:sz w:val="22"/>
              </w:rPr>
              <w:t></w:t>
            </w:r>
            <w:r w:rsidRPr="00F059DD">
              <w:rPr>
                <w:noProof/>
                <w:sz w:val="22"/>
              </w:rPr>
              <w:t xml:space="preserve"> Zasoby ludzkie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rFonts w:ascii="Wingdings" w:hAnsi="Wingdings" w:cs="Calibri"/>
                <w:noProof/>
                <w:sz w:val="22"/>
              </w:rPr>
            </w:pPr>
            <w:r w:rsidRPr="00F059DD">
              <w:rPr>
                <w:rFonts w:ascii="Wingdings" w:hAnsi="Wingdings"/>
                <w:noProof/>
                <w:sz w:val="22"/>
              </w:rPr>
              <w:t></w:t>
            </w:r>
            <w:r w:rsidRPr="00F059DD">
              <w:rPr>
                <w:noProof/>
              </w:rPr>
              <w:t xml:space="preserve"> Pozostałe wydatki administracyjne</w:t>
            </w:r>
            <w:r w:rsidRPr="00F059DD">
              <w:rPr>
                <w:noProof/>
                <w:sz w:val="22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OGÓŁEM DG</w:t>
            </w:r>
            <w:r w:rsidRPr="00F059DD">
              <w:rPr>
                <w:noProof/>
                <w:sz w:val="22"/>
              </w:rPr>
              <w:t xml:space="preserve"> &lt;….&gt;</w:t>
            </w:r>
          </w:p>
        </w:tc>
        <w:tc>
          <w:tcPr>
            <w:tcW w:w="34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 xml:space="preserve">Środki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315"/>
        </w:trPr>
        <w:tc>
          <w:tcPr>
            <w:tcW w:w="78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Cs w:val="24"/>
              </w:rPr>
            </w:pPr>
            <w:r w:rsidRPr="00F059DD">
              <w:rPr>
                <w:noProof/>
              </w:rPr>
              <w:t>Dyrekcja Generalna: &lt;…….&gt;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300"/>
        </w:trPr>
        <w:tc>
          <w:tcPr>
            <w:tcW w:w="78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Cs w:val="24"/>
                <w:lang w:eastAsia="en-I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300"/>
        </w:trPr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rFonts w:ascii="Wingdings" w:hAnsi="Wingdings" w:cs="Calibri"/>
                <w:noProof/>
                <w:sz w:val="22"/>
              </w:rPr>
            </w:pPr>
            <w:r w:rsidRPr="00F059DD">
              <w:rPr>
                <w:rFonts w:ascii="Wingdings" w:hAnsi="Wingdings"/>
                <w:noProof/>
                <w:sz w:val="22"/>
              </w:rPr>
              <w:t></w:t>
            </w:r>
            <w:r w:rsidRPr="00F059DD">
              <w:rPr>
                <w:noProof/>
                <w:sz w:val="22"/>
              </w:rPr>
              <w:t xml:space="preserve"> Zasoby ludzkie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7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rFonts w:ascii="Wingdings" w:hAnsi="Wingdings" w:cs="Calibri"/>
                <w:noProof/>
                <w:sz w:val="22"/>
              </w:rPr>
            </w:pPr>
            <w:r w:rsidRPr="00F059DD">
              <w:rPr>
                <w:rFonts w:ascii="Wingdings" w:hAnsi="Wingdings"/>
                <w:noProof/>
                <w:sz w:val="22"/>
              </w:rPr>
              <w:t></w:t>
            </w:r>
            <w:r w:rsidRPr="00F059DD">
              <w:rPr>
                <w:noProof/>
              </w:rPr>
              <w:t xml:space="preserve"> Pozostałe wydatki administracyjne</w:t>
            </w:r>
            <w:r w:rsidRPr="00F059DD">
              <w:rPr>
                <w:noProof/>
                <w:sz w:val="22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0,000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4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OGÓŁEM DG</w:t>
            </w:r>
            <w:r w:rsidRPr="00F059DD">
              <w:rPr>
                <w:noProof/>
                <w:sz w:val="22"/>
              </w:rPr>
              <w:t xml:space="preserve"> &lt;….&gt;</w:t>
            </w:r>
          </w:p>
        </w:tc>
        <w:tc>
          <w:tcPr>
            <w:tcW w:w="34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 xml:space="preserve">Środki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900"/>
        </w:trPr>
        <w:tc>
          <w:tcPr>
            <w:tcW w:w="6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Stripe" w:color="C0C0C0" w:fill="F1F1F1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 xml:space="preserve">OGÓŁEM środki na DZIAŁ 7 wieloletnich ram finansowych </w:t>
            </w:r>
          </w:p>
        </w:tc>
        <w:tc>
          <w:tcPr>
            <w:tcW w:w="1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(Środki na zobowiązania ogółem = środki na płatności ogółem)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0,000</w:t>
            </w:r>
          </w:p>
        </w:tc>
      </w:tr>
    </w:tbl>
    <w:p w:rsidR="00096239" w:rsidRPr="00F059DD" w:rsidRDefault="00096239" w:rsidP="00096239">
      <w:pPr>
        <w:jc w:val="right"/>
        <w:rPr>
          <w:noProof/>
          <w:sz w:val="20"/>
        </w:rPr>
      </w:pPr>
      <w:r w:rsidRPr="00F059DD">
        <w:rPr>
          <w:noProof/>
          <w:sz w:val="20"/>
        </w:rPr>
        <w:t>w mln EUR (do trzech miejsc po przecinku)</w:t>
      </w:r>
    </w:p>
    <w:tbl>
      <w:tblPr>
        <w:tblW w:w="13140" w:type="dxa"/>
        <w:tblInd w:w="118" w:type="dxa"/>
        <w:tblLook w:val="04A0" w:firstRow="1" w:lastRow="0" w:firstColumn="1" w:lastColumn="0" w:noHBand="0" w:noVBand="1"/>
      </w:tblPr>
      <w:tblGrid>
        <w:gridCol w:w="5180"/>
        <w:gridCol w:w="1920"/>
        <w:gridCol w:w="1160"/>
        <w:gridCol w:w="1160"/>
        <w:gridCol w:w="1160"/>
        <w:gridCol w:w="1160"/>
        <w:gridCol w:w="1400"/>
      </w:tblGrid>
      <w:tr w:rsidR="00096239" w:rsidRPr="00F059DD" w:rsidTr="005049BA">
        <w:trPr>
          <w:trHeight w:val="288"/>
        </w:trPr>
        <w:tc>
          <w:tcPr>
            <w:tcW w:w="71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Cs w:val="24"/>
              </w:rPr>
            </w:pPr>
            <w:r w:rsidRPr="00F059DD">
              <w:rPr>
                <w:noProof/>
              </w:rPr>
              <w:t xml:space="preserve">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OGÓŁEM WRF 2021–2027</w:t>
            </w:r>
          </w:p>
        </w:tc>
      </w:tr>
      <w:tr w:rsidR="00096239" w:rsidRPr="00F059DD" w:rsidTr="005049BA">
        <w:trPr>
          <w:trHeight w:val="300"/>
        </w:trPr>
        <w:tc>
          <w:tcPr>
            <w:tcW w:w="71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Cs w:val="24"/>
                <w:lang w:eastAsia="en-I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20"/>
                <w:szCs w:val="20"/>
                <w:lang w:eastAsia="en-IE"/>
              </w:rPr>
            </w:pPr>
          </w:p>
        </w:tc>
      </w:tr>
      <w:tr w:rsidR="00096239" w:rsidRPr="00F059DD" w:rsidTr="005049BA">
        <w:trPr>
          <w:trHeight w:val="564"/>
        </w:trPr>
        <w:tc>
          <w:tcPr>
            <w:tcW w:w="5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 xml:space="preserve">OGÓŁEM środki na DZIAŁY </w:t>
            </w:r>
            <w:r w:rsidRPr="00660A3E">
              <w:rPr>
                <w:b/>
                <w:noProof/>
                <w:sz w:val="22"/>
              </w:rPr>
              <w:t>od</w:t>
            </w:r>
            <w:r w:rsidR="00660A3E" w:rsidRPr="00660A3E">
              <w:rPr>
                <w:b/>
                <w:noProof/>
                <w:sz w:val="22"/>
              </w:rPr>
              <w:t> </w:t>
            </w:r>
            <w:r w:rsidRPr="00660A3E">
              <w:rPr>
                <w:b/>
                <w:noProof/>
                <w:sz w:val="22"/>
              </w:rPr>
              <w:t>1</w:t>
            </w:r>
            <w:r w:rsidRPr="00F059DD">
              <w:rPr>
                <w:b/>
                <w:noProof/>
                <w:sz w:val="22"/>
              </w:rPr>
              <w:t xml:space="preserve"> </w:t>
            </w:r>
            <w:r w:rsidRPr="00660A3E">
              <w:rPr>
                <w:b/>
                <w:noProof/>
                <w:sz w:val="22"/>
              </w:rPr>
              <w:t>do</w:t>
            </w:r>
            <w:r w:rsidR="00660A3E" w:rsidRPr="00660A3E">
              <w:rPr>
                <w:b/>
                <w:noProof/>
                <w:sz w:val="22"/>
              </w:rPr>
              <w:t> </w:t>
            </w:r>
            <w:r w:rsidRPr="00660A3E">
              <w:rPr>
                <w:b/>
                <w:noProof/>
                <w:sz w:val="22"/>
              </w:rPr>
              <w:t>7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Zobowiązania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</w:tr>
      <w:tr w:rsidR="00096239" w:rsidRPr="00F059DD" w:rsidTr="005049BA">
        <w:trPr>
          <w:trHeight w:val="540"/>
        </w:trPr>
        <w:tc>
          <w:tcPr>
            <w:tcW w:w="5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2"/>
              </w:rPr>
            </w:pPr>
            <w:r w:rsidRPr="00F059DD">
              <w:rPr>
                <w:noProof/>
                <w:sz w:val="22"/>
              </w:rPr>
              <w:t>wieloletnich ram finansowych</w:t>
            </w:r>
            <w:r w:rsidRPr="00F059DD">
              <w:rPr>
                <w:b/>
                <w:noProof/>
                <w:sz w:val="22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Środki na płatności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Cs w:val="24"/>
              </w:rPr>
            </w:pPr>
            <w:r w:rsidRPr="00F059DD">
              <w:rPr>
                <w:b/>
                <w:noProof/>
              </w:rPr>
              <w:t>0,000</w:t>
            </w:r>
          </w:p>
        </w:tc>
      </w:tr>
    </w:tbl>
    <w:p w:rsidR="00096239" w:rsidRPr="00F059DD" w:rsidRDefault="00096239" w:rsidP="00096239">
      <w:pPr>
        <w:pStyle w:val="ManualHeading3"/>
        <w:rPr>
          <w:bCs/>
          <w:noProof/>
          <w:szCs w:val="24"/>
        </w:rPr>
      </w:pPr>
      <w:bookmarkStart w:id="143" w:name="_Toc514938054"/>
      <w:bookmarkStart w:id="144" w:name="_Toc520485053"/>
      <w:bookmarkStart w:id="145" w:name="_Toc160804597"/>
      <w:bookmarkStart w:id="146" w:name="_Toc167220289"/>
      <w:bookmarkStart w:id="147" w:name="_Toc177549022"/>
      <w:r w:rsidRPr="00F059DD">
        <w:rPr>
          <w:noProof/>
        </w:rPr>
        <w:t>3.2.2.</w:t>
      </w:r>
      <w:r w:rsidRPr="00F059DD">
        <w:rPr>
          <w:noProof/>
        </w:rPr>
        <w:tab/>
        <w:t>Szacowany produkt finansowany ze środków operacyjnych</w:t>
      </w:r>
      <w:bookmarkEnd w:id="143"/>
      <w:bookmarkEnd w:id="144"/>
      <w:r w:rsidRPr="00F059DD">
        <w:rPr>
          <w:noProof/>
        </w:rPr>
        <w:t xml:space="preserve"> (nie wypełniać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prz</w:t>
      </w:r>
      <w:r w:rsidRPr="00F059DD">
        <w:rPr>
          <w:noProof/>
        </w:rPr>
        <w:t>ypadku agencji zdecentralizowanych)</w:t>
      </w:r>
      <w:bookmarkEnd w:id="145"/>
      <w:bookmarkEnd w:id="146"/>
      <w:bookmarkEnd w:id="147"/>
    </w:p>
    <w:p w:rsidR="00096239" w:rsidRPr="00F059DD" w:rsidRDefault="00096239" w:rsidP="00096239">
      <w:pPr>
        <w:jc w:val="right"/>
        <w:rPr>
          <w:noProof/>
          <w:sz w:val="20"/>
        </w:rPr>
      </w:pPr>
      <w:r w:rsidRPr="00F059DD">
        <w:rPr>
          <w:noProof/>
          <w:sz w:val="20"/>
        </w:rPr>
        <w:t>Środki na zobowiązania</w:t>
      </w:r>
      <w:r w:rsidR="00660A3E" w:rsidRPr="00F059DD">
        <w:rPr>
          <w:noProof/>
          <w:sz w:val="20"/>
        </w:rPr>
        <w:t xml:space="preserve"> w</w:t>
      </w:r>
      <w:r w:rsidR="00660A3E">
        <w:rPr>
          <w:noProof/>
          <w:sz w:val="20"/>
        </w:rPr>
        <w:t> </w:t>
      </w:r>
      <w:r w:rsidR="00660A3E" w:rsidRPr="00F059DD">
        <w:rPr>
          <w:noProof/>
          <w:sz w:val="20"/>
        </w:rPr>
        <w:t>mln</w:t>
      </w:r>
      <w:r w:rsidRPr="00F059DD">
        <w:rPr>
          <w:noProof/>
          <w:sz w:val="20"/>
        </w:rPr>
        <w:t xml:space="preserve"> EUR (do trzech miejsc po przecinku)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720"/>
        <w:gridCol w:w="701"/>
        <w:gridCol w:w="504"/>
        <w:gridCol w:w="720"/>
        <w:gridCol w:w="540"/>
        <w:gridCol w:w="720"/>
        <w:gridCol w:w="720"/>
        <w:gridCol w:w="720"/>
        <w:gridCol w:w="900"/>
        <w:gridCol w:w="51"/>
        <w:gridCol w:w="669"/>
        <w:gridCol w:w="540"/>
        <w:gridCol w:w="648"/>
        <w:gridCol w:w="432"/>
        <w:gridCol w:w="720"/>
        <w:gridCol w:w="540"/>
        <w:gridCol w:w="720"/>
        <w:gridCol w:w="720"/>
        <w:gridCol w:w="900"/>
      </w:tblGrid>
      <w:tr w:rsidR="00096239" w:rsidRPr="00F059DD" w:rsidTr="00624AF6">
        <w:trPr>
          <w:jc w:val="center"/>
        </w:trPr>
        <w:tc>
          <w:tcPr>
            <w:tcW w:w="1423" w:type="dxa"/>
            <w:vMerge w:val="restart"/>
            <w:vAlign w:val="center"/>
          </w:tcPr>
          <w:p w:rsidR="00096239" w:rsidRPr="00F059DD" w:rsidRDefault="00096239" w:rsidP="00624AF6">
            <w:pPr>
              <w:ind w:right="-29"/>
              <w:jc w:val="center"/>
              <w:rPr>
                <w:b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Określić cele</w:t>
            </w:r>
            <w:r w:rsidR="00660A3E" w:rsidRPr="00F059DD">
              <w:rPr>
                <w:b/>
                <w:noProof/>
                <w:sz w:val="18"/>
              </w:rPr>
              <w:t xml:space="preserve"> i</w:t>
            </w:r>
            <w:r w:rsidR="00660A3E">
              <w:rPr>
                <w:b/>
                <w:noProof/>
                <w:sz w:val="18"/>
              </w:rPr>
              <w:t> </w:t>
            </w:r>
            <w:r w:rsidR="00660A3E" w:rsidRPr="00F059DD">
              <w:rPr>
                <w:b/>
                <w:noProof/>
                <w:sz w:val="18"/>
              </w:rPr>
              <w:t>pro</w:t>
            </w:r>
            <w:r w:rsidRPr="00F059DD">
              <w:rPr>
                <w:b/>
                <w:noProof/>
                <w:sz w:val="18"/>
              </w:rPr>
              <w:t xml:space="preserve">dukty </w:t>
            </w:r>
          </w:p>
          <w:p w:rsidR="00096239" w:rsidRPr="00F059DD" w:rsidRDefault="00096239" w:rsidP="00624AF6">
            <w:pPr>
              <w:ind w:right="-29"/>
              <w:jc w:val="center"/>
              <w:rPr>
                <w:b/>
                <w:noProof/>
                <w:sz w:val="18"/>
                <w:szCs w:val="18"/>
              </w:rPr>
            </w:pPr>
          </w:p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rFonts w:ascii="Wingdings" w:hAnsi="Wingdings"/>
                <w:noProof/>
                <w:sz w:val="18"/>
              </w:rPr>
              <w:t></w:t>
            </w:r>
          </w:p>
        </w:tc>
        <w:tc>
          <w:tcPr>
            <w:tcW w:w="720" w:type="dxa"/>
            <w:vAlign w:val="center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tcBorders>
              <w:left w:val="nil"/>
            </w:tcBorders>
            <w:vAlign w:val="center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Ro</w:t>
            </w:r>
            <w:r w:rsidRPr="00660A3E">
              <w:rPr>
                <w:noProof/>
                <w:sz w:val="18"/>
              </w:rPr>
              <w:t>k</w:t>
            </w:r>
            <w:r w:rsidR="00660A3E" w:rsidRPr="00660A3E">
              <w:rPr>
                <w:noProof/>
                <w:sz w:val="18"/>
              </w:rPr>
              <w:t xml:space="preserve"> </w:t>
            </w:r>
            <w:r w:rsidRPr="00660A3E">
              <w:rPr>
                <w:noProof/>
              </w:rPr>
              <w:br/>
            </w:r>
            <w:r w:rsidRPr="00F059DD">
              <w:rPr>
                <w:b/>
                <w:noProof/>
                <w:sz w:val="18"/>
              </w:rPr>
              <w:t>2024</w:t>
            </w:r>
          </w:p>
        </w:tc>
        <w:tc>
          <w:tcPr>
            <w:tcW w:w="1260" w:type="dxa"/>
            <w:gridSpan w:val="2"/>
            <w:vAlign w:val="center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Ro</w:t>
            </w:r>
            <w:r w:rsidRPr="00660A3E">
              <w:rPr>
                <w:noProof/>
                <w:sz w:val="18"/>
              </w:rPr>
              <w:t>k</w:t>
            </w:r>
            <w:r w:rsidR="00660A3E" w:rsidRPr="00660A3E">
              <w:rPr>
                <w:noProof/>
                <w:sz w:val="18"/>
              </w:rPr>
              <w:t xml:space="preserve"> </w:t>
            </w:r>
            <w:r w:rsidRPr="00660A3E">
              <w:rPr>
                <w:noProof/>
              </w:rPr>
              <w:br/>
            </w:r>
            <w:r w:rsidRPr="00F059DD">
              <w:rPr>
                <w:b/>
                <w:noProof/>
                <w:sz w:val="18"/>
              </w:rPr>
              <w:t>2025</w:t>
            </w:r>
          </w:p>
        </w:tc>
        <w:tc>
          <w:tcPr>
            <w:tcW w:w="1440" w:type="dxa"/>
            <w:gridSpan w:val="2"/>
            <w:vAlign w:val="center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Ro</w:t>
            </w:r>
            <w:r w:rsidRPr="00660A3E">
              <w:rPr>
                <w:noProof/>
                <w:sz w:val="18"/>
              </w:rPr>
              <w:t>k</w:t>
            </w:r>
            <w:r w:rsidR="00660A3E" w:rsidRPr="00660A3E">
              <w:rPr>
                <w:noProof/>
                <w:sz w:val="18"/>
              </w:rPr>
              <w:t xml:space="preserve"> </w:t>
            </w:r>
            <w:r w:rsidRPr="00660A3E">
              <w:rPr>
                <w:noProof/>
              </w:rPr>
              <w:br/>
            </w:r>
            <w:r w:rsidRPr="00F059DD">
              <w:rPr>
                <w:b/>
                <w:noProof/>
                <w:sz w:val="18"/>
              </w:rPr>
              <w:t>2026</w:t>
            </w:r>
          </w:p>
        </w:tc>
        <w:tc>
          <w:tcPr>
            <w:tcW w:w="1620" w:type="dxa"/>
            <w:gridSpan w:val="3"/>
            <w:vAlign w:val="center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Ro</w:t>
            </w:r>
            <w:r w:rsidRPr="00660A3E">
              <w:rPr>
                <w:noProof/>
                <w:sz w:val="18"/>
              </w:rPr>
              <w:t>k</w:t>
            </w:r>
            <w:r w:rsidR="00660A3E" w:rsidRPr="00660A3E">
              <w:rPr>
                <w:noProof/>
                <w:sz w:val="18"/>
              </w:rPr>
              <w:t xml:space="preserve"> </w:t>
            </w:r>
            <w:r w:rsidRPr="00660A3E">
              <w:rPr>
                <w:noProof/>
              </w:rPr>
              <w:br/>
            </w:r>
            <w:r w:rsidRPr="00F059DD">
              <w:rPr>
                <w:b/>
                <w:noProof/>
                <w:sz w:val="18"/>
              </w:rPr>
              <w:t>2027</w:t>
            </w:r>
          </w:p>
        </w:tc>
        <w:tc>
          <w:tcPr>
            <w:tcW w:w="3600" w:type="dxa"/>
            <w:gridSpan w:val="6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Wprowadzić taką liczbę kolumn dla poszczególnych lat, jaka jest niezbędna, by odzwierciedlić cały okres wpływu (por. sekcja 1.6)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</w:tcBorders>
            <w:vAlign w:val="center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OGÓŁEM</w:t>
            </w:r>
          </w:p>
        </w:tc>
      </w:tr>
      <w:tr w:rsidR="00096239" w:rsidRPr="00F059DD" w:rsidTr="00624AF6">
        <w:trPr>
          <w:jc w:val="center"/>
        </w:trPr>
        <w:tc>
          <w:tcPr>
            <w:tcW w:w="1423" w:type="dxa"/>
            <w:vMerge/>
            <w:vAlign w:val="center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185" w:type="dxa"/>
            <w:gridSpan w:val="19"/>
            <w:vAlign w:val="center"/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PRODUKT</w:t>
            </w:r>
          </w:p>
        </w:tc>
      </w:tr>
      <w:tr w:rsidR="00096239" w:rsidRPr="00F059DD" w:rsidTr="00624AF6">
        <w:trPr>
          <w:cantSplit/>
          <w:trHeight w:val="1134"/>
          <w:jc w:val="center"/>
        </w:trPr>
        <w:tc>
          <w:tcPr>
            <w:tcW w:w="1423" w:type="dxa"/>
            <w:vMerge/>
            <w:vAlign w:val="center"/>
          </w:tcPr>
          <w:p w:rsidR="00096239" w:rsidRPr="00F059DD" w:rsidRDefault="00096239" w:rsidP="00624AF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Rodzaj</w:t>
            </w:r>
            <w:r w:rsidRPr="00F059DD">
              <w:rPr>
                <w:rStyle w:val="FootnoteReference"/>
                <w:noProof/>
                <w:sz w:val="18"/>
              </w:rPr>
              <w:footnoteReference w:id="20"/>
            </w:r>
          </w:p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Średni koszt</w:t>
            </w:r>
          </w:p>
        </w:tc>
        <w:tc>
          <w:tcPr>
            <w:tcW w:w="504" w:type="dxa"/>
            <w:tcBorders>
              <w:left w:val="nil"/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096239" w:rsidRPr="00F059DD" w:rsidRDefault="00096239" w:rsidP="00624AF6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Liczba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Koszt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096239" w:rsidRPr="00F059DD" w:rsidRDefault="00096239" w:rsidP="00624AF6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Liczba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Koszt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096239" w:rsidRPr="00F059DD" w:rsidRDefault="00096239" w:rsidP="00624AF6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Liczba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Koszt</w:t>
            </w:r>
          </w:p>
        </w:tc>
        <w:tc>
          <w:tcPr>
            <w:tcW w:w="900" w:type="dxa"/>
            <w:tcBorders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096239" w:rsidRPr="00F059DD" w:rsidRDefault="00096239" w:rsidP="00624AF6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Liczba</w:t>
            </w:r>
          </w:p>
        </w:tc>
        <w:tc>
          <w:tcPr>
            <w:tcW w:w="720" w:type="dxa"/>
            <w:gridSpan w:val="2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Koszt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096239" w:rsidRPr="00F059DD" w:rsidRDefault="00096239" w:rsidP="00624AF6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Liczba</w:t>
            </w:r>
          </w:p>
        </w:tc>
        <w:tc>
          <w:tcPr>
            <w:tcW w:w="648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Koszt</w:t>
            </w:r>
          </w:p>
        </w:tc>
        <w:tc>
          <w:tcPr>
            <w:tcW w:w="432" w:type="dxa"/>
            <w:tcBorders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096239" w:rsidRPr="00F059DD" w:rsidRDefault="00096239" w:rsidP="00624AF6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Liczba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Koszt</w:t>
            </w:r>
          </w:p>
        </w:tc>
        <w:tc>
          <w:tcPr>
            <w:tcW w:w="540" w:type="dxa"/>
            <w:tcBorders>
              <w:right w:val="dashSmallGap" w:sz="4" w:space="0" w:color="auto"/>
            </w:tcBorders>
            <w:shd w:val="pct10" w:color="auto" w:fill="auto"/>
            <w:textDirection w:val="btLr"/>
            <w:vAlign w:val="center"/>
          </w:tcPr>
          <w:p w:rsidR="00096239" w:rsidRPr="00F059DD" w:rsidRDefault="00096239" w:rsidP="00624AF6">
            <w:pPr>
              <w:ind w:left="113" w:right="113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Liczba</w:t>
            </w:r>
          </w:p>
        </w:tc>
        <w:tc>
          <w:tcPr>
            <w:tcW w:w="720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Koszt</w:t>
            </w:r>
          </w:p>
        </w:tc>
        <w:tc>
          <w:tcPr>
            <w:tcW w:w="720" w:type="dxa"/>
            <w:tcBorders>
              <w:right w:val="dashSmallGap" w:sz="4" w:space="0" w:color="auto"/>
            </w:tcBorders>
            <w:shd w:val="pct10" w:color="auto" w:fill="auto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Liczba ogółem</w:t>
            </w:r>
          </w:p>
        </w:tc>
        <w:tc>
          <w:tcPr>
            <w:tcW w:w="900" w:type="dxa"/>
            <w:tcBorders>
              <w:left w:val="dashSmallGap" w:sz="4" w:space="0" w:color="auto"/>
            </w:tcBorders>
            <w:shd w:val="pct10" w:color="auto" w:fill="auto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Koszt całkowity</w:t>
            </w:r>
          </w:p>
        </w:tc>
      </w:tr>
      <w:tr w:rsidR="00096239" w:rsidRPr="00F059DD" w:rsidTr="00624AF6">
        <w:trPr>
          <w:jc w:val="center"/>
        </w:trPr>
        <w:tc>
          <w:tcPr>
            <w:tcW w:w="2844" w:type="dxa"/>
            <w:gridSpan w:val="3"/>
            <w:vAlign w:val="center"/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 xml:space="preserve">CEL SZCZEGÓŁOWY </w:t>
            </w:r>
            <w:r w:rsidRPr="00660A3E">
              <w:rPr>
                <w:noProof/>
                <w:sz w:val="18"/>
              </w:rPr>
              <w:t>nr</w:t>
            </w:r>
            <w:r w:rsidR="00660A3E" w:rsidRPr="00660A3E">
              <w:rPr>
                <w:noProof/>
                <w:sz w:val="18"/>
              </w:rPr>
              <w:t> </w:t>
            </w:r>
            <w:r w:rsidRPr="00660A3E">
              <w:rPr>
                <w:noProof/>
                <w:sz w:val="18"/>
              </w:rPr>
              <w:t>1</w:t>
            </w:r>
            <w:r w:rsidRPr="00F059DD">
              <w:rPr>
                <w:rStyle w:val="FootnoteReference"/>
                <w:noProof/>
                <w:sz w:val="18"/>
              </w:rPr>
              <w:footnoteReference w:id="21"/>
            </w:r>
            <w:r w:rsidRPr="00F059DD">
              <w:rPr>
                <w:noProof/>
                <w:sz w:val="18"/>
              </w:rPr>
              <w:t>...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096239" w:rsidRPr="00F059DD" w:rsidTr="00624AF6">
        <w:trPr>
          <w:trHeight w:hRule="exact" w:val="369"/>
          <w:jc w:val="center"/>
        </w:trPr>
        <w:tc>
          <w:tcPr>
            <w:tcW w:w="1423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- Produkt</w:t>
            </w: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096239" w:rsidRPr="00F059DD" w:rsidTr="00624AF6">
        <w:trPr>
          <w:trHeight w:hRule="exact" w:val="369"/>
          <w:jc w:val="center"/>
        </w:trPr>
        <w:tc>
          <w:tcPr>
            <w:tcW w:w="1423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- Produkt</w:t>
            </w: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096239" w:rsidRPr="00F059DD" w:rsidTr="00624AF6">
        <w:trPr>
          <w:trHeight w:hRule="exact" w:val="369"/>
          <w:jc w:val="center"/>
        </w:trPr>
        <w:tc>
          <w:tcPr>
            <w:tcW w:w="1423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- Produkt</w:t>
            </w: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096239" w:rsidRPr="00F059DD" w:rsidTr="00624AF6">
        <w:trPr>
          <w:trHeight w:val="77"/>
          <w:jc w:val="center"/>
        </w:trPr>
        <w:tc>
          <w:tcPr>
            <w:tcW w:w="2844" w:type="dxa"/>
            <w:gridSpan w:val="3"/>
            <w:tcBorders>
              <w:bottom w:val="single" w:sz="12" w:space="0" w:color="auto"/>
            </w:tcBorders>
            <w:vAlign w:val="center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 xml:space="preserve">Cel szczegółowy </w:t>
            </w:r>
            <w:r w:rsidRPr="00660A3E">
              <w:rPr>
                <w:noProof/>
                <w:sz w:val="18"/>
              </w:rPr>
              <w:t>nr</w:t>
            </w:r>
            <w:r w:rsidR="00660A3E" w:rsidRPr="00660A3E">
              <w:rPr>
                <w:noProof/>
                <w:sz w:val="18"/>
              </w:rPr>
              <w:t> </w:t>
            </w:r>
            <w:r w:rsidRPr="00660A3E">
              <w:rPr>
                <w:noProof/>
                <w:sz w:val="18"/>
              </w:rPr>
              <w:t>1</w:t>
            </w:r>
            <w:r w:rsidRPr="00F059DD">
              <w:rPr>
                <w:noProof/>
                <w:sz w:val="18"/>
              </w:rPr>
              <w:t xml:space="preserve"> – suma cząstkowa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096239" w:rsidRPr="00F059DD" w:rsidTr="00624AF6">
        <w:trPr>
          <w:jc w:val="center"/>
        </w:trPr>
        <w:tc>
          <w:tcPr>
            <w:tcW w:w="2844" w:type="dxa"/>
            <w:gridSpan w:val="3"/>
            <w:vAlign w:val="center"/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 xml:space="preserve">CEL SZCZEGÓŁOWY </w:t>
            </w:r>
            <w:r w:rsidRPr="00660A3E">
              <w:rPr>
                <w:noProof/>
                <w:sz w:val="18"/>
              </w:rPr>
              <w:t>nr</w:t>
            </w:r>
            <w:r w:rsidR="00660A3E" w:rsidRPr="00660A3E">
              <w:rPr>
                <w:noProof/>
                <w:sz w:val="18"/>
              </w:rPr>
              <w:t> </w:t>
            </w:r>
            <w:r w:rsidRPr="00660A3E">
              <w:rPr>
                <w:noProof/>
                <w:sz w:val="18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6239" w:rsidRPr="00F059DD" w:rsidRDefault="00096239" w:rsidP="00624AF6">
            <w:pPr>
              <w:spacing w:before="60" w:after="6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096239" w:rsidRPr="00F059DD" w:rsidTr="00624AF6">
        <w:trPr>
          <w:trHeight w:hRule="exact" w:val="369"/>
          <w:jc w:val="center"/>
        </w:trPr>
        <w:tc>
          <w:tcPr>
            <w:tcW w:w="1423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- Produkt</w:t>
            </w: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1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04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096239" w:rsidRPr="00F059DD" w:rsidTr="00624AF6">
        <w:trPr>
          <w:jc w:val="center"/>
        </w:trPr>
        <w:tc>
          <w:tcPr>
            <w:tcW w:w="2844" w:type="dxa"/>
            <w:gridSpan w:val="3"/>
            <w:tcBorders>
              <w:bottom w:val="single" w:sz="12" w:space="0" w:color="auto"/>
            </w:tcBorders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 xml:space="preserve">Cel szczegółowy </w:t>
            </w:r>
            <w:r w:rsidRPr="00660A3E">
              <w:rPr>
                <w:noProof/>
                <w:sz w:val="18"/>
              </w:rPr>
              <w:t>nr</w:t>
            </w:r>
            <w:r w:rsidR="00660A3E" w:rsidRPr="00660A3E">
              <w:rPr>
                <w:noProof/>
                <w:sz w:val="18"/>
              </w:rPr>
              <w:t> </w:t>
            </w:r>
            <w:r w:rsidRPr="00660A3E">
              <w:rPr>
                <w:noProof/>
                <w:sz w:val="18"/>
              </w:rPr>
              <w:t>2</w:t>
            </w:r>
            <w:r w:rsidRPr="00F059DD">
              <w:rPr>
                <w:noProof/>
                <w:sz w:val="18"/>
              </w:rPr>
              <w:t xml:space="preserve"> – suma cząstkowa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  <w:tr w:rsidR="00096239" w:rsidRPr="00F059DD" w:rsidTr="00624AF6">
        <w:trPr>
          <w:jc w:val="center"/>
        </w:trPr>
        <w:tc>
          <w:tcPr>
            <w:tcW w:w="2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6239" w:rsidRPr="00F059DD" w:rsidRDefault="00096239" w:rsidP="00624AF6">
            <w:pPr>
              <w:ind w:right="-29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OGÓŁEM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6239" w:rsidRPr="00F059DD" w:rsidRDefault="00096239" w:rsidP="00624AF6">
            <w:pPr>
              <w:spacing w:before="180" w:after="180"/>
              <w:ind w:right="-29"/>
              <w:jc w:val="center"/>
              <w:rPr>
                <w:noProof/>
                <w:sz w:val="18"/>
                <w:szCs w:val="18"/>
              </w:rPr>
            </w:pPr>
          </w:p>
        </w:tc>
      </w:tr>
    </w:tbl>
    <w:p w:rsidR="00096239" w:rsidRPr="00F059DD" w:rsidRDefault="00096239" w:rsidP="00096239">
      <w:pPr>
        <w:rPr>
          <w:noProof/>
        </w:rPr>
        <w:sectPr w:rsidR="00096239" w:rsidRPr="00F059DD" w:rsidSect="00086F5F">
          <w:headerReference w:type="default" r:id="rId20"/>
          <w:footerReference w:type="default" r:id="rId21"/>
          <w:pgSz w:w="16840" w:h="11907" w:orient="landscape" w:code="9"/>
          <w:pgMar w:top="1134" w:right="1418" w:bottom="567" w:left="1418" w:header="709" w:footer="709" w:gutter="0"/>
          <w:cols w:space="708"/>
          <w:docGrid w:linePitch="360"/>
        </w:sectPr>
      </w:pPr>
    </w:p>
    <w:p w:rsidR="00096239" w:rsidRPr="00F059DD" w:rsidRDefault="00096239" w:rsidP="00096239">
      <w:pPr>
        <w:pStyle w:val="ManualHeading3"/>
        <w:rPr>
          <w:bCs/>
          <w:noProof/>
          <w:szCs w:val="24"/>
        </w:rPr>
      </w:pPr>
      <w:bookmarkStart w:id="148" w:name="_Toc514938055"/>
      <w:bookmarkStart w:id="149" w:name="_Toc520485054"/>
      <w:bookmarkStart w:id="150" w:name="_Toc160804598"/>
      <w:bookmarkStart w:id="151" w:name="_Toc167220290"/>
      <w:bookmarkStart w:id="152" w:name="_Toc177549023"/>
      <w:r w:rsidRPr="00F059DD">
        <w:rPr>
          <w:noProof/>
        </w:rPr>
        <w:t>3.2.3.</w:t>
      </w:r>
      <w:r w:rsidRPr="00F059DD">
        <w:rPr>
          <w:noProof/>
        </w:rPr>
        <w:tab/>
        <w:t>Podsumowanie szacunkowego wpływu na środki administracyjne</w:t>
      </w:r>
      <w:bookmarkEnd w:id="148"/>
      <w:bookmarkEnd w:id="149"/>
      <w:bookmarkEnd w:id="150"/>
      <w:bookmarkEnd w:id="151"/>
      <w:bookmarkEnd w:id="152"/>
      <w:r w:rsidRPr="00F059DD">
        <w:rPr>
          <w:noProof/>
        </w:rPr>
        <w:t xml:space="preserve"> 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rFonts w:ascii="Wingdings" w:hAnsi="Wingdings"/>
          <w:noProof/>
        </w:rPr>
        <w:t></w:t>
      </w:r>
      <w:r w:rsidRPr="00F059DD">
        <w:rPr>
          <w:noProof/>
        </w:rPr>
        <w:tab/>
        <w:t>Wniosek/inicjatywa nie wiąże się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kon</w:t>
      </w:r>
      <w:r w:rsidRPr="00F059DD">
        <w:rPr>
          <w:noProof/>
        </w:rPr>
        <w:t xml:space="preserve">iecznością wykorzystania środków administracyjnych 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ab/>
        <w:t>Wniosek/inicjatywa wiąże się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kon</w:t>
      </w:r>
      <w:r w:rsidRPr="00F059DD">
        <w:rPr>
          <w:noProof/>
        </w:rPr>
        <w:t>iecznością wykorzystania środków administracyjnych, jak określono poniżej</w:t>
      </w:r>
    </w:p>
    <w:p w:rsidR="00096239" w:rsidRPr="00F059DD" w:rsidRDefault="00096239" w:rsidP="00096239">
      <w:pPr>
        <w:pStyle w:val="ManualHeading3"/>
        <w:rPr>
          <w:noProof/>
        </w:rPr>
      </w:pPr>
      <w:bookmarkStart w:id="153" w:name="_Toc167220291"/>
      <w:bookmarkStart w:id="154" w:name="_Toc177549024"/>
      <w:r w:rsidRPr="00F059DD">
        <w:rPr>
          <w:noProof/>
        </w:rPr>
        <w:t>3.2.3.1. Środki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uch</w:t>
      </w:r>
      <w:r w:rsidRPr="00F059DD">
        <w:rPr>
          <w:noProof/>
        </w:rPr>
        <w:t>walonego budżetu</w:t>
      </w:r>
      <w:bookmarkEnd w:id="153"/>
      <w:bookmarkEnd w:id="154"/>
    </w:p>
    <w:tbl>
      <w:tblPr>
        <w:tblW w:w="5000" w:type="pct"/>
        <w:tblLook w:val="04A0" w:firstRow="1" w:lastRow="0" w:firstColumn="1" w:lastColumn="0" w:noHBand="0" w:noVBand="1"/>
      </w:tblPr>
      <w:tblGrid>
        <w:gridCol w:w="4026"/>
        <w:gridCol w:w="1027"/>
        <w:gridCol w:w="1027"/>
        <w:gridCol w:w="1027"/>
        <w:gridCol w:w="1027"/>
        <w:gridCol w:w="1153"/>
      </w:tblGrid>
      <w:tr w:rsidR="00096239" w:rsidRPr="00F059DD" w:rsidTr="005049BA">
        <w:trPr>
          <w:trHeight w:val="300"/>
        </w:trPr>
        <w:tc>
          <w:tcPr>
            <w:tcW w:w="21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ZATWIERDZONE ŚRODKI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Rok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Rok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Rok</w:t>
            </w:r>
          </w:p>
        </w:tc>
        <w:tc>
          <w:tcPr>
            <w:tcW w:w="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Rok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OGÓŁEM 2021–2027</w:t>
            </w:r>
          </w:p>
        </w:tc>
      </w:tr>
      <w:tr w:rsidR="00096239" w:rsidRPr="00F059DD" w:rsidTr="005049BA">
        <w:trPr>
          <w:trHeight w:val="300"/>
        </w:trPr>
        <w:tc>
          <w:tcPr>
            <w:tcW w:w="21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  <w:lang w:eastAsia="en-IE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2024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2025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2026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2027</w:t>
            </w:r>
          </w:p>
        </w:tc>
        <w:tc>
          <w:tcPr>
            <w:tcW w:w="6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  <w:lang w:eastAsia="en-IE"/>
              </w:rPr>
            </w:pPr>
          </w:p>
        </w:tc>
      </w:tr>
      <w:tr w:rsidR="00096239" w:rsidRPr="00F059DD" w:rsidTr="005049BA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DZIAŁ 7</w:t>
            </w:r>
          </w:p>
        </w:tc>
      </w:tr>
      <w:tr w:rsidR="00096239" w:rsidRPr="00F059DD" w:rsidTr="005049BA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 xml:space="preserve">Zasoby ludzkie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 xml:space="preserve">Pozostałe wydatki administracyjne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</w:tr>
      <w:tr w:rsidR="00096239" w:rsidRPr="00F059DD" w:rsidTr="00624AF6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Suma cząstkowa DZIAŁU 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Poza DZIAŁEM 7</w:t>
            </w:r>
          </w:p>
        </w:tc>
      </w:tr>
      <w:tr w:rsidR="00096239" w:rsidRPr="00F059DD" w:rsidTr="005049BA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 xml:space="preserve">Zasoby ludzkie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Pozostałe wydatki</w:t>
            </w:r>
            <w:r w:rsidR="00660A3E" w:rsidRPr="00F059DD">
              <w:rPr>
                <w:noProof/>
                <w:sz w:val="16"/>
              </w:rPr>
              <w:t xml:space="preserve"> o</w:t>
            </w:r>
            <w:r w:rsidR="00660A3E">
              <w:rPr>
                <w:noProof/>
                <w:sz w:val="16"/>
              </w:rPr>
              <w:t> </w:t>
            </w:r>
            <w:r w:rsidR="00660A3E" w:rsidRPr="00F059DD">
              <w:rPr>
                <w:noProof/>
                <w:sz w:val="16"/>
              </w:rPr>
              <w:t>cha</w:t>
            </w:r>
            <w:r w:rsidRPr="00F059DD">
              <w:rPr>
                <w:noProof/>
                <w:sz w:val="16"/>
              </w:rPr>
              <w:t>rakterze administracyjnym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</w:tr>
      <w:tr w:rsidR="00096239" w:rsidRPr="00F059DD" w:rsidTr="00624AF6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Suma cząstkowa poza DZIAŁEM 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</w:tr>
      <w:tr w:rsidR="00096239" w:rsidRPr="00F059DD" w:rsidTr="005049BA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 xml:space="preserve"> </w:t>
            </w:r>
          </w:p>
        </w:tc>
      </w:tr>
      <w:tr w:rsidR="00096239" w:rsidRPr="00F059DD" w:rsidTr="005049BA">
        <w:trPr>
          <w:trHeight w:val="300"/>
        </w:trPr>
        <w:tc>
          <w:tcPr>
            <w:tcW w:w="2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OGÓŁEM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</w:tr>
    </w:tbl>
    <w:p w:rsidR="00096239" w:rsidRPr="00F059DD" w:rsidRDefault="00096239" w:rsidP="00096239">
      <w:pPr>
        <w:rPr>
          <w:noProof/>
          <w:sz w:val="22"/>
          <w:szCs w:val="28"/>
        </w:rPr>
      </w:pPr>
      <w:r w:rsidRPr="00F059DD">
        <w:rPr>
          <w:noProof/>
          <w:sz w:val="22"/>
        </w:rPr>
        <w:t>Potrzeby</w:t>
      </w:r>
      <w:r w:rsidR="00660A3E" w:rsidRPr="00F059DD">
        <w:rPr>
          <w:noProof/>
          <w:sz w:val="22"/>
        </w:rPr>
        <w:t xml:space="preserve"> w</w:t>
      </w:r>
      <w:r w:rsidR="00660A3E">
        <w:rPr>
          <w:noProof/>
          <w:sz w:val="22"/>
        </w:rPr>
        <w:t> </w:t>
      </w:r>
      <w:r w:rsidR="00660A3E" w:rsidRPr="00F059DD">
        <w:rPr>
          <w:noProof/>
          <w:sz w:val="22"/>
        </w:rPr>
        <w:t>zak</w:t>
      </w:r>
      <w:r w:rsidRPr="00F059DD">
        <w:rPr>
          <w:noProof/>
          <w:sz w:val="22"/>
        </w:rPr>
        <w:t>resie środków na zasoby ludzkie</w:t>
      </w:r>
      <w:r w:rsidR="00660A3E" w:rsidRPr="00F059DD">
        <w:rPr>
          <w:noProof/>
          <w:sz w:val="22"/>
        </w:rPr>
        <w:t xml:space="preserve"> i</w:t>
      </w:r>
      <w:r w:rsidR="00660A3E">
        <w:rPr>
          <w:noProof/>
          <w:sz w:val="22"/>
        </w:rPr>
        <w:t> </w:t>
      </w:r>
      <w:r w:rsidR="00660A3E" w:rsidRPr="00F059DD">
        <w:rPr>
          <w:noProof/>
          <w:sz w:val="22"/>
        </w:rPr>
        <w:t>inn</w:t>
      </w:r>
      <w:r w:rsidRPr="00F059DD">
        <w:rPr>
          <w:noProof/>
          <w:sz w:val="22"/>
        </w:rPr>
        <w:t>e wydatki</w:t>
      </w:r>
      <w:r w:rsidR="00660A3E" w:rsidRPr="00F059DD">
        <w:rPr>
          <w:noProof/>
          <w:sz w:val="22"/>
        </w:rPr>
        <w:t xml:space="preserve"> o</w:t>
      </w:r>
      <w:r w:rsidR="00660A3E">
        <w:rPr>
          <w:noProof/>
          <w:sz w:val="22"/>
        </w:rPr>
        <w:t> </w:t>
      </w:r>
      <w:r w:rsidR="00660A3E" w:rsidRPr="00F059DD">
        <w:rPr>
          <w:noProof/>
          <w:sz w:val="22"/>
        </w:rPr>
        <w:t>cha</w:t>
      </w:r>
      <w:r w:rsidRPr="00F059DD">
        <w:rPr>
          <w:noProof/>
          <w:sz w:val="22"/>
        </w:rPr>
        <w:t>rakterze administracyjnym zostaną pokryte ze środków dyrekcji generalnej już przydzielonych na zarządzanie tym działaniem lub przesuniętych</w:t>
      </w:r>
      <w:r w:rsidR="00660A3E" w:rsidRPr="00F059DD">
        <w:rPr>
          <w:noProof/>
          <w:sz w:val="22"/>
        </w:rPr>
        <w:t xml:space="preserve"> w</w:t>
      </w:r>
      <w:r w:rsidR="00660A3E">
        <w:rPr>
          <w:noProof/>
          <w:sz w:val="22"/>
        </w:rPr>
        <w:t> </w:t>
      </w:r>
      <w:r w:rsidR="00660A3E" w:rsidRPr="00F059DD">
        <w:rPr>
          <w:noProof/>
          <w:sz w:val="22"/>
        </w:rPr>
        <w:t>ram</w:t>
      </w:r>
      <w:r w:rsidRPr="00F059DD">
        <w:rPr>
          <w:noProof/>
          <w:sz w:val="22"/>
        </w:rPr>
        <w:t>ach dyrekcji generalnej, uzupełnionych</w:t>
      </w:r>
      <w:r w:rsidR="00660A3E" w:rsidRPr="00F059DD">
        <w:rPr>
          <w:noProof/>
          <w:sz w:val="22"/>
        </w:rPr>
        <w:t xml:space="preserve"> w</w:t>
      </w:r>
      <w:r w:rsidR="00660A3E">
        <w:rPr>
          <w:noProof/>
          <w:sz w:val="22"/>
        </w:rPr>
        <w:t> </w:t>
      </w:r>
      <w:r w:rsidR="00660A3E" w:rsidRPr="00F059DD">
        <w:rPr>
          <w:noProof/>
          <w:sz w:val="22"/>
        </w:rPr>
        <w:t>raz</w:t>
      </w:r>
      <w:r w:rsidRPr="00F059DD">
        <w:rPr>
          <w:noProof/>
          <w:sz w:val="22"/>
        </w:rPr>
        <w:t>ie potrzeby wszelkimi dodatkowymi zasobami, które mogą zostać przydzielone zarządzającej dyrekcji generalnej</w:t>
      </w:r>
      <w:r w:rsidR="00660A3E" w:rsidRPr="00F059DD">
        <w:rPr>
          <w:noProof/>
          <w:sz w:val="22"/>
        </w:rPr>
        <w:t xml:space="preserve"> w</w:t>
      </w:r>
      <w:r w:rsidR="00660A3E">
        <w:rPr>
          <w:noProof/>
          <w:sz w:val="22"/>
        </w:rPr>
        <w:t> </w:t>
      </w:r>
      <w:r w:rsidR="00660A3E" w:rsidRPr="00F059DD">
        <w:rPr>
          <w:noProof/>
          <w:sz w:val="22"/>
        </w:rPr>
        <w:t>ram</w:t>
      </w:r>
      <w:r w:rsidRPr="00F059DD">
        <w:rPr>
          <w:noProof/>
          <w:sz w:val="22"/>
        </w:rPr>
        <w:t>ach procedury rocznego przydziału środków oraz</w:t>
      </w:r>
      <w:r w:rsidR="00660A3E" w:rsidRPr="00F059DD">
        <w:rPr>
          <w:noProof/>
          <w:sz w:val="22"/>
        </w:rPr>
        <w:t xml:space="preserve"> w</w:t>
      </w:r>
      <w:r w:rsidR="00660A3E">
        <w:rPr>
          <w:noProof/>
          <w:sz w:val="22"/>
        </w:rPr>
        <w:t> </w:t>
      </w:r>
      <w:r w:rsidR="00660A3E" w:rsidRPr="00F059DD">
        <w:rPr>
          <w:noProof/>
          <w:sz w:val="22"/>
        </w:rPr>
        <w:t>świ</w:t>
      </w:r>
      <w:r w:rsidRPr="00F059DD">
        <w:rPr>
          <w:noProof/>
          <w:sz w:val="22"/>
        </w:rPr>
        <w:t>etle istniejących ograniczeń budżetowych.</w:t>
      </w:r>
    </w:p>
    <w:p w:rsidR="00096239" w:rsidRPr="00F059DD" w:rsidRDefault="00096239" w:rsidP="00096239">
      <w:pPr>
        <w:pStyle w:val="ManualHeading3"/>
        <w:rPr>
          <w:bCs/>
          <w:noProof/>
          <w:szCs w:val="24"/>
        </w:rPr>
      </w:pPr>
      <w:bookmarkStart w:id="155" w:name="_Toc167220294"/>
      <w:bookmarkStart w:id="156" w:name="_Toc177549027"/>
      <w:r w:rsidRPr="00F059DD">
        <w:rPr>
          <w:noProof/>
        </w:rPr>
        <w:t>3.2.4.</w:t>
      </w:r>
      <w:r w:rsidRPr="00F059DD">
        <w:rPr>
          <w:noProof/>
        </w:rPr>
        <w:tab/>
        <w:t>Szacowane zapotrzebowanie na zasoby ludzkie</w:t>
      </w:r>
      <w:bookmarkEnd w:id="155"/>
      <w:bookmarkEnd w:id="156"/>
      <w:r w:rsidRPr="00F059DD">
        <w:rPr>
          <w:noProof/>
        </w:rPr>
        <w:t xml:space="preserve"> 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rFonts w:ascii="Wingdings" w:hAnsi="Wingdings"/>
          <w:noProof/>
        </w:rPr>
        <w:t></w:t>
      </w:r>
      <w:r w:rsidRPr="00F059DD">
        <w:rPr>
          <w:noProof/>
        </w:rPr>
        <w:tab/>
        <w:t>Wniosek/inicjatywa nie wiąże się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kon</w:t>
      </w:r>
      <w:r w:rsidRPr="00F059DD">
        <w:rPr>
          <w:noProof/>
        </w:rPr>
        <w:t xml:space="preserve">iecznością wykorzystania zasobów ludzkich 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ab/>
        <w:t>Wniosek/inicjatywa wiąże się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kon</w:t>
      </w:r>
      <w:r w:rsidRPr="00F059DD">
        <w:rPr>
          <w:noProof/>
        </w:rPr>
        <w:t>iecznością wykorzystania zasobów ludzkich, jak określono poniżej</w:t>
      </w:r>
    </w:p>
    <w:p w:rsidR="00096239" w:rsidRPr="00F059DD" w:rsidRDefault="00096239" w:rsidP="00096239">
      <w:pPr>
        <w:pStyle w:val="ManualHeading3"/>
        <w:rPr>
          <w:noProof/>
        </w:rPr>
      </w:pPr>
      <w:bookmarkStart w:id="157" w:name="_Toc167220295"/>
      <w:bookmarkStart w:id="158" w:name="_Toc177549028"/>
      <w:r w:rsidRPr="00F059DD">
        <w:rPr>
          <w:noProof/>
        </w:rPr>
        <w:t>3.2.4.1.</w:t>
      </w:r>
      <w:r w:rsidRPr="00F059DD">
        <w:rPr>
          <w:noProof/>
        </w:rPr>
        <w:tab/>
        <w:t>Finansowane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uch</w:t>
      </w:r>
      <w:r w:rsidRPr="00F059DD">
        <w:rPr>
          <w:noProof/>
        </w:rPr>
        <w:t>walonego budżetu</w:t>
      </w:r>
      <w:bookmarkEnd w:id="157"/>
      <w:bookmarkEnd w:id="158"/>
    </w:p>
    <w:p w:rsidR="00096239" w:rsidRPr="00F059DD" w:rsidRDefault="00096239" w:rsidP="00096239">
      <w:pPr>
        <w:spacing w:after="60"/>
        <w:jc w:val="right"/>
        <w:rPr>
          <w:i/>
          <w:noProof/>
          <w:sz w:val="20"/>
        </w:rPr>
      </w:pPr>
      <w:r w:rsidRPr="00F059DD">
        <w:rPr>
          <w:i/>
          <w:noProof/>
          <w:sz w:val="20"/>
        </w:rPr>
        <w:t>Wartości szacunkowe należy wyrazić</w:t>
      </w:r>
      <w:r w:rsidR="00660A3E" w:rsidRPr="00F059DD">
        <w:rPr>
          <w:i/>
          <w:noProof/>
          <w:sz w:val="20"/>
        </w:rPr>
        <w:t xml:space="preserve"> w</w:t>
      </w:r>
      <w:r w:rsidR="00660A3E">
        <w:rPr>
          <w:i/>
          <w:noProof/>
          <w:sz w:val="20"/>
        </w:rPr>
        <w:t> </w:t>
      </w:r>
      <w:r w:rsidR="00660A3E" w:rsidRPr="00F059DD">
        <w:rPr>
          <w:i/>
          <w:noProof/>
          <w:sz w:val="20"/>
        </w:rPr>
        <w:t>ekw</w:t>
      </w:r>
      <w:r w:rsidRPr="00F059DD">
        <w:rPr>
          <w:i/>
          <w:noProof/>
          <w:sz w:val="20"/>
        </w:rPr>
        <w:t>iwalentach pełnego czasu pracy (EPC)</w:t>
      </w:r>
      <w:r w:rsidRPr="00F059DD">
        <w:rPr>
          <w:rStyle w:val="FootnoteReference"/>
          <w:i/>
          <w:noProof/>
          <w:sz w:val="20"/>
        </w:rPr>
        <w:footnoteReference w:id="22"/>
      </w:r>
    </w:p>
    <w:p w:rsidR="00096239" w:rsidRPr="00F059DD" w:rsidRDefault="00096239" w:rsidP="00096239">
      <w:pPr>
        <w:pStyle w:val="Text1"/>
        <w:spacing w:before="60" w:after="60"/>
        <w:ind w:left="-426" w:right="-427"/>
        <w:rPr>
          <w:b/>
          <w:noProof/>
          <w:sz w:val="18"/>
          <w:szCs w:val="18"/>
        </w:rPr>
      </w:pPr>
      <w:bookmarkStart w:id="159" w:name="_Hlk156979231"/>
    </w:p>
    <w:tbl>
      <w:tblPr>
        <w:tblW w:w="5000" w:type="pct"/>
        <w:tblLook w:val="04A0" w:firstRow="1" w:lastRow="0" w:firstColumn="1" w:lastColumn="0" w:noHBand="0" w:noVBand="1"/>
      </w:tblPr>
      <w:tblGrid>
        <w:gridCol w:w="1513"/>
        <w:gridCol w:w="3896"/>
        <w:gridCol w:w="970"/>
        <w:gridCol w:w="970"/>
        <w:gridCol w:w="970"/>
        <w:gridCol w:w="968"/>
      </w:tblGrid>
      <w:tr w:rsidR="00096239" w:rsidRPr="00F059DD" w:rsidTr="005049BA">
        <w:trPr>
          <w:trHeight w:val="300"/>
        </w:trPr>
        <w:tc>
          <w:tcPr>
            <w:tcW w:w="291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ZATWIERDZONE ŚRODKI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20"/>
                <w:szCs w:val="20"/>
              </w:rPr>
            </w:pPr>
            <w:r w:rsidRPr="00F059DD">
              <w:rPr>
                <w:noProof/>
                <w:sz w:val="20"/>
              </w:rPr>
              <w:t>Rok</w:t>
            </w:r>
          </w:p>
        </w:tc>
      </w:tr>
      <w:tr w:rsidR="00096239" w:rsidRPr="00F059DD" w:rsidTr="005049BA">
        <w:trPr>
          <w:trHeight w:val="300"/>
        </w:trPr>
        <w:tc>
          <w:tcPr>
            <w:tcW w:w="291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18"/>
                <w:szCs w:val="18"/>
                <w:lang w:eastAsia="en-I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F059DD">
              <w:rPr>
                <w:b/>
                <w:noProof/>
                <w:sz w:val="20"/>
              </w:rPr>
              <w:t>2027</w:t>
            </w:r>
          </w:p>
        </w:tc>
      </w:tr>
      <w:tr w:rsidR="00096239" w:rsidRPr="00F059DD" w:rsidTr="005049BA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rFonts w:ascii="Wingdings" w:hAnsi="Wingdings" w:cs="Calibri"/>
                <w:b/>
                <w:bCs/>
                <w:noProof/>
                <w:sz w:val="16"/>
                <w:szCs w:val="16"/>
              </w:rPr>
            </w:pPr>
            <w:r w:rsidRPr="00F059DD">
              <w:rPr>
                <w:rFonts w:ascii="Wingdings" w:hAnsi="Wingdings"/>
                <w:b/>
                <w:noProof/>
                <w:sz w:val="16"/>
              </w:rPr>
              <w:t></w:t>
            </w:r>
            <w:r w:rsidRPr="00F059DD">
              <w:rPr>
                <w:b/>
                <w:noProof/>
                <w:sz w:val="16"/>
              </w:rPr>
              <w:t xml:space="preserve"> Stanowiska przewidziane</w:t>
            </w:r>
            <w:r w:rsidR="00660A3E" w:rsidRPr="00F059DD">
              <w:rPr>
                <w:b/>
                <w:noProof/>
                <w:sz w:val="16"/>
              </w:rPr>
              <w:t xml:space="preserve"> w</w:t>
            </w:r>
            <w:r w:rsidR="00660A3E">
              <w:rPr>
                <w:b/>
                <w:noProof/>
                <w:sz w:val="16"/>
              </w:rPr>
              <w:t> </w:t>
            </w:r>
            <w:r w:rsidR="00660A3E" w:rsidRPr="00F059DD">
              <w:rPr>
                <w:b/>
                <w:noProof/>
                <w:sz w:val="16"/>
              </w:rPr>
              <w:t>pla</w:t>
            </w:r>
            <w:r w:rsidRPr="00F059DD">
              <w:rPr>
                <w:b/>
                <w:noProof/>
                <w:sz w:val="16"/>
              </w:rPr>
              <w:t>nie zatrudnienia (stanowiska urzędników</w:t>
            </w:r>
            <w:r w:rsidR="00660A3E" w:rsidRPr="00F059DD">
              <w:rPr>
                <w:b/>
                <w:noProof/>
                <w:sz w:val="16"/>
              </w:rPr>
              <w:t xml:space="preserve"> i</w:t>
            </w:r>
            <w:r w:rsidR="00660A3E">
              <w:rPr>
                <w:b/>
                <w:noProof/>
                <w:sz w:val="16"/>
              </w:rPr>
              <w:t> </w:t>
            </w:r>
            <w:r w:rsidR="00660A3E" w:rsidRPr="00F059DD">
              <w:rPr>
                <w:b/>
                <w:noProof/>
                <w:sz w:val="16"/>
              </w:rPr>
              <w:t>pra</w:t>
            </w:r>
            <w:r w:rsidRPr="00F059DD">
              <w:rPr>
                <w:b/>
                <w:noProof/>
                <w:sz w:val="16"/>
              </w:rPr>
              <w:t>cowników zatrudnionych na czas określony)</w:t>
            </w:r>
          </w:p>
        </w:tc>
      </w:tr>
      <w:tr w:rsidR="00096239" w:rsidRPr="00F059DD" w:rsidTr="005049B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20 01 02 01</w:t>
            </w:r>
            <w:r w:rsidRPr="00F059DD">
              <w:rPr>
                <w:rFonts w:ascii="Arial Narrow" w:hAnsi="Arial Narrow"/>
                <w:noProof/>
                <w:sz w:val="20"/>
              </w:rPr>
              <w:t xml:space="preserve"> </w:t>
            </w:r>
            <w:r w:rsidRPr="00F059DD">
              <w:rPr>
                <w:noProof/>
                <w:sz w:val="16"/>
              </w:rPr>
              <w:t>(w centrali</w:t>
            </w:r>
            <w:r w:rsidR="00660A3E" w:rsidRPr="00F059DD">
              <w:rPr>
                <w:noProof/>
                <w:sz w:val="16"/>
              </w:rPr>
              <w:t xml:space="preserve"> i</w:t>
            </w:r>
            <w:r w:rsidR="00660A3E">
              <w:rPr>
                <w:noProof/>
                <w:sz w:val="16"/>
              </w:rPr>
              <w:t> </w:t>
            </w:r>
            <w:r w:rsidR="00660A3E" w:rsidRPr="00F059DD">
              <w:rPr>
                <w:noProof/>
                <w:sz w:val="16"/>
              </w:rPr>
              <w:t>w</w:t>
            </w:r>
            <w:r w:rsidR="00660A3E">
              <w:rPr>
                <w:noProof/>
                <w:sz w:val="16"/>
              </w:rPr>
              <w:t> </w:t>
            </w:r>
            <w:r w:rsidR="00660A3E" w:rsidRPr="00F059DD">
              <w:rPr>
                <w:noProof/>
                <w:sz w:val="16"/>
              </w:rPr>
              <w:t>biu</w:t>
            </w:r>
            <w:r w:rsidRPr="00F059DD">
              <w:rPr>
                <w:noProof/>
                <w:sz w:val="16"/>
              </w:rPr>
              <w:t>rach przedstawicielstw Komisji)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</w:tr>
      <w:tr w:rsidR="00096239" w:rsidRPr="00F059DD" w:rsidTr="005049B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20 01 02 03 (w delegaturach UE)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</w:tr>
      <w:tr w:rsidR="00096239" w:rsidRPr="00F059DD" w:rsidTr="005049B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01 01 01 01</w:t>
            </w:r>
            <w:r w:rsidRPr="00F059DD">
              <w:rPr>
                <w:noProof/>
              </w:rPr>
              <w:t xml:space="preserve"> </w:t>
            </w:r>
            <w:r w:rsidRPr="00F059DD">
              <w:rPr>
                <w:noProof/>
                <w:sz w:val="16"/>
              </w:rPr>
              <w:t>(pośrednie badania naukowe)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</w:tr>
      <w:tr w:rsidR="00096239" w:rsidRPr="00F059DD" w:rsidTr="005049B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01 01 01 11 (bezpośrednie badania naukowe)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</w:tr>
      <w:tr w:rsidR="00096239" w:rsidRPr="00F059DD" w:rsidTr="005049B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Inna linia budżetowa (określić)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</w:tr>
      <w:tr w:rsidR="00096239" w:rsidRPr="00F059DD" w:rsidTr="005049BA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rFonts w:ascii="Wingdings" w:hAnsi="Wingdings" w:cs="Calibri"/>
                <w:b/>
                <w:bCs/>
                <w:noProof/>
                <w:sz w:val="16"/>
                <w:szCs w:val="16"/>
              </w:rPr>
            </w:pPr>
            <w:r w:rsidRPr="00F059DD">
              <w:rPr>
                <w:rFonts w:ascii="Calibri" w:hAnsi="Calibri"/>
                <w:b/>
                <w:noProof/>
                <w:sz w:val="16"/>
              </w:rPr>
              <w:t>•</w:t>
            </w:r>
            <w:r w:rsidRPr="00F059DD">
              <w:rPr>
                <w:b/>
                <w:noProof/>
                <w:sz w:val="16"/>
              </w:rPr>
              <w:t xml:space="preserve"> Personel zewnętrzny (w EPC)</w:t>
            </w:r>
          </w:p>
        </w:tc>
      </w:tr>
      <w:tr w:rsidR="00096239" w:rsidRPr="00F059DD" w:rsidTr="005049B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20 02 01</w:t>
            </w:r>
            <w:r w:rsidRPr="00F059DD">
              <w:rPr>
                <w:rFonts w:ascii="Arial Narrow" w:hAnsi="Arial Narrow"/>
                <w:noProof/>
                <w:sz w:val="20"/>
              </w:rPr>
              <w:t xml:space="preserve"> </w:t>
            </w:r>
            <w:r w:rsidRPr="00F059DD">
              <w:rPr>
                <w:noProof/>
                <w:sz w:val="16"/>
              </w:rPr>
              <w:t>(CA, SNE</w:t>
            </w:r>
            <w:r w:rsidR="00660A3E" w:rsidRPr="00F059DD">
              <w:rPr>
                <w:noProof/>
                <w:sz w:val="16"/>
              </w:rPr>
              <w:t xml:space="preserve"> z</w:t>
            </w:r>
            <w:r w:rsidR="00660A3E">
              <w:rPr>
                <w:noProof/>
                <w:sz w:val="16"/>
              </w:rPr>
              <w:t> </w:t>
            </w:r>
            <w:r w:rsidR="00660A3E" w:rsidRPr="00F059DD">
              <w:rPr>
                <w:noProof/>
                <w:sz w:val="16"/>
              </w:rPr>
              <w:t>glo</w:t>
            </w:r>
            <w:r w:rsidRPr="00F059DD">
              <w:rPr>
                <w:noProof/>
                <w:sz w:val="16"/>
              </w:rPr>
              <w:t>balnej koperty finansowej)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</w:tr>
      <w:tr w:rsidR="00096239" w:rsidRPr="00F059DD" w:rsidTr="005049B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20 02 03 (CA, LA, SNE i JPD</w:t>
            </w:r>
            <w:r w:rsidR="00660A3E" w:rsidRPr="00F059DD">
              <w:rPr>
                <w:noProof/>
                <w:sz w:val="16"/>
              </w:rPr>
              <w:t xml:space="preserve"> w</w:t>
            </w:r>
            <w:r w:rsidR="00660A3E">
              <w:rPr>
                <w:noProof/>
                <w:sz w:val="16"/>
              </w:rPr>
              <w:t> </w:t>
            </w:r>
            <w:r w:rsidR="00660A3E" w:rsidRPr="00F059DD">
              <w:rPr>
                <w:noProof/>
                <w:sz w:val="16"/>
              </w:rPr>
              <w:t>del</w:t>
            </w:r>
            <w:r w:rsidRPr="00F059DD">
              <w:rPr>
                <w:noProof/>
                <w:sz w:val="16"/>
              </w:rPr>
              <w:t>egaturach UE)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</w:tr>
      <w:tr w:rsidR="00096239" w:rsidRPr="00F059DD" w:rsidTr="005049BA">
        <w:trPr>
          <w:trHeight w:val="300"/>
        </w:trPr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Linia budżetowa na wsparcie adm.</w:t>
            </w:r>
            <w:r w:rsidRPr="00F059DD">
              <w:rPr>
                <w:noProof/>
              </w:rPr>
              <w:t xml:space="preserve"> </w:t>
            </w:r>
            <w:r w:rsidRPr="00F059DD">
              <w:rPr>
                <w:noProof/>
              </w:rPr>
              <w:br/>
            </w:r>
            <w:r w:rsidRPr="00F059DD">
              <w:rPr>
                <w:noProof/>
                <w:sz w:val="16"/>
              </w:rPr>
              <w:t>[XX.01.YY.YY]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-</w:t>
            </w:r>
            <w:r w:rsidR="00660A3E" w:rsidRPr="00F059DD">
              <w:rPr>
                <w:noProof/>
                <w:sz w:val="16"/>
              </w:rPr>
              <w:t xml:space="preserve"> w</w:t>
            </w:r>
            <w:r w:rsidR="00660A3E">
              <w:rPr>
                <w:noProof/>
                <w:sz w:val="16"/>
              </w:rPr>
              <w:t> </w:t>
            </w:r>
            <w:r w:rsidR="00660A3E" w:rsidRPr="00F059DD">
              <w:rPr>
                <w:noProof/>
                <w:sz w:val="16"/>
              </w:rPr>
              <w:t>cen</w:t>
            </w:r>
            <w:r w:rsidRPr="00F059DD">
              <w:rPr>
                <w:noProof/>
                <w:sz w:val="16"/>
              </w:rPr>
              <w:t>trali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</w:tr>
      <w:tr w:rsidR="00096239" w:rsidRPr="00F059DD" w:rsidTr="005049BA">
        <w:trPr>
          <w:trHeight w:val="300"/>
        </w:trPr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16"/>
                <w:szCs w:val="16"/>
                <w:lang w:eastAsia="en-IE"/>
              </w:rPr>
            </w:pPr>
          </w:p>
        </w:tc>
        <w:tc>
          <w:tcPr>
            <w:tcW w:w="20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-</w:t>
            </w:r>
            <w:r w:rsidR="00660A3E" w:rsidRPr="00F059DD">
              <w:rPr>
                <w:noProof/>
                <w:sz w:val="16"/>
              </w:rPr>
              <w:t xml:space="preserve"> w</w:t>
            </w:r>
            <w:r w:rsidR="00660A3E">
              <w:rPr>
                <w:noProof/>
                <w:sz w:val="16"/>
              </w:rPr>
              <w:t> </w:t>
            </w:r>
            <w:r w:rsidR="00660A3E" w:rsidRPr="00F059DD">
              <w:rPr>
                <w:noProof/>
                <w:sz w:val="16"/>
              </w:rPr>
              <w:t>del</w:t>
            </w:r>
            <w:r w:rsidRPr="00F059DD">
              <w:rPr>
                <w:noProof/>
                <w:sz w:val="16"/>
              </w:rPr>
              <w:t xml:space="preserve">egaturach UE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</w:tr>
      <w:tr w:rsidR="00096239" w:rsidRPr="00F059DD" w:rsidTr="005049B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01 01 01 02</w:t>
            </w:r>
            <w:r w:rsidRPr="00F059DD">
              <w:rPr>
                <w:rFonts w:ascii="Arial Narrow" w:hAnsi="Arial Narrow"/>
                <w:noProof/>
                <w:sz w:val="20"/>
              </w:rPr>
              <w:t xml:space="preserve"> </w:t>
            </w:r>
            <w:r w:rsidRPr="00F059DD">
              <w:rPr>
                <w:noProof/>
                <w:sz w:val="16"/>
              </w:rPr>
              <w:t>(CA, SNE – pośrednie badania naukowe)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</w:tr>
      <w:tr w:rsidR="00096239" w:rsidRPr="00F059DD" w:rsidTr="005049B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 xml:space="preserve"> 01 01 01 12 (CA, SNE – bezpośrednie badania naukowe)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</w:tr>
      <w:tr w:rsidR="00096239" w:rsidRPr="00F059DD" w:rsidTr="005049B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Inna linia budżetowa (określić) – dział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</w:tr>
      <w:tr w:rsidR="00096239" w:rsidRPr="00F059DD" w:rsidTr="005049B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Inna linia budżetowa (określić) – poza działem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</w:t>
            </w:r>
          </w:p>
        </w:tc>
      </w:tr>
      <w:tr w:rsidR="00096239" w:rsidRPr="00F059DD" w:rsidTr="005049BA">
        <w:trPr>
          <w:trHeight w:val="300"/>
        </w:trPr>
        <w:tc>
          <w:tcPr>
            <w:tcW w:w="29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239" w:rsidRPr="00F059DD" w:rsidRDefault="00096239" w:rsidP="00624AF6">
            <w:pPr>
              <w:spacing w:before="0" w:after="0"/>
              <w:ind w:firstLineChars="100" w:firstLine="160"/>
              <w:jc w:val="lef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OGÓŁEM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</w:t>
            </w:r>
          </w:p>
        </w:tc>
      </w:tr>
    </w:tbl>
    <w:p w:rsidR="00096239" w:rsidRPr="00F059DD" w:rsidRDefault="00096239" w:rsidP="00096239">
      <w:pPr>
        <w:pStyle w:val="Text1"/>
        <w:ind w:left="-426"/>
        <w:rPr>
          <w:noProof/>
        </w:rPr>
      </w:pPr>
      <w:bookmarkStart w:id="160" w:name="_Hlk167692843"/>
      <w:bookmarkEnd w:id="159"/>
      <w:r w:rsidRPr="00F059DD">
        <w:rPr>
          <w:noProof/>
        </w:rPr>
        <w:t xml:space="preserve">Personel niezbędny do wdrożenia wniosku (w EPC): </w:t>
      </w:r>
    </w:p>
    <w:tbl>
      <w:tblPr>
        <w:tblStyle w:val="TableGrid"/>
        <w:tblW w:w="9487" w:type="dxa"/>
        <w:tblInd w:w="-426" w:type="dxa"/>
        <w:tblLook w:val="04A0" w:firstRow="1" w:lastRow="0" w:firstColumn="1" w:lastColumn="0" w:noHBand="0" w:noVBand="1"/>
      </w:tblPr>
      <w:tblGrid>
        <w:gridCol w:w="1845"/>
        <w:gridCol w:w="2031"/>
        <w:gridCol w:w="1925"/>
        <w:gridCol w:w="1938"/>
        <w:gridCol w:w="1748"/>
      </w:tblGrid>
      <w:tr w:rsidR="00096239" w:rsidRPr="00F059DD" w:rsidTr="005049BA">
        <w:trPr>
          <w:trHeight w:val="300"/>
        </w:trPr>
        <w:tc>
          <w:tcPr>
            <w:tcW w:w="1845" w:type="dxa"/>
          </w:tcPr>
          <w:p w:rsidR="00096239" w:rsidRPr="00F059DD" w:rsidRDefault="00096239" w:rsidP="00624AF6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  <w:szCs w:val="28"/>
              </w:rPr>
            </w:pPr>
          </w:p>
        </w:tc>
        <w:tc>
          <w:tcPr>
            <w:tcW w:w="2031" w:type="dxa"/>
          </w:tcPr>
          <w:p w:rsidR="00096239" w:rsidRPr="00F059DD" w:rsidRDefault="00096239" w:rsidP="00624AF6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Personel już pracujący</w:t>
            </w:r>
            <w:r w:rsidR="00660A3E" w:rsidRPr="00F059DD">
              <w:rPr>
                <w:b/>
                <w:noProof/>
                <w:sz w:val="22"/>
              </w:rPr>
              <w:t xml:space="preserve"> w</w:t>
            </w:r>
            <w:r w:rsidR="00660A3E">
              <w:rPr>
                <w:b/>
                <w:noProof/>
                <w:sz w:val="22"/>
              </w:rPr>
              <w:t> </w:t>
            </w:r>
            <w:r w:rsidR="00660A3E" w:rsidRPr="00F059DD">
              <w:rPr>
                <w:b/>
                <w:noProof/>
                <w:sz w:val="22"/>
              </w:rPr>
              <w:t>słu</w:t>
            </w:r>
            <w:r w:rsidRPr="00F059DD">
              <w:rPr>
                <w:b/>
                <w:noProof/>
                <w:sz w:val="22"/>
              </w:rPr>
              <w:t xml:space="preserve">żbach Komisji </w:t>
            </w:r>
          </w:p>
        </w:tc>
        <w:tc>
          <w:tcPr>
            <w:tcW w:w="5611" w:type="dxa"/>
            <w:gridSpan w:val="3"/>
          </w:tcPr>
          <w:p w:rsidR="00096239" w:rsidRPr="00F059DD" w:rsidRDefault="00096239" w:rsidP="00624AF6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Personel dodatkowy*</w:t>
            </w:r>
          </w:p>
        </w:tc>
      </w:tr>
      <w:tr w:rsidR="00096239" w:rsidRPr="00F059DD" w:rsidTr="005049BA">
        <w:trPr>
          <w:trHeight w:val="300"/>
        </w:trPr>
        <w:tc>
          <w:tcPr>
            <w:tcW w:w="1845" w:type="dxa"/>
          </w:tcPr>
          <w:p w:rsidR="00096239" w:rsidRPr="00F059DD" w:rsidRDefault="00096239" w:rsidP="00624AF6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  <w:szCs w:val="28"/>
              </w:rPr>
            </w:pPr>
          </w:p>
        </w:tc>
        <w:tc>
          <w:tcPr>
            <w:tcW w:w="2031" w:type="dxa"/>
          </w:tcPr>
          <w:p w:rsidR="00096239" w:rsidRPr="00F059DD" w:rsidRDefault="00096239" w:rsidP="00624AF6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  <w:szCs w:val="28"/>
              </w:rPr>
            </w:pPr>
          </w:p>
        </w:tc>
        <w:tc>
          <w:tcPr>
            <w:tcW w:w="1925" w:type="dxa"/>
          </w:tcPr>
          <w:p w:rsidR="00096239" w:rsidRPr="00F059DD" w:rsidRDefault="00096239" w:rsidP="00624AF6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</w:rPr>
            </w:pPr>
            <w:r w:rsidRPr="00F059DD">
              <w:rPr>
                <w:b/>
                <w:noProof/>
                <w:sz w:val="22"/>
              </w:rPr>
              <w:t>Finansowany</w:t>
            </w:r>
            <w:r w:rsidR="00660A3E" w:rsidRPr="00F059DD">
              <w:rPr>
                <w:b/>
                <w:noProof/>
                <w:sz w:val="22"/>
              </w:rPr>
              <w:t xml:space="preserve"> z</w:t>
            </w:r>
            <w:r w:rsidR="00660A3E">
              <w:rPr>
                <w:b/>
                <w:noProof/>
                <w:sz w:val="22"/>
              </w:rPr>
              <w:t> </w:t>
            </w:r>
            <w:r w:rsidR="00660A3E" w:rsidRPr="00F059DD">
              <w:rPr>
                <w:b/>
                <w:noProof/>
                <w:sz w:val="22"/>
              </w:rPr>
              <w:t>dzi</w:t>
            </w:r>
            <w:r w:rsidRPr="00F059DD">
              <w:rPr>
                <w:b/>
                <w:noProof/>
                <w:sz w:val="22"/>
              </w:rPr>
              <w:t>ału 7 lub ze środków „Badania naukowe”</w:t>
            </w:r>
          </w:p>
        </w:tc>
        <w:tc>
          <w:tcPr>
            <w:tcW w:w="1938" w:type="dxa"/>
          </w:tcPr>
          <w:p w:rsidR="00096239" w:rsidRPr="00F059DD" w:rsidRDefault="00096239" w:rsidP="00624AF6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  <w:szCs w:val="28"/>
              </w:rPr>
            </w:pPr>
            <w:r w:rsidRPr="00F059DD">
              <w:rPr>
                <w:b/>
                <w:noProof/>
                <w:sz w:val="22"/>
              </w:rPr>
              <w:t>Finansowany</w:t>
            </w:r>
            <w:r w:rsidR="00660A3E" w:rsidRPr="00F059DD">
              <w:rPr>
                <w:b/>
                <w:noProof/>
                <w:sz w:val="22"/>
              </w:rPr>
              <w:t xml:space="preserve"> z</w:t>
            </w:r>
            <w:r w:rsidR="00660A3E">
              <w:rPr>
                <w:b/>
                <w:noProof/>
                <w:sz w:val="22"/>
              </w:rPr>
              <w:t> </w:t>
            </w:r>
            <w:r w:rsidR="00660A3E" w:rsidRPr="00F059DD">
              <w:rPr>
                <w:b/>
                <w:noProof/>
                <w:sz w:val="22"/>
              </w:rPr>
              <w:t>lin</w:t>
            </w:r>
            <w:r w:rsidRPr="00F059DD">
              <w:rPr>
                <w:b/>
                <w:noProof/>
                <w:sz w:val="22"/>
              </w:rPr>
              <w:t>ii BA</w:t>
            </w:r>
          </w:p>
        </w:tc>
        <w:tc>
          <w:tcPr>
            <w:tcW w:w="1748" w:type="dxa"/>
          </w:tcPr>
          <w:p w:rsidR="00096239" w:rsidRPr="00F059DD" w:rsidRDefault="00096239" w:rsidP="00624AF6">
            <w:pPr>
              <w:pStyle w:val="Text1"/>
              <w:ind w:left="0"/>
              <w:jc w:val="center"/>
              <w:rPr>
                <w:b/>
                <w:bCs/>
                <w:noProof/>
                <w:sz w:val="22"/>
                <w:szCs w:val="28"/>
              </w:rPr>
            </w:pPr>
            <w:r w:rsidRPr="00F059DD">
              <w:rPr>
                <w:b/>
                <w:noProof/>
                <w:sz w:val="22"/>
              </w:rPr>
              <w:t>Finansowany</w:t>
            </w:r>
            <w:r w:rsidR="00660A3E" w:rsidRPr="00F059DD">
              <w:rPr>
                <w:b/>
                <w:noProof/>
                <w:sz w:val="22"/>
              </w:rPr>
              <w:t xml:space="preserve"> z</w:t>
            </w:r>
            <w:r w:rsidR="00660A3E">
              <w:rPr>
                <w:b/>
                <w:noProof/>
                <w:sz w:val="22"/>
              </w:rPr>
              <w:t> </w:t>
            </w:r>
            <w:r w:rsidR="00660A3E" w:rsidRPr="00F059DD">
              <w:rPr>
                <w:b/>
                <w:noProof/>
                <w:sz w:val="22"/>
              </w:rPr>
              <w:t>opł</w:t>
            </w:r>
            <w:r w:rsidRPr="00F059DD">
              <w:rPr>
                <w:b/>
                <w:noProof/>
                <w:sz w:val="22"/>
              </w:rPr>
              <w:t>at</w:t>
            </w:r>
          </w:p>
        </w:tc>
      </w:tr>
      <w:tr w:rsidR="00096239" w:rsidRPr="00F059DD" w:rsidTr="005049BA">
        <w:trPr>
          <w:trHeight w:val="300"/>
        </w:trPr>
        <w:tc>
          <w:tcPr>
            <w:tcW w:w="1845" w:type="dxa"/>
          </w:tcPr>
          <w:p w:rsidR="00096239" w:rsidRPr="00F059DD" w:rsidRDefault="00096239" w:rsidP="00624AF6">
            <w:pPr>
              <w:pStyle w:val="Text1"/>
              <w:ind w:left="0"/>
              <w:rPr>
                <w:noProof/>
                <w:sz w:val="22"/>
                <w:szCs w:val="28"/>
              </w:rPr>
            </w:pPr>
            <w:r w:rsidRPr="00F059DD">
              <w:rPr>
                <w:noProof/>
                <w:sz w:val="22"/>
              </w:rPr>
              <w:t>Stanowiska</w:t>
            </w:r>
            <w:r w:rsidR="00660A3E" w:rsidRPr="00F059DD">
              <w:rPr>
                <w:noProof/>
                <w:sz w:val="22"/>
              </w:rPr>
              <w:t xml:space="preserve"> w</w:t>
            </w:r>
            <w:r w:rsidR="00660A3E">
              <w:rPr>
                <w:noProof/>
                <w:sz w:val="22"/>
              </w:rPr>
              <w:t> </w:t>
            </w:r>
            <w:r w:rsidR="00660A3E" w:rsidRPr="00F059DD">
              <w:rPr>
                <w:noProof/>
                <w:sz w:val="22"/>
              </w:rPr>
              <w:t>pla</w:t>
            </w:r>
            <w:r w:rsidRPr="00F059DD">
              <w:rPr>
                <w:noProof/>
                <w:sz w:val="22"/>
              </w:rPr>
              <w:t>nie zatrudnienia</w:t>
            </w:r>
          </w:p>
        </w:tc>
        <w:tc>
          <w:tcPr>
            <w:tcW w:w="2031" w:type="dxa"/>
          </w:tcPr>
          <w:p w:rsidR="00096239" w:rsidRPr="00F059DD" w:rsidRDefault="00096239" w:rsidP="00624AF6">
            <w:pPr>
              <w:pStyle w:val="Text1"/>
              <w:ind w:left="0"/>
              <w:rPr>
                <w:noProof/>
                <w:sz w:val="22"/>
                <w:szCs w:val="28"/>
              </w:rPr>
            </w:pPr>
          </w:p>
        </w:tc>
        <w:tc>
          <w:tcPr>
            <w:tcW w:w="1925" w:type="dxa"/>
          </w:tcPr>
          <w:p w:rsidR="00096239" w:rsidRPr="00F059DD" w:rsidRDefault="00096239" w:rsidP="00624AF6">
            <w:pPr>
              <w:pStyle w:val="Text1"/>
              <w:ind w:left="0"/>
              <w:rPr>
                <w:noProof/>
                <w:sz w:val="22"/>
                <w:szCs w:val="28"/>
              </w:rPr>
            </w:pPr>
          </w:p>
        </w:tc>
        <w:tc>
          <w:tcPr>
            <w:tcW w:w="1938" w:type="dxa"/>
          </w:tcPr>
          <w:p w:rsidR="00096239" w:rsidRPr="00F059DD" w:rsidRDefault="00096239" w:rsidP="00624AF6">
            <w:pPr>
              <w:pStyle w:val="Text1"/>
              <w:ind w:left="0"/>
              <w:rPr>
                <w:noProof/>
                <w:sz w:val="22"/>
                <w:szCs w:val="28"/>
              </w:rPr>
            </w:pPr>
            <w:r w:rsidRPr="00F059DD">
              <w:rPr>
                <w:noProof/>
                <w:sz w:val="22"/>
              </w:rPr>
              <w:t>Nie dotyczy</w:t>
            </w:r>
          </w:p>
        </w:tc>
        <w:tc>
          <w:tcPr>
            <w:tcW w:w="1748" w:type="dxa"/>
          </w:tcPr>
          <w:p w:rsidR="00096239" w:rsidRPr="00F059DD" w:rsidRDefault="00096239" w:rsidP="00624AF6">
            <w:pPr>
              <w:pStyle w:val="Text1"/>
              <w:ind w:left="0"/>
              <w:rPr>
                <w:noProof/>
                <w:sz w:val="22"/>
                <w:szCs w:val="28"/>
              </w:rPr>
            </w:pPr>
          </w:p>
        </w:tc>
      </w:tr>
      <w:tr w:rsidR="00096239" w:rsidRPr="00F059DD" w:rsidTr="005049BA">
        <w:trPr>
          <w:trHeight w:val="300"/>
        </w:trPr>
        <w:tc>
          <w:tcPr>
            <w:tcW w:w="1845" w:type="dxa"/>
          </w:tcPr>
          <w:p w:rsidR="00096239" w:rsidRPr="00F059DD" w:rsidRDefault="00096239" w:rsidP="00624AF6">
            <w:pPr>
              <w:pStyle w:val="Text1"/>
              <w:ind w:left="0"/>
              <w:rPr>
                <w:noProof/>
                <w:sz w:val="22"/>
                <w:szCs w:val="28"/>
              </w:rPr>
            </w:pPr>
            <w:r w:rsidRPr="00F059DD">
              <w:rPr>
                <w:noProof/>
                <w:sz w:val="22"/>
              </w:rPr>
              <w:t>Personel zewnętrzny (CA, SNE, INT)</w:t>
            </w:r>
          </w:p>
        </w:tc>
        <w:tc>
          <w:tcPr>
            <w:tcW w:w="2031" w:type="dxa"/>
          </w:tcPr>
          <w:p w:rsidR="00096239" w:rsidRPr="00F059DD" w:rsidRDefault="00096239" w:rsidP="00624AF6">
            <w:pPr>
              <w:pStyle w:val="Text1"/>
              <w:ind w:left="0"/>
              <w:rPr>
                <w:noProof/>
                <w:sz w:val="22"/>
                <w:szCs w:val="28"/>
              </w:rPr>
            </w:pPr>
          </w:p>
        </w:tc>
        <w:tc>
          <w:tcPr>
            <w:tcW w:w="1925" w:type="dxa"/>
          </w:tcPr>
          <w:p w:rsidR="00096239" w:rsidRPr="00F059DD" w:rsidRDefault="00096239" w:rsidP="00624AF6">
            <w:pPr>
              <w:pStyle w:val="Text1"/>
              <w:ind w:left="0"/>
              <w:rPr>
                <w:noProof/>
                <w:sz w:val="22"/>
                <w:szCs w:val="28"/>
              </w:rPr>
            </w:pPr>
          </w:p>
        </w:tc>
        <w:tc>
          <w:tcPr>
            <w:tcW w:w="1938" w:type="dxa"/>
          </w:tcPr>
          <w:p w:rsidR="00096239" w:rsidRPr="00F059DD" w:rsidRDefault="00096239" w:rsidP="00624AF6">
            <w:pPr>
              <w:pStyle w:val="Text1"/>
              <w:ind w:left="0"/>
              <w:rPr>
                <w:noProof/>
                <w:sz w:val="22"/>
                <w:szCs w:val="28"/>
              </w:rPr>
            </w:pPr>
          </w:p>
        </w:tc>
        <w:tc>
          <w:tcPr>
            <w:tcW w:w="1748" w:type="dxa"/>
          </w:tcPr>
          <w:p w:rsidR="00096239" w:rsidRPr="00F059DD" w:rsidRDefault="00096239" w:rsidP="00624AF6">
            <w:pPr>
              <w:pStyle w:val="Text1"/>
              <w:ind w:left="0"/>
              <w:rPr>
                <w:noProof/>
                <w:sz w:val="22"/>
                <w:szCs w:val="28"/>
              </w:rPr>
            </w:pPr>
          </w:p>
        </w:tc>
      </w:tr>
    </w:tbl>
    <w:p w:rsidR="00096239" w:rsidRPr="00F059DD" w:rsidRDefault="00096239" w:rsidP="00096239">
      <w:pPr>
        <w:pStyle w:val="Text1"/>
        <w:ind w:left="-426" w:right="-427"/>
        <w:rPr>
          <w:noProof/>
        </w:rPr>
      </w:pPr>
      <w:r w:rsidRPr="00F059DD">
        <w:rPr>
          <w:noProof/>
        </w:rPr>
        <w:t>Opis zadań do wykonania:</w:t>
      </w:r>
    </w:p>
    <w:tbl>
      <w:tblPr>
        <w:tblW w:w="1044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200"/>
      </w:tblGrid>
      <w:tr w:rsidR="00096239" w:rsidRPr="00F059DD" w:rsidTr="005049BA">
        <w:tc>
          <w:tcPr>
            <w:tcW w:w="3240" w:type="dxa"/>
          </w:tcPr>
          <w:p w:rsidR="00096239" w:rsidRPr="00F059DD" w:rsidRDefault="00096239" w:rsidP="00624AF6">
            <w:pPr>
              <w:rPr>
                <w:noProof/>
                <w:sz w:val="20"/>
              </w:rPr>
            </w:pPr>
            <w:r w:rsidRPr="00F059DD">
              <w:rPr>
                <w:noProof/>
                <w:sz w:val="20"/>
              </w:rPr>
              <w:t>Urzędnicy</w:t>
            </w:r>
            <w:r w:rsidR="00660A3E" w:rsidRPr="00F059DD">
              <w:rPr>
                <w:noProof/>
                <w:sz w:val="20"/>
              </w:rPr>
              <w:t xml:space="preserve"> i</w:t>
            </w:r>
            <w:r w:rsidR="00660A3E">
              <w:rPr>
                <w:noProof/>
                <w:sz w:val="20"/>
              </w:rPr>
              <w:t> </w:t>
            </w:r>
            <w:r w:rsidR="00660A3E" w:rsidRPr="00F059DD">
              <w:rPr>
                <w:noProof/>
                <w:sz w:val="20"/>
              </w:rPr>
              <w:t>pra</w:t>
            </w:r>
            <w:r w:rsidRPr="00F059DD">
              <w:rPr>
                <w:noProof/>
                <w:sz w:val="20"/>
              </w:rPr>
              <w:t>cownicy zatrudnieni na czas określony</w:t>
            </w:r>
          </w:p>
        </w:tc>
        <w:tc>
          <w:tcPr>
            <w:tcW w:w="7200" w:type="dxa"/>
          </w:tcPr>
          <w:p w:rsidR="00096239" w:rsidRPr="00F059DD" w:rsidRDefault="00096239" w:rsidP="00624AF6">
            <w:pPr>
              <w:rPr>
                <w:noProof/>
                <w:sz w:val="20"/>
              </w:rPr>
            </w:pPr>
          </w:p>
        </w:tc>
      </w:tr>
      <w:tr w:rsidR="00096239" w:rsidRPr="00F059DD" w:rsidTr="005049BA">
        <w:tc>
          <w:tcPr>
            <w:tcW w:w="3240" w:type="dxa"/>
          </w:tcPr>
          <w:p w:rsidR="00096239" w:rsidRPr="00F059DD" w:rsidRDefault="00096239" w:rsidP="00624AF6">
            <w:pPr>
              <w:spacing w:before="60" w:after="60"/>
              <w:rPr>
                <w:noProof/>
                <w:sz w:val="20"/>
              </w:rPr>
            </w:pPr>
            <w:r w:rsidRPr="00F059DD">
              <w:rPr>
                <w:noProof/>
                <w:sz w:val="20"/>
              </w:rPr>
              <w:t>Personel zewnętrzny</w:t>
            </w:r>
          </w:p>
        </w:tc>
        <w:tc>
          <w:tcPr>
            <w:tcW w:w="7200" w:type="dxa"/>
          </w:tcPr>
          <w:p w:rsidR="00096239" w:rsidRPr="00F059DD" w:rsidRDefault="00096239" w:rsidP="00624AF6">
            <w:pPr>
              <w:rPr>
                <w:noProof/>
                <w:sz w:val="20"/>
              </w:rPr>
            </w:pPr>
          </w:p>
        </w:tc>
      </w:tr>
    </w:tbl>
    <w:p w:rsidR="00096239" w:rsidRPr="00F059DD" w:rsidRDefault="00096239" w:rsidP="00096239">
      <w:pPr>
        <w:pStyle w:val="ManualHeading3"/>
        <w:rPr>
          <w:noProof/>
        </w:rPr>
      </w:pPr>
      <w:bookmarkStart w:id="161" w:name="_Toc177549031"/>
      <w:r w:rsidRPr="00F059DD">
        <w:rPr>
          <w:noProof/>
        </w:rPr>
        <w:t>3.2.5.</w:t>
      </w:r>
      <w:r w:rsidRPr="00F059DD">
        <w:rPr>
          <w:noProof/>
        </w:rPr>
        <w:tab/>
        <w:t>Przegląd szacowanego wpływu na inwestycje związane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tec</w:t>
      </w:r>
      <w:r w:rsidRPr="00F059DD">
        <w:rPr>
          <w:noProof/>
        </w:rPr>
        <w:t>hnologiami cyfrowymi</w:t>
      </w:r>
      <w:bookmarkEnd w:id="161"/>
    </w:p>
    <w:p w:rsidR="00096239" w:rsidRPr="00F059DD" w:rsidRDefault="00096239" w:rsidP="00096239">
      <w:pPr>
        <w:pStyle w:val="Text1"/>
        <w:spacing w:line="259" w:lineRule="auto"/>
        <w:rPr>
          <w:noProof/>
        </w:rPr>
      </w:pPr>
      <w:r w:rsidRPr="00F059DD">
        <w:rPr>
          <w:noProof/>
        </w:rPr>
        <w:t>Obowiązkowo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tab</w:t>
      </w:r>
      <w:r w:rsidRPr="00F059DD">
        <w:rPr>
          <w:noProof/>
        </w:rPr>
        <w:t>eli poniżej: szacowany wpływ wniosku/inicjatywy na inwestycje związane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tec</w:t>
      </w:r>
      <w:r w:rsidRPr="00F059DD">
        <w:rPr>
          <w:noProof/>
        </w:rPr>
        <w:t xml:space="preserve">hnologiami cyfrowymi. </w:t>
      </w:r>
    </w:p>
    <w:p w:rsidR="00096239" w:rsidRPr="00F059DD" w:rsidRDefault="00096239" w:rsidP="00096239">
      <w:pPr>
        <w:pStyle w:val="Text1"/>
        <w:spacing w:line="259" w:lineRule="auto"/>
        <w:rPr>
          <w:noProof/>
        </w:rPr>
      </w:pPr>
      <w:r w:rsidRPr="00F059DD">
        <w:rPr>
          <w:noProof/>
        </w:rPr>
        <w:t>W wyjątkowych przypadkach, jeżeli wymaga tego realizacja wniosku/inicjatywy, we wskazanym wierszu należy podać środki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dzi</w:t>
      </w:r>
      <w:r w:rsidRPr="00F059DD">
        <w:rPr>
          <w:noProof/>
        </w:rPr>
        <w:t xml:space="preserve">ału 7. </w:t>
      </w:r>
    </w:p>
    <w:p w:rsidR="00096239" w:rsidRPr="00F059DD" w:rsidRDefault="00096239" w:rsidP="00096239">
      <w:pPr>
        <w:pStyle w:val="Text1"/>
        <w:spacing w:line="259" w:lineRule="auto"/>
        <w:rPr>
          <w:noProof/>
        </w:rPr>
      </w:pPr>
      <w:r w:rsidRPr="00F059DD">
        <w:rPr>
          <w:noProof/>
        </w:rPr>
        <w:t>Środki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dzi</w:t>
      </w:r>
      <w:r w:rsidRPr="00F059DD">
        <w:rPr>
          <w:noProof/>
        </w:rPr>
        <w:t>ałów 1–6 należy podać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wie</w:t>
      </w:r>
      <w:r w:rsidRPr="00F059DD">
        <w:rPr>
          <w:noProof/>
        </w:rPr>
        <w:t>rszu „Wydatki na IT wynikające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rea</w:t>
      </w:r>
      <w:r w:rsidRPr="00F059DD">
        <w:rPr>
          <w:noProof/>
        </w:rPr>
        <w:t>lizacji polityki tytułem programów operacyjnych”. Wydatki te odnoszą się do budżetu operacyjnego na ponowne wykorzystanie / zakup / rozwój platform / narzędzi informatycznych bezpośrednio związanych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rea</w:t>
      </w:r>
      <w:r w:rsidRPr="00F059DD">
        <w:rPr>
          <w:noProof/>
        </w:rPr>
        <w:t>lizacją inicjatywy oraz powiązanych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nim</w:t>
      </w:r>
      <w:r w:rsidRPr="00F059DD">
        <w:rPr>
          <w:noProof/>
        </w:rPr>
        <w:t>i inwestycji (np. licencje, badania, przechowywanie danych). Informacje podane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tej</w:t>
      </w:r>
      <w:r w:rsidRPr="00F059DD">
        <w:rPr>
          <w:noProof/>
        </w:rPr>
        <w:t xml:space="preserve"> tabeli powinny zgadzać się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inf</w:t>
      </w:r>
      <w:r w:rsidRPr="00F059DD">
        <w:rPr>
          <w:noProof/>
        </w:rPr>
        <w:t>ormacjami przedstawionymi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sek</w:t>
      </w:r>
      <w:r w:rsidRPr="00F059DD">
        <w:rPr>
          <w:noProof/>
        </w:rPr>
        <w:t>cji 4 „Wymiar cyfrowy”.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4"/>
        <w:gridCol w:w="835"/>
        <w:gridCol w:w="835"/>
        <w:gridCol w:w="835"/>
        <w:gridCol w:w="835"/>
        <w:gridCol w:w="981"/>
      </w:tblGrid>
      <w:tr w:rsidR="00096239" w:rsidRPr="00F059DD" w:rsidTr="00624AF6">
        <w:trPr>
          <w:trHeight w:val="525"/>
        </w:trPr>
        <w:tc>
          <w:tcPr>
            <w:tcW w:w="321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OGÓŁEM środki na IT</w:t>
            </w:r>
            <w:r w:rsidR="00660A3E" w:rsidRPr="00F059DD">
              <w:rPr>
                <w:b/>
                <w:noProof/>
                <w:sz w:val="18"/>
              </w:rPr>
              <w:t xml:space="preserve"> i</w:t>
            </w:r>
            <w:r w:rsidR="00660A3E">
              <w:rPr>
                <w:b/>
                <w:noProof/>
                <w:sz w:val="18"/>
              </w:rPr>
              <w:t> </w:t>
            </w:r>
            <w:r w:rsidR="00660A3E" w:rsidRPr="00F059DD">
              <w:rPr>
                <w:b/>
                <w:noProof/>
                <w:sz w:val="18"/>
              </w:rPr>
              <w:t>tec</w:t>
            </w:r>
            <w:r w:rsidRPr="00F059DD">
              <w:rPr>
                <w:b/>
                <w:noProof/>
                <w:sz w:val="18"/>
              </w:rPr>
              <w:t>hnologie cyfrowe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Rok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Rok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Rok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8"/>
                <w:szCs w:val="18"/>
              </w:rPr>
            </w:pPr>
            <w:r w:rsidRPr="00F059DD">
              <w:rPr>
                <w:noProof/>
                <w:sz w:val="18"/>
              </w:rPr>
              <w:t>Rok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OGÓŁEM WRF 2021–2027</w:t>
            </w:r>
          </w:p>
        </w:tc>
      </w:tr>
      <w:tr w:rsidR="00096239" w:rsidRPr="00F059DD" w:rsidTr="00624AF6">
        <w:trPr>
          <w:trHeight w:val="525"/>
        </w:trPr>
        <w:tc>
          <w:tcPr>
            <w:tcW w:w="321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239" w:rsidRPr="00F059DD" w:rsidRDefault="00096239" w:rsidP="00624AF6">
            <w:pPr>
              <w:rPr>
                <w:noProof/>
              </w:rPr>
            </w:pP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2024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2025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2026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F059DD">
              <w:rPr>
                <w:b/>
                <w:noProof/>
                <w:sz w:val="18"/>
              </w:rPr>
              <w:t>2027</w:t>
            </w:r>
          </w:p>
        </w:tc>
        <w:tc>
          <w:tcPr>
            <w:tcW w:w="9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239" w:rsidRPr="00F059DD" w:rsidRDefault="00096239" w:rsidP="00624AF6">
            <w:pPr>
              <w:rPr>
                <w:noProof/>
              </w:rPr>
            </w:pPr>
          </w:p>
        </w:tc>
      </w:tr>
      <w:tr w:rsidR="00096239" w:rsidRPr="00F059DD" w:rsidTr="00624AF6">
        <w:trPr>
          <w:trHeight w:val="300"/>
        </w:trPr>
        <w:tc>
          <w:tcPr>
            <w:tcW w:w="75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DZIAŁ 7</w:t>
            </w:r>
          </w:p>
        </w:tc>
      </w:tr>
      <w:tr w:rsidR="00096239" w:rsidRPr="00F059DD" w:rsidTr="00624AF6">
        <w:trPr>
          <w:trHeight w:val="300"/>
        </w:trPr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  <w:r w:rsidRPr="00F059DD">
              <w:rPr>
                <w:rFonts w:ascii="Arial Narrow" w:hAnsi="Arial Narrow"/>
                <w:noProof/>
                <w:sz w:val="20"/>
              </w:rPr>
              <w:t>Wydatki na IT (ponoszone przez organizację)</w:t>
            </w:r>
            <w:r w:rsidRPr="00F059DD">
              <w:rPr>
                <w:noProof/>
                <w:sz w:val="16"/>
              </w:rPr>
              <w:t xml:space="preserve"> 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</w:tr>
      <w:tr w:rsidR="00096239" w:rsidRPr="00F059DD" w:rsidTr="00624AF6">
        <w:trPr>
          <w:trHeight w:val="300"/>
        </w:trPr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Suma cząstkowa DZIAŁU 7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</w:tr>
      <w:tr w:rsidR="00096239" w:rsidRPr="00F059DD" w:rsidTr="00624AF6">
        <w:trPr>
          <w:trHeight w:val="300"/>
        </w:trPr>
        <w:tc>
          <w:tcPr>
            <w:tcW w:w="7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lef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Poza DZIAŁEM 7</w:t>
            </w:r>
          </w:p>
        </w:tc>
      </w:tr>
      <w:tr w:rsidR="00096239" w:rsidRPr="00F059DD" w:rsidTr="00624AF6">
        <w:trPr>
          <w:trHeight w:val="300"/>
        </w:trPr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left"/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</w:pPr>
            <w:r w:rsidRPr="00F059DD">
              <w:rPr>
                <w:rFonts w:ascii="Arial Narrow" w:hAnsi="Arial Narrow"/>
                <w:noProof/>
                <w:sz w:val="20"/>
              </w:rPr>
              <w:t>Wydatki na IT wynikające</w:t>
            </w:r>
            <w:r w:rsidR="00660A3E" w:rsidRPr="00F059DD">
              <w:rPr>
                <w:rFonts w:ascii="Arial Narrow" w:hAnsi="Arial Narrow"/>
                <w:noProof/>
                <w:sz w:val="20"/>
              </w:rPr>
              <w:t xml:space="preserve"> z</w:t>
            </w:r>
            <w:r w:rsidR="00660A3E">
              <w:rPr>
                <w:rFonts w:ascii="Arial Narrow" w:hAnsi="Arial Narrow"/>
                <w:noProof/>
                <w:sz w:val="20"/>
              </w:rPr>
              <w:t> </w:t>
            </w:r>
            <w:r w:rsidR="00660A3E" w:rsidRPr="00F059DD">
              <w:rPr>
                <w:rFonts w:ascii="Arial Narrow" w:hAnsi="Arial Narrow"/>
                <w:noProof/>
                <w:sz w:val="20"/>
              </w:rPr>
              <w:t>rea</w:t>
            </w:r>
            <w:r w:rsidRPr="00F059DD">
              <w:rPr>
                <w:rFonts w:ascii="Arial Narrow" w:hAnsi="Arial Narrow"/>
                <w:noProof/>
                <w:sz w:val="20"/>
              </w:rPr>
              <w:t>lizacji polityki tytułem programów operacyjnych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>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</w:tr>
      <w:tr w:rsidR="00096239" w:rsidRPr="00F059DD" w:rsidTr="00624AF6">
        <w:trPr>
          <w:trHeight w:val="300"/>
        </w:trPr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Suma cząstkowa poza DZIAŁEM 7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</w:tr>
      <w:tr w:rsidR="00096239" w:rsidRPr="00F059DD" w:rsidTr="00624AF6">
        <w:trPr>
          <w:trHeight w:val="300"/>
        </w:trPr>
        <w:tc>
          <w:tcPr>
            <w:tcW w:w="7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noProof/>
                <w:sz w:val="16"/>
                <w:szCs w:val="16"/>
              </w:rPr>
            </w:pPr>
            <w:r w:rsidRPr="00F059DD">
              <w:rPr>
                <w:noProof/>
                <w:sz w:val="16"/>
              </w:rPr>
              <w:t xml:space="preserve"> </w:t>
            </w:r>
          </w:p>
        </w:tc>
      </w:tr>
      <w:tr w:rsidR="00096239" w:rsidRPr="00F059DD" w:rsidTr="00624AF6">
        <w:trPr>
          <w:trHeight w:val="315"/>
        </w:trPr>
        <w:tc>
          <w:tcPr>
            <w:tcW w:w="32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center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OGÓŁEM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096239" w:rsidRPr="00F059DD" w:rsidRDefault="00096239" w:rsidP="00624AF6">
            <w:pPr>
              <w:spacing w:before="0" w:after="0"/>
              <w:jc w:val="right"/>
              <w:rPr>
                <w:b/>
                <w:bCs/>
                <w:noProof/>
                <w:sz w:val="16"/>
                <w:szCs w:val="16"/>
              </w:rPr>
            </w:pPr>
            <w:r w:rsidRPr="00F059DD">
              <w:rPr>
                <w:b/>
                <w:noProof/>
                <w:sz w:val="16"/>
              </w:rPr>
              <w:t>0,000</w:t>
            </w:r>
          </w:p>
        </w:tc>
      </w:tr>
    </w:tbl>
    <w:p w:rsidR="00096239" w:rsidRPr="00F059DD" w:rsidRDefault="00096239" w:rsidP="00096239">
      <w:pPr>
        <w:pStyle w:val="ManualHeading3"/>
        <w:rPr>
          <w:noProof/>
        </w:rPr>
      </w:pPr>
      <w:bookmarkStart w:id="162" w:name="_Toc514938056"/>
      <w:bookmarkStart w:id="163" w:name="_Toc520485055"/>
      <w:bookmarkStart w:id="164" w:name="_Toc160804599"/>
      <w:bookmarkStart w:id="165" w:name="_Toc167220298"/>
      <w:bookmarkStart w:id="166" w:name="_Toc177549032"/>
      <w:bookmarkEnd w:id="160"/>
      <w:r w:rsidRPr="00F059DD">
        <w:rPr>
          <w:noProof/>
        </w:rPr>
        <w:t>3.2.6.</w:t>
      </w:r>
      <w:r w:rsidRPr="00F059DD">
        <w:rPr>
          <w:noProof/>
        </w:rPr>
        <w:tab/>
        <w:t>Zgodność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obo</w:t>
      </w:r>
      <w:r w:rsidRPr="00F059DD">
        <w:rPr>
          <w:noProof/>
        </w:rPr>
        <w:t>wiązującymi wieloletnimi ramami finansowymi</w:t>
      </w:r>
      <w:bookmarkEnd w:id="162"/>
      <w:bookmarkEnd w:id="163"/>
      <w:bookmarkEnd w:id="164"/>
      <w:bookmarkEnd w:id="165"/>
      <w:bookmarkEnd w:id="166"/>
      <w:r w:rsidRPr="00F059DD">
        <w:rPr>
          <w:noProof/>
        </w:rPr>
        <w:t xml:space="preserve"> </w:t>
      </w:r>
    </w:p>
    <w:p w:rsidR="00096239" w:rsidRPr="00F059DD" w:rsidRDefault="00096239" w:rsidP="00096239">
      <w:pPr>
        <w:pStyle w:val="Text1"/>
        <w:rPr>
          <w:noProof/>
        </w:rPr>
      </w:pPr>
      <w:r w:rsidRPr="00F059DD">
        <w:rPr>
          <w:noProof/>
        </w:rPr>
        <w:t>Wniosek/inicjatywa: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rFonts w:ascii="Wingdings" w:hAnsi="Wingdings"/>
          <w:noProof/>
        </w:rPr>
        <w:t></w:t>
      </w:r>
      <w:r w:rsidRPr="00F059DD">
        <w:rPr>
          <w:noProof/>
        </w:rPr>
        <w:tab/>
        <w:t>może zostać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peł</w:t>
      </w:r>
      <w:r w:rsidRPr="00F059DD">
        <w:rPr>
          <w:noProof/>
        </w:rPr>
        <w:t>ni sfinansowany(-a) przez przegrupowanie środków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ram</w:t>
      </w:r>
      <w:r w:rsidRPr="00F059DD">
        <w:rPr>
          <w:noProof/>
        </w:rPr>
        <w:t>ach odpowiedniego działu wieloletnich ram finansowych (WRF)</w:t>
      </w:r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Dodatkowe zasoby nie są wymagane. Obecny zespół będzie kontynuował zarządzanie inicjatywą.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ab/>
        <w:t>wymaga zastosowania nieprzydzielonego marginesu środków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ram</w:t>
      </w:r>
      <w:r w:rsidRPr="00F059DD">
        <w:rPr>
          <w:noProof/>
        </w:rPr>
        <w:t>ach odpowiedniego działu WRF lub zastosowania specjalnych instrumentów zdefiniowanych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roz</w:t>
      </w:r>
      <w:r w:rsidRPr="00F059DD">
        <w:rPr>
          <w:noProof/>
        </w:rPr>
        <w:t>porządzeniu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spr</w:t>
      </w:r>
      <w:r w:rsidRPr="00F059DD">
        <w:rPr>
          <w:noProof/>
        </w:rPr>
        <w:t>awie WRF</w:t>
      </w:r>
    </w:p>
    <w:p w:rsidR="00096239" w:rsidRPr="00F059DD" w:rsidRDefault="00096239" w:rsidP="00096239">
      <w:pPr>
        <w:pStyle w:val="Text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Nie dotyczy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ab/>
        <w:t>wymaga rewizji WRF</w:t>
      </w:r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Nie dotyczy</w:t>
      </w:r>
    </w:p>
    <w:p w:rsidR="00096239" w:rsidRPr="00F059DD" w:rsidRDefault="00096239" w:rsidP="00096239">
      <w:pPr>
        <w:pStyle w:val="ManualHeading3"/>
        <w:rPr>
          <w:noProof/>
        </w:rPr>
      </w:pPr>
      <w:bookmarkStart w:id="167" w:name="_Toc514938058"/>
      <w:bookmarkStart w:id="168" w:name="_Toc520485056"/>
      <w:bookmarkStart w:id="169" w:name="_Toc160804600"/>
      <w:bookmarkStart w:id="170" w:name="_Toc167220299"/>
      <w:bookmarkStart w:id="171" w:name="_Toc177549033"/>
      <w:r w:rsidRPr="00F059DD">
        <w:rPr>
          <w:noProof/>
        </w:rPr>
        <w:t>3.2.7.</w:t>
      </w:r>
      <w:r w:rsidRPr="00F059DD">
        <w:rPr>
          <w:noProof/>
        </w:rPr>
        <w:tab/>
        <w:t>Udział osób trzecich</w:t>
      </w:r>
      <w:r w:rsidR="00660A3E" w:rsidRPr="00F059DD">
        <w:rPr>
          <w:noProof/>
        </w:rPr>
        <w:t xml:space="preserve"> w</w:t>
      </w:r>
      <w:r w:rsidR="00660A3E">
        <w:rPr>
          <w:noProof/>
        </w:rPr>
        <w:t> </w:t>
      </w:r>
      <w:r w:rsidR="00660A3E" w:rsidRPr="00F059DD">
        <w:rPr>
          <w:noProof/>
        </w:rPr>
        <w:t>fin</w:t>
      </w:r>
      <w:r w:rsidRPr="00F059DD">
        <w:rPr>
          <w:noProof/>
        </w:rPr>
        <w:t>ansowaniu</w:t>
      </w:r>
      <w:bookmarkEnd w:id="167"/>
      <w:bookmarkEnd w:id="168"/>
      <w:bookmarkEnd w:id="169"/>
      <w:bookmarkEnd w:id="170"/>
      <w:bookmarkEnd w:id="171"/>
      <w:r w:rsidRPr="00F059DD">
        <w:rPr>
          <w:noProof/>
        </w:rPr>
        <w:t xml:space="preserve"> </w:t>
      </w:r>
    </w:p>
    <w:p w:rsidR="00096239" w:rsidRPr="00F059DD" w:rsidRDefault="00096239" w:rsidP="00096239">
      <w:pPr>
        <w:pStyle w:val="Text1"/>
        <w:rPr>
          <w:noProof/>
        </w:rPr>
      </w:pPr>
      <w:r w:rsidRPr="00F059DD">
        <w:rPr>
          <w:noProof/>
        </w:rPr>
        <w:t>Wniosek/inicjatywa: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rFonts w:ascii="Wingdings" w:hAnsi="Wingdings"/>
          <w:noProof/>
        </w:rPr>
        <w:t></w:t>
      </w:r>
      <w:r w:rsidRPr="00F059DD">
        <w:rPr>
          <w:noProof/>
        </w:rPr>
        <w:tab/>
        <w:t>nie przewiduje współfinansowania ze strony osób trzecich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ab/>
        <w:t>przewiduje współfinansowanie ze strony osób trzecich zgodnie</w:t>
      </w:r>
      <w:r w:rsidR="00660A3E" w:rsidRPr="00F059DD">
        <w:rPr>
          <w:noProof/>
        </w:rPr>
        <w:t xml:space="preserve"> z</w:t>
      </w:r>
      <w:r w:rsidR="00660A3E">
        <w:rPr>
          <w:noProof/>
        </w:rPr>
        <w:t> </w:t>
      </w:r>
      <w:r w:rsidR="00660A3E" w:rsidRPr="00F059DD">
        <w:rPr>
          <w:noProof/>
        </w:rPr>
        <w:t>pon</w:t>
      </w:r>
      <w:r w:rsidRPr="00F059DD">
        <w:rPr>
          <w:noProof/>
        </w:rPr>
        <w:t>iższymi szacunkami:</w:t>
      </w:r>
    </w:p>
    <w:p w:rsidR="00096239" w:rsidRPr="00F059DD" w:rsidRDefault="00096239" w:rsidP="00096239">
      <w:pPr>
        <w:jc w:val="right"/>
        <w:rPr>
          <w:noProof/>
          <w:sz w:val="20"/>
        </w:rPr>
      </w:pPr>
      <w:r w:rsidRPr="00F059DD">
        <w:rPr>
          <w:noProof/>
          <w:sz w:val="20"/>
        </w:rPr>
        <w:t>środki</w:t>
      </w:r>
      <w:r w:rsidR="00660A3E" w:rsidRPr="00F059DD">
        <w:rPr>
          <w:noProof/>
          <w:sz w:val="20"/>
        </w:rPr>
        <w:t xml:space="preserve"> w</w:t>
      </w:r>
      <w:r w:rsidR="00660A3E">
        <w:rPr>
          <w:noProof/>
          <w:sz w:val="20"/>
        </w:rPr>
        <w:t> </w:t>
      </w:r>
      <w:r w:rsidR="00660A3E" w:rsidRPr="00F059DD">
        <w:rPr>
          <w:noProof/>
          <w:sz w:val="20"/>
        </w:rPr>
        <w:t>mln</w:t>
      </w:r>
      <w:r w:rsidRPr="00F059DD">
        <w:rPr>
          <w:noProof/>
          <w:sz w:val="20"/>
        </w:rPr>
        <w:t xml:space="preserve"> EUR (do trzech miejsc po przecinku)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7"/>
        <w:gridCol w:w="1217"/>
        <w:gridCol w:w="1217"/>
        <w:gridCol w:w="1217"/>
        <w:gridCol w:w="1217"/>
        <w:gridCol w:w="1462"/>
      </w:tblGrid>
      <w:tr w:rsidR="00096239" w:rsidRPr="00F059DD" w:rsidTr="00624AF6">
        <w:trPr>
          <w:cantSplit/>
        </w:trPr>
        <w:tc>
          <w:tcPr>
            <w:tcW w:w="1591" w:type="pct"/>
          </w:tcPr>
          <w:p w:rsidR="00096239" w:rsidRPr="00F059DD" w:rsidRDefault="00096239" w:rsidP="00624AF6">
            <w:pPr>
              <w:spacing w:before="60" w:after="60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</w:rPr>
            </w:pPr>
            <w:r w:rsidRPr="00F059DD">
              <w:rPr>
                <w:noProof/>
                <w:sz w:val="20"/>
              </w:rPr>
              <w:t>Ro</w:t>
            </w:r>
            <w:r w:rsidRPr="00660A3E">
              <w:rPr>
                <w:noProof/>
                <w:sz w:val="20"/>
              </w:rPr>
              <w:t>k</w:t>
            </w:r>
            <w:r w:rsidR="00660A3E" w:rsidRPr="00660A3E">
              <w:rPr>
                <w:noProof/>
                <w:sz w:val="20"/>
              </w:rPr>
              <w:t xml:space="preserve"> </w:t>
            </w:r>
            <w:r w:rsidRPr="00660A3E">
              <w:rPr>
                <w:noProof/>
              </w:rPr>
              <w:br/>
            </w:r>
            <w:r w:rsidRPr="00F059DD">
              <w:rPr>
                <w:b/>
                <w:noProof/>
                <w:sz w:val="20"/>
              </w:rPr>
              <w:t>2024</w:t>
            </w:r>
          </w:p>
        </w:tc>
        <w:tc>
          <w:tcPr>
            <w:tcW w:w="655" w:type="pct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</w:rPr>
            </w:pPr>
            <w:r w:rsidRPr="00F059DD">
              <w:rPr>
                <w:noProof/>
                <w:sz w:val="20"/>
              </w:rPr>
              <w:t>Ro</w:t>
            </w:r>
            <w:r w:rsidRPr="00660A3E">
              <w:rPr>
                <w:noProof/>
                <w:sz w:val="20"/>
              </w:rPr>
              <w:t>k</w:t>
            </w:r>
            <w:r w:rsidR="00660A3E" w:rsidRPr="00660A3E">
              <w:rPr>
                <w:noProof/>
                <w:sz w:val="20"/>
              </w:rPr>
              <w:t xml:space="preserve"> </w:t>
            </w:r>
            <w:r w:rsidRPr="00660A3E">
              <w:rPr>
                <w:noProof/>
              </w:rPr>
              <w:br/>
            </w:r>
            <w:r w:rsidRPr="00F059DD">
              <w:rPr>
                <w:b/>
                <w:noProof/>
                <w:sz w:val="20"/>
              </w:rPr>
              <w:t>2025</w:t>
            </w:r>
          </w:p>
        </w:tc>
        <w:tc>
          <w:tcPr>
            <w:tcW w:w="655" w:type="pct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</w:rPr>
            </w:pPr>
            <w:r w:rsidRPr="00F059DD">
              <w:rPr>
                <w:noProof/>
                <w:sz w:val="20"/>
              </w:rPr>
              <w:t>Ro</w:t>
            </w:r>
            <w:r w:rsidRPr="00660A3E">
              <w:rPr>
                <w:noProof/>
                <w:sz w:val="20"/>
              </w:rPr>
              <w:t>k</w:t>
            </w:r>
            <w:r w:rsidR="00660A3E" w:rsidRPr="00660A3E">
              <w:rPr>
                <w:noProof/>
                <w:sz w:val="20"/>
              </w:rPr>
              <w:t xml:space="preserve"> </w:t>
            </w:r>
            <w:r w:rsidRPr="00660A3E">
              <w:rPr>
                <w:noProof/>
              </w:rPr>
              <w:br/>
            </w:r>
            <w:r w:rsidRPr="00F059DD">
              <w:rPr>
                <w:b/>
                <w:noProof/>
                <w:sz w:val="20"/>
              </w:rPr>
              <w:t>2026</w:t>
            </w:r>
          </w:p>
        </w:tc>
        <w:tc>
          <w:tcPr>
            <w:tcW w:w="655" w:type="pct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20"/>
              </w:rPr>
            </w:pPr>
            <w:r w:rsidRPr="00F059DD">
              <w:rPr>
                <w:noProof/>
                <w:sz w:val="20"/>
              </w:rPr>
              <w:t>Ro</w:t>
            </w:r>
            <w:r w:rsidRPr="00660A3E">
              <w:rPr>
                <w:noProof/>
                <w:sz w:val="20"/>
              </w:rPr>
              <w:t>k</w:t>
            </w:r>
            <w:r w:rsidR="00660A3E" w:rsidRPr="00660A3E">
              <w:rPr>
                <w:noProof/>
                <w:sz w:val="20"/>
              </w:rPr>
              <w:t xml:space="preserve"> </w:t>
            </w:r>
            <w:r w:rsidRPr="00660A3E">
              <w:rPr>
                <w:noProof/>
              </w:rPr>
              <w:br/>
            </w:r>
            <w:r w:rsidRPr="00F059DD">
              <w:rPr>
                <w:b/>
                <w:noProof/>
                <w:sz w:val="20"/>
              </w:rPr>
              <w:t>2027</w:t>
            </w:r>
          </w:p>
        </w:tc>
        <w:tc>
          <w:tcPr>
            <w:tcW w:w="787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  <w:sz w:val="20"/>
              </w:rPr>
            </w:pPr>
            <w:r w:rsidRPr="00F059DD">
              <w:rPr>
                <w:noProof/>
                <w:sz w:val="20"/>
              </w:rPr>
              <w:t>Ogółem</w:t>
            </w:r>
          </w:p>
        </w:tc>
      </w:tr>
      <w:tr w:rsidR="00096239" w:rsidRPr="00F059DD" w:rsidTr="00624AF6">
        <w:trPr>
          <w:cantSplit/>
        </w:trPr>
        <w:tc>
          <w:tcPr>
            <w:tcW w:w="1591" w:type="pct"/>
          </w:tcPr>
          <w:p w:rsidR="00096239" w:rsidRPr="00F059DD" w:rsidRDefault="00096239" w:rsidP="00624AF6">
            <w:pPr>
              <w:rPr>
                <w:noProof/>
              </w:rPr>
            </w:pPr>
            <w:r w:rsidRPr="00F059DD">
              <w:rPr>
                <w:noProof/>
                <w:sz w:val="20"/>
              </w:rPr>
              <w:t>Określić organ współfinansujący</w:t>
            </w:r>
            <w:r w:rsidRPr="00F059DD">
              <w:rPr>
                <w:i/>
                <w:noProof/>
                <w:sz w:val="20"/>
              </w:rPr>
              <w:t xml:space="preserve"> </w:t>
            </w:r>
          </w:p>
        </w:tc>
        <w:tc>
          <w:tcPr>
            <w:tcW w:w="655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787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</w:tr>
      <w:tr w:rsidR="00096239" w:rsidRPr="00F059DD" w:rsidTr="00624AF6">
        <w:trPr>
          <w:cantSplit/>
        </w:trPr>
        <w:tc>
          <w:tcPr>
            <w:tcW w:w="1591" w:type="pct"/>
          </w:tcPr>
          <w:p w:rsidR="00096239" w:rsidRPr="00F059DD" w:rsidRDefault="00096239" w:rsidP="00624AF6">
            <w:pPr>
              <w:spacing w:before="60" w:after="60"/>
              <w:jc w:val="left"/>
              <w:rPr>
                <w:noProof/>
                <w:sz w:val="20"/>
              </w:rPr>
            </w:pPr>
            <w:r w:rsidRPr="00F059DD">
              <w:rPr>
                <w:noProof/>
                <w:sz w:val="20"/>
              </w:rPr>
              <w:t xml:space="preserve">OGÓŁEM środki objęte współfinansowaniem </w:t>
            </w:r>
          </w:p>
        </w:tc>
        <w:tc>
          <w:tcPr>
            <w:tcW w:w="655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655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787" w:type="pct"/>
            <w:vAlign w:val="center"/>
          </w:tcPr>
          <w:p w:rsidR="00096239" w:rsidRPr="00F059DD" w:rsidRDefault="00096239" w:rsidP="00624AF6"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</w:tr>
    </w:tbl>
    <w:p w:rsidR="00096239" w:rsidRPr="00F059DD" w:rsidRDefault="00096239" w:rsidP="00096239">
      <w:pPr>
        <w:outlineLvl w:val="1"/>
        <w:rPr>
          <w:noProof/>
          <w:szCs w:val="24"/>
        </w:rPr>
      </w:pPr>
      <w:r w:rsidRPr="00F059DD">
        <w:rPr>
          <w:noProof/>
        </w:rPr>
        <w:t xml:space="preserve"> </w:t>
      </w:r>
      <w:r w:rsidRPr="00F059DD">
        <w:rPr>
          <w:noProof/>
        </w:rPr>
        <w:br/>
      </w:r>
      <w:bookmarkStart w:id="172" w:name="_Toc514938059"/>
      <w:bookmarkStart w:id="173" w:name="_Toc520485057"/>
      <w:bookmarkStart w:id="174" w:name="_Toc160804602"/>
      <w:bookmarkStart w:id="175" w:name="_Toc167220300"/>
      <w:bookmarkStart w:id="176" w:name="_Toc177549034"/>
      <w:bookmarkStart w:id="177" w:name="_Hlk166860179"/>
      <w:r w:rsidRPr="00F059DD">
        <w:rPr>
          <w:noProof/>
        </w:rPr>
        <w:t>3.3.</w:t>
      </w:r>
      <w:r w:rsidRPr="00F059DD">
        <w:rPr>
          <w:noProof/>
        </w:rPr>
        <w:tab/>
        <w:t>Szacunkowy wpływ na dochody</w:t>
      </w:r>
      <w:bookmarkEnd w:id="172"/>
      <w:bookmarkEnd w:id="173"/>
      <w:bookmarkEnd w:id="174"/>
      <w:bookmarkEnd w:id="175"/>
      <w:bookmarkEnd w:id="176"/>
      <w:r w:rsidRPr="00F059DD">
        <w:rPr>
          <w:noProof/>
        </w:rPr>
        <w:t xml:space="preserve"> </w:t>
      </w:r>
    </w:p>
    <w:bookmarkEnd w:id="177"/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rFonts w:ascii="Wingdings" w:hAnsi="Wingdings"/>
          <w:noProof/>
        </w:rPr>
        <w:t></w:t>
      </w:r>
      <w:r w:rsidRPr="00F059DD">
        <w:rPr>
          <w:noProof/>
        </w:rPr>
        <w:tab/>
        <w:t>Wniosek/inicjatywa nie ma wpływu finansowego na dochody</w:t>
      </w:r>
    </w:p>
    <w:p w:rsidR="00096239" w:rsidRPr="00F059DD" w:rsidRDefault="00096239" w:rsidP="00096239">
      <w:pPr>
        <w:pStyle w:val="ListDash1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ab/>
        <w:t>Wniosek/inicjatywa ma wpływ finansowy określony poniżej:</w:t>
      </w:r>
    </w:p>
    <w:p w:rsidR="00096239" w:rsidRPr="00F059DD" w:rsidRDefault="00096239" w:rsidP="00096239">
      <w:pPr>
        <w:pStyle w:val="ListNumberLevel3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ab/>
        <w:t xml:space="preserve">wpływ na zasoby własne </w:t>
      </w:r>
    </w:p>
    <w:p w:rsidR="00096239" w:rsidRPr="00F059DD" w:rsidRDefault="00096239" w:rsidP="00096239">
      <w:pPr>
        <w:pStyle w:val="ListNumberLevel3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ab/>
        <w:t>wpływ na dochody inne</w:t>
      </w:r>
    </w:p>
    <w:p w:rsidR="00096239" w:rsidRPr="00F059DD" w:rsidRDefault="00096239" w:rsidP="00096239">
      <w:pPr>
        <w:pStyle w:val="ListNumberLevel3"/>
        <w:rPr>
          <w:noProof/>
        </w:rPr>
      </w:pPr>
      <w:r w:rsidRPr="00F059DD">
        <w:rPr>
          <w:rFonts w:ascii="Wingdings" w:hAnsi="Wingdings"/>
          <w:noProof/>
        </w:rPr>
        <w:t></w:t>
      </w:r>
      <w:r w:rsidRPr="00F059DD">
        <w:rPr>
          <w:noProof/>
        </w:rPr>
        <w:tab/>
        <w:t>Wskazać, czy dochody są przypisane do linii budżetowej po stronie wydatków</w:t>
      </w:r>
    </w:p>
    <w:p w:rsidR="00096239" w:rsidRPr="00F059DD" w:rsidRDefault="00096239" w:rsidP="00096239">
      <w:pPr>
        <w:jc w:val="right"/>
        <w:rPr>
          <w:noProof/>
          <w:sz w:val="20"/>
        </w:rPr>
      </w:pPr>
      <w:r w:rsidRPr="00F059DD">
        <w:rPr>
          <w:noProof/>
          <w:sz w:val="20"/>
        </w:rPr>
        <w:t xml:space="preserve">    </w:t>
      </w:r>
      <w:r w:rsidR="00660A3E" w:rsidRPr="00F059DD">
        <w:rPr>
          <w:noProof/>
          <w:sz w:val="20"/>
        </w:rPr>
        <w:t xml:space="preserve"> w</w:t>
      </w:r>
      <w:r w:rsidR="00660A3E">
        <w:rPr>
          <w:noProof/>
          <w:sz w:val="20"/>
        </w:rPr>
        <w:t> </w:t>
      </w:r>
      <w:r w:rsidR="00660A3E" w:rsidRPr="00F059DD">
        <w:rPr>
          <w:noProof/>
          <w:sz w:val="20"/>
        </w:rPr>
        <w:t>mln</w:t>
      </w:r>
      <w:r w:rsidRPr="00F059DD">
        <w:rPr>
          <w:noProof/>
          <w:sz w:val="20"/>
        </w:rPr>
        <w:t xml:space="preserve"> EUR (do trzech miejsc po przecinku)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3"/>
        <w:gridCol w:w="1614"/>
        <w:gridCol w:w="1692"/>
        <w:gridCol w:w="1044"/>
        <w:gridCol w:w="1035"/>
        <w:gridCol w:w="1259"/>
      </w:tblGrid>
      <w:tr w:rsidR="00096239" w:rsidRPr="00F059DD" w:rsidTr="00624AF6">
        <w:trPr>
          <w:trHeight w:val="388"/>
        </w:trPr>
        <w:tc>
          <w:tcPr>
            <w:tcW w:w="1423" w:type="pct"/>
            <w:vMerge w:val="restart"/>
            <w:vAlign w:val="center"/>
          </w:tcPr>
          <w:p w:rsidR="00096239" w:rsidRPr="00F059DD" w:rsidRDefault="00096239" w:rsidP="00624AF6">
            <w:pPr>
              <w:spacing w:before="40" w:after="40"/>
              <w:rPr>
                <w:noProof/>
                <w:sz w:val="18"/>
              </w:rPr>
            </w:pPr>
            <w:r w:rsidRPr="00F059DD">
              <w:rPr>
                <w:noProof/>
                <w:sz w:val="18"/>
              </w:rPr>
              <w:t>Linia budżetowa po stronie dochodów</w:t>
            </w:r>
          </w:p>
        </w:tc>
        <w:tc>
          <w:tcPr>
            <w:tcW w:w="869" w:type="pct"/>
            <w:vMerge w:val="restart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</w:rPr>
            </w:pPr>
            <w:r w:rsidRPr="00F059DD">
              <w:rPr>
                <w:noProof/>
                <w:sz w:val="18"/>
              </w:rPr>
              <w:t>Środki zapisane</w:t>
            </w:r>
            <w:r w:rsidR="00660A3E" w:rsidRPr="00F059DD">
              <w:rPr>
                <w:noProof/>
                <w:sz w:val="18"/>
              </w:rPr>
              <w:t xml:space="preserve"> w</w:t>
            </w:r>
            <w:r w:rsidR="00660A3E">
              <w:rPr>
                <w:noProof/>
                <w:sz w:val="18"/>
              </w:rPr>
              <w:t> </w:t>
            </w:r>
            <w:r w:rsidR="00660A3E" w:rsidRPr="00F059DD">
              <w:rPr>
                <w:noProof/>
                <w:sz w:val="18"/>
              </w:rPr>
              <w:t>bud</w:t>
            </w:r>
            <w:r w:rsidRPr="00F059DD">
              <w:rPr>
                <w:noProof/>
                <w:sz w:val="18"/>
              </w:rPr>
              <w:t>żecie na bieżący rok budżetowy</w:t>
            </w:r>
          </w:p>
        </w:tc>
        <w:tc>
          <w:tcPr>
            <w:tcW w:w="2709" w:type="pct"/>
            <w:gridSpan w:val="4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</w:rPr>
            </w:pPr>
            <w:r w:rsidRPr="00F059DD">
              <w:rPr>
                <w:noProof/>
                <w:sz w:val="18"/>
              </w:rPr>
              <w:t>Wpływ wniosku/inicjatywy</w:t>
            </w:r>
            <w:r w:rsidRPr="00F059DD">
              <w:rPr>
                <w:rStyle w:val="FootnoteReference"/>
                <w:noProof/>
                <w:sz w:val="18"/>
                <w:szCs w:val="18"/>
              </w:rPr>
              <w:footnoteReference w:id="23"/>
            </w:r>
          </w:p>
        </w:tc>
      </w:tr>
      <w:tr w:rsidR="00096239" w:rsidRPr="00F059DD" w:rsidTr="00624AF6">
        <w:trPr>
          <w:trHeight w:val="388"/>
        </w:trPr>
        <w:tc>
          <w:tcPr>
            <w:tcW w:w="1423" w:type="pct"/>
            <w:vMerge/>
          </w:tcPr>
          <w:p w:rsidR="00096239" w:rsidRPr="00F059DD" w:rsidRDefault="00096239" w:rsidP="00624AF6">
            <w:pPr>
              <w:spacing w:before="40" w:after="40"/>
              <w:rPr>
                <w:noProof/>
                <w:sz w:val="18"/>
              </w:rPr>
            </w:pPr>
          </w:p>
        </w:tc>
        <w:tc>
          <w:tcPr>
            <w:tcW w:w="869" w:type="pct"/>
            <w:vMerge/>
          </w:tcPr>
          <w:p w:rsidR="00096239" w:rsidRPr="00F059DD" w:rsidRDefault="00096239" w:rsidP="00624AF6">
            <w:pPr>
              <w:spacing w:beforeLines="40" w:before="96" w:afterLines="40" w:after="96"/>
              <w:rPr>
                <w:i/>
                <w:noProof/>
                <w:sz w:val="18"/>
              </w:rPr>
            </w:pPr>
          </w:p>
        </w:tc>
        <w:tc>
          <w:tcPr>
            <w:tcW w:w="911" w:type="pct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</w:rPr>
            </w:pPr>
            <w:r w:rsidRPr="00F059DD">
              <w:rPr>
                <w:noProof/>
                <w:sz w:val="18"/>
              </w:rPr>
              <w:t xml:space="preserve">Rok </w:t>
            </w:r>
            <w:r w:rsidRPr="00F059DD">
              <w:rPr>
                <w:b/>
                <w:noProof/>
                <w:sz w:val="18"/>
              </w:rPr>
              <w:t>2024</w:t>
            </w:r>
          </w:p>
        </w:tc>
        <w:tc>
          <w:tcPr>
            <w:tcW w:w="562" w:type="pct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</w:rPr>
            </w:pPr>
            <w:r w:rsidRPr="00F059DD">
              <w:rPr>
                <w:noProof/>
                <w:sz w:val="18"/>
              </w:rPr>
              <w:t xml:space="preserve">Rok </w:t>
            </w:r>
            <w:r w:rsidRPr="00F059DD">
              <w:rPr>
                <w:b/>
                <w:noProof/>
                <w:sz w:val="18"/>
              </w:rPr>
              <w:t>2025</w:t>
            </w:r>
          </w:p>
        </w:tc>
        <w:tc>
          <w:tcPr>
            <w:tcW w:w="557" w:type="pct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</w:rPr>
            </w:pPr>
            <w:r w:rsidRPr="00F059DD">
              <w:rPr>
                <w:noProof/>
                <w:sz w:val="18"/>
              </w:rPr>
              <w:t xml:space="preserve">Rok </w:t>
            </w:r>
            <w:r w:rsidRPr="00F059DD">
              <w:rPr>
                <w:b/>
                <w:noProof/>
                <w:sz w:val="18"/>
              </w:rPr>
              <w:t>2026</w:t>
            </w:r>
          </w:p>
        </w:tc>
        <w:tc>
          <w:tcPr>
            <w:tcW w:w="679" w:type="pct"/>
            <w:vAlign w:val="center"/>
          </w:tcPr>
          <w:p w:rsidR="00096239" w:rsidRPr="00F059DD" w:rsidRDefault="00096239" w:rsidP="00624AF6">
            <w:pPr>
              <w:jc w:val="center"/>
              <w:rPr>
                <w:noProof/>
                <w:sz w:val="18"/>
              </w:rPr>
            </w:pPr>
            <w:r w:rsidRPr="00F059DD">
              <w:rPr>
                <w:noProof/>
                <w:sz w:val="18"/>
              </w:rPr>
              <w:t xml:space="preserve">Rok </w:t>
            </w:r>
            <w:r w:rsidRPr="00F059DD">
              <w:rPr>
                <w:b/>
                <w:noProof/>
                <w:sz w:val="18"/>
              </w:rPr>
              <w:t>2027</w:t>
            </w:r>
          </w:p>
        </w:tc>
      </w:tr>
      <w:tr w:rsidR="00096239" w:rsidRPr="00F059DD" w:rsidTr="00624AF6">
        <w:trPr>
          <w:trHeight w:val="388"/>
        </w:trPr>
        <w:tc>
          <w:tcPr>
            <w:tcW w:w="1423" w:type="pct"/>
            <w:vAlign w:val="center"/>
          </w:tcPr>
          <w:p w:rsidR="00096239" w:rsidRPr="00F059DD" w:rsidRDefault="00096239" w:rsidP="00624AF6">
            <w:pPr>
              <w:spacing w:before="40" w:after="40"/>
              <w:rPr>
                <w:noProof/>
                <w:sz w:val="18"/>
              </w:rPr>
            </w:pPr>
            <w:r w:rsidRPr="00F059DD">
              <w:rPr>
                <w:noProof/>
                <w:sz w:val="18"/>
              </w:rPr>
              <w:t>Artykuł ………….</w:t>
            </w:r>
          </w:p>
        </w:tc>
        <w:tc>
          <w:tcPr>
            <w:tcW w:w="869" w:type="pct"/>
          </w:tcPr>
          <w:p w:rsidR="00096239" w:rsidRPr="00F059DD" w:rsidRDefault="00096239" w:rsidP="00624AF6">
            <w:pPr>
              <w:spacing w:beforeLines="40" w:before="96" w:afterLines="40" w:after="96"/>
              <w:jc w:val="center"/>
              <w:rPr>
                <w:i/>
                <w:noProof/>
                <w:sz w:val="18"/>
              </w:rPr>
            </w:pPr>
          </w:p>
        </w:tc>
        <w:tc>
          <w:tcPr>
            <w:tcW w:w="911" w:type="pct"/>
          </w:tcPr>
          <w:p w:rsidR="00096239" w:rsidRPr="00F059DD" w:rsidRDefault="00096239" w:rsidP="00624AF6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562" w:type="pct"/>
          </w:tcPr>
          <w:p w:rsidR="00096239" w:rsidRPr="00F059DD" w:rsidRDefault="00096239" w:rsidP="00624AF6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557" w:type="pct"/>
          </w:tcPr>
          <w:p w:rsidR="00096239" w:rsidRPr="00F059DD" w:rsidRDefault="00096239" w:rsidP="00624AF6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679" w:type="pct"/>
          </w:tcPr>
          <w:p w:rsidR="00096239" w:rsidRPr="00F059DD" w:rsidRDefault="00096239" w:rsidP="00624AF6"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</w:tr>
    </w:tbl>
    <w:p w:rsidR="00096239" w:rsidRPr="00F059DD" w:rsidRDefault="00096239" w:rsidP="00096239">
      <w:pPr>
        <w:pStyle w:val="Text1"/>
        <w:rPr>
          <w:noProof/>
          <w:szCs w:val="24"/>
        </w:rPr>
      </w:pPr>
      <w:r w:rsidRPr="00F059DD">
        <w:rPr>
          <w:noProof/>
        </w:rPr>
        <w:t>W przypadku wpływu na dochody przeznaczone na określony cel należy wskazać linie budżetowe po stronie wydatków, które ten wpływ obejmie.</w:t>
      </w:r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Nie dotyczy</w:t>
      </w:r>
    </w:p>
    <w:p w:rsidR="00096239" w:rsidRPr="00F059DD" w:rsidRDefault="00096239" w:rsidP="00096239">
      <w:pPr>
        <w:pStyle w:val="Text1"/>
        <w:rPr>
          <w:noProof/>
          <w:szCs w:val="24"/>
        </w:rPr>
      </w:pPr>
      <w:r w:rsidRPr="00F059DD">
        <w:rPr>
          <w:noProof/>
        </w:rPr>
        <w:t>Pozostałe uwagi (np. metoda/wzór użyte do obliczenia wpływu na dochody albo inne informacje).</w:t>
      </w:r>
    </w:p>
    <w:p w:rsidR="00096239" w:rsidRPr="00F059DD" w:rsidRDefault="00096239" w:rsidP="0009623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 w:rsidRPr="00F059DD">
        <w:rPr>
          <w:noProof/>
        </w:rPr>
        <w:t>Nie dotyczy</w:t>
      </w:r>
    </w:p>
    <w:p w:rsidR="00096239" w:rsidRPr="00F059DD" w:rsidRDefault="00096239" w:rsidP="00096239">
      <w:pPr>
        <w:pStyle w:val="ManualHeading1"/>
        <w:rPr>
          <w:caps/>
          <w:noProof/>
        </w:rPr>
      </w:pPr>
      <w:bookmarkStart w:id="178" w:name="_Toc167220301"/>
      <w:bookmarkStart w:id="179" w:name="_Toc177549035"/>
      <w:r w:rsidRPr="00F059DD">
        <w:rPr>
          <w:noProof/>
        </w:rPr>
        <w:t>4.</w:t>
      </w:r>
      <w:r w:rsidRPr="00F059DD">
        <w:rPr>
          <w:noProof/>
        </w:rPr>
        <w:tab/>
      </w:r>
      <w:bookmarkStart w:id="180" w:name="_Hlk167692977"/>
      <w:r w:rsidRPr="00F059DD">
        <w:rPr>
          <w:caps/>
          <w:noProof/>
        </w:rPr>
        <w:t>Wymiar cyfrowy</w:t>
      </w:r>
      <w:bookmarkEnd w:id="178"/>
      <w:bookmarkEnd w:id="179"/>
    </w:p>
    <w:p w:rsidR="00096239" w:rsidRPr="00F059DD" w:rsidRDefault="00DE52A1" w:rsidP="00096239">
      <w:pPr>
        <w:pStyle w:val="Tex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59" w:lineRule="auto"/>
        <w:rPr>
          <w:noProof/>
        </w:rPr>
      </w:pPr>
      <w:hyperlink r:id="rId22" w:history="1">
        <w:r w:rsidR="00096239" w:rsidRPr="00F059DD">
          <w:rPr>
            <w:noProof/>
          </w:rPr>
          <w:t>Wniosek</w:t>
        </w:r>
      </w:hyperlink>
      <w:r w:rsidR="00096239" w:rsidRPr="00F059DD">
        <w:rPr>
          <w:noProof/>
        </w:rPr>
        <w:t xml:space="preserve"> nie obejmuje wymiaru cyfrowego. </w:t>
      </w:r>
    </w:p>
    <w:p w:rsidR="00096239" w:rsidRPr="00F059DD" w:rsidRDefault="00096239" w:rsidP="00096239">
      <w:pPr>
        <w:pStyle w:val="ManualHeading2"/>
        <w:tabs>
          <w:tab w:val="clear" w:pos="850"/>
          <w:tab w:val="left" w:pos="0"/>
        </w:tabs>
        <w:ind w:left="0" w:firstLine="0"/>
        <w:rPr>
          <w:noProof/>
        </w:rPr>
      </w:pPr>
      <w:bookmarkStart w:id="181" w:name="_Toc177549036"/>
      <w:r w:rsidRPr="00F059DD">
        <w:rPr>
          <w:noProof/>
        </w:rPr>
        <w:t>.</w:t>
      </w:r>
      <w:bookmarkEnd w:id="181"/>
    </w:p>
    <w:p w:rsidR="00096239" w:rsidRPr="00F059DD" w:rsidRDefault="00096239" w:rsidP="00096239">
      <w:pPr>
        <w:pStyle w:val="ManualHeading2"/>
        <w:rPr>
          <w:noProof/>
        </w:rPr>
      </w:pPr>
      <w:bookmarkStart w:id="182" w:name="_Toc167220302"/>
      <w:bookmarkStart w:id="183" w:name="_Toc177549037"/>
      <w:r w:rsidRPr="00F059DD">
        <w:rPr>
          <w:noProof/>
        </w:rPr>
        <w:t>4.1.</w:t>
      </w:r>
      <w:r w:rsidRPr="00F059DD">
        <w:rPr>
          <w:noProof/>
        </w:rPr>
        <w:tab/>
        <w:t>Wymogi cyfrowe</w:t>
      </w:r>
      <w:bookmarkEnd w:id="182"/>
      <w:bookmarkEnd w:id="183"/>
    </w:p>
    <w:tbl>
      <w:tblPr>
        <w:tblStyle w:val="TableGrid"/>
        <w:tblW w:w="9072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072"/>
      </w:tblGrid>
      <w:tr w:rsidR="00096239" w:rsidRPr="00F059DD" w:rsidTr="005049BA">
        <w:trPr>
          <w:trHeight w:val="300"/>
        </w:trPr>
        <w:tc>
          <w:tcPr>
            <w:tcW w:w="9072" w:type="dxa"/>
          </w:tcPr>
          <w:p w:rsidR="00096239" w:rsidRPr="00F059DD" w:rsidRDefault="00096239" w:rsidP="00624AF6">
            <w:pPr>
              <w:rPr>
                <w:noProof/>
              </w:rPr>
            </w:pPr>
            <w:r w:rsidRPr="00F059DD">
              <w:rPr>
                <w:noProof/>
              </w:rPr>
              <w:t>Wniosek wprowadza elastyczność umożliwiającą producentom gromadzenie jednostek emisji, jeżeli ich indywidualne poziomy emisji CO</w:t>
            </w:r>
            <w:r w:rsidRPr="00F059DD">
              <w:rPr>
                <w:noProof/>
                <w:vertAlign w:val="subscript"/>
              </w:rPr>
              <w:t>2</w:t>
            </w:r>
            <w:r w:rsidRPr="00F059DD">
              <w:rPr>
                <w:noProof/>
              </w:rPr>
              <w:t xml:space="preserve"> są niższe od docelowych indywidualnych poziomów emisji CO</w:t>
            </w:r>
            <w:r w:rsidRPr="00F059DD">
              <w:rPr>
                <w:noProof/>
                <w:vertAlign w:val="subscript"/>
              </w:rPr>
              <w:t>2</w:t>
            </w:r>
            <w:r w:rsidRPr="00F059DD">
              <w:rPr>
                <w:noProof/>
              </w:rPr>
              <w:t>,</w:t>
            </w:r>
            <w:r w:rsidR="00660A3E" w:rsidRPr="00F059DD">
              <w:rPr>
                <w:noProof/>
              </w:rPr>
              <w:t xml:space="preserve"> a</w:t>
            </w:r>
            <w:r w:rsidR="00660A3E">
              <w:rPr>
                <w:noProof/>
              </w:rPr>
              <w:t> </w:t>
            </w:r>
            <w:r w:rsidR="00660A3E" w:rsidRPr="00F059DD">
              <w:rPr>
                <w:noProof/>
              </w:rPr>
              <w:t>nie</w:t>
            </w:r>
            <w:r w:rsidRPr="00F059DD">
              <w:rPr>
                <w:noProof/>
              </w:rPr>
              <w:t xml:space="preserve"> niższe od ścieżki redukcji emisji CO</w:t>
            </w:r>
            <w:r w:rsidRPr="00F059DD">
              <w:rPr>
                <w:noProof/>
                <w:vertAlign w:val="subscript"/>
              </w:rPr>
              <w:t>2</w:t>
            </w:r>
            <w:r w:rsidR="00660A3E" w:rsidRPr="00F059DD">
              <w:rPr>
                <w:noProof/>
              </w:rPr>
              <w:t xml:space="preserve"> w</w:t>
            </w:r>
            <w:r w:rsidR="00660A3E">
              <w:rPr>
                <w:noProof/>
              </w:rPr>
              <w:t> </w:t>
            </w:r>
            <w:r w:rsidR="00660A3E" w:rsidRPr="00F059DD">
              <w:rPr>
                <w:noProof/>
              </w:rPr>
              <w:t>lat</w:t>
            </w:r>
            <w:r w:rsidRPr="00F059DD">
              <w:rPr>
                <w:noProof/>
              </w:rPr>
              <w:t>ach 2025–2029. Oznacza to, że nie pociąga za sobą skutków cyfrowych ani poprawy wdrażania za pomocą narzędzi cyfrowych.</w:t>
            </w:r>
          </w:p>
        </w:tc>
      </w:tr>
    </w:tbl>
    <w:p w:rsidR="00096239" w:rsidRPr="00F059DD" w:rsidRDefault="00096239" w:rsidP="00096239">
      <w:pPr>
        <w:pStyle w:val="ManualHeading2"/>
        <w:rPr>
          <w:noProof/>
        </w:rPr>
      </w:pPr>
      <w:bookmarkStart w:id="184" w:name="_Toc167220303"/>
      <w:bookmarkStart w:id="185" w:name="_Toc177549038"/>
      <w:r w:rsidRPr="00F059DD">
        <w:rPr>
          <w:noProof/>
        </w:rPr>
        <w:t>4.2.</w:t>
      </w:r>
      <w:r w:rsidRPr="00F059DD">
        <w:rPr>
          <w:noProof/>
        </w:rPr>
        <w:tab/>
        <w:t>Dane</w:t>
      </w:r>
      <w:bookmarkEnd w:id="184"/>
      <w:bookmarkEnd w:id="18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096239" w:rsidRPr="00F059DD" w:rsidTr="00624AF6">
        <w:tc>
          <w:tcPr>
            <w:tcW w:w="9063" w:type="dxa"/>
          </w:tcPr>
          <w:p w:rsidR="00096239" w:rsidRPr="00F059DD" w:rsidRDefault="00096239" w:rsidP="00624AF6">
            <w:pPr>
              <w:rPr>
                <w:noProof/>
              </w:rPr>
            </w:pPr>
            <w:r w:rsidRPr="00F059DD">
              <w:rPr>
                <w:noProof/>
              </w:rPr>
              <w:t>Nie dotyczy</w:t>
            </w:r>
          </w:p>
        </w:tc>
      </w:tr>
    </w:tbl>
    <w:p w:rsidR="00096239" w:rsidRPr="00F059DD" w:rsidRDefault="00096239" w:rsidP="00096239">
      <w:pPr>
        <w:pStyle w:val="ManualHeading2"/>
        <w:rPr>
          <w:noProof/>
        </w:rPr>
      </w:pPr>
      <w:bookmarkStart w:id="186" w:name="_Toc167220305"/>
      <w:bookmarkStart w:id="187" w:name="_Toc177549039"/>
      <w:r w:rsidRPr="00F059DD">
        <w:rPr>
          <w:noProof/>
        </w:rPr>
        <w:t>4.3.</w:t>
      </w:r>
      <w:r w:rsidRPr="00F059DD">
        <w:rPr>
          <w:noProof/>
        </w:rPr>
        <w:tab/>
        <w:t>Rozwiązania cyfrowe</w:t>
      </w:r>
      <w:bookmarkEnd w:id="186"/>
      <w:bookmarkEnd w:id="187"/>
    </w:p>
    <w:tbl>
      <w:tblPr>
        <w:tblStyle w:val="TableGrid"/>
        <w:tblpPr w:leftFromText="141" w:rightFromText="141" w:vertAnchor="text" w:horzAnchor="margin" w:tblpY="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96239" w:rsidRPr="00F059DD" w:rsidTr="00624AF6">
        <w:tc>
          <w:tcPr>
            <w:tcW w:w="9067" w:type="dxa"/>
          </w:tcPr>
          <w:p w:rsidR="00096239" w:rsidRPr="00F059DD" w:rsidRDefault="00096239" w:rsidP="00624AF6">
            <w:pPr>
              <w:rPr>
                <w:noProof/>
              </w:rPr>
            </w:pPr>
            <w:r w:rsidRPr="00F059DD">
              <w:rPr>
                <w:noProof/>
              </w:rPr>
              <w:t>Nie dotyczy</w:t>
            </w:r>
          </w:p>
        </w:tc>
      </w:tr>
    </w:tbl>
    <w:p w:rsidR="00096239" w:rsidRPr="00F059DD" w:rsidRDefault="00096239" w:rsidP="00096239">
      <w:pPr>
        <w:pStyle w:val="ManualHeading2"/>
        <w:rPr>
          <w:rStyle w:val="Emphasis"/>
          <w:b w:val="0"/>
          <w:bCs/>
          <w:i w:val="0"/>
          <w:iCs w:val="0"/>
          <w:noProof/>
        </w:rPr>
      </w:pPr>
      <w:bookmarkStart w:id="188" w:name="_Toc167220304"/>
      <w:bookmarkStart w:id="189" w:name="_Toc177549040"/>
      <w:r w:rsidRPr="00F059DD">
        <w:rPr>
          <w:rStyle w:val="Emphasis"/>
          <w:noProof/>
        </w:rPr>
        <w:t>4.4.</w:t>
      </w:r>
      <w:r w:rsidRPr="00F059DD">
        <w:rPr>
          <w:noProof/>
        </w:rPr>
        <w:tab/>
      </w:r>
      <w:r w:rsidRPr="00F059DD">
        <w:rPr>
          <w:rStyle w:val="Emphasis"/>
          <w:noProof/>
        </w:rPr>
        <w:t>Ocena interoperacyjności</w:t>
      </w:r>
      <w:bookmarkEnd w:id="188"/>
      <w:bookmarkEnd w:id="189"/>
    </w:p>
    <w:tbl>
      <w:tblPr>
        <w:tblStyle w:val="TableGrid"/>
        <w:tblpPr w:leftFromText="141" w:rightFromText="141" w:vertAnchor="text" w:horzAnchor="margin" w:tblpY="36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096239" w:rsidRPr="00F059DD" w:rsidTr="00624AF6">
        <w:trPr>
          <w:trHeight w:val="300"/>
        </w:trPr>
        <w:tc>
          <w:tcPr>
            <w:tcW w:w="9067" w:type="dxa"/>
          </w:tcPr>
          <w:p w:rsidR="00096239" w:rsidRPr="00F059DD" w:rsidRDefault="00096239" w:rsidP="00624AF6">
            <w:pPr>
              <w:spacing w:line="259" w:lineRule="auto"/>
              <w:rPr>
                <w:noProof/>
              </w:rPr>
            </w:pPr>
            <w:r w:rsidRPr="00F059DD">
              <w:rPr>
                <w:noProof/>
              </w:rPr>
              <w:t>Nie dotyczy</w:t>
            </w:r>
          </w:p>
        </w:tc>
      </w:tr>
    </w:tbl>
    <w:p w:rsidR="00096239" w:rsidRPr="00F059DD" w:rsidRDefault="00096239" w:rsidP="00096239">
      <w:pPr>
        <w:pStyle w:val="ManualHeading2"/>
        <w:rPr>
          <w:noProof/>
        </w:rPr>
      </w:pPr>
      <w:bookmarkStart w:id="190" w:name="_Toc167220306"/>
      <w:bookmarkStart w:id="191" w:name="_Toc177549041"/>
      <w:r w:rsidRPr="00F059DD">
        <w:rPr>
          <w:noProof/>
        </w:rPr>
        <w:t>4.5.</w:t>
      </w:r>
      <w:r w:rsidRPr="00F059DD">
        <w:rPr>
          <w:noProof/>
        </w:rPr>
        <w:tab/>
        <w:t>Środki wspierające cyfrowe wdrażanie</w:t>
      </w:r>
      <w:bookmarkEnd w:id="190"/>
      <w:bookmarkEnd w:id="191"/>
    </w:p>
    <w:tbl>
      <w:tblPr>
        <w:tblStyle w:val="TableGrid"/>
        <w:tblpPr w:leftFromText="141" w:rightFromText="141" w:vertAnchor="text" w:horzAnchor="margin" w:tblpY="4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96239" w:rsidRPr="00F059DD" w:rsidTr="00624AF6">
        <w:tc>
          <w:tcPr>
            <w:tcW w:w="9067" w:type="dxa"/>
          </w:tcPr>
          <w:p w:rsidR="00096239" w:rsidRPr="00F059DD" w:rsidRDefault="00096239" w:rsidP="00624AF6">
            <w:pPr>
              <w:rPr>
                <w:noProof/>
              </w:rPr>
            </w:pPr>
            <w:r w:rsidRPr="00F059DD">
              <w:rPr>
                <w:noProof/>
              </w:rPr>
              <w:t>Nie dotyczy</w:t>
            </w:r>
          </w:p>
        </w:tc>
      </w:tr>
      <w:bookmarkEnd w:id="180"/>
    </w:tbl>
    <w:p w:rsidR="00A13D7E" w:rsidRPr="00F059DD" w:rsidRDefault="00A13D7E" w:rsidP="00096239">
      <w:pPr>
        <w:pStyle w:val="ManualHeading2"/>
        <w:rPr>
          <w:noProof/>
          <w:color w:val="008000"/>
        </w:rPr>
      </w:pPr>
    </w:p>
    <w:sectPr w:rsidR="00A13D7E" w:rsidRPr="00F059DD" w:rsidSect="00086F5F">
      <w:headerReference w:type="default" r:id="rId23"/>
      <w:footerReference w:type="default" r:id="rId24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35" w:rsidRDefault="00181C35" w:rsidP="00A13D7E">
      <w:pPr>
        <w:spacing w:before="0" w:after="0"/>
      </w:pPr>
      <w:r>
        <w:separator/>
      </w:r>
    </w:p>
  </w:endnote>
  <w:endnote w:type="continuationSeparator" w:id="0">
    <w:p w:rsidR="00181C35" w:rsidRDefault="00181C35" w:rsidP="00A13D7E">
      <w:pPr>
        <w:spacing w:before="0" w:after="0"/>
      </w:pPr>
      <w:r>
        <w:continuationSeparator/>
      </w:r>
    </w:p>
  </w:endnote>
  <w:endnote w:type="continuationNotice" w:id="1">
    <w:p w:rsidR="00181C35" w:rsidRDefault="00181C3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5F" w:rsidRPr="00086F5F" w:rsidRDefault="00086F5F" w:rsidP="00086F5F">
    <w:pPr>
      <w:pStyle w:val="Footer"/>
      <w:rPr>
        <w:rFonts w:ascii="Arial" w:hAnsi="Arial" w:cs="Arial"/>
        <w:b/>
        <w:sz w:val="48"/>
      </w:rPr>
    </w:pPr>
    <w:r w:rsidRPr="00086F5F">
      <w:rPr>
        <w:rFonts w:ascii="Arial" w:hAnsi="Arial" w:cs="Arial"/>
        <w:b/>
        <w:sz w:val="48"/>
      </w:rPr>
      <w:t>PL</w:t>
    </w:r>
    <w:r w:rsidRPr="00086F5F">
      <w:rPr>
        <w:rFonts w:ascii="Arial" w:hAnsi="Arial" w:cs="Arial"/>
        <w:b/>
        <w:sz w:val="48"/>
      </w:rPr>
      <w:tab/>
    </w:r>
    <w:r w:rsidRPr="00086F5F">
      <w:rPr>
        <w:rFonts w:ascii="Arial" w:hAnsi="Arial" w:cs="Arial"/>
        <w:b/>
        <w:sz w:val="48"/>
      </w:rPr>
      <w:tab/>
    </w:r>
    <w:r w:rsidRPr="00086F5F">
      <w:tab/>
    </w:r>
    <w:r w:rsidRPr="00086F5F"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5F" w:rsidRPr="00086F5F" w:rsidRDefault="00086F5F" w:rsidP="00086F5F">
    <w:pPr>
      <w:pStyle w:val="Footer"/>
      <w:rPr>
        <w:rFonts w:ascii="Arial" w:hAnsi="Arial" w:cs="Arial"/>
        <w:b/>
        <w:sz w:val="48"/>
      </w:rPr>
    </w:pPr>
    <w:r w:rsidRPr="00086F5F">
      <w:rPr>
        <w:rFonts w:ascii="Arial" w:hAnsi="Arial" w:cs="Arial"/>
        <w:b/>
        <w:sz w:val="48"/>
      </w:rPr>
      <w:t>PL</w:t>
    </w:r>
    <w:r w:rsidRPr="00086F5F">
      <w:rPr>
        <w:rFonts w:ascii="Arial" w:hAnsi="Arial" w:cs="Arial"/>
        <w:b/>
        <w:sz w:val="48"/>
      </w:rPr>
      <w:tab/>
    </w:r>
    <w:r w:rsidRPr="00086F5F">
      <w:rPr>
        <w:rFonts w:ascii="Arial" w:hAnsi="Arial" w:cs="Arial"/>
        <w:b/>
        <w:sz w:val="48"/>
      </w:rPr>
      <w:tab/>
    </w:r>
    <w:r w:rsidRPr="00086F5F">
      <w:tab/>
    </w:r>
    <w:r w:rsidRPr="00086F5F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5F" w:rsidRDefault="00086F5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5F" w:rsidRPr="00086F5F" w:rsidRDefault="00086F5F" w:rsidP="00086F5F">
    <w:pPr>
      <w:pStyle w:val="Footer"/>
      <w:rPr>
        <w:rFonts w:ascii="Arial" w:hAnsi="Arial" w:cs="Arial"/>
        <w:b/>
        <w:sz w:val="48"/>
      </w:rPr>
    </w:pPr>
    <w:r w:rsidRPr="00086F5F">
      <w:rPr>
        <w:rFonts w:ascii="Arial" w:hAnsi="Arial" w:cs="Arial"/>
        <w:b/>
        <w:sz w:val="48"/>
      </w:rPr>
      <w:t>PL</w:t>
    </w:r>
    <w:r w:rsidRPr="00086F5F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DE52A1">
      <w:rPr>
        <w:noProof/>
      </w:rPr>
      <w:t>1</w:t>
    </w:r>
    <w:r>
      <w:fldChar w:fldCharType="end"/>
    </w:r>
    <w:r>
      <w:tab/>
    </w:r>
    <w:r w:rsidRPr="00086F5F">
      <w:tab/>
    </w:r>
    <w:r w:rsidRPr="00086F5F"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5F" w:rsidRDefault="00086F5F" w:rsidP="00086F5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5F" w:rsidRPr="00086F5F" w:rsidRDefault="00086F5F" w:rsidP="00086F5F">
    <w:pPr>
      <w:pStyle w:val="FooterLandscape"/>
      <w:rPr>
        <w:rFonts w:ascii="Arial" w:hAnsi="Arial" w:cs="Arial"/>
        <w:b/>
        <w:sz w:val="48"/>
      </w:rPr>
    </w:pPr>
    <w:r w:rsidRPr="00086F5F">
      <w:rPr>
        <w:rFonts w:ascii="Arial" w:hAnsi="Arial" w:cs="Arial"/>
        <w:b/>
        <w:sz w:val="48"/>
      </w:rPr>
      <w:t>PL</w:t>
    </w:r>
    <w:r w:rsidRPr="00086F5F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 w:rsidRPr="00086F5F">
      <w:tab/>
    </w:r>
    <w:r w:rsidRPr="00086F5F">
      <w:rPr>
        <w:rFonts w:ascii="Arial" w:hAnsi="Arial" w:cs="Arial"/>
        <w:b/>
        <w:sz w:val="48"/>
      </w:rPr>
      <w:t>PL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5F" w:rsidRPr="00086F5F" w:rsidRDefault="00086F5F" w:rsidP="00086F5F">
    <w:pPr>
      <w:pStyle w:val="Footer"/>
      <w:rPr>
        <w:rFonts w:ascii="Arial" w:hAnsi="Arial" w:cs="Arial"/>
        <w:b/>
        <w:sz w:val="48"/>
      </w:rPr>
    </w:pPr>
    <w:r w:rsidRPr="00086F5F">
      <w:rPr>
        <w:rFonts w:ascii="Arial" w:hAnsi="Arial" w:cs="Arial"/>
        <w:b/>
        <w:sz w:val="48"/>
      </w:rPr>
      <w:t>PL</w:t>
    </w:r>
    <w:r w:rsidRPr="00086F5F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 w:rsidRPr="00086F5F">
      <w:tab/>
    </w:r>
    <w:r w:rsidRPr="00086F5F">
      <w:rPr>
        <w:rFonts w:ascii="Arial" w:hAnsi="Arial" w:cs="Arial"/>
        <w:b/>
        <w:sz w:val="48"/>
      </w:rPr>
      <w:t>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35" w:rsidRDefault="00181C35" w:rsidP="00A13D7E">
      <w:pPr>
        <w:spacing w:before="0" w:after="0"/>
      </w:pPr>
      <w:r>
        <w:separator/>
      </w:r>
    </w:p>
  </w:footnote>
  <w:footnote w:type="continuationSeparator" w:id="0">
    <w:p w:rsidR="00181C35" w:rsidRDefault="00181C35" w:rsidP="00A13D7E">
      <w:pPr>
        <w:spacing w:before="0" w:after="0"/>
      </w:pPr>
      <w:r>
        <w:continuationSeparator/>
      </w:r>
    </w:p>
  </w:footnote>
  <w:footnote w:type="continuationNotice" w:id="1">
    <w:p w:rsidR="00181C35" w:rsidRDefault="00181C35">
      <w:pPr>
        <w:spacing w:before="0" w:after="0"/>
      </w:pPr>
    </w:p>
  </w:footnote>
  <w:footnote w:id="2">
    <w:p w:rsidR="008211F4" w:rsidRPr="00F059DD" w:rsidRDefault="008211F4" w:rsidP="008211F4">
      <w:pPr>
        <w:pStyle w:val="FootnoteText"/>
      </w:pPr>
      <w:r>
        <w:rPr>
          <w:rStyle w:val="FootnoteReference"/>
        </w:rPr>
        <w:footnoteRef/>
      </w:r>
      <w:r w:rsidRPr="00F059DD">
        <w:tab/>
        <w:t>Rozporządzenie Parlamentu Europejskiego</w:t>
      </w:r>
      <w:r w:rsidR="00660A3E" w:rsidRPr="00F059DD">
        <w:t xml:space="preserve"> i</w:t>
      </w:r>
      <w:r w:rsidR="00660A3E">
        <w:t> </w:t>
      </w:r>
      <w:r w:rsidR="00660A3E" w:rsidRPr="00F059DD">
        <w:t>Rad</w:t>
      </w:r>
      <w:r w:rsidRPr="00F059DD">
        <w:t>y (UE) 2019/1242</w:t>
      </w:r>
      <w:r w:rsidR="00660A3E" w:rsidRPr="00F059DD">
        <w:t xml:space="preserve"> z</w:t>
      </w:r>
      <w:r w:rsidR="00660A3E">
        <w:t> </w:t>
      </w:r>
      <w:r w:rsidR="00660A3E" w:rsidRPr="00F059DD">
        <w:t>dni</w:t>
      </w:r>
      <w:r w:rsidRPr="00F059DD">
        <w:t>a 20 czerwca 20</w:t>
      </w:r>
      <w:r w:rsidRPr="00660A3E">
        <w:t>19</w:t>
      </w:r>
      <w:r w:rsidR="00660A3E" w:rsidRPr="00660A3E">
        <w:t> </w:t>
      </w:r>
      <w:r w:rsidRPr="00660A3E">
        <w:t>r.</w:t>
      </w:r>
      <w:r w:rsidRPr="00F059DD">
        <w:t xml:space="preserve"> określające normy emisji CO</w:t>
      </w:r>
      <w:r w:rsidRPr="00F059DD">
        <w:rPr>
          <w:vertAlign w:val="subscript"/>
        </w:rPr>
        <w:t>2</w:t>
      </w:r>
      <w:r w:rsidRPr="00F059DD">
        <w:t xml:space="preserve"> dla nowych pojazdów ciężkich oraz zmieniające rozporządzenia Parlamentu Europejskiego</w:t>
      </w:r>
      <w:r w:rsidR="00660A3E" w:rsidRPr="00F059DD">
        <w:t xml:space="preserve"> i</w:t>
      </w:r>
      <w:r w:rsidR="00660A3E">
        <w:t> </w:t>
      </w:r>
      <w:r w:rsidR="00660A3E" w:rsidRPr="00F059DD">
        <w:t>Rad</w:t>
      </w:r>
      <w:r w:rsidRPr="00F059DD">
        <w:t xml:space="preserve">y (WE) </w:t>
      </w:r>
      <w:r w:rsidRPr="00660A3E">
        <w:t>nr</w:t>
      </w:r>
      <w:r w:rsidR="00660A3E" w:rsidRPr="00660A3E">
        <w:t> </w:t>
      </w:r>
      <w:r w:rsidRPr="00660A3E">
        <w:t>5</w:t>
      </w:r>
      <w:r w:rsidRPr="00F059DD">
        <w:t>95/2009 i (UE) 2018/956 oraz dyrektywę Rady 96/53/WE (Dz.U. L 198</w:t>
      </w:r>
      <w:r w:rsidR="00660A3E" w:rsidRPr="00F059DD">
        <w:t xml:space="preserve"> z</w:t>
      </w:r>
      <w:r w:rsidR="00660A3E">
        <w:t> </w:t>
      </w:r>
      <w:r w:rsidR="00660A3E" w:rsidRPr="00F059DD">
        <w:t>2</w:t>
      </w:r>
      <w:r w:rsidRPr="00F059DD">
        <w:t>5.7.2019, s. 202).</w:t>
      </w:r>
    </w:p>
  </w:footnote>
  <w:footnote w:id="3">
    <w:p w:rsidR="008211F4" w:rsidRPr="00F059DD" w:rsidRDefault="008211F4" w:rsidP="008211F4">
      <w:pPr>
        <w:pStyle w:val="FootnoteText"/>
      </w:pPr>
      <w:r>
        <w:rPr>
          <w:rStyle w:val="FootnoteReference"/>
        </w:rPr>
        <w:footnoteRef/>
      </w:r>
      <w:r w:rsidRPr="00F059DD">
        <w:tab/>
        <w:t>Rozporządzenie Parlamentu Europejskiego</w:t>
      </w:r>
      <w:r w:rsidR="00660A3E" w:rsidRPr="00F059DD">
        <w:t xml:space="preserve"> i</w:t>
      </w:r>
      <w:r w:rsidR="00660A3E">
        <w:t> </w:t>
      </w:r>
      <w:r w:rsidR="00660A3E" w:rsidRPr="00F059DD">
        <w:t>Rad</w:t>
      </w:r>
      <w:r w:rsidRPr="00F059DD">
        <w:t>y (UE) 2021/1119</w:t>
      </w:r>
      <w:r w:rsidR="00660A3E" w:rsidRPr="00F059DD">
        <w:t xml:space="preserve"> z</w:t>
      </w:r>
      <w:r w:rsidR="00660A3E">
        <w:t> </w:t>
      </w:r>
      <w:r w:rsidR="00660A3E" w:rsidRPr="00F059DD">
        <w:t>3</w:t>
      </w:r>
      <w:r w:rsidRPr="00F059DD">
        <w:t>0 czerwca 20</w:t>
      </w:r>
      <w:r w:rsidRPr="00660A3E">
        <w:t>21</w:t>
      </w:r>
      <w:r w:rsidR="00660A3E" w:rsidRPr="00660A3E">
        <w:t> </w:t>
      </w:r>
      <w:r w:rsidRPr="00660A3E">
        <w:t>r.</w:t>
      </w:r>
      <w:r w:rsidR="00660A3E" w:rsidRPr="00F059DD">
        <w:t xml:space="preserve"> w</w:t>
      </w:r>
      <w:r w:rsidR="00660A3E">
        <w:t> </w:t>
      </w:r>
      <w:r w:rsidR="00660A3E" w:rsidRPr="00F059DD">
        <w:t>spr</w:t>
      </w:r>
      <w:r w:rsidRPr="00F059DD">
        <w:t>awie ustanowienia ram na potrzeby osiągnięcia neutralności klimatycznej</w:t>
      </w:r>
      <w:r w:rsidR="00660A3E" w:rsidRPr="00F059DD">
        <w:t xml:space="preserve"> i</w:t>
      </w:r>
      <w:r w:rsidR="00660A3E">
        <w:t> </w:t>
      </w:r>
      <w:r w:rsidR="00660A3E" w:rsidRPr="00F059DD">
        <w:t>zmi</w:t>
      </w:r>
      <w:r w:rsidRPr="00F059DD">
        <w:t xml:space="preserve">any rozporządzeń (WE) </w:t>
      </w:r>
      <w:r w:rsidRPr="00660A3E">
        <w:t>nr</w:t>
      </w:r>
      <w:r w:rsidR="00660A3E" w:rsidRPr="00660A3E">
        <w:t> </w:t>
      </w:r>
      <w:r w:rsidRPr="00660A3E">
        <w:t>4</w:t>
      </w:r>
      <w:r w:rsidRPr="00F059DD">
        <w:t>01/2009 i (UE) 2018/1999 (Europejskie prawo</w:t>
      </w:r>
      <w:r w:rsidR="00660A3E" w:rsidRPr="00F059DD">
        <w:t xml:space="preserve"> o</w:t>
      </w:r>
      <w:r w:rsidR="00660A3E">
        <w:t> </w:t>
      </w:r>
      <w:r w:rsidR="00660A3E" w:rsidRPr="00F059DD">
        <w:t>kli</w:t>
      </w:r>
      <w:r w:rsidRPr="00F059DD">
        <w:t>macie).(Dz.U. L 243</w:t>
      </w:r>
      <w:r w:rsidR="00660A3E" w:rsidRPr="00F059DD">
        <w:t xml:space="preserve"> z</w:t>
      </w:r>
      <w:r w:rsidR="00660A3E">
        <w:t> </w:t>
      </w:r>
      <w:r w:rsidR="00660A3E" w:rsidRPr="00F059DD">
        <w:t>9</w:t>
      </w:r>
      <w:r w:rsidRPr="00F059DD">
        <w:t>.7.2021, s. 1).</w:t>
      </w:r>
    </w:p>
  </w:footnote>
  <w:footnote w:id="4">
    <w:p w:rsidR="008211F4" w:rsidRPr="00F059DD" w:rsidRDefault="008211F4" w:rsidP="008211F4">
      <w:pPr>
        <w:pStyle w:val="FootnoteText"/>
      </w:pPr>
      <w:r>
        <w:rPr>
          <w:rStyle w:val="FootnoteReference"/>
        </w:rPr>
        <w:footnoteRef/>
      </w:r>
      <w:r w:rsidRPr="00F059DD">
        <w:tab/>
        <w:t>Rozporządzenie Parlamentu Europejskiego</w:t>
      </w:r>
      <w:r w:rsidR="00660A3E" w:rsidRPr="00F059DD">
        <w:t xml:space="preserve"> i</w:t>
      </w:r>
      <w:r w:rsidR="00660A3E">
        <w:t> </w:t>
      </w:r>
      <w:r w:rsidR="00660A3E" w:rsidRPr="00F059DD">
        <w:t>Rad</w:t>
      </w:r>
      <w:r w:rsidRPr="00F059DD">
        <w:t>y (UE) 2024/1610</w:t>
      </w:r>
      <w:r w:rsidR="00660A3E" w:rsidRPr="00F059DD">
        <w:t xml:space="preserve"> z</w:t>
      </w:r>
      <w:r w:rsidR="00660A3E">
        <w:t> </w:t>
      </w:r>
      <w:r w:rsidR="00660A3E" w:rsidRPr="00F059DD">
        <w:t>dni</w:t>
      </w:r>
      <w:r w:rsidRPr="00F059DD">
        <w:t>a 14 maja 20</w:t>
      </w:r>
      <w:r w:rsidRPr="00660A3E">
        <w:t>24</w:t>
      </w:r>
      <w:r w:rsidR="00660A3E" w:rsidRPr="00660A3E">
        <w:t> </w:t>
      </w:r>
      <w:r w:rsidRPr="00660A3E">
        <w:t>r.</w:t>
      </w:r>
      <w:r w:rsidRPr="00F059DD">
        <w:t xml:space="preserve"> zmieniające rozporządzenie (UE) 2019/1242</w:t>
      </w:r>
      <w:r w:rsidR="00660A3E" w:rsidRPr="00F059DD">
        <w:t xml:space="preserve"> w</w:t>
      </w:r>
      <w:r w:rsidR="00660A3E">
        <w:t> </w:t>
      </w:r>
      <w:r w:rsidR="00660A3E" w:rsidRPr="00F059DD">
        <w:t>odn</w:t>
      </w:r>
      <w:r w:rsidRPr="00F059DD">
        <w:t>iesieniu do zaostrzenia norm emisji CO2 dla nowych pojazdów ciężkich oraz włączenia obowiązków sprawozdawczych, zmieniające rozporządzenie (UE) 2018/858</w:t>
      </w:r>
      <w:r w:rsidR="00660A3E" w:rsidRPr="00F059DD">
        <w:t xml:space="preserve"> i</w:t>
      </w:r>
      <w:r w:rsidR="00660A3E">
        <w:t> </w:t>
      </w:r>
      <w:r w:rsidR="00660A3E" w:rsidRPr="00F059DD">
        <w:t>uch</w:t>
      </w:r>
      <w:r w:rsidRPr="00F059DD">
        <w:t>ylające rozporządzenie (UE) 2018/956 (http://data.europa.eu/eli/reg/2024/1610/oj)</w:t>
      </w:r>
      <w:r w:rsidR="00660A3E">
        <w:t>.</w:t>
      </w:r>
    </w:p>
  </w:footnote>
  <w:footnote w:id="5">
    <w:p w:rsidR="008211F4" w:rsidRPr="00F059DD" w:rsidRDefault="008211F4" w:rsidP="008211F4">
      <w:pPr>
        <w:pStyle w:val="FootnoteText"/>
      </w:pPr>
      <w:r>
        <w:rPr>
          <w:rStyle w:val="FootnoteReference"/>
        </w:rPr>
        <w:footnoteRef/>
      </w:r>
      <w:r w:rsidRPr="00F059DD">
        <w:tab/>
        <w:t>Karta praw podstawowych Unii Europejskiej (Dz.U. C 326</w:t>
      </w:r>
      <w:r w:rsidR="00660A3E" w:rsidRPr="00F059DD">
        <w:t xml:space="preserve"> z</w:t>
      </w:r>
      <w:r w:rsidR="00660A3E">
        <w:t> </w:t>
      </w:r>
      <w:r w:rsidR="00660A3E" w:rsidRPr="00F059DD">
        <w:t>2</w:t>
      </w:r>
      <w:r w:rsidRPr="00F059DD">
        <w:t>6.10.2012, s. 391).</w:t>
      </w:r>
    </w:p>
  </w:footnote>
  <w:footnote w:id="6">
    <w:p w:rsidR="00A13D7E" w:rsidRPr="00F059DD" w:rsidRDefault="00A13D7E" w:rsidP="00624AF6">
      <w:pPr>
        <w:pStyle w:val="FootnoteText"/>
      </w:pPr>
      <w:r>
        <w:rPr>
          <w:rStyle w:val="FootnoteReference"/>
        </w:rPr>
        <w:footnoteRef/>
      </w:r>
      <w:r w:rsidRPr="00F059DD">
        <w:tab/>
        <w:t>Dz.U. C  z , s. .</w:t>
      </w:r>
    </w:p>
  </w:footnote>
  <w:footnote w:id="7">
    <w:p w:rsidR="00A13D7E" w:rsidRPr="00F059DD" w:rsidRDefault="00A13D7E" w:rsidP="00624AF6">
      <w:pPr>
        <w:pStyle w:val="FootnoteText"/>
      </w:pPr>
      <w:r>
        <w:rPr>
          <w:rStyle w:val="FootnoteReference"/>
        </w:rPr>
        <w:footnoteRef/>
      </w:r>
      <w:r w:rsidRPr="00F059DD">
        <w:tab/>
        <w:t>Dz.U. C  z , s. .</w:t>
      </w:r>
    </w:p>
  </w:footnote>
  <w:footnote w:id="8">
    <w:p w:rsidR="009E5E57" w:rsidRPr="00F059DD" w:rsidRDefault="009E5E57" w:rsidP="009E5E57">
      <w:pPr>
        <w:pStyle w:val="FootnoteText"/>
      </w:pPr>
      <w:r>
        <w:rPr>
          <w:rStyle w:val="FootnoteReference"/>
        </w:rPr>
        <w:footnoteRef/>
      </w:r>
      <w:r w:rsidRPr="00F059DD">
        <w:tab/>
        <w:t>Rozporządzenie Parlamentu Europejskiego</w:t>
      </w:r>
      <w:r w:rsidR="00660A3E" w:rsidRPr="00F059DD">
        <w:t xml:space="preserve"> i</w:t>
      </w:r>
      <w:r w:rsidR="00660A3E">
        <w:t> </w:t>
      </w:r>
      <w:r w:rsidR="00660A3E" w:rsidRPr="00F059DD">
        <w:t>Rad</w:t>
      </w:r>
      <w:r w:rsidRPr="00F059DD">
        <w:t>y (UE) 2019/631</w:t>
      </w:r>
      <w:r w:rsidR="00660A3E" w:rsidRPr="00F059DD">
        <w:t xml:space="preserve"> z</w:t>
      </w:r>
      <w:r w:rsidR="00660A3E">
        <w:t> </w:t>
      </w:r>
      <w:r w:rsidR="00660A3E" w:rsidRPr="00F059DD">
        <w:t>dni</w:t>
      </w:r>
      <w:r w:rsidRPr="00F059DD">
        <w:t>a 17 kwietnia 2019 r. określające normy emisji CO2 dla nowych samochodów osobowych</w:t>
      </w:r>
      <w:r w:rsidR="00660A3E" w:rsidRPr="00F059DD">
        <w:t xml:space="preserve"> i</w:t>
      </w:r>
      <w:r w:rsidR="00660A3E">
        <w:t> </w:t>
      </w:r>
      <w:r w:rsidR="00660A3E" w:rsidRPr="00F059DD">
        <w:t>dla</w:t>
      </w:r>
      <w:r w:rsidRPr="00F059DD">
        <w:t xml:space="preserve"> nowych lekkich pojazdów użytkowych oraz uchylające rozporządzenia (WE) nr 443/2009 i (UE) nr 510/2011 (</w:t>
      </w:r>
      <w:hyperlink r:id="rId1" w:history="1">
        <w:r w:rsidRPr="00F059DD">
          <w:rPr>
            <w:rStyle w:val="Hyperlink"/>
          </w:rPr>
          <w:t>Dz.U. L 111</w:t>
        </w:r>
        <w:r w:rsidR="00660A3E" w:rsidRPr="00F059DD">
          <w:rPr>
            <w:rStyle w:val="Hyperlink"/>
          </w:rPr>
          <w:t xml:space="preserve"> z</w:t>
        </w:r>
        <w:r w:rsidR="00660A3E">
          <w:rPr>
            <w:rStyle w:val="Hyperlink"/>
          </w:rPr>
          <w:t> </w:t>
        </w:r>
        <w:r w:rsidR="00660A3E" w:rsidRPr="00F059DD">
          <w:rPr>
            <w:rStyle w:val="Hyperlink"/>
          </w:rPr>
          <w:t>2</w:t>
        </w:r>
        <w:r w:rsidRPr="00F059DD">
          <w:rPr>
            <w:rStyle w:val="Hyperlink"/>
          </w:rPr>
          <w:t>5.4.2019, s. 13</w:t>
        </w:r>
      </w:hyperlink>
      <w:r w:rsidRPr="00F059DD">
        <w:t xml:space="preserve">, ELI: </w:t>
      </w:r>
      <w:hyperlink r:id="rId2" w:tooltip="Dostęp do dokumentu poprzez identyfikator URI w systemie ELI." w:history="1">
        <w:r w:rsidRPr="00F059DD">
          <w:rPr>
            <w:rStyle w:val="Hyperlink"/>
          </w:rPr>
          <w:t>http://data.europa.eu/eli/reg/2019/631/oj</w:t>
        </w:r>
      </w:hyperlink>
      <w:r w:rsidRPr="00F059DD">
        <w:t>).</w:t>
      </w:r>
    </w:p>
  </w:footnote>
  <w:footnote w:id="9">
    <w:p w:rsidR="00A13D7E" w:rsidRPr="00F059DD" w:rsidRDefault="00A13D7E" w:rsidP="00624AF6">
      <w:pPr>
        <w:pStyle w:val="FootnoteText"/>
      </w:pPr>
      <w:r>
        <w:rPr>
          <w:rStyle w:val="FootnoteReference"/>
        </w:rPr>
        <w:footnoteRef/>
      </w:r>
      <w:r w:rsidRPr="00F059DD">
        <w:tab/>
        <w:t>O którym mowa</w:t>
      </w:r>
      <w:r w:rsidR="00660A3E" w:rsidRPr="00F059DD">
        <w:t xml:space="preserve"> w</w:t>
      </w:r>
      <w:r w:rsidR="00660A3E">
        <w:t> </w:t>
      </w:r>
      <w:r w:rsidR="00660A3E" w:rsidRPr="00660A3E">
        <w:t>art</w:t>
      </w:r>
      <w:r w:rsidRPr="00660A3E">
        <w:t>.</w:t>
      </w:r>
      <w:r w:rsidR="00660A3E" w:rsidRPr="00660A3E">
        <w:t> </w:t>
      </w:r>
      <w:r w:rsidRPr="00660A3E">
        <w:t>5</w:t>
      </w:r>
      <w:r w:rsidRPr="00F059DD">
        <w:t xml:space="preserve">8 </w:t>
      </w:r>
      <w:r w:rsidRPr="00660A3E">
        <w:t>ust.</w:t>
      </w:r>
      <w:r w:rsidR="00660A3E" w:rsidRPr="00660A3E">
        <w:t> </w:t>
      </w:r>
      <w:r w:rsidRPr="00660A3E">
        <w:t>2</w:t>
      </w:r>
      <w:r w:rsidRPr="00F059DD">
        <w:t xml:space="preserve"> </w:t>
      </w:r>
      <w:r w:rsidRPr="00660A3E">
        <w:t>lit.</w:t>
      </w:r>
      <w:r w:rsidR="00660A3E" w:rsidRPr="00660A3E">
        <w:t> </w:t>
      </w:r>
      <w:r w:rsidRPr="00660A3E">
        <w:t>a)</w:t>
      </w:r>
      <w:r w:rsidRPr="00F059DD">
        <w:t xml:space="preserve"> lub b) rozporządzenia finansowego.</w:t>
      </w:r>
    </w:p>
  </w:footnote>
  <w:footnote w:id="10">
    <w:p w:rsidR="00096239" w:rsidRPr="00F059DD" w:rsidRDefault="00096239" w:rsidP="00096239">
      <w:pPr>
        <w:pStyle w:val="FootnoteText"/>
        <w:jc w:val="left"/>
        <w:rPr>
          <w:szCs w:val="24"/>
        </w:rPr>
      </w:pPr>
      <w:r>
        <w:rPr>
          <w:rStyle w:val="FootnoteReference"/>
        </w:rPr>
        <w:footnoteRef/>
      </w:r>
      <w:r w:rsidRPr="00F059DD">
        <w:tab/>
        <w:t xml:space="preserve">Szczegóły dotyczące metod wykonania budżetu oraz odniesienia do rozporządzenia finansowego znajdują się na stronie BUDGpedia: </w:t>
      </w:r>
      <w:hyperlink r:id="rId3" w:history="1">
        <w:r w:rsidRPr="00F059DD">
          <w:rPr>
            <w:rStyle w:val="Hyperlink"/>
          </w:rPr>
          <w:t>https://myintracomm.ec.europa.eu/corp/budget/financial-rules/budget-implementation/Pages/implementation-methods.aspx</w:t>
        </w:r>
      </w:hyperlink>
      <w:r w:rsidRPr="00F059DD">
        <w:rPr>
          <w:rStyle w:val="Hyperlink"/>
        </w:rPr>
        <w:t>.</w:t>
      </w:r>
    </w:p>
  </w:footnote>
  <w:footnote w:id="11">
    <w:p w:rsidR="00096239" w:rsidRPr="00F059DD" w:rsidRDefault="00096239" w:rsidP="00096239">
      <w:pPr>
        <w:pStyle w:val="FootnoteText"/>
        <w:rPr>
          <w:szCs w:val="24"/>
        </w:rPr>
      </w:pPr>
      <w:r>
        <w:rPr>
          <w:rStyle w:val="FootnoteReference"/>
        </w:rPr>
        <w:footnoteRef/>
      </w:r>
      <w:r w:rsidRPr="00F059DD">
        <w:tab/>
        <w:t>Środki zróżnicowane/środki niezróżnicowane.</w:t>
      </w:r>
    </w:p>
  </w:footnote>
  <w:footnote w:id="12">
    <w:p w:rsidR="00096239" w:rsidRPr="00F059DD" w:rsidRDefault="00096239" w:rsidP="00096239">
      <w:pPr>
        <w:pStyle w:val="FootnoteText"/>
        <w:rPr>
          <w:szCs w:val="24"/>
        </w:rPr>
      </w:pPr>
      <w:r>
        <w:rPr>
          <w:rStyle w:val="FootnoteReference"/>
        </w:rPr>
        <w:footnoteRef/>
      </w:r>
      <w:r w:rsidRPr="00F059DD">
        <w:tab/>
        <w:t xml:space="preserve">EFTA: Europejskie Stowarzyszenie Wolnego Handlu. </w:t>
      </w:r>
    </w:p>
  </w:footnote>
  <w:footnote w:id="13">
    <w:p w:rsidR="00096239" w:rsidRPr="00F059DD" w:rsidRDefault="00096239" w:rsidP="00096239">
      <w:pPr>
        <w:pStyle w:val="FootnoteText"/>
        <w:rPr>
          <w:szCs w:val="24"/>
        </w:rPr>
      </w:pPr>
      <w:r>
        <w:rPr>
          <w:rStyle w:val="FootnoteReference"/>
        </w:rPr>
        <w:footnoteRef/>
      </w:r>
      <w:r w:rsidRPr="00F059DD">
        <w:tab/>
        <w:t>Kraje kandydujące oraz,</w:t>
      </w:r>
      <w:r w:rsidR="00660A3E" w:rsidRPr="00F059DD">
        <w:t xml:space="preserve"> w</w:t>
      </w:r>
      <w:r w:rsidR="00660A3E">
        <w:t> </w:t>
      </w:r>
      <w:r w:rsidR="00660A3E" w:rsidRPr="00F059DD">
        <w:t>sto</w:t>
      </w:r>
      <w:r w:rsidRPr="00F059DD">
        <w:t>sownych przypadkach, potencjalni kandydaci</w:t>
      </w:r>
      <w:r w:rsidR="00660A3E" w:rsidRPr="00F059DD">
        <w:t xml:space="preserve"> z</w:t>
      </w:r>
      <w:r w:rsidR="00660A3E">
        <w:t> </w:t>
      </w:r>
      <w:r w:rsidR="00660A3E" w:rsidRPr="00F059DD">
        <w:t>Bał</w:t>
      </w:r>
      <w:r w:rsidRPr="00F059DD">
        <w:t>kanów Zachodnich.</w:t>
      </w:r>
    </w:p>
  </w:footnote>
  <w:footnote w:id="14">
    <w:p w:rsidR="00096239" w:rsidRPr="00F059DD" w:rsidRDefault="00096239" w:rsidP="00096239">
      <w:pPr>
        <w:pStyle w:val="FootnoteText"/>
      </w:pPr>
      <w:r>
        <w:rPr>
          <w:rStyle w:val="FootnoteReference"/>
        </w:rPr>
        <w:footnoteRef/>
      </w:r>
      <w:r w:rsidRPr="00F059DD">
        <w:tab/>
        <w:t>Wsparcie techniczne lub administracyjne oraz wydatki na wsparcie realizacji programów lub działań UE (dawne linie „BA”), pośrednie badania naukowe, bezpośrednie badania naukowe.</w:t>
      </w:r>
    </w:p>
  </w:footnote>
  <w:footnote w:id="15">
    <w:p w:rsidR="00096239" w:rsidRPr="00F059DD" w:rsidRDefault="00096239" w:rsidP="00096239">
      <w:pPr>
        <w:pStyle w:val="FootnoteText"/>
      </w:pPr>
      <w:r>
        <w:rPr>
          <w:rStyle w:val="FootnoteReference"/>
        </w:rPr>
        <w:footnoteRef/>
      </w:r>
      <w:r w:rsidRPr="00F059DD">
        <w:tab/>
        <w:t>Wsparcie techniczne lub administracyjne oraz wydatki na wsparcie realizacji programów lub działań UE (dawne linie „BA”), pośrednie badania naukowe, bezpośrednie badania naukowe.</w:t>
      </w:r>
    </w:p>
  </w:footnote>
  <w:footnote w:id="16">
    <w:p w:rsidR="00096239" w:rsidRPr="00F059DD" w:rsidRDefault="00096239" w:rsidP="00096239">
      <w:pPr>
        <w:pStyle w:val="FootnoteText"/>
      </w:pPr>
      <w:r>
        <w:rPr>
          <w:rStyle w:val="FootnoteReference"/>
        </w:rPr>
        <w:footnoteRef/>
      </w:r>
      <w:r w:rsidRPr="00F059DD">
        <w:tab/>
        <w:t>Wsparcie techniczne lub administracyjne oraz wydatki na wsparcie realizacji programów lub działań UE (dawne linie „BA”), pośrednie badania naukowe, bezpośrednie badania naukowe.</w:t>
      </w:r>
    </w:p>
  </w:footnote>
  <w:footnote w:id="17">
    <w:p w:rsidR="00096239" w:rsidRPr="00F059DD" w:rsidRDefault="00096239" w:rsidP="00096239">
      <w:pPr>
        <w:pStyle w:val="FootnoteText"/>
      </w:pPr>
      <w:r>
        <w:rPr>
          <w:rStyle w:val="FootnoteReference"/>
        </w:rPr>
        <w:footnoteRef/>
      </w:r>
      <w:r w:rsidRPr="00F059DD">
        <w:tab/>
      </w:r>
      <w:r w:rsidRPr="00F059DD">
        <w:rPr>
          <w:color w:val="374151"/>
          <w:sz w:val="18"/>
        </w:rPr>
        <w:t>Niezbędne środki należy określić na podstawie danych dotyczących średnich rocznych kosztów, dostępnych na odpowiedniej stronie internetowej BUDGpedia</w:t>
      </w:r>
      <w:r w:rsidRPr="00F059DD">
        <w:rPr>
          <w:rFonts w:ascii="Segoe UI" w:hAnsi="Segoe UI"/>
          <w:color w:val="374151"/>
        </w:rPr>
        <w:t>.</w:t>
      </w:r>
    </w:p>
  </w:footnote>
  <w:footnote w:id="18">
    <w:p w:rsidR="00096239" w:rsidRPr="00F059DD" w:rsidRDefault="00096239" w:rsidP="00096239">
      <w:pPr>
        <w:pStyle w:val="FootnoteText"/>
      </w:pPr>
      <w:r>
        <w:rPr>
          <w:rStyle w:val="FootnoteReference"/>
        </w:rPr>
        <w:footnoteRef/>
      </w:r>
      <w:r w:rsidRPr="00F059DD">
        <w:tab/>
        <w:t>Wsparcie techniczne lub administracyjne oraz wydatki na wsparcie realizacji programów lub działań UE (dawne linie „BA”), pośrednie badania naukowe, bezpośrednie badania naukowe.</w:t>
      </w:r>
    </w:p>
  </w:footnote>
  <w:footnote w:id="19">
    <w:p w:rsidR="00096239" w:rsidRPr="00F059DD" w:rsidRDefault="00096239" w:rsidP="00096239">
      <w:pPr>
        <w:pStyle w:val="FootnoteText"/>
      </w:pPr>
      <w:r>
        <w:rPr>
          <w:rStyle w:val="FootnoteReference"/>
        </w:rPr>
        <w:footnoteRef/>
      </w:r>
      <w:r w:rsidRPr="00F059DD">
        <w:tab/>
      </w:r>
      <w:r w:rsidRPr="00F059DD">
        <w:rPr>
          <w:color w:val="374151"/>
          <w:sz w:val="18"/>
        </w:rPr>
        <w:t>Niezbędne środki należy określić na podstawie danych dotyczących średnich rocznych kosztów, dostępnych na odpowiedniej stronie internetowej BUDGpedia.</w:t>
      </w:r>
    </w:p>
  </w:footnote>
  <w:footnote w:id="20">
    <w:p w:rsidR="00096239" w:rsidRPr="00F059DD" w:rsidRDefault="00096239" w:rsidP="00096239">
      <w:pPr>
        <w:pStyle w:val="FootnoteText"/>
        <w:rPr>
          <w:szCs w:val="24"/>
        </w:rPr>
      </w:pPr>
      <w:r>
        <w:rPr>
          <w:rStyle w:val="FootnoteReference"/>
        </w:rPr>
        <w:footnoteRef/>
      </w:r>
      <w:r w:rsidRPr="00F059DD">
        <w:tab/>
        <w:t>Produkty odnoszą się do produktów</w:t>
      </w:r>
      <w:r w:rsidR="00660A3E" w:rsidRPr="00F059DD">
        <w:t xml:space="preserve"> i</w:t>
      </w:r>
      <w:r w:rsidR="00660A3E">
        <w:t> </w:t>
      </w:r>
      <w:r w:rsidR="00660A3E" w:rsidRPr="00F059DD">
        <w:t>usł</w:t>
      </w:r>
      <w:r w:rsidRPr="00F059DD">
        <w:t>ug, które mają zostać zapewnione (np. liczba sfinansowanych wymian studentów, liczba kilometrów zbudowanych dróg itp.).</w:t>
      </w:r>
    </w:p>
  </w:footnote>
  <w:footnote w:id="21">
    <w:p w:rsidR="00096239" w:rsidRPr="00F059DD" w:rsidRDefault="00096239" w:rsidP="00096239">
      <w:pPr>
        <w:pStyle w:val="FootnoteText"/>
        <w:rPr>
          <w:szCs w:val="24"/>
        </w:rPr>
      </w:pPr>
      <w:r>
        <w:rPr>
          <w:rStyle w:val="FootnoteReference"/>
        </w:rPr>
        <w:footnoteRef/>
      </w:r>
      <w:r w:rsidRPr="00F059DD">
        <w:tab/>
        <w:t>Zgodnie</w:t>
      </w:r>
      <w:r w:rsidR="00660A3E" w:rsidRPr="00F059DD">
        <w:t xml:space="preserve"> z</w:t>
      </w:r>
      <w:r w:rsidR="00660A3E">
        <w:t> </w:t>
      </w:r>
      <w:r w:rsidR="00660A3E" w:rsidRPr="00F059DD">
        <w:t>opi</w:t>
      </w:r>
      <w:r w:rsidRPr="00F059DD">
        <w:t>sem</w:t>
      </w:r>
      <w:r w:rsidR="00660A3E" w:rsidRPr="00F059DD">
        <w:t xml:space="preserve"> w</w:t>
      </w:r>
      <w:r w:rsidR="00660A3E">
        <w:t> </w:t>
      </w:r>
      <w:r w:rsidR="00660A3E" w:rsidRPr="00F059DD">
        <w:t>sek</w:t>
      </w:r>
      <w:r w:rsidRPr="00F059DD">
        <w:t xml:space="preserve">cji 1.3.2. „Cel(e) szczegółowy(-e)”. </w:t>
      </w:r>
    </w:p>
  </w:footnote>
  <w:footnote w:id="22">
    <w:p w:rsidR="00096239" w:rsidRPr="00F059DD" w:rsidRDefault="00096239" w:rsidP="00096239">
      <w:pPr>
        <w:pStyle w:val="FootnoteText"/>
      </w:pPr>
      <w:r>
        <w:rPr>
          <w:rStyle w:val="FootnoteReference"/>
        </w:rPr>
        <w:footnoteRef/>
      </w:r>
      <w:r w:rsidRPr="00F059DD">
        <w:tab/>
        <w:t>Proszę określić</w:t>
      </w:r>
      <w:r w:rsidR="00660A3E" w:rsidRPr="00F059DD">
        <w:t xml:space="preserve"> w</w:t>
      </w:r>
      <w:r w:rsidR="00660A3E">
        <w:t> </w:t>
      </w:r>
      <w:r w:rsidR="00660A3E" w:rsidRPr="00F059DD">
        <w:t>tab</w:t>
      </w:r>
      <w:r w:rsidRPr="00F059DD">
        <w:t>eli poniżej, ile EPC</w:t>
      </w:r>
      <w:r w:rsidR="00660A3E" w:rsidRPr="00F059DD">
        <w:t xml:space="preserve"> w</w:t>
      </w:r>
      <w:r w:rsidR="00660A3E">
        <w:t> </w:t>
      </w:r>
      <w:r w:rsidR="00660A3E" w:rsidRPr="00F059DD">
        <w:t>ram</w:t>
      </w:r>
      <w:r w:rsidRPr="00F059DD">
        <w:t>ach wskazanej liczby jest już przydzielonych na zarządzanie tym działaniem lub może zostać przesuniętych</w:t>
      </w:r>
      <w:r w:rsidR="00660A3E" w:rsidRPr="00F059DD">
        <w:t xml:space="preserve"> w</w:t>
      </w:r>
      <w:r w:rsidR="00660A3E">
        <w:t> </w:t>
      </w:r>
      <w:r w:rsidR="00660A3E" w:rsidRPr="00F059DD">
        <w:t>ram</w:t>
      </w:r>
      <w:r w:rsidRPr="00F059DD">
        <w:t>ach Państwa dyrekcji generalnej oraz jakie są Państwa potrzeby netto.</w:t>
      </w:r>
    </w:p>
  </w:footnote>
  <w:footnote w:id="23">
    <w:p w:rsidR="00096239" w:rsidRPr="00F059DD" w:rsidRDefault="00096239" w:rsidP="00096239">
      <w:pPr>
        <w:pStyle w:val="FootnoteText"/>
        <w:rPr>
          <w:szCs w:val="24"/>
        </w:rPr>
      </w:pPr>
      <w:r>
        <w:rPr>
          <w:rStyle w:val="FootnoteReference"/>
        </w:rPr>
        <w:footnoteRef/>
      </w:r>
      <w:r w:rsidRPr="00F059DD">
        <w:tab/>
        <w:t>W przypadku tradycyjnych zasobów własnych (opłaty celne, opłaty wyrównawcze od cukru) należy wskazać kwoty netto, tzn. kwoty brutto po odliczeniu 2</w:t>
      </w:r>
      <w:r w:rsidRPr="00660A3E">
        <w:t>0</w:t>
      </w:r>
      <w:r w:rsidR="00660A3E" w:rsidRPr="00660A3E">
        <w:t> </w:t>
      </w:r>
      <w:r w:rsidRPr="00660A3E">
        <w:t>%</w:t>
      </w:r>
      <w:r w:rsidRPr="00F059DD">
        <w:t xml:space="preserve"> na poczet kosztów poboru.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5F" w:rsidRDefault="00086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5F" w:rsidRDefault="00086F5F" w:rsidP="00086F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5F" w:rsidRPr="00086F5F" w:rsidRDefault="00086F5F" w:rsidP="00086F5F">
    <w:pPr>
      <w:pStyle w:val="HeaderLandscap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5F" w:rsidRPr="00086F5F" w:rsidRDefault="00086F5F" w:rsidP="00086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A95"/>
    <w:multiLevelType w:val="singleLevel"/>
    <w:tmpl w:val="02BAFA82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" w15:restartNumberingAfterBreak="0">
    <w:nsid w:val="128364B0"/>
    <w:multiLevelType w:val="singleLevel"/>
    <w:tmpl w:val="D084FB54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" w15:restartNumberingAfterBreak="0">
    <w:nsid w:val="13E4330B"/>
    <w:multiLevelType w:val="multilevel"/>
    <w:tmpl w:val="875C4416"/>
    <w:name w:val="List Dash 3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6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D820C1F"/>
    <w:multiLevelType w:val="singleLevel"/>
    <w:tmpl w:val="7896AADE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9" w15:restartNumberingAfterBreak="0">
    <w:nsid w:val="2F191641"/>
    <w:multiLevelType w:val="multilevel"/>
    <w:tmpl w:val="B67C4E92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31CD398A"/>
    <w:multiLevelType w:val="singleLevel"/>
    <w:tmpl w:val="0276BF00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1" w15:restartNumberingAfterBreak="0">
    <w:nsid w:val="398C015E"/>
    <w:multiLevelType w:val="multilevel"/>
    <w:tmpl w:val="027A66BA"/>
    <w:name w:val="List Dash 4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489D74ED"/>
    <w:multiLevelType w:val="singleLevel"/>
    <w:tmpl w:val="C2E2F936"/>
    <w:name w:val="List Dash 2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7" w15:restartNumberingAfterBreak="0">
    <w:nsid w:val="4D0C058A"/>
    <w:multiLevelType w:val="singleLevel"/>
    <w:tmpl w:val="BAE8D90E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542A1204"/>
    <w:multiLevelType w:val="multilevel"/>
    <w:tmpl w:val="BC1E840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0" w15:restartNumberingAfterBreak="0">
    <w:nsid w:val="5B0B0635"/>
    <w:multiLevelType w:val="singleLevel"/>
    <w:tmpl w:val="017E7CEE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1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2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5DF84969"/>
    <w:multiLevelType w:val="singleLevel"/>
    <w:tmpl w:val="1E12021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 w15:restartNumberingAfterBreak="0">
    <w:nsid w:val="71F06166"/>
    <w:multiLevelType w:val="multilevel"/>
    <w:tmpl w:val="C08066D2"/>
    <w:name w:val="0.6719891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3D73F7A"/>
    <w:multiLevelType w:val="singleLevel"/>
    <w:tmpl w:val="2636573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9" w15:restartNumberingAfterBreak="0">
    <w:nsid w:val="76BC5C11"/>
    <w:multiLevelType w:val="singleLevel"/>
    <w:tmpl w:val="E44CE82E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0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7"/>
  </w:num>
  <w:num w:numId="5">
    <w:abstractNumId w:val="16"/>
  </w:num>
  <w:num w:numId="6">
    <w:abstractNumId w:val="27"/>
  </w:num>
  <w:num w:numId="7">
    <w:abstractNumId w:val="24"/>
  </w:num>
  <w:num w:numId="8">
    <w:abstractNumId w:val="28"/>
  </w:num>
  <w:num w:numId="9">
    <w:abstractNumId w:val="29"/>
  </w:num>
  <w:num w:numId="10">
    <w:abstractNumId w:val="1"/>
  </w:num>
  <w:num w:numId="11">
    <w:abstractNumId w:val="10"/>
  </w:num>
  <w:num w:numId="12">
    <w:abstractNumId w:val="2"/>
  </w:num>
  <w:num w:numId="13">
    <w:abstractNumId w:val="11"/>
  </w:num>
  <w:num w:numId="14">
    <w:abstractNumId w:val="9"/>
  </w:num>
  <w:num w:numId="15">
    <w:abstractNumId w:val="18"/>
  </w:num>
  <w:num w:numId="16">
    <w:abstractNumId w:val="7"/>
  </w:num>
  <w:num w:numId="17">
    <w:abstractNumId w:val="30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23"/>
  </w:num>
  <w:num w:numId="20">
    <w:abstractNumId w:val="12"/>
  </w:num>
  <w:num w:numId="21">
    <w:abstractNumId w:val="26"/>
  </w:num>
  <w:num w:numId="22">
    <w:abstractNumId w:val="6"/>
  </w:num>
  <w:num w:numId="23">
    <w:abstractNumId w:val="13"/>
  </w:num>
  <w:num w:numId="24">
    <w:abstractNumId w:val="14"/>
  </w:num>
  <w:num w:numId="25">
    <w:abstractNumId w:val="4"/>
  </w:num>
  <w:num w:numId="26">
    <w:abstractNumId w:val="25"/>
  </w:num>
  <w:num w:numId="27">
    <w:abstractNumId w:val="3"/>
  </w:num>
  <w:num w:numId="28">
    <w:abstractNumId w:val="15"/>
  </w:num>
  <w:num w:numId="29">
    <w:abstractNumId w:val="21"/>
  </w:num>
  <w:num w:numId="30">
    <w:abstractNumId w:val="22"/>
  </w:num>
  <w:num w:numId="31">
    <w:abstractNumId w:val="5"/>
  </w:num>
  <w:num w:numId="32">
    <w:abstractNumId w:val="19"/>
  </w:num>
  <w:num w:numId="33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6-01-15 09:45:29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C64A2DBF-89DE-44B6-B045-F99CFE9B866A"/>
    <w:docVar w:name="LW_COVERPAGE_TYPE" w:val="1"/>
    <w:docVar w:name="LW_CreatedUtc" w:val="2025-12-04T10:27:40.4231876Z"/>
    <w:docVar w:name="LW_CROSSREFERENCE" w:val="&lt;UNUSED&gt;"/>
    <w:docVar w:name="LW_DocType" w:val="COM"/>
    <w:docVar w:name="LW_EMISSION" w:val="16.12.2025"/>
    <w:docVar w:name="LW_EMISSION_ISODATE" w:val="2025-12-16"/>
    <w:docVar w:name="LW_EMISSION_LOCATION" w:val="BRX"/>
    <w:docVar w:name="LW_EMISSION_PREFIX" w:val="Bruksela, dnia "/>
    <w:docVar w:name="LW_EMISSION_SUFFIX" w:val=" r."/>
    <w:docVar w:name="LW_ID_DOCMODEL" w:val="SJ-023"/>
    <w:docVar w:name="LW_ID_DOCSIGNATURE" w:val="SJ-023"/>
    <w:docVar w:name="LW_ID_DOCSTRUCTURE" w:val="COM/PL/ORG"/>
    <w:docVar w:name="LW_ID_DOCTYPE" w:val="SJ-023"/>
    <w:docVar w:name="LW_ID_STATUT" w:val="SJ-023"/>
    <w:docVar w:name="LW_INSERT_EXP.MOTIFS.NEW" w:val="1"/>
    <w:docVar w:name="LW_INTERETEEE.CP" w:val="(Tekst maj\u261?cy znaczenie dla EOG)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423"/>
    <w:docVar w:name="LW_REF.II.NEW.CP_YEAR" w:val="2025"/>
    <w:docVar w:name="LW_REF.INST.NEW" w:val="COM"/>
    <w:docVar w:name="LW_REF.INST.NEW_ADOPTED" w:val="final"/>
    <w:docVar w:name="LW_REF.INST.NEW_TEXT" w:val="(2025) 78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Wniosek"/>
    <w:docVar w:name="LW_SUPERTITRE" w:val="&lt;UNUSED&gt;"/>
    <w:docVar w:name="LW_TITRE.OBJ.CP" w:val="zmieniaj\u261?ce rozporz\u261?dzenie (UE) 2019/1242 w odniesieniu do obliczania jednostek emisji dla pojazdów ci\u281?\u380?kich za okresy sprawozdawcze w latach 2025\u8211?2029 _x000b_ _x000b_ _x000b_"/>
    <w:docVar w:name="LW_TYPE.DOC.CP" w:val="ROZPORZ\u260?DZENIE PARLAMENTU EUROPEJSKIEGO I RADY"/>
    <w:docVar w:name="LwApiVersions" w:val="LW4CoDe 1.24.5.0; LW 9.2, Build 20251112"/>
  </w:docVars>
  <w:rsids>
    <w:rsidRoot w:val="00A13D7E"/>
    <w:rsid w:val="000038B8"/>
    <w:rsid w:val="00003E75"/>
    <w:rsid w:val="0001248A"/>
    <w:rsid w:val="00024A16"/>
    <w:rsid w:val="00046765"/>
    <w:rsid w:val="0006253C"/>
    <w:rsid w:val="000761E2"/>
    <w:rsid w:val="00086F5F"/>
    <w:rsid w:val="00091F54"/>
    <w:rsid w:val="00096239"/>
    <w:rsid w:val="00097ED3"/>
    <w:rsid w:val="000A3A78"/>
    <w:rsid w:val="000B294A"/>
    <w:rsid w:val="000B2DE9"/>
    <w:rsid w:val="000E27B5"/>
    <w:rsid w:val="000F683D"/>
    <w:rsid w:val="001021AC"/>
    <w:rsid w:val="001065F5"/>
    <w:rsid w:val="00111B07"/>
    <w:rsid w:val="001238EF"/>
    <w:rsid w:val="00141139"/>
    <w:rsid w:val="00141E02"/>
    <w:rsid w:val="0014266E"/>
    <w:rsid w:val="00153542"/>
    <w:rsid w:val="00181C35"/>
    <w:rsid w:val="00186331"/>
    <w:rsid w:val="0019660B"/>
    <w:rsid w:val="00197613"/>
    <w:rsid w:val="001A2363"/>
    <w:rsid w:val="001C2923"/>
    <w:rsid w:val="001F0A41"/>
    <w:rsid w:val="001F5EFB"/>
    <w:rsid w:val="00207246"/>
    <w:rsid w:val="00220BB2"/>
    <w:rsid w:val="00233A95"/>
    <w:rsid w:val="00233DC7"/>
    <w:rsid w:val="002432E6"/>
    <w:rsid w:val="00247779"/>
    <w:rsid w:val="00250BC0"/>
    <w:rsid w:val="00262387"/>
    <w:rsid w:val="00285BEE"/>
    <w:rsid w:val="002905A4"/>
    <w:rsid w:val="00294BF1"/>
    <w:rsid w:val="0029533F"/>
    <w:rsid w:val="002A0455"/>
    <w:rsid w:val="002A5305"/>
    <w:rsid w:val="002A6131"/>
    <w:rsid w:val="002B30AF"/>
    <w:rsid w:val="002B30D4"/>
    <w:rsid w:val="002D02CF"/>
    <w:rsid w:val="00305E13"/>
    <w:rsid w:val="00312C37"/>
    <w:rsid w:val="00312FAF"/>
    <w:rsid w:val="0033168B"/>
    <w:rsid w:val="0033344A"/>
    <w:rsid w:val="0038020B"/>
    <w:rsid w:val="003816DB"/>
    <w:rsid w:val="0039042B"/>
    <w:rsid w:val="003951C9"/>
    <w:rsid w:val="00395DA3"/>
    <w:rsid w:val="003C6F4F"/>
    <w:rsid w:val="003D6BEF"/>
    <w:rsid w:val="003E5124"/>
    <w:rsid w:val="00412E6F"/>
    <w:rsid w:val="00417CAC"/>
    <w:rsid w:val="004214D4"/>
    <w:rsid w:val="00424267"/>
    <w:rsid w:val="0042648E"/>
    <w:rsid w:val="004355A5"/>
    <w:rsid w:val="00443F17"/>
    <w:rsid w:val="00452C61"/>
    <w:rsid w:val="004936D2"/>
    <w:rsid w:val="004B2337"/>
    <w:rsid w:val="004C5C11"/>
    <w:rsid w:val="004E6EF7"/>
    <w:rsid w:val="004F071B"/>
    <w:rsid w:val="004F556D"/>
    <w:rsid w:val="005049BA"/>
    <w:rsid w:val="00512787"/>
    <w:rsid w:val="0051436E"/>
    <w:rsid w:val="005455A6"/>
    <w:rsid w:val="0058088A"/>
    <w:rsid w:val="00592F76"/>
    <w:rsid w:val="005A12F7"/>
    <w:rsid w:val="005B1EB6"/>
    <w:rsid w:val="005D1F90"/>
    <w:rsid w:val="005E7737"/>
    <w:rsid w:val="0062337A"/>
    <w:rsid w:val="00624AF6"/>
    <w:rsid w:val="00625795"/>
    <w:rsid w:val="0063139F"/>
    <w:rsid w:val="0065684F"/>
    <w:rsid w:val="00660A3E"/>
    <w:rsid w:val="00676967"/>
    <w:rsid w:val="006A3A68"/>
    <w:rsid w:val="006F076F"/>
    <w:rsid w:val="006F2151"/>
    <w:rsid w:val="007206A2"/>
    <w:rsid w:val="00721BBE"/>
    <w:rsid w:val="007510CC"/>
    <w:rsid w:val="007573A4"/>
    <w:rsid w:val="007615F7"/>
    <w:rsid w:val="00773331"/>
    <w:rsid w:val="007932EF"/>
    <w:rsid w:val="007A762B"/>
    <w:rsid w:val="007E05B0"/>
    <w:rsid w:val="007E5C3F"/>
    <w:rsid w:val="007F1CAC"/>
    <w:rsid w:val="00801452"/>
    <w:rsid w:val="00816C55"/>
    <w:rsid w:val="008211F4"/>
    <w:rsid w:val="0082152F"/>
    <w:rsid w:val="00843082"/>
    <w:rsid w:val="00846EDD"/>
    <w:rsid w:val="00874D22"/>
    <w:rsid w:val="008832CE"/>
    <w:rsid w:val="00896F01"/>
    <w:rsid w:val="008A2914"/>
    <w:rsid w:val="008B2C5D"/>
    <w:rsid w:val="008D36D6"/>
    <w:rsid w:val="008D3D6F"/>
    <w:rsid w:val="008E4D8E"/>
    <w:rsid w:val="00902D3B"/>
    <w:rsid w:val="009038F0"/>
    <w:rsid w:val="0090629D"/>
    <w:rsid w:val="00910304"/>
    <w:rsid w:val="00940DFE"/>
    <w:rsid w:val="0097180E"/>
    <w:rsid w:val="00977B3A"/>
    <w:rsid w:val="00977E47"/>
    <w:rsid w:val="00992AB2"/>
    <w:rsid w:val="009C09C7"/>
    <w:rsid w:val="009E5E57"/>
    <w:rsid w:val="00A02DB0"/>
    <w:rsid w:val="00A067CE"/>
    <w:rsid w:val="00A13D7E"/>
    <w:rsid w:val="00A16156"/>
    <w:rsid w:val="00A23876"/>
    <w:rsid w:val="00A33DE8"/>
    <w:rsid w:val="00A45322"/>
    <w:rsid w:val="00A57978"/>
    <w:rsid w:val="00AA6153"/>
    <w:rsid w:val="00AB058D"/>
    <w:rsid w:val="00AB51DF"/>
    <w:rsid w:val="00AE00ED"/>
    <w:rsid w:val="00AE616B"/>
    <w:rsid w:val="00AF1931"/>
    <w:rsid w:val="00AF4A62"/>
    <w:rsid w:val="00B51F60"/>
    <w:rsid w:val="00B554FD"/>
    <w:rsid w:val="00B672D6"/>
    <w:rsid w:val="00B800E9"/>
    <w:rsid w:val="00BC7ABA"/>
    <w:rsid w:val="00BF2412"/>
    <w:rsid w:val="00C07B97"/>
    <w:rsid w:val="00C12301"/>
    <w:rsid w:val="00C176A6"/>
    <w:rsid w:val="00C309E2"/>
    <w:rsid w:val="00C453AD"/>
    <w:rsid w:val="00C70DD3"/>
    <w:rsid w:val="00C82174"/>
    <w:rsid w:val="00CB4E92"/>
    <w:rsid w:val="00CC082C"/>
    <w:rsid w:val="00CE1081"/>
    <w:rsid w:val="00D17643"/>
    <w:rsid w:val="00D20381"/>
    <w:rsid w:val="00D316EC"/>
    <w:rsid w:val="00D35C36"/>
    <w:rsid w:val="00D55160"/>
    <w:rsid w:val="00D82712"/>
    <w:rsid w:val="00D869D6"/>
    <w:rsid w:val="00DB061A"/>
    <w:rsid w:val="00DB0B77"/>
    <w:rsid w:val="00DC63C9"/>
    <w:rsid w:val="00DD5118"/>
    <w:rsid w:val="00DD5126"/>
    <w:rsid w:val="00DE52A1"/>
    <w:rsid w:val="00DF3E10"/>
    <w:rsid w:val="00E11589"/>
    <w:rsid w:val="00E12761"/>
    <w:rsid w:val="00E20FD3"/>
    <w:rsid w:val="00E25724"/>
    <w:rsid w:val="00E26F7D"/>
    <w:rsid w:val="00E43304"/>
    <w:rsid w:val="00E4622D"/>
    <w:rsid w:val="00E664ED"/>
    <w:rsid w:val="00EA0276"/>
    <w:rsid w:val="00EA0477"/>
    <w:rsid w:val="00ED2DD0"/>
    <w:rsid w:val="00ED6D77"/>
    <w:rsid w:val="00EF0612"/>
    <w:rsid w:val="00F059DD"/>
    <w:rsid w:val="00F258B6"/>
    <w:rsid w:val="00F25905"/>
    <w:rsid w:val="00F516B0"/>
    <w:rsid w:val="00F937A9"/>
    <w:rsid w:val="00F94A45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71B3A2B0-339A-4F31-979B-7FAFE20B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6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6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6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6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rsid w:val="00A13D7E"/>
    <w:pPr>
      <w:numPr>
        <w:numId w:val="2"/>
      </w:numPr>
      <w:tabs>
        <w:tab w:val="num" w:pos="360"/>
      </w:tabs>
      <w:ind w:left="0" w:firstLine="0"/>
    </w:pPr>
    <w:rPr>
      <w:rFonts w:eastAsia="Times New Roman"/>
      <w:lang w:eastAsia="de-DE"/>
    </w:rPr>
  </w:style>
  <w:style w:type="paragraph" w:styleId="ListNumber">
    <w:name w:val="List Number"/>
    <w:basedOn w:val="Normal"/>
    <w:rsid w:val="00A13D7E"/>
    <w:pPr>
      <w:numPr>
        <w:numId w:val="6"/>
      </w:numPr>
    </w:pPr>
    <w:rPr>
      <w:rFonts w:eastAsia="Times New Roman"/>
      <w:lang w:eastAsia="de-DE"/>
    </w:rPr>
  </w:style>
  <w:style w:type="paragraph" w:customStyle="1" w:styleId="ListBullet1">
    <w:name w:val="List Bullet 1"/>
    <w:basedOn w:val="Normal"/>
    <w:rsid w:val="00A13D7E"/>
    <w:pPr>
      <w:numPr>
        <w:numId w:val="1"/>
      </w:numPr>
    </w:pPr>
    <w:rPr>
      <w:rFonts w:eastAsia="Times New Roman"/>
      <w:lang w:eastAsia="de-DE"/>
    </w:rPr>
  </w:style>
  <w:style w:type="paragraph" w:customStyle="1" w:styleId="ListDash">
    <w:name w:val="List Dash"/>
    <w:basedOn w:val="Normal"/>
    <w:rsid w:val="00A13D7E"/>
    <w:pPr>
      <w:numPr>
        <w:numId w:val="3"/>
      </w:numPr>
    </w:pPr>
    <w:rPr>
      <w:rFonts w:eastAsia="Times New Roman"/>
      <w:lang w:eastAsia="de-DE"/>
    </w:rPr>
  </w:style>
  <w:style w:type="paragraph" w:customStyle="1" w:styleId="ListDash1">
    <w:name w:val="List Dash 1"/>
    <w:basedOn w:val="Normal"/>
    <w:rsid w:val="00A13D7E"/>
    <w:pPr>
      <w:numPr>
        <w:numId w:val="4"/>
      </w:numPr>
    </w:pPr>
    <w:rPr>
      <w:rFonts w:eastAsia="Times New Roman"/>
      <w:lang w:eastAsia="de-DE"/>
    </w:rPr>
  </w:style>
  <w:style w:type="paragraph" w:customStyle="1" w:styleId="ListDash2">
    <w:name w:val="List Dash 2"/>
    <w:basedOn w:val="Normal"/>
    <w:rsid w:val="00A13D7E"/>
    <w:pPr>
      <w:numPr>
        <w:numId w:val="5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rsid w:val="00A13D7E"/>
    <w:pPr>
      <w:numPr>
        <w:ilvl w:val="1"/>
        <w:numId w:val="6"/>
      </w:numPr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rsid w:val="00A13D7E"/>
    <w:pPr>
      <w:numPr>
        <w:ilvl w:val="2"/>
        <w:numId w:val="6"/>
      </w:numPr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rsid w:val="00A13D7E"/>
    <w:pPr>
      <w:numPr>
        <w:ilvl w:val="3"/>
        <w:numId w:val="6"/>
      </w:numPr>
    </w:pPr>
    <w:rPr>
      <w:rFonts w:eastAsia="Times New Roman"/>
      <w:lang w:eastAsia="de-DE"/>
    </w:rPr>
  </w:style>
  <w:style w:type="table" w:styleId="TableGrid">
    <w:name w:val="Table Grid"/>
    <w:basedOn w:val="TableNormal"/>
    <w:rsid w:val="00A13D7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13D7E"/>
    <w:rPr>
      <w:color w:val="0000FF"/>
      <w:u w:val="single"/>
    </w:rPr>
  </w:style>
  <w:style w:type="paragraph" w:styleId="ListBullet">
    <w:name w:val="List Bullet"/>
    <w:basedOn w:val="Normal"/>
    <w:rsid w:val="00A13D7E"/>
    <w:pPr>
      <w:numPr>
        <w:numId w:val="7"/>
      </w:numPr>
    </w:pPr>
    <w:rPr>
      <w:rFonts w:eastAsia="Times New Roman"/>
      <w:lang w:eastAsia="en-GB"/>
    </w:rPr>
  </w:style>
  <w:style w:type="paragraph" w:styleId="ListBullet2">
    <w:name w:val="List Bullet 2"/>
    <w:basedOn w:val="Normal"/>
    <w:rsid w:val="00A13D7E"/>
    <w:pPr>
      <w:numPr>
        <w:numId w:val="8"/>
      </w:numPr>
    </w:pPr>
    <w:rPr>
      <w:rFonts w:eastAsia="Times New Roman"/>
      <w:lang w:eastAsia="en-GB"/>
    </w:rPr>
  </w:style>
  <w:style w:type="paragraph" w:styleId="ListBullet3">
    <w:name w:val="List Bullet 3"/>
    <w:basedOn w:val="Normal"/>
    <w:rsid w:val="00A13D7E"/>
    <w:pPr>
      <w:numPr>
        <w:numId w:val="9"/>
      </w:numPr>
    </w:pPr>
    <w:rPr>
      <w:rFonts w:eastAsia="Times New Roman"/>
      <w:lang w:eastAsia="en-GB"/>
    </w:rPr>
  </w:style>
  <w:style w:type="paragraph" w:styleId="ListNumber2">
    <w:name w:val="List Number 2"/>
    <w:basedOn w:val="Normal"/>
    <w:rsid w:val="00A13D7E"/>
    <w:pPr>
      <w:numPr>
        <w:numId w:val="13"/>
      </w:numPr>
    </w:pPr>
    <w:rPr>
      <w:rFonts w:eastAsia="Times New Roman"/>
      <w:lang w:eastAsia="en-GB"/>
    </w:rPr>
  </w:style>
  <w:style w:type="paragraph" w:styleId="ListNumber3">
    <w:name w:val="List Number 3"/>
    <w:basedOn w:val="Normal"/>
    <w:rsid w:val="00A13D7E"/>
    <w:pPr>
      <w:numPr>
        <w:numId w:val="14"/>
      </w:numPr>
    </w:pPr>
    <w:rPr>
      <w:rFonts w:eastAsia="Times New Roman"/>
      <w:lang w:eastAsia="en-GB"/>
    </w:rPr>
  </w:style>
  <w:style w:type="paragraph" w:styleId="ListNumber4">
    <w:name w:val="List Number 4"/>
    <w:basedOn w:val="Normal"/>
    <w:rsid w:val="00A13D7E"/>
    <w:pPr>
      <w:numPr>
        <w:numId w:val="15"/>
      </w:numPr>
    </w:pPr>
    <w:rPr>
      <w:rFonts w:eastAsia="Times New Roman"/>
      <w:lang w:eastAsia="en-GB"/>
    </w:rPr>
  </w:style>
  <w:style w:type="paragraph" w:customStyle="1" w:styleId="ListDash3">
    <w:name w:val="List Dash 3"/>
    <w:basedOn w:val="Normal"/>
    <w:rsid w:val="00A13D7E"/>
    <w:pPr>
      <w:numPr>
        <w:numId w:val="10"/>
      </w:numPr>
    </w:pPr>
    <w:rPr>
      <w:rFonts w:eastAsia="Times New Roman"/>
      <w:lang w:eastAsia="en-GB"/>
    </w:rPr>
  </w:style>
  <w:style w:type="paragraph" w:customStyle="1" w:styleId="ListDash4">
    <w:name w:val="List Dash 4"/>
    <w:basedOn w:val="Normal"/>
    <w:rsid w:val="00A13D7E"/>
    <w:pPr>
      <w:numPr>
        <w:numId w:val="11"/>
      </w:numPr>
    </w:pPr>
    <w:rPr>
      <w:rFonts w:eastAsia="Times New Roman"/>
      <w:lang w:eastAsia="en-GB"/>
    </w:rPr>
  </w:style>
  <w:style w:type="paragraph" w:customStyle="1" w:styleId="ListNumber1">
    <w:name w:val="List Number 1"/>
    <w:basedOn w:val="Text1"/>
    <w:rsid w:val="00A13D7E"/>
    <w:pPr>
      <w:numPr>
        <w:numId w:val="12"/>
      </w:numPr>
    </w:pPr>
    <w:rPr>
      <w:rFonts w:eastAsia="Times New Roman"/>
      <w:lang w:eastAsia="en-GB"/>
    </w:rPr>
  </w:style>
  <w:style w:type="paragraph" w:customStyle="1" w:styleId="ListNumber1Level2">
    <w:name w:val="List Number 1 (Level 2)"/>
    <w:basedOn w:val="Text1"/>
    <w:rsid w:val="00A13D7E"/>
    <w:pPr>
      <w:numPr>
        <w:ilvl w:val="1"/>
        <w:numId w:val="12"/>
      </w:numPr>
    </w:pPr>
    <w:rPr>
      <w:rFonts w:eastAsia="Times New Roman"/>
      <w:lang w:eastAsia="en-GB"/>
    </w:rPr>
  </w:style>
  <w:style w:type="paragraph" w:customStyle="1" w:styleId="ListNumber2Level2">
    <w:name w:val="List Number 2 (Level 2)"/>
    <w:basedOn w:val="Text2"/>
    <w:rsid w:val="00A13D7E"/>
    <w:pPr>
      <w:numPr>
        <w:ilvl w:val="1"/>
        <w:numId w:val="13"/>
      </w:numPr>
    </w:pPr>
    <w:rPr>
      <w:rFonts w:eastAsia="Times New Roman"/>
      <w:lang w:eastAsia="en-GB"/>
    </w:rPr>
  </w:style>
  <w:style w:type="paragraph" w:customStyle="1" w:styleId="ListNumber3Level2">
    <w:name w:val="List Number 3 (Level 2)"/>
    <w:basedOn w:val="Text3"/>
    <w:rsid w:val="00A13D7E"/>
    <w:pPr>
      <w:numPr>
        <w:ilvl w:val="1"/>
        <w:numId w:val="14"/>
      </w:numPr>
    </w:pPr>
    <w:rPr>
      <w:rFonts w:eastAsia="Times New Roman"/>
      <w:lang w:eastAsia="en-GB"/>
    </w:rPr>
  </w:style>
  <w:style w:type="paragraph" w:customStyle="1" w:styleId="ListNumber4Level2">
    <w:name w:val="List Number 4 (Level 2)"/>
    <w:basedOn w:val="Text4"/>
    <w:rsid w:val="00A13D7E"/>
    <w:pPr>
      <w:numPr>
        <w:ilvl w:val="1"/>
        <w:numId w:val="15"/>
      </w:numPr>
    </w:pPr>
    <w:rPr>
      <w:rFonts w:eastAsia="Times New Roman"/>
      <w:lang w:eastAsia="en-GB"/>
    </w:rPr>
  </w:style>
  <w:style w:type="paragraph" w:customStyle="1" w:styleId="ListNumber1Level3">
    <w:name w:val="List Number 1 (Level 3)"/>
    <w:basedOn w:val="Text1"/>
    <w:rsid w:val="00A13D7E"/>
    <w:pPr>
      <w:numPr>
        <w:ilvl w:val="2"/>
        <w:numId w:val="12"/>
      </w:numPr>
    </w:pPr>
    <w:rPr>
      <w:rFonts w:eastAsia="Times New Roman"/>
      <w:lang w:eastAsia="en-GB"/>
    </w:rPr>
  </w:style>
  <w:style w:type="paragraph" w:customStyle="1" w:styleId="ListNumber2Level3">
    <w:name w:val="List Number 2 (Level 3)"/>
    <w:basedOn w:val="Text2"/>
    <w:rsid w:val="00A13D7E"/>
    <w:pPr>
      <w:numPr>
        <w:ilvl w:val="2"/>
        <w:numId w:val="13"/>
      </w:numPr>
    </w:pPr>
    <w:rPr>
      <w:rFonts w:eastAsia="Times New Roman"/>
      <w:lang w:eastAsia="en-GB"/>
    </w:rPr>
  </w:style>
  <w:style w:type="paragraph" w:customStyle="1" w:styleId="ListNumber3Level3">
    <w:name w:val="List Number 3 (Level 3)"/>
    <w:basedOn w:val="Text3"/>
    <w:rsid w:val="00A13D7E"/>
    <w:pPr>
      <w:numPr>
        <w:ilvl w:val="2"/>
        <w:numId w:val="14"/>
      </w:numPr>
    </w:pPr>
    <w:rPr>
      <w:rFonts w:eastAsia="Times New Roman"/>
      <w:lang w:eastAsia="en-GB"/>
    </w:rPr>
  </w:style>
  <w:style w:type="paragraph" w:customStyle="1" w:styleId="ListNumber4Level3">
    <w:name w:val="List Number 4 (Level 3)"/>
    <w:basedOn w:val="Text4"/>
    <w:rsid w:val="00A13D7E"/>
    <w:pPr>
      <w:numPr>
        <w:ilvl w:val="2"/>
        <w:numId w:val="15"/>
      </w:numPr>
    </w:pPr>
    <w:rPr>
      <w:rFonts w:eastAsia="Times New Roman"/>
      <w:lang w:eastAsia="en-GB"/>
    </w:rPr>
  </w:style>
  <w:style w:type="paragraph" w:customStyle="1" w:styleId="ListNumber1Level4">
    <w:name w:val="List Number 1 (Level 4)"/>
    <w:basedOn w:val="Text1"/>
    <w:rsid w:val="00A13D7E"/>
    <w:pPr>
      <w:numPr>
        <w:ilvl w:val="3"/>
        <w:numId w:val="12"/>
      </w:numPr>
    </w:pPr>
    <w:rPr>
      <w:rFonts w:eastAsia="Times New Roman"/>
      <w:lang w:eastAsia="en-GB"/>
    </w:rPr>
  </w:style>
  <w:style w:type="paragraph" w:customStyle="1" w:styleId="ListNumber2Level4">
    <w:name w:val="List Number 2 (Level 4)"/>
    <w:basedOn w:val="Text2"/>
    <w:rsid w:val="00A13D7E"/>
    <w:pPr>
      <w:numPr>
        <w:ilvl w:val="3"/>
        <w:numId w:val="13"/>
      </w:numPr>
    </w:pPr>
    <w:rPr>
      <w:rFonts w:eastAsia="Times New Roman"/>
      <w:lang w:eastAsia="en-GB"/>
    </w:rPr>
  </w:style>
  <w:style w:type="paragraph" w:customStyle="1" w:styleId="ListNumber3Level4">
    <w:name w:val="List Number 3 (Level 4)"/>
    <w:basedOn w:val="Text3"/>
    <w:rsid w:val="00A13D7E"/>
    <w:pPr>
      <w:numPr>
        <w:ilvl w:val="3"/>
        <w:numId w:val="14"/>
      </w:numPr>
    </w:pPr>
    <w:rPr>
      <w:rFonts w:eastAsia="Times New Roman"/>
      <w:lang w:eastAsia="en-GB"/>
    </w:rPr>
  </w:style>
  <w:style w:type="paragraph" w:customStyle="1" w:styleId="ListNumber4Level4">
    <w:name w:val="List Number 4 (Level 4)"/>
    <w:basedOn w:val="Text4"/>
    <w:rsid w:val="00A13D7E"/>
    <w:pPr>
      <w:numPr>
        <w:ilvl w:val="3"/>
        <w:numId w:val="15"/>
      </w:numPr>
    </w:pPr>
    <w:rPr>
      <w:rFonts w:eastAsia="Times New Roman"/>
      <w:lang w:eastAsia="en-GB"/>
    </w:rPr>
  </w:style>
  <w:style w:type="paragraph" w:customStyle="1" w:styleId="Annexetitreacte">
    <w:name w:val="Annexe titre (acte)"/>
    <w:basedOn w:val="Normal"/>
    <w:next w:val="Normal"/>
    <w:rsid w:val="00A13D7E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rsid w:val="00A13D7E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rsid w:val="00A13D7E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rsid w:val="00A13D7E"/>
    <w:pPr>
      <w:jc w:val="center"/>
    </w:pPr>
    <w:rPr>
      <w:rFonts w:eastAsia="Times New Roman"/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rsid w:val="00A13D7E"/>
    <w:pPr>
      <w:jc w:val="center"/>
    </w:pPr>
    <w:rPr>
      <w:rFonts w:eastAsia="Times New Roman"/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rsid w:val="00A13D7E"/>
    <w:pPr>
      <w:jc w:val="center"/>
    </w:pPr>
    <w:rPr>
      <w:rFonts w:eastAsia="Times New Roman"/>
      <w:b/>
      <w:u w:val="single"/>
      <w:lang w:eastAsia="en-GB"/>
    </w:rPr>
  </w:style>
  <w:style w:type="paragraph" w:customStyle="1" w:styleId="Langueoriginale">
    <w:name w:val="Langue originale"/>
    <w:basedOn w:val="Normal"/>
    <w:rsid w:val="00A13D7E"/>
    <w:pPr>
      <w:spacing w:before="360"/>
      <w:jc w:val="center"/>
    </w:pPr>
    <w:rPr>
      <w:rFonts w:eastAsia="Times New Roman"/>
      <w:caps/>
      <w:lang w:eastAsia="en-GB"/>
    </w:rPr>
  </w:style>
  <w:style w:type="paragraph" w:customStyle="1" w:styleId="Phrasefinale">
    <w:name w:val="Phrase finale"/>
    <w:basedOn w:val="Normal"/>
    <w:next w:val="Normal"/>
    <w:rsid w:val="00A13D7E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Prliminairetitre">
    <w:name w:val="Préliminaire titre"/>
    <w:basedOn w:val="Normal"/>
    <w:next w:val="Normal"/>
    <w:rsid w:val="00A13D7E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Prliminairetype">
    <w:name w:val="Préliminaire type"/>
    <w:basedOn w:val="Normal"/>
    <w:next w:val="Normal"/>
    <w:rsid w:val="00A13D7E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Rfrenceinstitutionelle">
    <w:name w:val="Référence institutionelle"/>
    <w:basedOn w:val="Normal"/>
    <w:next w:val="Statut"/>
    <w:rsid w:val="00A13D7E"/>
    <w:pPr>
      <w:spacing w:before="0" w:after="24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">
    <w:name w:val="Référence interinstitutionelle"/>
    <w:basedOn w:val="Normal"/>
    <w:next w:val="Statut"/>
    <w:rsid w:val="00A13D7E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A13D7E"/>
    <w:pPr>
      <w:spacing w:before="0" w:after="0"/>
      <w:ind w:left="5103"/>
      <w:jc w:val="left"/>
    </w:pPr>
    <w:rPr>
      <w:rFonts w:eastAsia="Times New Roman"/>
      <w:lang w:eastAsia="en-GB"/>
    </w:rPr>
  </w:style>
  <w:style w:type="paragraph" w:customStyle="1" w:styleId="Sous-titreobjetprliminaire">
    <w:name w:val="Sous-titre objet (préliminaire)"/>
    <w:basedOn w:val="Normal"/>
    <w:rsid w:val="00A13D7E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tatutprliminaire">
    <w:name w:val="Statut (préliminaire)"/>
    <w:basedOn w:val="Normal"/>
    <w:next w:val="Normal"/>
    <w:rsid w:val="00A13D7E"/>
    <w:pPr>
      <w:spacing w:before="360" w:after="0"/>
      <w:jc w:val="center"/>
    </w:pPr>
    <w:rPr>
      <w:rFonts w:eastAsia="Times New Roman"/>
      <w:lang w:eastAsia="en-GB"/>
    </w:rPr>
  </w:style>
  <w:style w:type="paragraph" w:customStyle="1" w:styleId="Titreobjetprliminaire">
    <w:name w:val="Titre objet (préliminaire)"/>
    <w:basedOn w:val="Normal"/>
    <w:next w:val="Normal"/>
    <w:rsid w:val="00A13D7E"/>
    <w:pPr>
      <w:spacing w:before="360" w:after="360"/>
      <w:jc w:val="center"/>
    </w:pPr>
    <w:rPr>
      <w:rFonts w:eastAsia="Times New Roman"/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rsid w:val="00A13D7E"/>
    <w:pPr>
      <w:spacing w:before="360" w:after="0"/>
      <w:jc w:val="center"/>
    </w:pPr>
    <w:rPr>
      <w:rFonts w:eastAsia="Times New Roman"/>
      <w:b/>
      <w:lang w:eastAsia="en-GB"/>
    </w:rPr>
  </w:style>
  <w:style w:type="paragraph" w:customStyle="1" w:styleId="Fichefinancirestandardtitre">
    <w:name w:val="Fiche financière (standard) titre"/>
    <w:basedOn w:val="Normal"/>
    <w:next w:val="Normal"/>
    <w:rsid w:val="00A13D7E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rsid w:val="00A13D7E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rsid w:val="00A13D7E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rsid w:val="00A13D7E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rsid w:val="00A13D7E"/>
    <w:pPr>
      <w:jc w:val="center"/>
    </w:pPr>
    <w:rPr>
      <w:rFonts w:eastAsia="Times New Roman"/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rsid w:val="00A13D7E"/>
    <w:pPr>
      <w:jc w:val="center"/>
    </w:pPr>
    <w:rPr>
      <w:rFonts w:eastAsia="Times New Roman"/>
      <w:b/>
      <w:u w:val="single"/>
      <w:lang w:eastAsia="en-GB"/>
    </w:rPr>
  </w:style>
  <w:style w:type="character" w:styleId="CommentReference">
    <w:name w:val="annotation reference"/>
    <w:uiPriority w:val="99"/>
    <w:rsid w:val="00A13D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3D7E"/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D7E"/>
    <w:rPr>
      <w:rFonts w:ascii="Times New Roman" w:eastAsia="Times New Roman" w:hAnsi="Times New Roman" w:cs="Times New Roman"/>
      <w:sz w:val="20"/>
      <w:szCs w:val="20"/>
      <w:lang w:val="pl-PL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13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3D7E"/>
    <w:rPr>
      <w:rFonts w:ascii="Times New Roman" w:eastAsia="Times New Roman" w:hAnsi="Times New Roman" w:cs="Times New Roman"/>
      <w:b/>
      <w:bCs/>
      <w:sz w:val="20"/>
      <w:szCs w:val="20"/>
      <w:lang w:val="pl-PL" w:eastAsia="en-GB"/>
    </w:rPr>
  </w:style>
  <w:style w:type="paragraph" w:styleId="BalloonText">
    <w:name w:val="Balloon Text"/>
    <w:basedOn w:val="Normal"/>
    <w:link w:val="BalloonTextChar"/>
    <w:rsid w:val="00A13D7E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A13D7E"/>
    <w:rPr>
      <w:rFonts w:ascii="Tahoma" w:eastAsia="Times New Roman" w:hAnsi="Tahoma" w:cs="Tahoma"/>
      <w:sz w:val="16"/>
      <w:szCs w:val="16"/>
      <w:lang w:val="pl-PL" w:eastAsia="en-GB"/>
    </w:rPr>
  </w:style>
  <w:style w:type="paragraph" w:styleId="Caption">
    <w:name w:val="caption"/>
    <w:basedOn w:val="Normal"/>
    <w:next w:val="Normal"/>
    <w:qFormat/>
    <w:rsid w:val="00A13D7E"/>
    <w:rPr>
      <w:rFonts w:eastAsia="Times New Roman"/>
      <w:b/>
      <w:bCs/>
      <w:sz w:val="20"/>
      <w:szCs w:val="20"/>
      <w:lang w:eastAsia="en-GB"/>
    </w:rPr>
  </w:style>
  <w:style w:type="paragraph" w:styleId="TableofFigures">
    <w:name w:val="table of figures"/>
    <w:basedOn w:val="Normal"/>
    <w:next w:val="Normal"/>
    <w:rsid w:val="00A13D7E"/>
    <w:rPr>
      <w:rFonts w:eastAsia="Times New Roman"/>
      <w:lang w:eastAsia="en-GB"/>
    </w:rPr>
  </w:style>
  <w:style w:type="character" w:styleId="PageNumber">
    <w:name w:val="page number"/>
    <w:rsid w:val="00A13D7E"/>
  </w:style>
  <w:style w:type="character" w:customStyle="1" w:styleId="tw4winMark">
    <w:name w:val="tw4winMark"/>
    <w:rsid w:val="00A13D7E"/>
    <w:rPr>
      <w:vanish/>
      <w:color w:val="800080"/>
      <w:vertAlign w:val="subscript"/>
    </w:rPr>
  </w:style>
  <w:style w:type="character" w:styleId="FollowedHyperlink">
    <w:name w:val="FollowedHyperlink"/>
    <w:rsid w:val="00A13D7E"/>
    <w:rPr>
      <w:color w:val="800080"/>
      <w:u w:val="single"/>
    </w:rPr>
  </w:style>
  <w:style w:type="paragraph" w:customStyle="1" w:styleId="Sous-titreobjet">
    <w:name w:val="Sous-titre objet"/>
    <w:basedOn w:val="Normal"/>
    <w:rsid w:val="00A13D7E"/>
    <w:pPr>
      <w:spacing w:before="0" w:after="0"/>
      <w:jc w:val="center"/>
    </w:pPr>
    <w:rPr>
      <w:rFonts w:eastAsia="Times New Roman"/>
      <w:b/>
      <w:lang w:eastAsia="en-GB"/>
    </w:rPr>
  </w:style>
  <w:style w:type="paragraph" w:customStyle="1" w:styleId="Sous-titreobjetPagedecouverture">
    <w:name w:val="Sous-titre objet (Page de couverture)"/>
    <w:basedOn w:val="Sous-titreobjet"/>
    <w:rsid w:val="00A13D7E"/>
  </w:style>
  <w:style w:type="paragraph" w:styleId="Revision">
    <w:name w:val="Revision"/>
    <w:hidden/>
    <w:uiPriority w:val="99"/>
    <w:semiHidden/>
    <w:rsid w:val="00A13D7E"/>
    <w:rPr>
      <w:rFonts w:ascii="Calibri" w:eastAsia="Calibri" w:hAnsi="Calibri" w:cs="Times New Roman"/>
      <w:sz w:val="24"/>
      <w:lang w:eastAsia="en-GB"/>
    </w:rPr>
  </w:style>
  <w:style w:type="paragraph" w:customStyle="1" w:styleId="FooterCoverPage">
    <w:name w:val="Footer Cover Page"/>
    <w:basedOn w:val="Normal"/>
    <w:link w:val="FooterCoverPageChar"/>
    <w:rsid w:val="00A13D7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rFonts w:eastAsia="Calibri"/>
      <w:lang w:eastAsia="en-GB"/>
    </w:rPr>
  </w:style>
  <w:style w:type="character" w:customStyle="1" w:styleId="TOCHeadingChar">
    <w:name w:val="TOC Heading Char"/>
    <w:uiPriority w:val="39"/>
    <w:rsid w:val="00A13D7E"/>
    <w:rPr>
      <w:rFonts w:ascii="Times New Roman" w:hAnsi="Times New Roman" w:cs="Times New Roman"/>
      <w:b/>
      <w:sz w:val="28"/>
      <w:lang w:val="pl-PL"/>
    </w:rPr>
  </w:style>
  <w:style w:type="character" w:customStyle="1" w:styleId="FooterCoverPageChar">
    <w:name w:val="Footer Cover Page Char"/>
    <w:link w:val="FooterCoverPage"/>
    <w:rsid w:val="00A13D7E"/>
    <w:rPr>
      <w:rFonts w:ascii="Times New Roman" w:eastAsia="Calibri" w:hAnsi="Times New Roman" w:cs="Times New Roman"/>
      <w:sz w:val="24"/>
      <w:lang w:val="pl-PL" w:eastAsia="en-GB"/>
    </w:rPr>
  </w:style>
  <w:style w:type="paragraph" w:customStyle="1" w:styleId="HeaderCoverPage">
    <w:name w:val="Header Cover Page"/>
    <w:basedOn w:val="Normal"/>
    <w:link w:val="HeaderCoverPageChar"/>
    <w:rsid w:val="00A13D7E"/>
    <w:pPr>
      <w:tabs>
        <w:tab w:val="center" w:pos="4535"/>
        <w:tab w:val="right" w:pos="9071"/>
      </w:tabs>
      <w:spacing w:before="0"/>
    </w:pPr>
    <w:rPr>
      <w:rFonts w:eastAsia="Calibri"/>
      <w:lang w:eastAsia="en-GB"/>
    </w:rPr>
  </w:style>
  <w:style w:type="character" w:customStyle="1" w:styleId="HeaderCoverPageChar">
    <w:name w:val="Header Cover Page Char"/>
    <w:link w:val="HeaderCoverPage"/>
    <w:rsid w:val="00A13D7E"/>
    <w:rPr>
      <w:rFonts w:ascii="Times New Roman" w:eastAsia="Calibri" w:hAnsi="Times New Roman" w:cs="Times New Roman"/>
      <w:sz w:val="24"/>
      <w:lang w:val="pl-PL" w:eastAsia="en-GB"/>
    </w:rPr>
  </w:style>
  <w:style w:type="character" w:customStyle="1" w:styleId="FooterSensitivityChar">
    <w:name w:val="Footer Sensitivity Char"/>
    <w:rsid w:val="00A13D7E"/>
    <w:rPr>
      <w:rFonts w:ascii="Times New Roman" w:hAnsi="Times New Roman" w:cs="Times New Roman"/>
      <w:b/>
      <w:sz w:val="32"/>
      <w:lang w:val="pl-PL"/>
    </w:rPr>
  </w:style>
  <w:style w:type="character" w:customStyle="1" w:styleId="HeaderSensitivityChar">
    <w:name w:val="Header Sensitivity Char"/>
    <w:rsid w:val="00A13D7E"/>
    <w:rPr>
      <w:rFonts w:ascii="Times New Roman" w:hAnsi="Times New Roman" w:cs="Times New Roman"/>
      <w:b/>
      <w:sz w:val="32"/>
      <w:lang w:val="pl-PL"/>
    </w:rPr>
  </w:style>
  <w:style w:type="character" w:customStyle="1" w:styleId="HeaderSensitivityRightChar">
    <w:name w:val="Header Sensitivity Right Char"/>
    <w:rsid w:val="00A13D7E"/>
    <w:rPr>
      <w:rFonts w:ascii="Times New Roman" w:hAnsi="Times New Roman" w:cs="Times New Roman"/>
      <w:sz w:val="28"/>
      <w:lang w:val="pl-PL"/>
    </w:rPr>
  </w:style>
  <w:style w:type="paragraph" w:customStyle="1" w:styleId="LegalNumPar">
    <w:name w:val="LegalNumPar"/>
    <w:basedOn w:val="Normal"/>
    <w:rsid w:val="00A13D7E"/>
    <w:pPr>
      <w:numPr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2">
    <w:name w:val="LegalNumPar2"/>
    <w:basedOn w:val="Normal"/>
    <w:rsid w:val="00A13D7E"/>
    <w:pPr>
      <w:numPr>
        <w:ilvl w:val="1"/>
        <w:numId w:val="16"/>
      </w:numPr>
      <w:spacing w:line="360" w:lineRule="auto"/>
    </w:pPr>
    <w:rPr>
      <w:rFonts w:eastAsia="Times New Roman"/>
      <w:lang w:eastAsia="en-GB"/>
    </w:rPr>
  </w:style>
  <w:style w:type="paragraph" w:customStyle="1" w:styleId="LegalNumPar3">
    <w:name w:val="LegalNumPar3"/>
    <w:basedOn w:val="Normal"/>
    <w:rsid w:val="00A13D7E"/>
    <w:pPr>
      <w:numPr>
        <w:ilvl w:val="2"/>
        <w:numId w:val="16"/>
      </w:numPr>
      <w:spacing w:line="360" w:lineRule="auto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A13D7E"/>
    <w:pPr>
      <w:ind w:left="720"/>
      <w:contextualSpacing/>
    </w:pPr>
    <w:rPr>
      <w:rFonts w:eastAsia="Times New Roman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7E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A13D7E"/>
    <w:rPr>
      <w:b/>
      <w:bCs/>
    </w:rPr>
  </w:style>
  <w:style w:type="character" w:styleId="Emphasis">
    <w:name w:val="Emphasis"/>
    <w:basedOn w:val="DefaultParagraphFont"/>
    <w:qFormat/>
    <w:rsid w:val="00A13D7E"/>
    <w:rPr>
      <w:i/>
      <w:iCs/>
    </w:rPr>
  </w:style>
  <w:style w:type="character" w:customStyle="1" w:styleId="Mention">
    <w:name w:val="Mention"/>
    <w:basedOn w:val="DefaultParagraphFont"/>
    <w:uiPriority w:val="99"/>
    <w:unhideWhenUsed/>
    <w:rsid w:val="00A13D7E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13D7E"/>
  </w:style>
  <w:style w:type="character" w:customStyle="1" w:styleId="eop">
    <w:name w:val="eop"/>
    <w:basedOn w:val="DefaultParagraphFont"/>
    <w:rsid w:val="00A13D7E"/>
  </w:style>
  <w:style w:type="table" w:customStyle="1" w:styleId="TableGrid2">
    <w:name w:val="Table Grid2"/>
    <w:basedOn w:val="TableNormal"/>
    <w:next w:val="TableGrid"/>
    <w:uiPriority w:val="59"/>
    <w:rsid w:val="009E5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cript">
    <w:name w:val="subscript"/>
    <w:basedOn w:val="DefaultParagraphFont"/>
    <w:rsid w:val="00096239"/>
  </w:style>
  <w:style w:type="character" w:customStyle="1" w:styleId="HeaderChar">
    <w:name w:val="Header Char"/>
    <w:basedOn w:val="DefaultParagraphFont"/>
    <w:link w:val="Header"/>
    <w:uiPriority w:val="99"/>
    <w:rsid w:val="00086F5F"/>
    <w:rPr>
      <w:rFonts w:ascii="Times New Roman" w:hAnsi="Times New Roman" w:cs="Times New Roman"/>
      <w:sz w:val="24"/>
      <w:lang w:val="pl-PL"/>
    </w:rPr>
  </w:style>
  <w:style w:type="character" w:customStyle="1" w:styleId="FooterChar">
    <w:name w:val="Footer Char"/>
    <w:basedOn w:val="DefaultParagraphFont"/>
    <w:link w:val="Footer"/>
    <w:uiPriority w:val="99"/>
    <w:rsid w:val="00086F5F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086F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086F5F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086F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9"/>
      </w:numPr>
    </w:pPr>
  </w:style>
  <w:style w:type="paragraph" w:customStyle="1" w:styleId="Tiret1">
    <w:name w:val="Tiret 1"/>
    <w:basedOn w:val="Point1"/>
    <w:pPr>
      <w:numPr>
        <w:numId w:val="20"/>
      </w:numPr>
    </w:pPr>
  </w:style>
  <w:style w:type="paragraph" w:customStyle="1" w:styleId="Tiret2">
    <w:name w:val="Tiret 2"/>
    <w:basedOn w:val="Point2"/>
    <w:pPr>
      <w:numPr>
        <w:numId w:val="21"/>
      </w:numPr>
    </w:pPr>
  </w:style>
  <w:style w:type="paragraph" w:customStyle="1" w:styleId="Tiret3">
    <w:name w:val="Tiret 3"/>
    <w:basedOn w:val="Point3"/>
    <w:pPr>
      <w:numPr>
        <w:numId w:val="22"/>
      </w:numPr>
    </w:pPr>
  </w:style>
  <w:style w:type="paragraph" w:customStyle="1" w:styleId="Tiret4">
    <w:name w:val="Tiret 4"/>
    <w:basedOn w:val="Point4"/>
    <w:pPr>
      <w:numPr>
        <w:numId w:val="23"/>
      </w:numPr>
    </w:pPr>
  </w:style>
  <w:style w:type="paragraph" w:customStyle="1" w:styleId="Tiret5">
    <w:name w:val="Tiret 5"/>
    <w:basedOn w:val="Point5"/>
    <w:pPr>
      <w:numPr>
        <w:numId w:val="2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5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5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5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7"/>
      </w:numPr>
    </w:pPr>
  </w:style>
  <w:style w:type="paragraph" w:customStyle="1" w:styleId="Point1number">
    <w:name w:val="Point 1 (number)"/>
    <w:basedOn w:val="Normal"/>
    <w:pPr>
      <w:numPr>
        <w:ilvl w:val="2"/>
        <w:numId w:val="27"/>
      </w:numPr>
    </w:pPr>
  </w:style>
  <w:style w:type="paragraph" w:customStyle="1" w:styleId="Point2number">
    <w:name w:val="Point 2 (number)"/>
    <w:basedOn w:val="Normal"/>
    <w:pPr>
      <w:numPr>
        <w:ilvl w:val="4"/>
        <w:numId w:val="27"/>
      </w:numPr>
    </w:pPr>
  </w:style>
  <w:style w:type="paragraph" w:customStyle="1" w:styleId="Point3number">
    <w:name w:val="Point 3 (number)"/>
    <w:basedOn w:val="Normal"/>
    <w:pPr>
      <w:numPr>
        <w:ilvl w:val="6"/>
        <w:numId w:val="27"/>
      </w:numPr>
    </w:pPr>
  </w:style>
  <w:style w:type="paragraph" w:customStyle="1" w:styleId="Point0letter">
    <w:name w:val="Point 0 (letter)"/>
    <w:basedOn w:val="Normal"/>
    <w:pPr>
      <w:numPr>
        <w:ilvl w:val="1"/>
        <w:numId w:val="27"/>
      </w:numPr>
    </w:pPr>
  </w:style>
  <w:style w:type="paragraph" w:customStyle="1" w:styleId="Point1letter">
    <w:name w:val="Point 1 (letter)"/>
    <w:basedOn w:val="Normal"/>
    <w:pPr>
      <w:numPr>
        <w:ilvl w:val="3"/>
        <w:numId w:val="27"/>
      </w:numPr>
    </w:pPr>
  </w:style>
  <w:style w:type="paragraph" w:customStyle="1" w:styleId="Point2letter">
    <w:name w:val="Point 2 (letter)"/>
    <w:basedOn w:val="Normal"/>
    <w:pPr>
      <w:numPr>
        <w:ilvl w:val="5"/>
        <w:numId w:val="27"/>
      </w:numPr>
    </w:pPr>
  </w:style>
  <w:style w:type="paragraph" w:customStyle="1" w:styleId="Point3letter">
    <w:name w:val="Point 3 (letter)"/>
    <w:basedOn w:val="Normal"/>
    <w:pPr>
      <w:numPr>
        <w:ilvl w:val="7"/>
        <w:numId w:val="27"/>
      </w:numPr>
    </w:pPr>
  </w:style>
  <w:style w:type="paragraph" w:customStyle="1" w:styleId="Point4letter">
    <w:name w:val="Point 4 (letter)"/>
    <w:basedOn w:val="Normal"/>
    <w:pPr>
      <w:numPr>
        <w:ilvl w:val="8"/>
        <w:numId w:val="27"/>
      </w:numPr>
    </w:pPr>
  </w:style>
  <w:style w:type="paragraph" w:customStyle="1" w:styleId="Bullet0">
    <w:name w:val="Bullet 0"/>
    <w:basedOn w:val="Normal"/>
    <w:pPr>
      <w:numPr>
        <w:numId w:val="28"/>
      </w:numPr>
    </w:pPr>
  </w:style>
  <w:style w:type="paragraph" w:customStyle="1" w:styleId="Bullet1">
    <w:name w:val="Bullet 1"/>
    <w:basedOn w:val="Normal"/>
    <w:pPr>
      <w:numPr>
        <w:numId w:val="29"/>
      </w:numPr>
    </w:pPr>
  </w:style>
  <w:style w:type="paragraph" w:customStyle="1" w:styleId="Bullet2">
    <w:name w:val="Bullet 2"/>
    <w:basedOn w:val="Normal"/>
    <w:pPr>
      <w:numPr>
        <w:numId w:val="30"/>
      </w:numPr>
    </w:pPr>
  </w:style>
  <w:style w:type="paragraph" w:customStyle="1" w:styleId="Bullet3">
    <w:name w:val="Bullet 3"/>
    <w:basedOn w:val="Normal"/>
    <w:pPr>
      <w:numPr>
        <w:numId w:val="31"/>
      </w:numPr>
    </w:pPr>
  </w:style>
  <w:style w:type="paragraph" w:customStyle="1" w:styleId="Bullet4">
    <w:name w:val="Bullet 4"/>
    <w:basedOn w:val="Normal"/>
    <w:pPr>
      <w:numPr>
        <w:numId w:val="3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86F5F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086F5F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086F5F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086F5F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-lex.europa.eu/legal-content/pl/TXT/?uri=CELEX%3A02019R0631-20231203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image" Target="media/image1.emf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-lex.europa.eu/legal-content/pl/TXT/?uri=CELEX%3A02019R0631-20231203" TargetMode="External"/><Relationship Id="rId22" Type="http://schemas.openxmlformats.org/officeDocument/2006/relationships/hyperlink" Target="https://eceuropaeu.sharepoint.com/teams/GRP-PRO-CLIMA-Unit-B3/Road%20transport/00%20-%20LDV%20review%202026/3.5.3%20Review%202026/options/2025%20flex/March%202025%20proposal/ISC%20documents/Th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yintracomm.ec.europa.eu/corp/budget/financial-rules/budget-implementation/Pages/implementation-methods.aspx" TargetMode="External"/><Relationship Id="rId2" Type="http://schemas.openxmlformats.org/officeDocument/2006/relationships/hyperlink" Target="http://data.europa.eu/eli/reg/2019/631/oj" TargetMode="External"/><Relationship Id="rId1" Type="http://schemas.openxmlformats.org/officeDocument/2006/relationships/hyperlink" Target="https://eur-lex.europa.eu/legal-content/pl/AUTO/?uri=OJ:L:2019:111:T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96CA51F0344A8A1AF43A49E47A52" ma:contentTypeVersion="13" ma:contentTypeDescription="Create a new document." ma:contentTypeScope="" ma:versionID="967cf882693f647110c67416ba7fc796">
  <xsd:schema xmlns:xsd="http://www.w3.org/2001/XMLSchema" xmlns:xs="http://www.w3.org/2001/XMLSchema" xmlns:p="http://schemas.microsoft.com/office/2006/metadata/properties" xmlns:ns1="http://schemas.microsoft.com/sharepoint/v3" xmlns:ns2="568f8cf2-83b8-409b-a80a-e3371e68bb90" targetNamespace="http://schemas.microsoft.com/office/2006/metadata/properties" ma:root="true" ma:fieldsID="b48d06784b425952a7749781345077f2" ns1:_="" ns2:_="">
    <xsd:import namespace="http://schemas.microsoft.com/sharepoint/v3"/>
    <xsd:import namespace="568f8cf2-83b8-409b-a80a-e3371e68bb90"/>
    <xsd:element name="properties">
      <xsd:complexType>
        <xsd:sequence>
          <xsd:element name="documentManagement">
            <xsd:complexType>
              <xsd:all>
                <xsd:element ref="ns1:_vti_ItemDeclaredReco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8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8cf2-83b8-409b-a80a-e3371e68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8f8cf2-83b8-409b-a80a-e3371e68bb90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D9528-2AB6-4174-812A-45FFBFD5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8f8cf2-83b8-409b-a80a-e3371e68b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04239-1B4E-4C6B-A2C5-9FD846C35BF6}">
  <ds:schemaRefs>
    <ds:schemaRef ds:uri="http://schemas.microsoft.com/office/2006/metadata/properties"/>
    <ds:schemaRef ds:uri="http://schemas.microsoft.com/office/infopath/2007/PartnerControls"/>
    <ds:schemaRef ds:uri="568f8cf2-83b8-409b-a80a-e3371e68bb90"/>
  </ds:schemaRefs>
</ds:datastoreItem>
</file>

<file path=customXml/itemProps3.xml><?xml version="1.0" encoding="utf-8"?>
<ds:datastoreItem xmlns:ds="http://schemas.openxmlformats.org/officeDocument/2006/customXml" ds:itemID="{A435C60F-BEC3-4EDD-A4C6-FDC0E262C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20</TotalTime>
  <Pages>19</Pages>
  <Words>6351</Words>
  <Characters>36207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35</cp:revision>
  <cp:lastPrinted>2025-12-10T20:23:00Z</cp:lastPrinted>
  <dcterms:created xsi:type="dcterms:W3CDTF">2025-12-15T08:54:00Z</dcterms:created>
  <dcterms:modified xsi:type="dcterms:W3CDTF">2026-01-15T08:45:00Z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8.0.25.0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9.2, Build 20250828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SJ-023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2025-12-04T10:29:03Z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43fbf804-a1c1-45fc-b265-7ab9b6a6ce40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10, 3, 0, 1</vt:lpwstr>
  </property>
  <property fmtid="{D5CDD505-2E9C-101B-9397-08002B2CF9AE}" pid="18" name="ContentTypeId">
    <vt:lpwstr>0x010100CD5D96CA51F0344A8A1AF43A49E47A52</vt:lpwstr>
  </property>
  <property fmtid="{D5CDD505-2E9C-101B-9397-08002B2CF9AE}" pid="19" name="EC_TX_All_World_Countries">
    <vt:lpwstr/>
  </property>
  <property fmtid="{D5CDD505-2E9C-101B-9397-08002B2CF9AE}" pid="20" name="EC_TX_Corporate_x0020_Body">
    <vt:lpwstr/>
  </property>
  <property fmtid="{D5CDD505-2E9C-101B-9397-08002B2CF9AE}" pid="21" name="MediaServiceImageTags">
    <vt:lpwstr/>
  </property>
  <property fmtid="{D5CDD505-2E9C-101B-9397-08002B2CF9AE}" pid="22" name="i8c8ab8b63424c5d9f8c4a8434abf670">
    <vt:lpwstr/>
  </property>
  <property fmtid="{D5CDD505-2E9C-101B-9397-08002B2CF9AE}" pid="23" name="p26229aee9004b9f888149fd0449ec68">
    <vt:lpwstr/>
  </property>
  <property fmtid="{D5CDD505-2E9C-101B-9397-08002B2CF9AE}" pid="24" name="eff2cf69f10b4279bbb27215ca009b37">
    <vt:lpwstr/>
  </property>
  <property fmtid="{D5CDD505-2E9C-101B-9397-08002B2CF9AE}" pid="25" name="EC_TX_Policy_Area">
    <vt:lpwstr/>
  </property>
  <property fmtid="{D5CDD505-2E9C-101B-9397-08002B2CF9AE}" pid="26" name="EC_TX_EU_Member_State">
    <vt:lpwstr/>
  </property>
  <property fmtid="{D5CDD505-2E9C-101B-9397-08002B2CF9AE}" pid="27" name="EC_TX_Resource_Type">
    <vt:lpwstr/>
  </property>
  <property fmtid="{D5CDD505-2E9C-101B-9397-08002B2CF9AE}" pid="28" name="j8309f8bc3e645d1a2f07391f8e5795a">
    <vt:lpwstr/>
  </property>
  <property fmtid="{D5CDD505-2E9C-101B-9397-08002B2CF9AE}" pid="29" name="g81cb4d17be94922847ce418ea81f55a">
    <vt:lpwstr/>
  </property>
  <property fmtid="{D5CDD505-2E9C-101B-9397-08002B2CF9AE}" pid="30" name="TaxCatchAll">
    <vt:lpwstr/>
  </property>
  <property fmtid="{D5CDD505-2E9C-101B-9397-08002B2CF9AE}" pid="31" name="EC_TX_EU_Political_Leader">
    <vt:lpwstr/>
  </property>
  <property fmtid="{D5CDD505-2E9C-101B-9397-08002B2CF9AE}" pid="32" name="p6ffe5294acd41c38db3fcc8ababb05f">
    <vt:lpwstr/>
  </property>
  <property fmtid="{D5CDD505-2E9C-101B-9397-08002B2CF9AE}" pid="33" name="k2c54712f93b47eb83e1835ba301b6c6">
    <vt:lpwstr/>
  </property>
  <property fmtid="{D5CDD505-2E9C-101B-9397-08002B2CF9AE}" pid="34" name="EC_TX_Strategic_Priority">
    <vt:lpwstr/>
  </property>
  <property fmtid="{D5CDD505-2E9C-101B-9397-08002B2CF9AE}" pid="35" name="EC_TX_Corporate Body">
    <vt:lpwstr/>
  </property>
  <property fmtid="{D5CDD505-2E9C-101B-9397-08002B2CF9AE}" pid="36" name="DQCStatus">
    <vt:lpwstr>Green (DQC version 03)</vt:lpwstr>
  </property>
</Properties>
</file>