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10" w:rsidRPr="00A30710" w:rsidRDefault="00A30710" w:rsidP="00A3071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D-01.02.04</w:t>
      </w:r>
    </w:p>
    <w:p w:rsidR="00A30710" w:rsidRPr="00A30710" w:rsidRDefault="00A30710" w:rsidP="00A3071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 </w:t>
      </w:r>
    </w:p>
    <w:p w:rsidR="00A30710" w:rsidRPr="00A30710" w:rsidRDefault="00A30710" w:rsidP="00A3071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ROZBIÓRKA ELEMENTÓW DRÓG, OGRODZEŃ</w:t>
      </w:r>
    </w:p>
    <w:p w:rsidR="00A30710" w:rsidRPr="00A30710" w:rsidRDefault="00A30710" w:rsidP="00A3071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I PRZEPUSTÓW</w:t>
      </w:r>
    </w:p>
    <w:p w:rsidR="00A30710" w:rsidRPr="00A30710" w:rsidRDefault="00A30710" w:rsidP="00A3071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 </w:t>
      </w:r>
    </w:p>
    <w:p w:rsidR="00A30710" w:rsidRPr="00A30710" w:rsidRDefault="00A30710" w:rsidP="00A3071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 </w:t>
      </w:r>
    </w:p>
    <w:p w:rsidR="00A30710" w:rsidRPr="00A30710" w:rsidRDefault="00A30710" w:rsidP="00A3071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</w:p>
    <w:p w:rsidR="00A30710" w:rsidRPr="00A30710" w:rsidRDefault="00A30710" w:rsidP="00A30710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SPIS TREŚCI</w:t>
      </w:r>
    </w:p>
    <w:p w:rsidR="00A30710" w:rsidRPr="00A30710" w:rsidRDefault="00A30710" w:rsidP="00A3071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D-01.02.04</w:t>
      </w:r>
    </w:p>
    <w:p w:rsidR="00A30710" w:rsidRPr="00A30710" w:rsidRDefault="00A30710" w:rsidP="00A3071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ROZBIÓRKA ELEMENTÓW DRÓG, OGRODZEŃ I PRZEPUSTÓW</w:t>
      </w:r>
    </w:p>
    <w:p w:rsidR="00A30710" w:rsidRPr="00A30710" w:rsidRDefault="00A30710" w:rsidP="00A3071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  <w:lang w:eastAsia="pl-PL"/>
        </w:rPr>
      </w:pPr>
      <w:hyperlink r:id="rId5" w:anchor="_1._WSTĘP_4" w:history="1">
        <w:r w:rsidRPr="00A30710">
          <w:rPr>
            <w:rFonts w:ascii="Times New Roman" w:eastAsia="Times New Roman" w:hAnsi="Times New Roman" w:cs="Times New Roman"/>
            <w:b/>
            <w:bCs/>
            <w:color w:val="3366FF"/>
            <w:sz w:val="20"/>
            <w:szCs w:val="20"/>
            <w:u w:val="single"/>
            <w:lang w:eastAsia="pl-PL"/>
          </w:rPr>
          <w:t>1. WSTĘP</w:t>
        </w:r>
      </w:hyperlink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  <w:lang w:eastAsia="pl-PL"/>
        </w:rPr>
      </w:pPr>
      <w:hyperlink r:id="rId6" w:anchor="_2._MATERIAŁY_4" w:history="1">
        <w:r w:rsidRPr="00A30710">
          <w:rPr>
            <w:rFonts w:ascii="Times New Roman" w:eastAsia="Times New Roman" w:hAnsi="Times New Roman" w:cs="Times New Roman"/>
            <w:b/>
            <w:bCs/>
            <w:color w:val="3366FF"/>
            <w:sz w:val="20"/>
            <w:szCs w:val="20"/>
            <w:u w:val="single"/>
            <w:lang w:eastAsia="pl-PL"/>
          </w:rPr>
          <w:t>2. MATERIAŁY</w:t>
        </w:r>
      </w:hyperlink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  <w:lang w:eastAsia="pl-PL"/>
        </w:rPr>
      </w:pPr>
      <w:hyperlink r:id="rId7" w:anchor="_3._SPRZĘT_4" w:history="1">
        <w:r w:rsidRPr="00A30710">
          <w:rPr>
            <w:rFonts w:ascii="Times New Roman" w:eastAsia="Times New Roman" w:hAnsi="Times New Roman" w:cs="Times New Roman"/>
            <w:b/>
            <w:bCs/>
            <w:color w:val="3366FF"/>
            <w:sz w:val="20"/>
            <w:szCs w:val="20"/>
            <w:u w:val="single"/>
            <w:lang w:eastAsia="pl-PL"/>
          </w:rPr>
          <w:t>3. SPRZĘT</w:t>
        </w:r>
      </w:hyperlink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  <w:lang w:eastAsia="pl-PL"/>
        </w:rPr>
      </w:pPr>
      <w:hyperlink r:id="rId8" w:anchor="_4._TRANSPORT_4" w:history="1">
        <w:r w:rsidRPr="00A30710">
          <w:rPr>
            <w:rFonts w:ascii="Times New Roman" w:eastAsia="Times New Roman" w:hAnsi="Times New Roman" w:cs="Times New Roman"/>
            <w:b/>
            <w:bCs/>
            <w:color w:val="3366FF"/>
            <w:sz w:val="20"/>
            <w:szCs w:val="20"/>
            <w:u w:val="single"/>
            <w:lang w:eastAsia="pl-PL"/>
          </w:rPr>
          <w:t>4. TRANSPORT</w:t>
        </w:r>
      </w:hyperlink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  <w:lang w:eastAsia="pl-PL"/>
        </w:rPr>
      </w:pPr>
      <w:hyperlink r:id="rId9" w:anchor="_5._WYKONANIE_ROBÓT_4" w:history="1">
        <w:r w:rsidRPr="00A30710">
          <w:rPr>
            <w:rFonts w:ascii="Times New Roman" w:eastAsia="Times New Roman" w:hAnsi="Times New Roman" w:cs="Times New Roman"/>
            <w:b/>
            <w:bCs/>
            <w:color w:val="3366FF"/>
            <w:sz w:val="20"/>
            <w:szCs w:val="20"/>
            <w:u w:val="single"/>
            <w:lang w:eastAsia="pl-PL"/>
          </w:rPr>
          <w:t>5. WYKONANIE ROBÓT</w:t>
        </w:r>
      </w:hyperlink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  <w:lang w:eastAsia="pl-PL"/>
        </w:rPr>
      </w:pPr>
      <w:hyperlink r:id="rId10" w:anchor="_6._KONTROLA_JAKOŚCI_4" w:history="1">
        <w:r w:rsidRPr="00A30710">
          <w:rPr>
            <w:rFonts w:ascii="Times New Roman" w:eastAsia="Times New Roman" w:hAnsi="Times New Roman" w:cs="Times New Roman"/>
            <w:b/>
            <w:bCs/>
            <w:color w:val="3366FF"/>
            <w:sz w:val="20"/>
            <w:szCs w:val="20"/>
            <w:u w:val="single"/>
            <w:lang w:eastAsia="pl-PL"/>
          </w:rPr>
          <w:t xml:space="preserve">6. </w:t>
        </w:r>
        <w:proofErr w:type="gramStart"/>
        <w:r w:rsidRPr="00A30710">
          <w:rPr>
            <w:rFonts w:ascii="Times New Roman" w:eastAsia="Times New Roman" w:hAnsi="Times New Roman" w:cs="Times New Roman"/>
            <w:b/>
            <w:bCs/>
            <w:color w:val="3366FF"/>
            <w:sz w:val="20"/>
            <w:szCs w:val="20"/>
            <w:u w:val="single"/>
            <w:lang w:eastAsia="pl-PL"/>
          </w:rPr>
          <w:t>KONTROLA JAKOŚCI</w:t>
        </w:r>
        <w:proofErr w:type="gramEnd"/>
        <w:r w:rsidRPr="00A30710">
          <w:rPr>
            <w:rFonts w:ascii="Times New Roman" w:eastAsia="Times New Roman" w:hAnsi="Times New Roman" w:cs="Times New Roman"/>
            <w:b/>
            <w:bCs/>
            <w:color w:val="3366FF"/>
            <w:sz w:val="20"/>
            <w:szCs w:val="20"/>
            <w:u w:val="single"/>
            <w:lang w:eastAsia="pl-PL"/>
          </w:rPr>
          <w:t xml:space="preserve"> ROBÓT</w:t>
        </w:r>
      </w:hyperlink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  <w:lang w:eastAsia="pl-PL"/>
        </w:rPr>
      </w:pPr>
      <w:hyperlink r:id="rId11" w:anchor="_7._OBMIAR_ROBÓT_4" w:history="1">
        <w:r w:rsidRPr="00A30710">
          <w:rPr>
            <w:rFonts w:ascii="Times New Roman" w:eastAsia="Times New Roman" w:hAnsi="Times New Roman" w:cs="Times New Roman"/>
            <w:b/>
            <w:bCs/>
            <w:color w:val="3366FF"/>
            <w:sz w:val="20"/>
            <w:szCs w:val="20"/>
            <w:u w:val="single"/>
            <w:lang w:eastAsia="pl-PL"/>
          </w:rPr>
          <w:t>7. OBMIAR ROBÓT</w:t>
        </w:r>
      </w:hyperlink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  <w:lang w:eastAsia="pl-PL"/>
        </w:rPr>
      </w:pPr>
      <w:hyperlink r:id="rId12" w:anchor="_8._ODBIÓR_ROBÓT_4" w:history="1">
        <w:r w:rsidRPr="00A30710">
          <w:rPr>
            <w:rFonts w:ascii="Times New Roman" w:eastAsia="Times New Roman" w:hAnsi="Times New Roman" w:cs="Times New Roman"/>
            <w:b/>
            <w:bCs/>
            <w:color w:val="3366FF"/>
            <w:sz w:val="20"/>
            <w:szCs w:val="20"/>
            <w:u w:val="single"/>
            <w:lang w:eastAsia="pl-PL"/>
          </w:rPr>
          <w:t>8. ODBIÓR ROBÓT</w:t>
        </w:r>
      </w:hyperlink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  <w:lang w:eastAsia="pl-PL"/>
        </w:rPr>
      </w:pPr>
      <w:hyperlink r:id="rId13" w:anchor="_9._PODSTAWA_PŁATNOŚCI_4" w:history="1">
        <w:r w:rsidRPr="00A30710">
          <w:rPr>
            <w:rFonts w:ascii="Times New Roman" w:eastAsia="Times New Roman" w:hAnsi="Times New Roman" w:cs="Times New Roman"/>
            <w:b/>
            <w:bCs/>
            <w:color w:val="3366FF"/>
            <w:sz w:val="20"/>
            <w:szCs w:val="20"/>
            <w:u w:val="single"/>
            <w:lang w:eastAsia="pl-PL"/>
          </w:rPr>
          <w:t>9. PODSTAWA PŁATNOŚCI</w:t>
        </w:r>
      </w:hyperlink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14" w:anchor="_10._PRZEPISY_ZWIĄZANE_4" w:history="1">
        <w:r w:rsidRPr="00A30710">
          <w:rPr>
            <w:rFonts w:ascii="Times New Roman" w:eastAsia="Times New Roman" w:hAnsi="Times New Roman" w:cs="Times New Roman"/>
            <w:b/>
            <w:bCs/>
            <w:color w:val="3366FF"/>
            <w:sz w:val="20"/>
            <w:szCs w:val="20"/>
            <w:u w:val="single"/>
            <w:lang w:eastAsia="pl-PL"/>
          </w:rPr>
          <w:t>10. PRZEPISY ZWIĄZANE</w:t>
        </w:r>
      </w:hyperlink>
    </w:p>
    <w:p w:rsidR="00A30710" w:rsidRPr="00A30710" w:rsidRDefault="00A30710" w:rsidP="00A30710">
      <w:pPr>
        <w:pBdr>
          <w:bottom w:val="single" w:sz="4" w:space="1" w:color="auto"/>
        </w:pBdr>
        <w:tabs>
          <w:tab w:val="right" w:leader="dot" w:pos="-1985"/>
          <w:tab w:val="left" w:pos="0"/>
          <w:tab w:val="right" w:leader="dot" w:pos="8505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A30710" w:rsidRPr="00A30710" w:rsidRDefault="00A30710" w:rsidP="00A3071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A30710" w:rsidRPr="00A30710" w:rsidRDefault="00A30710" w:rsidP="00A30710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</w:pPr>
      <w:bookmarkStart w:id="0" w:name="_1._WSTĘP_4"/>
      <w:bookmarkEnd w:id="0"/>
      <w:r w:rsidRPr="00A30710"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  <w:t>1. WSTĘP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1.1.Przedmiot OST</w:t>
      </w:r>
    </w:p>
    <w:p w:rsidR="00A30710" w:rsidRPr="00A30710" w:rsidRDefault="00A30710" w:rsidP="00A3071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niniejszej ogólnej specyfikacji technicznej (OST) są wymagania dotyczące wykonania i odbioru robót związanych z rozbiórką elementów dróg, ogrodzeń i przepustów. 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1.2. Zakres stosowania OST</w:t>
      </w:r>
    </w:p>
    <w:p w:rsidR="00A30710" w:rsidRPr="00A30710" w:rsidRDefault="00A30710" w:rsidP="00A3071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Ogólna specyfikacja techniczna (OST) stanowi obowiązującą podstawę opracowania szczegółowej specyfikacji technicznej (SST) </w:t>
      </w: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stosowanej jako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dokument przetargowy i kontraktowy przy zlecaniu i realizacji robót na drogach krajowych i wojewódzkich.</w:t>
      </w:r>
    </w:p>
    <w:p w:rsidR="00A30710" w:rsidRPr="00A30710" w:rsidRDefault="00A30710" w:rsidP="00A3071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Zaleca się wykorzystanie OST przy zlecaniu robót na drogach miejskich i gminnych.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1.3. Zakres robót objętych OST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Ustalenia zawarte w niniejszej specyfikacji dotyczą zasad prowadzenia robót związanych z rozbiórką: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warstw nawierzchni,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krawężników, obrzeży i oporników,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ścieków,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chodników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ogrodzeń,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barier i poręczy,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znaków drogowych,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przepustów: betonowych, żelbetowych, kamiennych, ceglanych itp.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1.4. Określenia podstawowe</w:t>
      </w:r>
    </w:p>
    <w:p w:rsidR="00A30710" w:rsidRPr="00A30710" w:rsidRDefault="00A30710" w:rsidP="00A3071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Stosowane określenia podstawowe są zgodne z obowiązującymi, odpowiednimi polskimi normami oraz z definicjami podanymi w OST D-M-00.00.00 „Wymagania ogólne”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1.4.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1.5. Ogólne wymagania dotyczące robót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Ogólne wymagania dotyczące robót podano w OST D-M-00.00.00 „Wymagania ogólne”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1.5.</w:t>
      </w:r>
    </w:p>
    <w:p w:rsidR="00A30710" w:rsidRPr="00A30710" w:rsidRDefault="00A30710" w:rsidP="00A30710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</w:pPr>
      <w:bookmarkStart w:id="1" w:name="_2._MATERIAŁY_4"/>
      <w:bookmarkEnd w:id="1"/>
      <w:r w:rsidRPr="00A30710"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  <w:lastRenderedPageBreak/>
        <w:t>2. MATERIAŁY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2.1. Ogólne wymagania dotyczące materiałów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Ogólne wymagania dotyczące materiałów, ich pozyskiwania i składowania, podano w OST D-M-00.00.00 „Wymagania ogólne”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2.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2.2. Rusztowania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Rusztowania robocze przestawne przy rozbiórce przepustów mogą być wykonane z drewna lub rur stalowych w postaci: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rusztowań kozłowych, wysokości od</w:t>
      </w: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1,0 do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1,5 m, składających się z leżni z bali (np. 12,5 x 12,5 cm), nóg z krawędziaków (np. 7,6 x 7,6 cm), stężeń (np. 3,2 x 12,5 cm) i pomostu z desek,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rusztowań drabinowych, składających się z drabin (np. długości 6 m, szerokości 52 cm), usztywnionych stężeniami z desek (np</w:t>
      </w: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. 3,2 x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12,5 cm), na których szczeblach (np. 3,2 x 6,3 cm) układa się pomosty z desek,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przestawnych klatek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rusztowaniowych</w:t>
      </w:r>
      <w:proofErr w:type="spell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rur stalowych średnicy od 38 do</w:t>
      </w: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63,5 mm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wymiarach klatek około 1,2 x 1,5 m lub płaskich klatek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rusztowaniowych</w:t>
      </w:r>
      <w:proofErr w:type="spell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(np. z rur stalowych średnicy 108 mm i kątowników 45 x 45 x 5 mm i 70 x 70 x 7 mm), o wymiarach klatek około 1,1 x 1,5 m,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rusztowań z rur stalowych średnicy od</w:t>
      </w: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33,5 do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76,1 mm połączonych łącznikami w ramownice i kratownice.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Rusztowanie należy wykonać z materiałów odpowiadających następującym normom: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drewno i tarcica wg PN-D-95017 [1], PN-D-96000 [2], PN-D-96002 [3] lub innej zaakceptowanej przez Inżyniera,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gwoździe wg BN-87/5028-12 [8],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rury stalowe wg PN-H-74219 [4], PN-H-74220 [5] lub innej zaakceptowanej przez Inżyniera,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kątowniki wg PN-H-93401[6], PN-H-93402 [7] lub innej zaakceptowanej przez Inżyniera.</w:t>
      </w:r>
    </w:p>
    <w:p w:rsidR="00A30710" w:rsidRPr="00A30710" w:rsidRDefault="00A30710" w:rsidP="00A30710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</w:pPr>
      <w:bookmarkStart w:id="2" w:name="_3._SPRZĘT_4"/>
      <w:bookmarkEnd w:id="2"/>
      <w:r w:rsidRPr="00A30710"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  <w:t>3. SPRZĘT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3.1. Ogólne wymagania dotyczące sprzętu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Ogólne wymagania dotyczące sprzętu podano w OST D-M-00.00.00 „Wymagania ogólne”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3.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3.2. Sprzęt do rozbiórki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Do wykonania robót związanych z rozbiórką elementów dróg, ogrodzeń i przepustów może być wykorzystany sprzęt podany poniżej, lub inny zaakceptowany przez Inżyniera: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spycharki,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ładowarki,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żurawie samochodowe,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samochody ciężarowe,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zrywarki,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młoty pneumatyczne,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piły mechaniczne,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frezarki nawierzchni,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koparki.</w:t>
      </w:r>
    </w:p>
    <w:p w:rsidR="00A30710" w:rsidRPr="00A30710" w:rsidRDefault="00A30710" w:rsidP="00A30710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</w:pPr>
      <w:bookmarkStart w:id="3" w:name="_4._TRANSPORT_4"/>
      <w:bookmarkEnd w:id="3"/>
      <w:r w:rsidRPr="00A30710"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  <w:t>4. TRANSPORT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4.1. Ogólne wymagania dotyczące transportu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Ogólne wymagania dotyczące transportu podano w OST D-M-00.00.00 „Wymagania ogólne”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4.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4.2. Transport materiałów z rozbiórki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Materiał z rozbiórki można przewozić dowolnym środkiem transportu.</w:t>
      </w:r>
    </w:p>
    <w:p w:rsidR="00A30710" w:rsidRPr="00A30710" w:rsidRDefault="00A30710" w:rsidP="00A30710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</w:pPr>
      <w:bookmarkStart w:id="4" w:name="_5._WYKONANIE_ROBÓT_4"/>
      <w:bookmarkEnd w:id="4"/>
      <w:r w:rsidRPr="00A30710"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  <w:t>5. WYKONANIE ROBÓT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5.1. Ogólne zasady wykonania robót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Ogólne zasady wykonania robót podano w OST D-M-00.00.00 „Wymagania ogólne”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5.2. Wykonanie robót rozbiórkowych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Roboty rozbiórkowe elementów dróg, ogrodzeń i przepustów obejmują usunięcie z terenu budowy wszystkich elementów wymienionych w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1.3, zgodnie z dokumentacją projektową, SST lub wskazanych przez Inżyniera.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Jeśli dokumentacja projektowa nie zawiera dokumentacji inwentaryzacyjnej lub/i rozbiórkowej, Inżynier może polecić Wykonawcy sporządzenie takiej dokumentacji, w której zostanie określony przewidziany odzysk materiałów.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Roboty rozbiórkowe można wykonywać mechanicznie lub ręcznie w sposób określony w SST lub przez Inżyniera.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usuwania warstw nawierzchni z zastosowaniem frezarek drogowych, należy spełnić warunki określone w OST D-05.03.11 „Recykling”.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robót rozbiórkowych przepustu należy dokonać: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odkopania przepustu,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ew. ustawienia przenośnych rusztowań przy przepustach wyższych od około 2 m,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rozbicia elementów, których nie przewiduje się odzyskać, w sposób ręczny lub mechaniczny z ew. przecięciem prętów zbrojeniowych i ich odgięciem,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demontażu prefabrykowanych elementów przepustów (np. rur, elementów skrzynkowych, ramowych) z uprzednim oczyszczeniem spoin i częściowym usunięciu ław, względnie ostrożnego rozebrania konstrukcji kamiennych, ceglanych, klinkierowych itp. przy założeniu ponownego ich wykorzystania,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oczyszczenia rozebranych elementów, przewidzianych do powtórnego </w:t>
      </w: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użycia  (z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zaprawy, kawałków betonu, izolacji itp.) i ich posortowania.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Wszystkie elementy możliwe do powtórnego wykorzystania powinny być usuwane bez powodowania zbędnych uszkodzeń. O ile uzyskane elementy nie stają się własnością Wykonawcy, powinien on przewieźć je na miejsce określone w SST lub wskazane przez Inżyniera.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Elementy i materiały, które zgodnie z SST stają się własnością Wykonawcy, powinny być usunięte z terenu budowy.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Doły (wykopy) powstałe po rozbiórce elementów dróg, ogrodzeń i przepustów znajdujące się w miejscach, gdzie zgodnie z dokumentacją projektową będą wykonane wykopy drogowe, powinny być tymczasowo zabezpieczone. W szczególności należy zapobiec gromadzeniu się w nich wody opadowej.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Doły w miejscach, gdzie nie przewiduje się wykonania wykopów drogowych należy wypełnić, warstwami, odpowiednim gruntem do poziomu otaczającego terenu i zagęścić zgodnie z wymaganiami określonymi w OST D-02.00.00 „Roboty ziemne”.</w:t>
      </w:r>
    </w:p>
    <w:p w:rsidR="00A30710" w:rsidRPr="00A30710" w:rsidRDefault="00A30710" w:rsidP="00A30710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</w:pPr>
      <w:bookmarkStart w:id="5" w:name="_6._KONTROLA_JAKOŚCI_4"/>
      <w:bookmarkEnd w:id="5"/>
      <w:r w:rsidRPr="00A30710"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  <w:t xml:space="preserve">6. </w:t>
      </w:r>
      <w:proofErr w:type="gramStart"/>
      <w:r w:rsidRPr="00A30710"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  <w:t>KONTROLA JAKOŚCI</w:t>
      </w:r>
      <w:proofErr w:type="gramEnd"/>
      <w:r w:rsidRPr="00A30710"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  <w:t xml:space="preserve"> ROBÓT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6.1. Ogólne zasady </w:t>
      </w:r>
      <w:proofErr w:type="gramStart"/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kontroli jakości</w:t>
      </w:r>
      <w:proofErr w:type="gramEnd"/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robót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Ogólne zasady </w:t>
      </w: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kontroli jakości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robót podano w OST D-M-00.00.00 „Wymagania ogólne”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6.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6.2. </w:t>
      </w:r>
      <w:proofErr w:type="gramStart"/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Kontrola jakości</w:t>
      </w:r>
      <w:proofErr w:type="gramEnd"/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robót rozbiórkowych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Kontrola jakości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robót polega na wizualnej ocenie kompletności wykonanych robót rozbiórkowych oraz sprawdzeniu stopnia uszkodzenia elementów przewidzianych do powtórnego wykorzystania.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Zagęszczenie gruntu wypełniającego ewentualne doły po usuniętych elementach nawierzchni, ogrodzeń i przepustów powinno spełniać odpowiednie wymagania określone w OST D-02.00.00 „Roboty ziemne”.</w:t>
      </w:r>
    </w:p>
    <w:p w:rsidR="00A30710" w:rsidRPr="00A30710" w:rsidRDefault="00A30710" w:rsidP="00A30710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</w:pPr>
      <w:bookmarkStart w:id="6" w:name="_7._OBMIAR_ROBÓT_4"/>
      <w:bookmarkEnd w:id="6"/>
      <w:r w:rsidRPr="00A30710"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  <w:t>7. OBMIAR ROBÓT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7.1. Ogólne zasady obmiaru robót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Ogólne zasady obmiaru robót podano w OST D-M-00.00.00 „Wymagania ogólne”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7.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7.2. Jednostka obmiarowa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Jednostką obmiarową robót związanych z rozbiórką elementów dróg i ogrodzeń jest: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dla nawierzchni i chodnika - m</w:t>
      </w:r>
      <w:r w:rsidRPr="00A3071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(metr kwadratowy),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dla krawężnika, opornika, obrzeża, ścieków prefabrykowanych, ogrodzeń, barier i poręczy - m (metr),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dla znaków drogowych - szt. (sztuka),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dla przepustów i ich elementów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) betonowych, kamiennych, ceglanych - m</w:t>
      </w:r>
      <w:r w:rsidRPr="00A3071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(metr sześcienny),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) prefabrykowanych betonowych, żelbetowych - m (metr).</w:t>
      </w:r>
    </w:p>
    <w:p w:rsidR="00A30710" w:rsidRPr="00A30710" w:rsidRDefault="00A30710" w:rsidP="00A30710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</w:pPr>
      <w:bookmarkStart w:id="7" w:name="_8._ODBIÓR_ROBÓT_4"/>
      <w:bookmarkEnd w:id="7"/>
      <w:r w:rsidRPr="00A30710"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  <w:lastRenderedPageBreak/>
        <w:t>8. ODBIÓR ROBÓT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Ogólne zasady odbioru robót podano w OST D-M-00.00.00 „Wymagania ogólne”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8.</w:t>
      </w:r>
    </w:p>
    <w:p w:rsidR="00A30710" w:rsidRPr="00A30710" w:rsidRDefault="00A30710" w:rsidP="00A30710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</w:pPr>
      <w:bookmarkStart w:id="8" w:name="_9._PODSTAWA_PŁATNOŚCI_4"/>
      <w:bookmarkEnd w:id="8"/>
      <w:r w:rsidRPr="00A30710"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  <w:t>9. PODSTAWA PŁATNOŚCI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9.1. Ogólne ustalenia dotyczące podstawy płatności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Ogólne ustalenia dotyczące podstawy płatności podano w OST D-M-00.00.00 „Wymagania ogólne”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9.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9.2. Cena jednostki obmiarowej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Cena wykonania robót obejmuje: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) dla rozbiórki warstw nawierzchni: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wyznaczenie powierzchni przeznaczonej do rozbiórki,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rozkucie i zerwanie nawierzchni,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ew. przesortowanie materiału uzyskanego z rozbiórki, w celu ponownego jej użycia, z ułożeniem na poboczu,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załadunek i wywiezienie materiałów z rozbiórki,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wyrównanie podłoża i uporządkowanie terenu rozbiórki;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) dla rozbiórki krawężników, obrzeży i oporników: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odkopanie krawężników, obrzeży i oporników wraz z wyjęciem i oczyszczeniem,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zerwanie podsypki cementowo-piaskowej i ew. ław,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załadunek i wywiezienie materiału z rozbiórki,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wyrównanie podłoża i uporządkowanie terenu rozbiórki;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) dla rozbiórki ścieku: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odsłonięcie ścieku,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ręczne wyjęcie elementów ściekowych wraz z oczyszczeniem,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ew. przesortowanie materiału uzyskanego z rozbiórki, w celu ponownego jego użycia, z ułożeniem na poboczu,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zerwanie podsypki cementowo-piaskowej,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uzupełnienie i wyrównanie podłoża,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załadunek i wywóz materiałów z rozbiórki,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uporządkowanie terenu rozbiórki;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) dla rozbiórki chodników: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ręczne wyjęcie płyt chodnikowych, lub rozkucie i zerwanie innych materiałów chodnikowych,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ew. przesortowanie materiału uzyskanego z rozbiórki w celu ponownego jego użycia, z ułożeniem na poboczu,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zerwanie podsypki cementowo-piaskowej,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załadunek i wywiezienie materiałów z rozbiórki,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wyrównanie podłoża i uporządkowanie terenu rozbiórki;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) dla rozbiórki ogrodzeń: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demontaż elementów ogrodzenia,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odkopanie i wydobycie słupków wraz z fundamentem,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zasypanie dołów po słupkach z zagęszczeniem do uzyskania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Is</w:t>
      </w:r>
      <w:proofErr w:type="spellEnd"/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00B3"/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1,00 wg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BN-77/8931-12 [9],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ew. przesortowanie materiału uzyskanego z rozbiórki, w celu ponownego jego użycia, z ułożeniem w stosy na poboczu,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załadunek i wywiezienie materiałów z rozbiórki,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uporządkowanie terenu rozbiórki;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f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) dla rozbiórki barier i poręczy: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demontaż elementów bariery lub poręczy,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odkopanie i wydobycie słupków wraz z fundamentem,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zasypanie dołów po słupkach wraz z zagęszczeniem do uzyskania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Is</w:t>
      </w:r>
      <w:proofErr w:type="spellEnd"/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00B3"/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1,00 wg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BN-77/8931-12 [9],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załadunek i wywiezienie materiałów z rozbiórki,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uporządkowanie terenu rozbiórki;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g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) dla rozbiórki znaków drogowych: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demontaż tablic znaków drogowych ze słupków,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odkopanie i wydobycie słupków,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zasypanie dołów po słupkach wraz z zagęszczeniem do uzyskania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Is</w:t>
      </w:r>
      <w:proofErr w:type="spellEnd"/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00B3"/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1,00 wg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BN-77/8931-12 [9],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załadunek i wywiezienie materiałów z rozbiórki,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lastRenderedPageBreak/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uporządkowanie terenu rozbiórki;</w:t>
      </w:r>
    </w:p>
    <w:p w:rsidR="00A30710" w:rsidRPr="00A30710" w:rsidRDefault="00A30710" w:rsidP="00A30710">
      <w:p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h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) dla rozbiórki przepustu: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odkopanie przepustu, fundamentów, ław, umocnień itp.,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ew. ustawienie rusztowań i ich późniejsze rozebranie,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rozebranie elementów przepustu,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sortowanie i pryzmowanie odzyskanych materiałów,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załadunek i wywiezienie materiałów z rozbiórki,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zasypanie dołów (wykopów) gruntem z zagęszczeniem do uzyskania </w:t>
      </w:r>
      <w:proofErr w:type="spell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Is</w:t>
      </w:r>
      <w:proofErr w:type="spellEnd"/>
      <w:proofErr w:type="gramStart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00B3"/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1,00 wg</w:t>
      </w:r>
      <w:proofErr w:type="gramEnd"/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BN-77/8931-12 [9],</w:t>
      </w:r>
    </w:p>
    <w:p w:rsidR="00A30710" w:rsidRPr="00A30710" w:rsidRDefault="00A30710" w:rsidP="00A30710">
      <w:pPr>
        <w:numPr>
          <w:ilvl w:val="0"/>
          <w:numId w:val="1"/>
        </w:numPr>
        <w:tabs>
          <w:tab w:val="right" w:leader="dot" w:pos="-1985"/>
          <w:tab w:val="left" w:pos="426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Symbol" w:eastAsia="Times New Roman" w:hAnsi="Symbol" w:cs="Times New Roman"/>
          <w:sz w:val="20"/>
          <w:szCs w:val="20"/>
          <w:lang w:eastAsia="pl-PL"/>
        </w:rPr>
        <w:t></w:t>
      </w:r>
      <w:r w:rsidRPr="00A3071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uporządkowanie terenu rozbiórki.</w:t>
      </w:r>
    </w:p>
    <w:p w:rsidR="00A30710" w:rsidRPr="00A30710" w:rsidRDefault="00A30710" w:rsidP="00A30710">
      <w:pPr>
        <w:keepNext/>
        <w:keepLines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</w:pPr>
      <w:bookmarkStart w:id="9" w:name="_10._PRZEPISY_ZWIĄZANE_4"/>
      <w:bookmarkEnd w:id="9"/>
      <w:r w:rsidRPr="00A30710">
        <w:rPr>
          <w:rFonts w:ascii="Times New Roman" w:eastAsia="Times New Roman" w:hAnsi="Times New Roman" w:cs="Times New Roman"/>
          <w:b/>
          <w:caps/>
          <w:color w:val="3366FF"/>
          <w:kern w:val="28"/>
          <w:sz w:val="20"/>
          <w:szCs w:val="20"/>
          <w:lang w:eastAsia="pl-PL"/>
        </w:rPr>
        <w:t>10. PRZEPISY ZWIĄZANE</w:t>
      </w:r>
    </w:p>
    <w:p w:rsidR="00A30710" w:rsidRPr="00A30710" w:rsidRDefault="00A30710" w:rsidP="00A30710">
      <w:pPr>
        <w:keepNext/>
        <w:overflowPunct w:val="0"/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Normy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96"/>
        <w:gridCol w:w="2551"/>
        <w:gridCol w:w="5450"/>
      </w:tblGrid>
      <w:tr w:rsidR="00A30710" w:rsidRPr="00A30710" w:rsidTr="00A30710">
        <w:tc>
          <w:tcPr>
            <w:tcW w:w="496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51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PN-D-95017</w:t>
            </w:r>
          </w:p>
        </w:tc>
        <w:tc>
          <w:tcPr>
            <w:tcW w:w="5450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Surowiec drzewny. Drewno tartaczne iglaste.</w:t>
            </w:r>
          </w:p>
        </w:tc>
      </w:tr>
      <w:tr w:rsidR="00A30710" w:rsidRPr="00A30710" w:rsidTr="00A30710">
        <w:tc>
          <w:tcPr>
            <w:tcW w:w="496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51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PN-D-96000</w:t>
            </w:r>
          </w:p>
        </w:tc>
        <w:tc>
          <w:tcPr>
            <w:tcW w:w="5450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Tarcica iglasta ogólnego przeznaczenia</w:t>
            </w:r>
          </w:p>
        </w:tc>
      </w:tr>
      <w:tr w:rsidR="00A30710" w:rsidRPr="00A30710" w:rsidTr="00A30710">
        <w:tc>
          <w:tcPr>
            <w:tcW w:w="496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51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PN-D-96002</w:t>
            </w:r>
          </w:p>
        </w:tc>
        <w:tc>
          <w:tcPr>
            <w:tcW w:w="5450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Tarcica liściasta ogólnego przeznaczenia</w:t>
            </w:r>
          </w:p>
        </w:tc>
      </w:tr>
      <w:tr w:rsidR="00A30710" w:rsidRPr="00A30710" w:rsidTr="00A30710">
        <w:tc>
          <w:tcPr>
            <w:tcW w:w="496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51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PN-H-74219</w:t>
            </w:r>
          </w:p>
        </w:tc>
        <w:tc>
          <w:tcPr>
            <w:tcW w:w="5450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Rury stalowe bez szwu walcowane na gorąco ogólnego stosowania</w:t>
            </w:r>
          </w:p>
        </w:tc>
      </w:tr>
      <w:tr w:rsidR="00A30710" w:rsidRPr="00A30710" w:rsidTr="00A30710">
        <w:tc>
          <w:tcPr>
            <w:tcW w:w="496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51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PN-H-74220</w:t>
            </w:r>
          </w:p>
        </w:tc>
        <w:tc>
          <w:tcPr>
            <w:tcW w:w="5450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Rury stalowe bez szwu ciągnione i walcowane na zimno ogólnego przeznaczenia</w:t>
            </w:r>
          </w:p>
        </w:tc>
      </w:tr>
      <w:tr w:rsidR="00A30710" w:rsidRPr="00A30710" w:rsidTr="00A30710">
        <w:tc>
          <w:tcPr>
            <w:tcW w:w="496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51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PN-H-93401</w:t>
            </w:r>
          </w:p>
        </w:tc>
        <w:tc>
          <w:tcPr>
            <w:tcW w:w="5450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Stal walcowana. Kątowniki równoramienne</w:t>
            </w:r>
          </w:p>
        </w:tc>
      </w:tr>
      <w:tr w:rsidR="00A30710" w:rsidRPr="00A30710" w:rsidTr="00A30710">
        <w:tc>
          <w:tcPr>
            <w:tcW w:w="496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51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PN-H-93402</w:t>
            </w:r>
          </w:p>
        </w:tc>
        <w:tc>
          <w:tcPr>
            <w:tcW w:w="5450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Kątowniki nierównoramienne stalowe walcowane na gorąco</w:t>
            </w:r>
          </w:p>
        </w:tc>
      </w:tr>
      <w:tr w:rsidR="00A30710" w:rsidRPr="00A30710" w:rsidTr="00A30710">
        <w:tc>
          <w:tcPr>
            <w:tcW w:w="496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51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BN-87/5028-12</w:t>
            </w:r>
          </w:p>
        </w:tc>
        <w:tc>
          <w:tcPr>
            <w:tcW w:w="5450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Gwoździe budowlane. Gwoździe z trzpieniem gładkim, okrągłym i kwadratowym</w:t>
            </w:r>
          </w:p>
        </w:tc>
      </w:tr>
      <w:tr w:rsidR="00A30710" w:rsidRPr="00A30710" w:rsidTr="00A30710">
        <w:tc>
          <w:tcPr>
            <w:tcW w:w="496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51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BN-77/8931-12</w:t>
            </w:r>
          </w:p>
        </w:tc>
        <w:tc>
          <w:tcPr>
            <w:tcW w:w="5450" w:type="dxa"/>
            <w:hideMark/>
          </w:tcPr>
          <w:p w:rsidR="00A30710" w:rsidRPr="00A30710" w:rsidRDefault="00A30710" w:rsidP="00A30710">
            <w:pPr>
              <w:tabs>
                <w:tab w:val="right" w:leader="dot" w:pos="-1985"/>
                <w:tab w:val="left" w:pos="426"/>
                <w:tab w:val="right" w:leader="do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 wskaźnika zagęszczenia gruntu.</w:t>
            </w:r>
          </w:p>
        </w:tc>
      </w:tr>
    </w:tbl>
    <w:p w:rsidR="00A30710" w:rsidRPr="00A30710" w:rsidRDefault="00A30710" w:rsidP="00A3071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710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340080" w:rsidRDefault="00340080"/>
    <w:sectPr w:rsidR="00340080" w:rsidSect="00340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E0EC82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hyphenationZone w:val="425"/>
  <w:characterSpacingControl w:val="doNotCompress"/>
  <w:compat/>
  <w:rsids>
    <w:rsidRoot w:val="00A30710"/>
    <w:rsid w:val="00340080"/>
    <w:rsid w:val="00942F30"/>
    <w:rsid w:val="00A30710"/>
    <w:rsid w:val="00CD4D29"/>
    <w:rsid w:val="00D8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080"/>
  </w:style>
  <w:style w:type="paragraph" w:styleId="Nagwek1">
    <w:name w:val="heading 1"/>
    <w:basedOn w:val="Normalny"/>
    <w:link w:val="Nagwek1Znak"/>
    <w:uiPriority w:val="9"/>
    <w:qFormat/>
    <w:rsid w:val="00A30710"/>
    <w:pPr>
      <w:keepNext/>
      <w:keepLines/>
      <w:suppressAutoHyphens/>
      <w:overflowPunct w:val="0"/>
      <w:autoSpaceDE w:val="0"/>
      <w:autoSpaceDN w:val="0"/>
      <w:adjustRightInd w:val="0"/>
      <w:spacing w:before="240" w:after="12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30710"/>
    <w:pPr>
      <w:keepNext/>
      <w:overflowPunct w:val="0"/>
      <w:autoSpaceDE w:val="0"/>
      <w:autoSpaceDN w:val="0"/>
      <w:adjustRightInd w:val="0"/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710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071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3071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A3071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307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A3071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tekst">
    <w:name w:val="Standardowy.tekst"/>
    <w:rsid w:val="00A3071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22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:\SPECYFIKACJE%20TECHNICZNE%20-%20aktualne%2028.06.2012%20r\Drogowe%20inwestycyjne%20-%20wersja%202.20\ost\Przygotowawcze\d010000.htm" TargetMode="External"/><Relationship Id="rId13" Type="http://schemas.openxmlformats.org/officeDocument/2006/relationships/hyperlink" Target="file:///U:\SPECYFIKACJE%20TECHNICZNE%20-%20aktualne%2028.06.2012%20r\Drogowe%20inwestycyjne%20-%20wersja%202.20\ost\Przygotowawcze\d010000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U:\SPECYFIKACJE%20TECHNICZNE%20-%20aktualne%2028.06.2012%20r\Drogowe%20inwestycyjne%20-%20wersja%202.20\ost\Przygotowawcze\d010000.htm" TargetMode="External"/><Relationship Id="rId12" Type="http://schemas.openxmlformats.org/officeDocument/2006/relationships/hyperlink" Target="file:///U:\SPECYFIKACJE%20TECHNICZNE%20-%20aktualne%2028.06.2012%20r\Drogowe%20inwestycyjne%20-%20wersja%202.20\ost\Przygotowawcze\d010000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U:\SPECYFIKACJE%20TECHNICZNE%20-%20aktualne%2028.06.2012%20r\Drogowe%20inwestycyjne%20-%20wersja%202.20\ost\Przygotowawcze\d010000.htm" TargetMode="External"/><Relationship Id="rId11" Type="http://schemas.openxmlformats.org/officeDocument/2006/relationships/hyperlink" Target="file:///U:\SPECYFIKACJE%20TECHNICZNE%20-%20aktualne%2028.06.2012%20r\Drogowe%20inwestycyjne%20-%20wersja%202.20\ost\Przygotowawcze\d010000.htm" TargetMode="External"/><Relationship Id="rId5" Type="http://schemas.openxmlformats.org/officeDocument/2006/relationships/hyperlink" Target="file:///U:\SPECYFIKACJE%20TECHNICZNE%20-%20aktualne%2028.06.2012%20r\Drogowe%20inwestycyjne%20-%20wersja%202.20\ost\Przygotowawcze\d010000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U:\SPECYFIKACJE%20TECHNICZNE%20-%20aktualne%2028.06.2012%20r\Drogowe%20inwestycyjne%20-%20wersja%202.20\ost\Przygotowawcze\d01000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U:\SPECYFIKACJE%20TECHNICZNE%20-%20aktualne%2028.06.2012%20r\Drogowe%20inwestycyjne%20-%20wersja%202.20\ost\Przygotowawcze\d010000.htm" TargetMode="External"/><Relationship Id="rId14" Type="http://schemas.openxmlformats.org/officeDocument/2006/relationships/hyperlink" Target="file:///U:\SPECYFIKACJE%20TECHNICZNE%20-%20aktualne%2028.06.2012%20r\Drogowe%20inwestycyjne%20-%20wersja%202.20\ost\Przygotowawcze\d010000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1916</Words>
  <Characters>11501</Characters>
  <Application>Microsoft Office Word</Application>
  <DocSecurity>0</DocSecurity>
  <Lines>95</Lines>
  <Paragraphs>26</Paragraphs>
  <ScaleCrop>false</ScaleCrop>
  <Company>GDDKiA Oddział w Zielonej Górze</Company>
  <LinksUpToDate>false</LinksUpToDate>
  <CharactersWithSpaces>13391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jagasyk</dc:creator>
  <cp:keywords/>
  <dc:description/>
  <cp:lastModifiedBy>irmina jagasyk</cp:lastModifiedBy>
  <cp:revision>1</cp:revision>
  <dcterms:created xsi:type="dcterms:W3CDTF">2012-07-06T10:33:00Z</dcterms:created>
  <dcterms:modified xsi:type="dcterms:W3CDTF">2012-07-06T10:33:00Z</dcterms:modified>
</cp:coreProperties>
</file>