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2E434D60" w14:textId="76D658DD" w:rsidR="00202697" w:rsidRDefault="00202697" w:rsidP="00202697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FA174D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E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REFUNDACYJNE NR 7</w:t>
      </w:r>
      <w:r w:rsidR="00FA0EA2"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FA0EA2">
        <w:rPr>
          <w:rFonts w:ascii="Lato" w:hAnsi="Lato"/>
          <w:b/>
          <w:bCs/>
          <w:color w:val="00B0F0"/>
          <w:sz w:val="36"/>
          <w:szCs w:val="36"/>
          <w:u w:val="single"/>
        </w:rPr>
        <w:t>PAŹDZIERNIKA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2024 r.)</w:t>
      </w:r>
    </w:p>
    <w:p w14:paraId="07AC6EDD" w14:textId="793FE318" w:rsidR="00FA174D" w:rsidRPr="00BB76F6" w:rsidRDefault="00FA174D" w:rsidP="00FA174D">
      <w:pPr>
        <w:spacing w:after="120" w:line="276" w:lineRule="auto"/>
        <w:jc w:val="both"/>
        <w:rPr>
          <w:rFonts w:ascii="Lato" w:hAnsi="Lato"/>
        </w:rPr>
      </w:pPr>
      <w:r w:rsidRPr="00BB76F6">
        <w:rPr>
          <w:rFonts w:ascii="Lato" w:hAnsi="Lato"/>
        </w:rPr>
        <w:t xml:space="preserve">W </w:t>
      </w:r>
      <w:r>
        <w:rPr>
          <w:rFonts w:ascii="Lato" w:hAnsi="Lato"/>
        </w:rPr>
        <w:t>czwartym</w:t>
      </w:r>
      <w:r w:rsidRPr="00BB76F6">
        <w:rPr>
          <w:rFonts w:ascii="Lato" w:hAnsi="Lato"/>
        </w:rPr>
        <w:t xml:space="preserve"> wykazie </w:t>
      </w:r>
      <w:r>
        <w:rPr>
          <w:rFonts w:ascii="Lato" w:hAnsi="Lato"/>
        </w:rPr>
        <w:t>opublikowanym</w:t>
      </w:r>
      <w:r w:rsidRPr="00BB76F6">
        <w:rPr>
          <w:rFonts w:ascii="Lato" w:hAnsi="Lato"/>
        </w:rPr>
        <w:t xml:space="preserve"> w roku 2024, finansowaniem ze środków publicznych zostało objętych </w:t>
      </w:r>
      <w:r>
        <w:rPr>
          <w:rFonts w:ascii="Lato" w:hAnsi="Lato"/>
          <w:b/>
          <w:bCs/>
        </w:rPr>
        <w:t>52</w:t>
      </w:r>
      <w:r w:rsidRPr="00BB76F6">
        <w:rPr>
          <w:rFonts w:ascii="Lato" w:hAnsi="Lato"/>
          <w:b/>
          <w:bCs/>
        </w:rPr>
        <w:t xml:space="preserve"> nowych </w:t>
      </w:r>
      <w:r w:rsidRPr="00BB76F6">
        <w:rPr>
          <w:rFonts w:ascii="Lato" w:hAnsi="Lato"/>
          <w:b/>
          <w:bCs/>
        </w:rPr>
        <w:br/>
        <w:t>cząsteczko – wskazań</w:t>
      </w:r>
      <w:r w:rsidRPr="00BB76F6">
        <w:rPr>
          <w:rFonts w:ascii="Lato" w:hAnsi="Lato"/>
        </w:rPr>
        <w:t>, w tym:</w:t>
      </w:r>
    </w:p>
    <w:p w14:paraId="53722B00" w14:textId="77777777" w:rsidR="00FA174D" w:rsidRPr="00111FD4" w:rsidRDefault="00FA174D" w:rsidP="00FA174D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11FD4">
        <w:rPr>
          <w:rFonts w:ascii="Lato" w:hAnsi="Lato"/>
        </w:rPr>
        <w:t>13 cząsteczko – wskazań onkologicznych,</w:t>
      </w:r>
    </w:p>
    <w:p w14:paraId="5DE86E7F" w14:textId="77777777" w:rsidR="00FA174D" w:rsidRPr="00111FD4" w:rsidRDefault="00FA174D" w:rsidP="00FA174D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11FD4">
        <w:rPr>
          <w:rFonts w:ascii="Lato" w:hAnsi="Lato"/>
        </w:rPr>
        <w:t>39 cząsteczko - wskazań nieonkologicznych,</w:t>
      </w:r>
    </w:p>
    <w:p w14:paraId="38E3F3A0" w14:textId="77777777" w:rsidR="00FA174D" w:rsidRPr="00111FD4" w:rsidRDefault="00FA174D" w:rsidP="00FA174D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11FD4">
        <w:rPr>
          <w:rFonts w:ascii="Lato" w:hAnsi="Lato"/>
        </w:rPr>
        <w:t>12 cząsteczko - wskazań dedykowanych chorobom rzadkim.</w:t>
      </w:r>
    </w:p>
    <w:p w14:paraId="47FD5DC3" w14:textId="06C31AB1" w:rsidR="00FA174D" w:rsidRPr="00BB76F6" w:rsidRDefault="00FA174D" w:rsidP="00FA174D">
      <w:pPr>
        <w:spacing w:line="276" w:lineRule="auto"/>
        <w:jc w:val="both"/>
        <w:rPr>
          <w:rFonts w:ascii="Lato" w:hAnsi="Lato"/>
          <w:color w:val="000000" w:themeColor="text1"/>
        </w:rPr>
      </w:pPr>
      <w:r w:rsidRPr="00BB76F6">
        <w:rPr>
          <w:rFonts w:ascii="Lato" w:hAnsi="Lato"/>
          <w:color w:val="000000" w:themeColor="text1"/>
        </w:rPr>
        <w:t xml:space="preserve">Obwieszczenie refundacyjne obowiązujące od 1 </w:t>
      </w:r>
      <w:r>
        <w:rPr>
          <w:rFonts w:ascii="Lato" w:hAnsi="Lato"/>
          <w:color w:val="000000" w:themeColor="text1"/>
        </w:rPr>
        <w:t>października</w:t>
      </w:r>
      <w:r w:rsidRPr="00BB76F6">
        <w:rPr>
          <w:rFonts w:ascii="Lato" w:hAnsi="Lato"/>
          <w:color w:val="000000" w:themeColor="text1"/>
        </w:rPr>
        <w:t xml:space="preserve"> 2024 r. (nr 7</w:t>
      </w:r>
      <w:r>
        <w:rPr>
          <w:rFonts w:ascii="Lato" w:hAnsi="Lato"/>
          <w:color w:val="000000" w:themeColor="text1"/>
        </w:rPr>
        <w:t>6</w:t>
      </w:r>
      <w:r w:rsidRPr="00BB76F6">
        <w:rPr>
          <w:rFonts w:ascii="Lato" w:hAnsi="Lato"/>
          <w:color w:val="000000" w:themeColor="text1"/>
        </w:rPr>
        <w:t>), w porównaniu do obwieszczenia 7</w:t>
      </w:r>
      <w:r>
        <w:rPr>
          <w:rFonts w:ascii="Lato" w:hAnsi="Lato"/>
          <w:color w:val="000000" w:themeColor="text1"/>
        </w:rPr>
        <w:t>5</w:t>
      </w:r>
      <w:r w:rsidRPr="00BB76F6">
        <w:rPr>
          <w:rFonts w:ascii="Lato" w:hAnsi="Lato"/>
          <w:color w:val="000000" w:themeColor="text1"/>
        </w:rPr>
        <w:t xml:space="preserve"> zawiera następujące zmiany:</w:t>
      </w:r>
    </w:p>
    <w:p w14:paraId="5E02E604" w14:textId="79487A3B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 xml:space="preserve">W związku z wydaniem pozytywnych decyzji o objęciu refundacją ogółem do wykazu zostało dodanych </w:t>
      </w:r>
      <w:r w:rsidR="00E57CCC" w:rsidRPr="00E57CCC">
        <w:rPr>
          <w:rFonts w:ascii="Lato" w:hAnsi="Lato"/>
        </w:rPr>
        <w:t>100</w:t>
      </w:r>
      <w:r w:rsidRPr="00E57CCC">
        <w:rPr>
          <w:rFonts w:ascii="Lato" w:hAnsi="Lato"/>
        </w:rPr>
        <w:t xml:space="preserve"> produktów bądź nowych wskazań.</w:t>
      </w:r>
    </w:p>
    <w:p w14:paraId="303F2209" w14:textId="251AE8F4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>Dla 1</w:t>
      </w:r>
      <w:r w:rsidR="00E57CCC" w:rsidRPr="00E57CCC">
        <w:rPr>
          <w:rFonts w:ascii="Lato" w:hAnsi="Lato"/>
        </w:rPr>
        <w:t>23</w:t>
      </w:r>
      <w:r w:rsidRPr="00E57CCC">
        <w:rPr>
          <w:rFonts w:ascii="Lato" w:hAnsi="Lato"/>
        </w:rPr>
        <w:t xml:space="preserve"> produktów wprowadzono obniżki cen zbytu netto (od 0,01 zł do </w:t>
      </w:r>
      <w:r w:rsidR="00E57CCC" w:rsidRPr="00E57CCC">
        <w:rPr>
          <w:rFonts w:ascii="Lato" w:hAnsi="Lato"/>
        </w:rPr>
        <w:t>350 000</w:t>
      </w:r>
      <w:r w:rsidRPr="00E57CCC">
        <w:rPr>
          <w:rFonts w:ascii="Lato" w:hAnsi="Lato"/>
        </w:rPr>
        <w:t>,00 zł).</w:t>
      </w:r>
    </w:p>
    <w:p w14:paraId="01099368" w14:textId="51836AEF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>Dla 1</w:t>
      </w:r>
      <w:r w:rsidR="00E57CCC" w:rsidRPr="00E57CCC">
        <w:rPr>
          <w:rFonts w:ascii="Lato" w:hAnsi="Lato"/>
        </w:rPr>
        <w:t>2</w:t>
      </w:r>
      <w:r w:rsidRPr="00E57CCC">
        <w:rPr>
          <w:rFonts w:ascii="Lato" w:hAnsi="Lato"/>
        </w:rPr>
        <w:t xml:space="preserve"> produktów podwyższono ceny zbytu netto (od 0,</w:t>
      </w:r>
      <w:r w:rsidR="00E57CCC" w:rsidRPr="00E57CCC">
        <w:rPr>
          <w:rFonts w:ascii="Lato" w:hAnsi="Lato"/>
        </w:rPr>
        <w:t>90</w:t>
      </w:r>
      <w:r w:rsidRPr="00E57CCC">
        <w:rPr>
          <w:rFonts w:ascii="Lato" w:hAnsi="Lato"/>
        </w:rPr>
        <w:t xml:space="preserve"> zł do </w:t>
      </w:r>
      <w:r w:rsidR="00E57CCC" w:rsidRPr="00E57CCC">
        <w:rPr>
          <w:rFonts w:ascii="Lato" w:hAnsi="Lato"/>
        </w:rPr>
        <w:t>410</w:t>
      </w:r>
      <w:r w:rsidRPr="00E57CCC">
        <w:rPr>
          <w:rFonts w:ascii="Lato" w:hAnsi="Lato"/>
        </w:rPr>
        <w:t>,00 zł).</w:t>
      </w:r>
    </w:p>
    <w:p w14:paraId="6768B1FA" w14:textId="7914FDDA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>Dla 4</w:t>
      </w:r>
      <w:r w:rsidR="00E57CCC" w:rsidRPr="00E57CCC">
        <w:rPr>
          <w:rFonts w:ascii="Lato" w:hAnsi="Lato"/>
        </w:rPr>
        <w:t>10</w:t>
      </w:r>
      <w:r w:rsidRPr="00E57CCC">
        <w:rPr>
          <w:rFonts w:ascii="Lato" w:hAnsi="Lato"/>
        </w:rPr>
        <w:t xml:space="preserve"> pozycji w obwieszczeniu spadnie dopłata pacjenta (od 0,01 zł do </w:t>
      </w:r>
      <w:r w:rsidR="00E57CCC" w:rsidRPr="00E57CCC">
        <w:rPr>
          <w:rFonts w:ascii="Lato" w:hAnsi="Lato"/>
        </w:rPr>
        <w:t>456,63</w:t>
      </w:r>
      <w:r w:rsidRPr="00E57CCC">
        <w:rPr>
          <w:rFonts w:ascii="Lato" w:hAnsi="Lato"/>
        </w:rPr>
        <w:t xml:space="preserve"> zł).</w:t>
      </w:r>
    </w:p>
    <w:p w14:paraId="3680C2AD" w14:textId="0D68AD81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 xml:space="preserve">Dla </w:t>
      </w:r>
      <w:r w:rsidR="00E57CCC" w:rsidRPr="00E57CCC">
        <w:rPr>
          <w:rFonts w:ascii="Lato" w:hAnsi="Lato"/>
        </w:rPr>
        <w:t>134</w:t>
      </w:r>
      <w:r w:rsidRPr="00E57CCC">
        <w:rPr>
          <w:rFonts w:ascii="Lato" w:hAnsi="Lato"/>
        </w:rPr>
        <w:t xml:space="preserve"> pozycji w obwieszczeniu wzrośnie dopłata pacjenta (od 0,01 zł do </w:t>
      </w:r>
      <w:r w:rsidR="00E57CCC" w:rsidRPr="00E57CCC">
        <w:rPr>
          <w:rFonts w:ascii="Lato" w:hAnsi="Lato"/>
        </w:rPr>
        <w:t>198,04</w:t>
      </w:r>
      <w:r w:rsidRPr="00E57CCC">
        <w:rPr>
          <w:rFonts w:ascii="Lato" w:hAnsi="Lato"/>
        </w:rPr>
        <w:t xml:space="preserve"> zł).</w:t>
      </w:r>
    </w:p>
    <w:p w14:paraId="04B939A6" w14:textId="1A370FB7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 xml:space="preserve">Dla </w:t>
      </w:r>
      <w:r w:rsidR="00E57CCC" w:rsidRPr="00E57CCC">
        <w:rPr>
          <w:rFonts w:ascii="Lato" w:hAnsi="Lato"/>
        </w:rPr>
        <w:t>275</w:t>
      </w:r>
      <w:r w:rsidRPr="00E57CCC">
        <w:rPr>
          <w:rFonts w:ascii="Lato" w:hAnsi="Lato"/>
        </w:rPr>
        <w:t xml:space="preserve"> produktów ulegną obniżeniu ceny detaliczne brutto (od 0,01 zł do </w:t>
      </w:r>
      <w:r w:rsidR="00E57CCC" w:rsidRPr="00E57CCC">
        <w:rPr>
          <w:rFonts w:ascii="Lato" w:hAnsi="Lato"/>
        </w:rPr>
        <w:t>192,28</w:t>
      </w:r>
      <w:r w:rsidRPr="00E57CCC">
        <w:rPr>
          <w:rFonts w:ascii="Lato" w:hAnsi="Lato"/>
        </w:rPr>
        <w:t xml:space="preserve"> zł).</w:t>
      </w:r>
    </w:p>
    <w:p w14:paraId="50E53DC4" w14:textId="0DC8D2F2" w:rsidR="00FA174D" w:rsidRPr="00E57CCC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 xml:space="preserve">Dla </w:t>
      </w:r>
      <w:r w:rsidR="00E57CCC" w:rsidRPr="00E57CCC">
        <w:rPr>
          <w:rFonts w:ascii="Lato" w:hAnsi="Lato"/>
        </w:rPr>
        <w:t>340</w:t>
      </w:r>
      <w:r w:rsidRPr="00E57CCC">
        <w:rPr>
          <w:rFonts w:ascii="Lato" w:hAnsi="Lato"/>
        </w:rPr>
        <w:t xml:space="preserve"> produktów wzrosną ceny detaliczne brutto (od 0,01 zł do </w:t>
      </w:r>
      <w:r w:rsidR="00E57CCC" w:rsidRPr="00E57CCC">
        <w:rPr>
          <w:rFonts w:ascii="Lato" w:hAnsi="Lato"/>
        </w:rPr>
        <w:t>21,16</w:t>
      </w:r>
      <w:r w:rsidRPr="00E57CCC">
        <w:rPr>
          <w:rFonts w:ascii="Lato" w:hAnsi="Lato"/>
        </w:rPr>
        <w:t xml:space="preserve"> zł).</w:t>
      </w:r>
    </w:p>
    <w:p w14:paraId="6B466A0C" w14:textId="55BC7D22" w:rsidR="004D093B" w:rsidRPr="00FA174D" w:rsidRDefault="00FA174D" w:rsidP="00FA174D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E57CCC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E57CCC" w:rsidRPr="00E57CCC">
        <w:rPr>
          <w:rFonts w:ascii="Lato" w:hAnsi="Lato"/>
        </w:rPr>
        <w:t>66</w:t>
      </w:r>
      <w:r w:rsidRPr="00E57CCC">
        <w:rPr>
          <w:rFonts w:ascii="Lato" w:hAnsi="Lato"/>
        </w:rPr>
        <w:t xml:space="preserve"> produktów bądź wskazań figurujących w poprzednim obwieszczeniu.</w:t>
      </w:r>
      <w:r w:rsidR="004D093B" w:rsidRPr="00FA174D">
        <w:rPr>
          <w:rFonts w:ascii="Lato" w:hAnsi="Lato"/>
          <w:sz w:val="24"/>
          <w:szCs w:val="24"/>
        </w:rPr>
        <w:br w:type="page"/>
      </w:r>
    </w:p>
    <w:p w14:paraId="4629DA16" w14:textId="5E217471" w:rsidR="00111FD4" w:rsidRPr="00120C1F" w:rsidRDefault="00111FD4">
      <w:pPr>
        <w:suppressAutoHyphens w:val="0"/>
        <w:rPr>
          <w:rFonts w:ascii="Lato" w:hAnsi="Lato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96CEA2C" wp14:editId="75913169">
            <wp:extent cx="4425950" cy="2830830"/>
            <wp:effectExtent l="0" t="0" r="12700" b="7620"/>
            <wp:docPr id="76661893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5EA6F4F" wp14:editId="7E2EC9FC">
            <wp:extent cx="4413250" cy="2832100"/>
            <wp:effectExtent l="0" t="0" r="6350" b="6350"/>
            <wp:docPr id="193305492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E7C447" w14:textId="04958A35" w:rsidR="00127452" w:rsidRPr="00120C1F" w:rsidRDefault="00111FD4">
      <w:pPr>
        <w:suppressAutoHyphens w:val="0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7AEA74F" wp14:editId="1CD29CFD">
            <wp:extent cx="4419600" cy="2800350"/>
            <wp:effectExtent l="0" t="0" r="0" b="0"/>
            <wp:docPr id="206951684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B75B200" wp14:editId="07379462">
            <wp:extent cx="4436348" cy="2800350"/>
            <wp:effectExtent l="0" t="0" r="2540" b="0"/>
            <wp:docPr id="123795411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328"/>
        <w:gridCol w:w="1661"/>
        <w:gridCol w:w="1867"/>
        <w:gridCol w:w="3742"/>
        <w:gridCol w:w="4927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8378F3" w:rsidRPr="004D093B" w14:paraId="60CDF2D4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8378F3" w:rsidRPr="004D093B" w14:paraId="7B60364B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2AAEEAC0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0DAEB298" w:rsidR="00F81D5E" w:rsidRPr="008378F3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378F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02062479" w:rsidR="00F81D5E" w:rsidRPr="008378F3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8378F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40B1F2B9" w:rsidR="00F81D5E" w:rsidRPr="008378F3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>B.5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05B988F7" w:rsidR="00F81D5E" w:rsidRPr="008378F3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6CDD" w14:textId="3526651E" w:rsidR="00F81D5E" w:rsidRPr="008378F3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6120D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pierwszej linii </w:t>
            </w:r>
            <w:proofErr w:type="spellStart"/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>durwalumabem</w:t>
            </w:r>
            <w:proofErr w:type="spellEnd"/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(w skojarzaniu w chemioterapią opartą na związkach platyny i </w:t>
            </w:r>
            <w:proofErr w:type="spellStart"/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>gemcytabinie</w:t>
            </w:r>
            <w:proofErr w:type="spellEnd"/>
            <w:r w:rsidRPr="008378F3">
              <w:rPr>
                <w:rFonts w:ascii="Lato" w:hAnsi="Lato" w:cstheme="majorHAnsi"/>
                <w:color w:val="000000"/>
                <w:sz w:val="18"/>
                <w:szCs w:val="18"/>
              </w:rPr>
              <w:t>) pacjentów z miejscowo zaawansowanym lub przerzutowym gruczolakorakiem dróg żółciowych</w:t>
            </w:r>
            <w:r w:rsidR="006120D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55871" w:rsidRPr="004D093B" w14:paraId="40A1F816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B603" w14:textId="0A4D49C1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74BE" w14:textId="5E4CB1CB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17E0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Columvi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8D30" w14:textId="3F4D90DD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17E0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glofitamab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676B" w14:textId="1DBB3924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CD1" w14:textId="61028F44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D13DE" w14:textId="575D7748" w:rsidR="00855871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od III linii dorosłych chorych na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rozlanego z dużych komórek B (DLBCL)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glofitamabem</w:t>
            </w:r>
            <w:proofErr w:type="spellEnd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po wcześniejszym zastosowaniu co najmniej 2 linii leczenia układowego</w:t>
            </w:r>
            <w:r w:rsidR="006120D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5D39258" w14:textId="19EFFBAD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F17E0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55871" w:rsidRPr="004D093B" w14:paraId="3DE5B4CF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5CF3" w14:textId="45AB8CCB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B06A" w14:textId="2696CF07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Tepkinly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7C00E" w14:textId="0290F558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epkorytamab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FA224" w14:textId="0E20F47C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1CBE" w14:textId="0C7777B9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AFFD" w14:textId="7CC97369" w:rsidR="00855871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od III linii dorosłych chorych na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rozlanego z dużych komórek B (DL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BCL)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epkorytamabem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wcześniejszym zastosowaniu co najmniej 2 linii leczenia ogólnoustrojowego, w tym leczenia zawierającego przeciwciało anty-CD20, z przeciwwskazaniami do HSCT lub po niepowodzeniu </w:t>
            </w:r>
            <w:proofErr w:type="spellStart"/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autoHSCT</w:t>
            </w:r>
            <w:proofErr w:type="spellEnd"/>
            <w:r w:rsidR="006120D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FC75A73" w14:textId="367E4584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F17E0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55871" w:rsidRPr="004D093B" w14:paraId="6031CFE4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3DE" w14:textId="31EA42E7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26E7" w14:textId="253DB32B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Yescarta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6466" w14:textId="4B0F46C5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r w:rsidRPr="00F17E0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ksykabtagen</w:t>
            </w:r>
            <w:proofErr w:type="spellEnd"/>
            <w:r w:rsidRPr="00F17E0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7E0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cyloleucel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9A041" w14:textId="241ADEB7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B98D" w14:textId="5E38AE20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72846" w14:textId="58C0F024" w:rsidR="00855871" w:rsidRDefault="006120D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II linii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proofErr w:type="spellStart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rozlanego z dużych komórek B (DL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BCL), w tym </w:t>
            </w:r>
            <w:proofErr w:type="spellStart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stransformowanego</w:t>
            </w:r>
            <w:proofErr w:type="spellEnd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DLBCL </w:t>
            </w:r>
            <w:proofErr w:type="spellStart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grudkowego (TFL) oraz </w:t>
            </w:r>
            <w:proofErr w:type="spellStart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komórek B o wysokim stopniu złośliwości (HGBCL) </w:t>
            </w:r>
            <w:proofErr w:type="spellStart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aksykabtagenem</w:t>
            </w:r>
            <w:proofErr w:type="spellEnd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cyloleucelu</w:t>
            </w:r>
            <w:proofErr w:type="spellEnd"/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(terapia CAR-T), z nawrotem choroby w ciągu 12 miesięcy od 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zakończenia </w:t>
            </w:r>
            <w:proofErr w:type="spellStart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immunochemioterapii</w:t>
            </w:r>
            <w:proofErr w:type="spellEnd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lub 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chorob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oporn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proofErr w:type="spellStart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immunochemioterapię</w:t>
            </w:r>
            <w:proofErr w:type="spellEnd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linii, kwalifikujących się do </w:t>
            </w:r>
            <w:proofErr w:type="spellStart"/>
            <w:r w:rsidR="00855871" w:rsidRPr="00F17E04">
              <w:rPr>
                <w:rFonts w:ascii="Lato" w:hAnsi="Lato" w:cstheme="majorHAnsi"/>
                <w:color w:val="000000"/>
                <w:sz w:val="18"/>
                <w:szCs w:val="18"/>
              </w:rPr>
              <w:t>autoHSCT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69C2B30" w14:textId="21C0DD79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031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55871" w:rsidRPr="004D093B" w14:paraId="4AA6E0FA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E5C8" w14:textId="6513BB2D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0E83" w14:textId="7EFD2ED7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Tecvayli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7DCC" w14:textId="51FADDAC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teklistamab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DC84" w14:textId="2016FB29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B.54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392E3" w14:textId="3F7CEB20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70575E">
              <w:rPr>
                <w:rFonts w:ascii="Lato" w:hAnsi="Lato" w:cstheme="majorHAnsi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7805" w14:textId="5E40947B" w:rsidR="00855871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od IV linii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teklistamabem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monoterapii</w:t>
            </w:r>
            <w:proofErr w:type="spellEnd"/>
            <w:r w:rsidRPr="00391809">
              <w:rPr>
                <w:rFonts w:ascii="Lato" w:hAnsi="Lato" w:cstheme="majorHAnsi"/>
                <w:sz w:val="18"/>
                <w:szCs w:val="18"/>
              </w:rPr>
              <w:t xml:space="preserve"> dorosłych chorych na szpiczaka plazmocytowego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r w:rsidRPr="00391809">
              <w:rPr>
                <w:rFonts w:ascii="Lato" w:hAnsi="Lato" w:cstheme="majorHAnsi"/>
                <w:sz w:val="18"/>
                <w:szCs w:val="18"/>
              </w:rPr>
              <w:t xml:space="preserve">u których stosowano uprzednio co najmniej trzy linie leczenia szpiczaka plazmocytowego, w tym zawierające lek immunomodulujący, inhibitor </w:t>
            </w:r>
            <w:proofErr w:type="spellStart"/>
            <w:r w:rsidRPr="00391809">
              <w:rPr>
                <w:rFonts w:ascii="Lato" w:hAnsi="Lato" w:cstheme="majorHAnsi"/>
                <w:sz w:val="18"/>
                <w:szCs w:val="18"/>
              </w:rPr>
              <w:t>proteasomu</w:t>
            </w:r>
            <w:proofErr w:type="spellEnd"/>
            <w:r w:rsidRPr="00391809">
              <w:rPr>
                <w:rFonts w:ascii="Lato" w:hAnsi="Lato" w:cstheme="majorHAnsi"/>
                <w:sz w:val="18"/>
                <w:szCs w:val="18"/>
              </w:rPr>
              <w:t xml:space="preserve"> oraz przeciwciało anty-CD38</w:t>
            </w:r>
            <w:r w:rsidR="006120D3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4016EDA0" w14:textId="2144327B" w:rsidR="00855871" w:rsidRPr="00526509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D031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378F3" w:rsidRPr="004D093B" w14:paraId="4193F70D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17C497E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5E16BC1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3EFB9C8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5EB7125C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3048320F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5CB52CBC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czerniaka skóry lub błon śluzowych w stadium IIB i IIC.</w:t>
            </w:r>
          </w:p>
        </w:tc>
      </w:tr>
      <w:tr w:rsidR="008378F3" w:rsidRPr="004D093B" w14:paraId="34137848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603AC972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58AED8B0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Tecartus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46BBC51C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</w:t>
            </w:r>
            <w:r w:rsidRPr="00AA33CF">
              <w:rPr>
                <w:rFonts w:ascii="Lato" w:hAnsi="Lato" w:cstheme="majorHAnsi"/>
                <w:i/>
                <w:iCs/>
                <w:sz w:val="18"/>
                <w:szCs w:val="18"/>
              </w:rPr>
              <w:t>reksukabtagen</w:t>
            </w:r>
            <w:proofErr w:type="spellEnd"/>
            <w:r w:rsidRPr="00AA33CF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A33CF">
              <w:rPr>
                <w:rFonts w:ascii="Lato" w:hAnsi="Lato" w:cstheme="majorHAnsi"/>
                <w:i/>
                <w:iCs/>
                <w:sz w:val="18"/>
                <w:szCs w:val="18"/>
              </w:rPr>
              <w:t>autoleucel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2C858F9A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B.65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3654FAE0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46170">
              <w:rPr>
                <w:rFonts w:ascii="Lato" w:hAnsi="Lato" w:cstheme="majorHAnsi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00CE" w14:textId="17B6E374" w:rsidR="00855871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646170">
              <w:rPr>
                <w:rFonts w:ascii="Lato" w:hAnsi="Lato" w:cstheme="majorHAnsi"/>
                <w:sz w:val="18"/>
                <w:szCs w:val="18"/>
              </w:rPr>
              <w:t xml:space="preserve">Leczenie pacjentów w wieku 26 lat i powyżej chorych na oporną lub nawrotową ostrą białaczkę </w:t>
            </w:r>
            <w:proofErr w:type="spellStart"/>
            <w:r w:rsidRPr="00646170">
              <w:rPr>
                <w:rFonts w:ascii="Lato" w:hAnsi="Lato" w:cstheme="majorHAnsi"/>
                <w:sz w:val="18"/>
                <w:szCs w:val="18"/>
              </w:rPr>
              <w:t>limfoblastyczną</w:t>
            </w:r>
            <w:proofErr w:type="spellEnd"/>
            <w:r w:rsidRPr="00646170">
              <w:rPr>
                <w:rFonts w:ascii="Lato" w:hAnsi="Lato" w:cstheme="majorHAnsi"/>
                <w:sz w:val="18"/>
                <w:szCs w:val="18"/>
              </w:rPr>
              <w:t xml:space="preserve"> z komórek B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breksukabtagenem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autoleucelu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(terapia CAR-T)</w:t>
            </w:r>
            <w:r w:rsidR="006120D3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75074C9F" w14:textId="5690905D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031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Pr="00E2139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</w:t>
            </w:r>
            <w:r w:rsidRPr="004D031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adka)</w:t>
            </w:r>
          </w:p>
        </w:tc>
      </w:tr>
      <w:tr w:rsidR="00855871" w:rsidRPr="004D093B" w14:paraId="1458A69A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5F20" w14:textId="53C91E98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241E" w14:textId="02FF1C1A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Adcetris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7667" w14:textId="0FE5BC88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brentuksymab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vedotin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2FA6" w14:textId="7B7E71E4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B.77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D22A" w14:textId="75292B74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37B8A">
              <w:rPr>
                <w:rFonts w:ascii="Lato" w:hAnsi="Lato" w:cstheme="majorHAnsi"/>
                <w:sz w:val="18"/>
                <w:szCs w:val="18"/>
              </w:rPr>
              <w:t>LECZENIE CHORYCH NA KLASYCZNEGO CHŁONIAKA HODGKINA (ICD-10: C81)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D5CD" w14:textId="04324612" w:rsidR="00855871" w:rsidRDefault="002E6BA8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brentuksymabem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vedotin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doksorubicyną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winblastyną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dakarbazyną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(AVD) </w:t>
            </w:r>
            <w:r w:rsidR="008558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</w:t>
            </w:r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na klasycznego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="00855871" w:rsidRPr="00E2139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III stadium zaawansowania</w:t>
            </w:r>
            <w:r w:rsidR="006120D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4296D74" w14:textId="18B7CA7A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139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378F3" w:rsidRPr="004D093B" w14:paraId="79F6918C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65CFE94F" w:rsidR="00855871" w:rsidRPr="004D093B" w:rsidRDefault="008378F3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787C2B4C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E95F4C2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69DBA897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2ADF9B33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5F51AE0B" w:rsidR="00855871" w:rsidRPr="004D093B" w:rsidRDefault="00855871" w:rsidP="0085587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na </w:t>
            </w:r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nawrotowego lub zaawansowanego raka endometrium z obecnoś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cią</w:t>
            </w:r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upośledzenia naprawy nieprawidłowo sparowanych nukleotydów (ang.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mismatch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repair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deficient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wysokiej niestabilności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mikrosatelitarnej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(ang.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microsatellite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instabilityhigh</w:t>
            </w:r>
            <w:proofErr w:type="spellEnd"/>
            <w:r w:rsidRPr="00ED0AE7">
              <w:rPr>
                <w:rFonts w:ascii="Lato" w:hAnsi="Lato" w:cstheme="majorHAnsi"/>
                <w:color w:val="000000"/>
                <w:sz w:val="18"/>
                <w:szCs w:val="18"/>
              </w:rPr>
              <w:t>, MSIH)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378F3" w:rsidRPr="004D093B" w14:paraId="2EAEEA58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32BACB75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31BA1013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0A277FAB" w:rsidR="008378F3" w:rsidRPr="004D093B" w:rsidRDefault="0061137F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doksorubicyn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pegylowanych</w:t>
            </w:r>
            <w:proofErr w:type="spellEnd"/>
            <w:r w:rsidRP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liposomach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1AD99F99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C.22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9CC70CC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C2571">
              <w:rPr>
                <w:rFonts w:ascii="Lato" w:hAnsi="Lato" w:cstheme="majorHAnsi"/>
                <w:color w:val="000000"/>
                <w:sz w:val="18"/>
                <w:szCs w:val="18"/>
              </w:rPr>
              <w:t>DOXORUBICINUM LIPOSOMANUM PEGYLATUM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304E" w14:textId="77777777" w:rsidR="008378F3" w:rsidRDefault="008378F3" w:rsidP="002E6BA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o</w:t>
            </w:r>
            <w:r w:rsidR="002E6BA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6BA8">
              <w:rPr>
                <w:rFonts w:ascii="Lato" w:hAnsi="Lato" w:cstheme="majorHAnsi"/>
                <w:color w:val="000000"/>
                <w:sz w:val="18"/>
                <w:szCs w:val="18"/>
              </w:rPr>
              <w:t>nowotwór</w:t>
            </w:r>
            <w:r w:rsidR="002E6BA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6BA8">
              <w:rPr>
                <w:rFonts w:ascii="Lato" w:hAnsi="Lato" w:cstheme="majorHAnsi"/>
                <w:color w:val="000000"/>
                <w:sz w:val="18"/>
                <w:szCs w:val="18"/>
              </w:rPr>
              <w:t>złośliwy przestrzeni zaotrzewnowej i otrzewnej (C48)</w:t>
            </w:r>
            <w:r w:rsidR="002E6BA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r w:rsidRPr="002E6BA8">
              <w:rPr>
                <w:rFonts w:ascii="Lato" w:hAnsi="Lato" w:cstheme="majorHAnsi"/>
                <w:color w:val="000000"/>
                <w:sz w:val="18"/>
                <w:szCs w:val="18"/>
              </w:rPr>
              <w:t>nowotwór złośliwy innych i nieokreślonych żeńskich narządów płciowych (C57).</w:t>
            </w:r>
          </w:p>
          <w:p w14:paraId="7CDFBEFD" w14:textId="253635A0" w:rsidR="002E6BA8" w:rsidRPr="002E6BA8" w:rsidRDefault="002E6BA8" w:rsidP="002E6BA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Konsekwentne rozszerzenie zakresu refundowanych wskazań w stosunku do zmian warunków refundacji leków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trabektedyną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378F3" w:rsidRPr="004D093B" w14:paraId="189EA4B0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70359CE2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1518A294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3907A901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trabe</w:t>
            </w:r>
            <w:r w:rsid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ktedyna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425E0817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C.93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2C694415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TRABECTEDIN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A7A9" w14:textId="5D65986B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B343B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</w:t>
            </w:r>
            <w:r w:rsidRPr="00FB343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nową populację chorych - </w:t>
            </w:r>
            <w:r w:rsidRPr="00FB343B">
              <w:rPr>
                <w:rFonts w:ascii="Lato" w:hAnsi="Lato"/>
                <w:sz w:val="18"/>
                <w:szCs w:val="18"/>
              </w:rPr>
              <w:t>pacjentk</w:t>
            </w:r>
            <w:r>
              <w:rPr>
                <w:rFonts w:ascii="Lato" w:hAnsi="Lato"/>
                <w:sz w:val="18"/>
                <w:szCs w:val="18"/>
              </w:rPr>
              <w:t>i</w:t>
            </w:r>
            <w:r w:rsidRPr="00FB343B">
              <w:rPr>
                <w:rFonts w:ascii="Lato" w:hAnsi="Lato"/>
                <w:sz w:val="18"/>
                <w:szCs w:val="18"/>
              </w:rPr>
              <w:t xml:space="preserve"> z nawrotowym </w:t>
            </w:r>
            <w:proofErr w:type="spellStart"/>
            <w:r w:rsidRPr="00FB343B">
              <w:rPr>
                <w:rFonts w:ascii="Lato" w:hAnsi="Lato"/>
                <w:sz w:val="18"/>
                <w:szCs w:val="18"/>
              </w:rPr>
              <w:t>platynowrażliwym</w:t>
            </w:r>
            <w:proofErr w:type="spellEnd"/>
            <w:r w:rsidRPr="00FB343B">
              <w:rPr>
                <w:rFonts w:ascii="Lato" w:hAnsi="Lato"/>
                <w:sz w:val="18"/>
                <w:szCs w:val="18"/>
              </w:rPr>
              <w:t xml:space="preserve"> rakiem jajnika, jajowodu lub pierwotnym rakiem otrzewnej, u których jest przeciwskazane zastosowanie schematu zawierającego związek platyny, w skojarzeniu z </w:t>
            </w:r>
            <w:proofErr w:type="spellStart"/>
            <w:r w:rsidRPr="00FB343B">
              <w:rPr>
                <w:rFonts w:ascii="Lato" w:hAnsi="Lato"/>
                <w:sz w:val="18"/>
                <w:szCs w:val="18"/>
              </w:rPr>
              <w:t>pegylowaną</w:t>
            </w:r>
            <w:proofErr w:type="spellEnd"/>
            <w:r w:rsidRPr="00FB343B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FB343B">
              <w:rPr>
                <w:rFonts w:ascii="Lato" w:hAnsi="Lato"/>
                <w:sz w:val="18"/>
                <w:szCs w:val="18"/>
              </w:rPr>
              <w:t>liposomalną</w:t>
            </w:r>
            <w:proofErr w:type="spellEnd"/>
            <w:r w:rsidRPr="00FB343B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FB343B">
              <w:rPr>
                <w:rFonts w:ascii="Lato" w:hAnsi="Lato"/>
                <w:sz w:val="18"/>
                <w:szCs w:val="18"/>
              </w:rPr>
              <w:t>doksorubicyną</w:t>
            </w:r>
            <w:proofErr w:type="spellEnd"/>
            <w:r w:rsidRPr="00FB343B">
              <w:rPr>
                <w:rFonts w:ascii="Lato" w:hAnsi="Lato"/>
                <w:sz w:val="18"/>
                <w:szCs w:val="18"/>
              </w:rPr>
              <w:t xml:space="preserve"> (PLD).</w:t>
            </w:r>
          </w:p>
        </w:tc>
      </w:tr>
      <w:tr w:rsidR="008378F3" w:rsidRPr="004D093B" w14:paraId="1E009573" w14:textId="77777777" w:rsidTr="008378F3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8B68" w14:textId="552BD68B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070C" w14:textId="616942E1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3146" w14:textId="2F2D08B0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lapat</w:t>
            </w:r>
            <w:r w:rsidR="0061137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2311" w14:textId="54CCF49C" w:rsidR="008378F3" w:rsidRPr="003905D7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C.96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3ECF" w14:textId="55D0D7C4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LAPATINIB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D14E" w14:textId="77777777" w:rsidR="0061137F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Lapatynib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stosowany w skojarzeniu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kapecytabiną</w:t>
            </w:r>
            <w:proofErr w:type="spellEnd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trastuzumabem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hormonoterapią, u chorych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na przerzutowego lub miejscowo zawansowanego raka piersi (gdy radykalne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leczenie miejscowe jest nieskuteczne lub niemożliwe do zastosowania)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HER2-dodatniego raka piersi w drugiej lub kolejnej linii leczenia, a w pierwszej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tylko, gdy była stosowana terapia przedoperacyjna lub uzupełniająca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trastuzumabem</w:t>
            </w:r>
            <w:proofErr w:type="spellEnd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czas od jej zakończenia do nawrotu wynosi nie więcej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niż 12 miesięcy lub nawrót wystąpił w jej trakcie.</w:t>
            </w:r>
          </w:p>
          <w:p w14:paraId="61CD59F2" w14:textId="0D4A69D8" w:rsidR="008378F3" w:rsidRPr="0061137F" w:rsidRDefault="008378F3" w:rsidP="0061137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Powyższ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 wskazanie jest rozszerzeniem wskazań refundacyjnych o nową możliwość terapeutyczną zastosowania </w:t>
            </w:r>
            <w:proofErr w:type="spellStart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lapatynibu</w:t>
            </w:r>
            <w:proofErr w:type="spellEnd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przypadków skojarzenia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go z </w:t>
            </w:r>
            <w:proofErr w:type="spellStart"/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trastuzumabem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i.v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hormonoterapią, a także w dalszych liniach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03046">
              <w:rPr>
                <w:rFonts w:ascii="Lato" w:hAnsi="Lato" w:cstheme="majorHAnsi"/>
                <w:color w:val="000000"/>
                <w:sz w:val="18"/>
                <w:szCs w:val="18"/>
              </w:rPr>
              <w:t>leczenia.</w:t>
            </w:r>
          </w:p>
        </w:tc>
      </w:tr>
    </w:tbl>
    <w:p w14:paraId="7F9CCF36" w14:textId="51B74B46" w:rsidR="004D093B" w:rsidRDefault="004D093B"/>
    <w:p w14:paraId="7FCF9A29" w14:textId="58935542" w:rsidR="005558C1" w:rsidRDefault="005558C1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74"/>
        <w:gridCol w:w="2364"/>
        <w:gridCol w:w="1867"/>
        <w:gridCol w:w="3119"/>
        <w:gridCol w:w="4669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9509F5">
        <w:trPr>
          <w:cantSplit/>
          <w:trHeight w:val="628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F81D5E" w:rsidRPr="004D093B" w14:paraId="7522F87A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04B79DB7" w:rsidR="00F81D5E" w:rsidRPr="004D093B" w:rsidRDefault="008378F3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5C902FA4" w:rsidR="00F81D5E" w:rsidRPr="004D093B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Ngenla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22809A32" w:rsidR="00F81D5E" w:rsidRPr="004D093B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somatrogon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3AA82E0E" w:rsidR="00F81D5E" w:rsidRPr="004D093B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B.19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7C18276" w:rsidR="00F81D5E" w:rsidRPr="004D093B" w:rsidRDefault="00F81D5E" w:rsidP="0061137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35F4F">
              <w:rPr>
                <w:rFonts w:ascii="Lato" w:hAnsi="Lato" w:cstheme="majorHAnsi"/>
                <w:color w:val="000000"/>
                <w:sz w:val="18"/>
                <w:szCs w:val="18"/>
              </w:rPr>
              <w:t>LECZENIE NISKOROSŁYCH DZIECI Z SOMATOTROPINOWĄ NIEDOCZYNNOŚCIĄ PRZYSADKI (ICD-10: E23)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31C01B71" w:rsidR="00F81D5E" w:rsidRPr="004D093B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729FC">
              <w:rPr>
                <w:rFonts w:ascii="Lato" w:hAnsi="Lato" w:cstheme="majorHAnsi"/>
                <w:color w:val="000000"/>
                <w:sz w:val="18"/>
                <w:szCs w:val="18"/>
              </w:rPr>
              <w:t>Leczenie dzieci i młodzieży w wieku 3 lat i starszych z zaburzeniami wzrostu spowodowanymi niedostatecznym wydzielaniem hormonu wzrostu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81D5E" w:rsidRPr="004D093B" w14:paraId="3DB7E467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24480" w14:textId="52277F8C" w:rsidR="00F81D5E" w:rsidRPr="004D093B" w:rsidRDefault="008378F3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AB3A7" w14:textId="593F52ED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B21B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Xeljanz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AB648" w14:textId="6D5D453B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1B21B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ofac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FACDE" w14:textId="2E35E14B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B.33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789C7" w14:textId="6410D3A2" w:rsidR="00F81D5E" w:rsidRPr="00635F4F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D003" w14:textId="63221D44" w:rsidR="0061137F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</w:t>
            </w:r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ozszerzenie dostępności </w:t>
            </w:r>
            <w:proofErr w:type="spellStart"/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>tofacytynibu</w:t>
            </w:r>
            <w:proofErr w:type="spellEnd"/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B.33 o populacje pacjentów w wieku 2-18 lat z postacią wielostawową, </w:t>
            </w:r>
            <w:proofErr w:type="spellStart"/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>nielicznostawową</w:t>
            </w:r>
            <w:proofErr w:type="spellEnd"/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rozszerzającą się oraz utrwaloną młodzieńczego idiopatycznego zapalenia stawów </w:t>
            </w:r>
            <w:r w:rsidR="0061137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(MIZS) </w:t>
            </w:r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>oraz młodzieńczego łuszczycowego zapalenia stawów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7CED7BEB" w14:textId="65B6D297" w:rsidR="00F81D5E" w:rsidRPr="007729FC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Pierwszy </w:t>
            </w:r>
            <w:r w:rsidRPr="00F6714B">
              <w:rPr>
                <w:rFonts w:ascii="Lato" w:hAnsi="Lato" w:cstheme="majorHAnsi"/>
                <w:color w:val="000000"/>
                <w:sz w:val="18"/>
                <w:szCs w:val="18"/>
              </w:rPr>
              <w:t>inhibitor z rodziny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chorych z MIZS.</w:t>
            </w:r>
          </w:p>
        </w:tc>
      </w:tr>
      <w:tr w:rsidR="00F81D5E" w:rsidRPr="004D093B" w14:paraId="16A5F877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CAE47" w14:textId="68A66911" w:rsidR="00F81D5E" w:rsidRPr="004D093B" w:rsidRDefault="008378F3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D7D3" w14:textId="6862D4CD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B21B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Bimzelx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8135" w14:textId="328AAEE4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1B21B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imekizumab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BA01" w14:textId="0D642252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73A1" w14:textId="55854DD3" w:rsidR="00F81D5E" w:rsidRPr="00635F4F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C060" w14:textId="77777777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łuszczycowym zapaleniem stawów (ŁZS) po niepowodzeniu (lub w przypadku przeciwwskazań do stosowania) terapii opartych o niesteroidowe leki przeciwzapalne (NLPZ), </w:t>
            </w:r>
            <w:proofErr w:type="spellStart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>glikokortykosteroidy</w:t>
            </w:r>
            <w:proofErr w:type="spellEnd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(GKS) i klasyczne leki modyfikujące przebieg choroby (DMARD). </w:t>
            </w:r>
          </w:p>
          <w:p w14:paraId="43F7DB54" w14:textId="72F6DA44" w:rsidR="0061137F" w:rsidRPr="007729FC" w:rsidRDefault="0061137F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Pr="00F539FB">
              <w:rPr>
                <w:rFonts w:ascii="Lato" w:hAnsi="Lato" w:cstheme="majorHAnsi"/>
                <w:color w:val="000000"/>
                <w:sz w:val="18"/>
                <w:szCs w:val="18"/>
              </w:rPr>
              <w:t>olejny lek biologiczny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B.35. </w:t>
            </w:r>
            <w:proofErr w:type="spellStart"/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Bimekizumab</w:t>
            </w:r>
            <w:proofErr w:type="spellEnd"/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humanizowanym przeciwciałem monoklonalnym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wiążącym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si</w:t>
            </w:r>
            <w:r w:rsidRPr="00D571E2">
              <w:rPr>
                <w:rFonts w:ascii="Lato" w:hAnsi="Lato" w:cs="Lato"/>
                <w:color w:val="000000"/>
                <w:sz w:val="18"/>
                <w:szCs w:val="18"/>
              </w:rPr>
              <w:t>ę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wybi</w:t>
            </w:r>
            <w:r w:rsidRPr="00D571E2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rczo i z wysokim powinowactwem z cytokinami IL-17A, IL-17F i IL-17AF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81D5E" w:rsidRPr="004D093B" w14:paraId="47D4D28F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9E751" w14:textId="170DBD95" w:rsidR="00F81D5E" w:rsidRPr="004D093B" w:rsidRDefault="008378F3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BD22A" w14:textId="1607270B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B21B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Bimzelx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5087" w14:textId="2B719675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1B21B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imekizumab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01886" w14:textId="3FA5C897" w:rsidR="00F81D5E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B.36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791D" w14:textId="560D2AA3" w:rsidR="00F81D5E" w:rsidRPr="00635F4F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AD1AD" w14:textId="77777777" w:rsidR="00D571E2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aktywną postacią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zesztywniającego zapalenia stawów kręgosłupa (ZZSK) z niezadowalającą odpowiedzią na co najmniej dwa niesteroidowe leki przeciwzapalne (NLPZ). </w:t>
            </w:r>
          </w:p>
          <w:p w14:paraId="32281C5C" w14:textId="27B47BB5" w:rsidR="00F81D5E" w:rsidRPr="007729FC" w:rsidRDefault="00D571E2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Pr="00F539FB">
              <w:rPr>
                <w:rFonts w:ascii="Lato" w:hAnsi="Lato" w:cstheme="majorHAnsi"/>
                <w:color w:val="000000"/>
                <w:sz w:val="18"/>
                <w:szCs w:val="18"/>
              </w:rPr>
              <w:t>olejny lek biologiczny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B.36. </w:t>
            </w:r>
            <w:proofErr w:type="spellStart"/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Bimekizumab</w:t>
            </w:r>
            <w:proofErr w:type="spellEnd"/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humanizowanym przeciwciałem monoklonalnym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wiążącym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si</w:t>
            </w:r>
            <w:r w:rsidRPr="00D571E2">
              <w:rPr>
                <w:rFonts w:ascii="Lato" w:hAnsi="Lato" w:cs="Lato"/>
                <w:color w:val="000000"/>
                <w:sz w:val="18"/>
                <w:szCs w:val="18"/>
              </w:rPr>
              <w:t>ę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wybi</w:t>
            </w:r>
            <w:r w:rsidRPr="00D571E2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rczo i z wysokim powinowactwem z cytokinami IL-17A, IL-17F i IL-17AF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81D5E" w:rsidRPr="004D093B" w14:paraId="09C1FA13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C9398" w14:textId="6E7E7658" w:rsidR="00F81D5E" w:rsidRPr="004D093B" w:rsidRDefault="008378F3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048A" w14:textId="1EB80D0B" w:rsidR="00F81D5E" w:rsidRPr="005558C1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558C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Tezspire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DF32" w14:textId="15D92E93" w:rsidR="00F81D5E" w:rsidRPr="005558C1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558C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tezepelumab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82CB" w14:textId="47DC6D22" w:rsidR="00F81D5E" w:rsidRPr="005558C1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>B.44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6284" w14:textId="6E537FE0" w:rsidR="00F81D5E" w:rsidRPr="005558C1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ASTMY (ICD-10: J45, J82)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2158" w14:textId="745EA315" w:rsidR="00F81D5E" w:rsidRPr="005558C1" w:rsidRDefault="00F81D5E" w:rsidP="00F81D5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ciężkiej astmy </w:t>
            </w:r>
            <w:proofErr w:type="spellStart"/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>tezepelumabem</w:t>
            </w:r>
            <w:proofErr w:type="spellEnd"/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od 12 r.ż. (przeciwciało monoklonalne (IgG2</w:t>
            </w:r>
            <w:r w:rsidRPr="005558C1">
              <w:rPr>
                <w:rFonts w:cs="Calibri"/>
                <w:color w:val="000000"/>
                <w:sz w:val="18"/>
                <w:szCs w:val="18"/>
              </w:rPr>
              <w:t>λ</w:t>
            </w:r>
            <w:r w:rsidRPr="005558C1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8378F3" w:rsidRPr="004D093B" w14:paraId="0B5BFEE3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B1F79" w14:textId="7D8FF1A1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45FE" w14:textId="7F9FB4E4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DD5E" w14:textId="2CEB7DF3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</w:t>
            </w:r>
            <w:r w:rsidRPr="00E254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tu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ksy</w:t>
            </w:r>
            <w:r w:rsidRPr="00E254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2C8C" w14:textId="614B9523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EE90D" w14:textId="2BA552F5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54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M31.3, M31.5, M31.6, M31.7, M31.8)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C426C" w14:textId="77777777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nieciężką postacią </w:t>
            </w:r>
            <w:proofErr w:type="spellStart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ziarniniakowatości</w:t>
            </w:r>
            <w:proofErr w:type="spellEnd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(GPA) lub mikroskopow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(MPA)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7005F">
              <w:rPr>
                <w:rFonts w:ascii="Lato" w:hAnsi="Lato" w:cstheme="majorHAnsi"/>
                <w:color w:val="000000"/>
                <w:sz w:val="18"/>
                <w:szCs w:val="18"/>
              </w:rPr>
              <w:t>po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7005F">
              <w:rPr>
                <w:rFonts w:ascii="Lato" w:hAnsi="Lato" w:cstheme="majorHAnsi"/>
                <w:color w:val="000000"/>
                <w:sz w:val="18"/>
                <w:szCs w:val="18"/>
              </w:rPr>
              <w:t>niepowodzeniu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7005F">
              <w:rPr>
                <w:rFonts w:ascii="Lato" w:hAnsi="Lato" w:cstheme="majorHAnsi"/>
                <w:color w:val="000000"/>
                <w:sz w:val="18"/>
                <w:szCs w:val="18"/>
              </w:rPr>
              <w:t>terapii co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7005F">
              <w:rPr>
                <w:rFonts w:ascii="Lato" w:hAnsi="Lato" w:cstheme="majorHAnsi"/>
                <w:color w:val="000000"/>
                <w:sz w:val="18"/>
                <w:szCs w:val="18"/>
              </w:rPr>
              <w:t>najmniej jednym lekiem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7005F">
              <w:rPr>
                <w:rFonts w:ascii="Lato" w:hAnsi="Lato" w:cstheme="majorHAnsi"/>
                <w:color w:val="000000"/>
                <w:sz w:val="18"/>
                <w:szCs w:val="18"/>
              </w:rPr>
              <w:t>modyfikującym przebieg choroby/ lekiem immunosupresyjnym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543CCC4D" w14:textId="77777777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566F6AAB" w14:textId="3B76801D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378F3" w:rsidRPr="004D093B" w14:paraId="28C72799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FA74" w14:textId="23DF566D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3624" w14:textId="2850B8B6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E29C" w14:textId="3BCAE9A5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E254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ocilizumab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6B37" w14:textId="72723C60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F013" w14:textId="23831C1F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54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M31.3, M31.5, M31.6, M31.7, M31.8)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AA4CE" w14:textId="77777777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tocilizumabem podawanym dożylnie pacjentów z olbrzymiokomórkowym zapaleniem tętnic (GCA).</w:t>
            </w:r>
          </w:p>
          <w:p w14:paraId="19F160FC" w14:textId="77777777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688DF399" w14:textId="5C22579F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378F3" w:rsidRPr="004D093B" w14:paraId="1F31F3CA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7FC6" w14:textId="7F22E386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5A7A5" w14:textId="66368DEE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B21BB">
              <w:rPr>
                <w:rFonts w:ascii="Lato" w:hAnsi="Lato" w:cstheme="majorHAnsi"/>
                <w:b/>
                <w:bCs/>
                <w:sz w:val="18"/>
                <w:szCs w:val="18"/>
              </w:rPr>
              <w:t>Bimzelx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412E" w14:textId="55EFCCCF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</w:t>
            </w:r>
            <w:r w:rsidRPr="001B21BB">
              <w:rPr>
                <w:rFonts w:ascii="Lato" w:hAnsi="Lato" w:cstheme="majorHAnsi"/>
                <w:i/>
                <w:iCs/>
                <w:sz w:val="18"/>
                <w:szCs w:val="18"/>
              </w:rPr>
              <w:t>imekizumab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4C30" w14:textId="6B9109DF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B.82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9BC69" w14:textId="3634A6B3" w:rsidR="008378F3" w:rsidRPr="00635F4F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AKTYWNĄ POSTACIĄ SPONDYLOARTROPATII (</w:t>
            </w:r>
            <w:proofErr w:type="spellStart"/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1B21BB">
              <w:rPr>
                <w:rFonts w:ascii="Lato" w:hAnsi="Lato" w:cstheme="majorHAnsi"/>
                <w:color w:val="000000"/>
                <w:sz w:val="18"/>
                <w:szCs w:val="18"/>
              </w:rPr>
              <w:t>) BEZ ZMIAN RADIOGRAFICZNYCH CHARAKTERYSTYCZNYCH DLA ZZSK (ICD-10: M46.8)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60C8" w14:textId="77777777" w:rsidR="00D571E2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aktywną postacią </w:t>
            </w:r>
            <w:proofErr w:type="spellStart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>spondyloartropatii</w:t>
            </w:r>
            <w:proofErr w:type="spellEnd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>SpA</w:t>
            </w:r>
            <w:proofErr w:type="spellEnd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bez zmian radiograficznych charakterystycznych dla ZZSK (ICD-10: M46.8) po niepowodzeniu terapii opartych o niesteroidowe leki przeciwzapalne (NLPZ), </w:t>
            </w:r>
            <w:proofErr w:type="spellStart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>glikokortykosteroidy</w:t>
            </w:r>
            <w:proofErr w:type="spellEnd"/>
            <w:r w:rsidRPr="00DD49D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(GKS) i klasyczne leki modyfikujące przebieg choroby, w postaci osiowej i obwodowej. </w:t>
            </w:r>
          </w:p>
          <w:p w14:paraId="764DBBFE" w14:textId="781E6B16" w:rsidR="008378F3" w:rsidRPr="007729FC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Pr="00F539FB">
              <w:rPr>
                <w:rFonts w:ascii="Lato" w:hAnsi="Lato" w:cstheme="majorHAnsi"/>
                <w:color w:val="000000"/>
                <w:sz w:val="18"/>
                <w:szCs w:val="18"/>
              </w:rPr>
              <w:t>olejny lek biologiczny</w:t>
            </w:r>
            <w:r w:rsid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programie B.82. </w:t>
            </w:r>
            <w:proofErr w:type="spellStart"/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Bimekizumab</w:t>
            </w:r>
            <w:proofErr w:type="spellEnd"/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humanizowanym przeciwciałem monoklonalnym</w:t>
            </w:r>
            <w:r w:rsid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wiążącym</w:t>
            </w:r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si</w:t>
            </w:r>
            <w:r w:rsidR="00D571E2" w:rsidRPr="00D571E2">
              <w:rPr>
                <w:rFonts w:ascii="Lato" w:hAnsi="Lato" w:cs="Lato"/>
                <w:color w:val="000000"/>
                <w:sz w:val="18"/>
                <w:szCs w:val="18"/>
              </w:rPr>
              <w:t>ę</w:t>
            </w:r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wybi</w:t>
            </w:r>
            <w:r w:rsidR="00D571E2" w:rsidRPr="00D571E2">
              <w:rPr>
                <w:rFonts w:ascii="Lato" w:hAnsi="Lato" w:cs="Lato"/>
                <w:color w:val="000000"/>
                <w:sz w:val="18"/>
                <w:szCs w:val="18"/>
              </w:rPr>
              <w:t>ó</w:t>
            </w:r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rczo i z wysokim powinowactwem z cytokinami IL-17A, IL-17F i IL-17AF</w:t>
            </w:r>
            <w:r w:rsidR="00D571E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378F3" w:rsidRPr="004D093B" w14:paraId="5C1FF5AC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4CCAB571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7D5D5701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Evrysdi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00DFC910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rysdyplam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45244524" w:rsidR="008378F3" w:rsidRPr="00496AA9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0B1ED1AA" w:rsidR="008378F3" w:rsidRPr="00496AA9" w:rsidRDefault="008378F3" w:rsidP="008378F3">
            <w:pPr>
              <w:tabs>
                <w:tab w:val="left" w:pos="5865"/>
              </w:tabs>
              <w:spacing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B0B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151A" w14:textId="77777777" w:rsidR="008378F3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Rozszerzona populacja </w:t>
            </w:r>
            <w:r w:rsidRPr="008B0B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 pacjentów bez ograniczenia wiekowego oraz bez przeciwwskazań do terapii </w:t>
            </w:r>
            <w:proofErr w:type="spellStart"/>
            <w:r w:rsidRPr="008B0B86">
              <w:rPr>
                <w:rFonts w:ascii="Lato" w:hAnsi="Lato" w:cstheme="majorHAnsi"/>
                <w:color w:val="000000"/>
                <w:sz w:val="18"/>
                <w:szCs w:val="18"/>
              </w:rPr>
              <w:t>nusinersenem</w:t>
            </w:r>
            <w:proofErr w:type="spellEnd"/>
            <w:r w:rsidRPr="008B0B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(dotychczas od 2 mies. życia dla pacjentów, u których stwierdzono przeciwwskazania)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872186D" w14:textId="4E021C6F" w:rsidR="008378F3" w:rsidRPr="00F81D5E" w:rsidRDefault="008378F3" w:rsidP="008378F3">
            <w:pPr>
              <w:widowControl w:val="0"/>
              <w:suppressAutoHyphens w:val="0"/>
              <w:autoSpaceDE w:val="0"/>
              <w:adjustRightInd w:val="0"/>
              <w:spacing w:after="60" w:line="276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B0B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8378F3" w:rsidRPr="004D093B" w14:paraId="5ED86F3E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F684EC5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1079B0E7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086D9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Nucala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27845733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086D9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1B120BBB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B.156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1E58D45C" w:rsidR="008378F3" w:rsidRPr="004D093B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ZAPALENIEM NOSA I ZATOK PRZYNOSOWYCH Z POLIPAMI NOSA (ICD-10: J32, J33)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66EB" w14:textId="77777777" w:rsidR="002670F5" w:rsidRDefault="008378F3" w:rsidP="008378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>W leczeniu dorosłych pacjentów na ciężkie, przewlekłe zapalenie nosa i zatok przynosowych z polipami nosa (</w:t>
            </w:r>
            <w:proofErr w:type="spellStart"/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>PZZPzPN</w:t>
            </w:r>
            <w:proofErr w:type="spellEnd"/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>) z potwierdzonym zapaleniem typu 2, u których leczenie ogólnoustrojowymi kortykosteroidami i przebyt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 </w:t>
            </w: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co najmniej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zabieg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operacyjn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086D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zatok (lub przeciwwskazania do zabiegu) nie zapewniają kontroli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790C1040" w14:textId="73A2CDE3" w:rsidR="00D571E2" w:rsidRPr="004D093B" w:rsidRDefault="008378F3" w:rsidP="00D571E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Pr="00F41E16">
              <w:rPr>
                <w:rFonts w:ascii="Lato" w:hAnsi="Lato" w:cstheme="majorHAnsi"/>
                <w:color w:val="000000"/>
                <w:sz w:val="18"/>
                <w:szCs w:val="18"/>
              </w:rPr>
              <w:t>olejny lek biologiczny</w:t>
            </w:r>
            <w:r w:rsidR="002670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 w:rsidR="0061137F">
              <w:rPr>
                <w:rFonts w:ascii="Lato" w:hAnsi="Lato" w:cstheme="majorHAnsi"/>
                <w:color w:val="000000"/>
                <w:sz w:val="18"/>
                <w:szCs w:val="18"/>
              </w:rPr>
              <w:t>programie B.156.</w:t>
            </w:r>
            <w:r w:rsid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>Mepolizumab</w:t>
            </w:r>
            <w:proofErr w:type="spellEnd"/>
            <w:r w:rsidR="00D571E2" w:rsidRPr="00D571E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humanizowanym przeciwciałem monoklonalnym przeciwko ludzkiej interleukinie 5</w:t>
            </w:r>
            <w:r w:rsidR="00D571E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558C1" w:rsidRPr="004D093B" w14:paraId="5CE97390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8A8AFEB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23A66596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Cablivi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4193FD8A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kaplacyzumab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2CAB55BD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B.164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1CC78FB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727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IMMUNOLOGICZNĄ ZAKRZEPOWĄ PLAMICĄ MAŁOPŁYTKOWĄ (ICD-10: M31.1)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292C" w14:textId="77777777" w:rsidR="005558C1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dorosłych oraz młodzieży powyżej 12 roku życia o masie ciała przynajmniej 40 kg z epizodem nabytej zakrzepowej plamicy małopłytkowej. </w:t>
            </w:r>
          </w:p>
          <w:p w14:paraId="0AFE6806" w14:textId="541A5DB7" w:rsidR="005558C1" w:rsidRPr="004D093B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727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0D727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5558C1" w:rsidRPr="004D093B" w14:paraId="26F17574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499B71B2" w:rsidR="005558C1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39E9F362" w:rsidR="005558C1" w:rsidRPr="00496AA9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St</w:t>
            </w:r>
            <w:r w:rsidR="0071367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ensiq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4401A591" w:rsidR="005558C1" w:rsidRPr="00496AA9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asfotaza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alfa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54972CF2" w:rsidR="005558C1" w:rsidRPr="00496AA9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4D992396" w:rsidR="005558C1" w:rsidRPr="00496AA9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729FC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OBJAWAMI KOSTNYMI W PRZEBIEGU HIPOFOSFATAZJI DZIECIĘCEJ (HPP) (ICD-10 E83.3)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009F" w14:textId="085CB592" w:rsidR="005558C1" w:rsidRDefault="005558C1" w:rsidP="005558C1">
            <w:pPr>
              <w:widowControl w:val="0"/>
              <w:suppressAutoHyphens w:val="0"/>
              <w:autoSpaceDE w:val="0"/>
              <w:adjustRightInd w:val="0"/>
              <w:spacing w:after="60" w:line="276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81D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5F7F1B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F81D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wrodzoną </w:t>
            </w:r>
            <w:proofErr w:type="spellStart"/>
            <w:r w:rsidRPr="00F81D5E">
              <w:rPr>
                <w:rFonts w:ascii="Lato" w:hAnsi="Lato" w:cstheme="majorHAnsi"/>
                <w:color w:val="000000"/>
                <w:sz w:val="18"/>
                <w:szCs w:val="18"/>
              </w:rPr>
              <w:t>hipofosfatazją</w:t>
            </w:r>
            <w:proofErr w:type="spellEnd"/>
            <w:r w:rsidRPr="00F81D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(HPP) w postaciach: niemowlęcych, dziecięcych bądź perinatalnych, potwierdzonych za pomocą odpowiednich testów i badań.</w:t>
            </w:r>
          </w:p>
          <w:p w14:paraId="5B74B285" w14:textId="4CDF800B" w:rsidR="005558C1" w:rsidRPr="00496AA9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B0B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69C5300" w14:textId="3D4307A4" w:rsidR="004D093B" w:rsidRDefault="004D093B">
      <w:pPr>
        <w:suppressAutoHyphens w:val="0"/>
        <w:rPr>
          <w:rFonts w:ascii="Lato" w:hAnsi="Lato"/>
        </w:rPr>
      </w:pPr>
    </w:p>
    <w:p w14:paraId="1F54C01C" w14:textId="115AA7AD" w:rsidR="005558C1" w:rsidRDefault="005558C1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007B52" w:rsidRPr="004D093B" w14:paraId="4128CDBA" w14:textId="77777777" w:rsidTr="005558C1">
        <w:trPr>
          <w:cantSplit/>
          <w:trHeight w:val="1006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6D18" w14:textId="78839AFA" w:rsidR="00007B52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F408" w14:textId="5ADCA0A7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A73B" w14:textId="6B325371" w:rsidR="00007B52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007B52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ZAPOBIEGANIE KRWAWIENIOM U DZIECI Z HEMOFILIĄ A I B (ICD-10: D66, D67)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E517B" w14:textId="721B2359" w:rsidR="00007B52" w:rsidRPr="00B16509" w:rsidRDefault="00B16509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Ujednolicenie kryteriów kwalifikacji dla </w:t>
            </w:r>
            <w:proofErr w:type="spellStart"/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>emicizumabu</w:t>
            </w:r>
            <w:proofErr w:type="spellEnd"/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bez względu na moduł profilaktyki pierwotnej lub wtórnej. Dodanie zapisów o konieczności udokumentowania krwawień, które kwalifikują do leczenia </w:t>
            </w:r>
            <w:proofErr w:type="spellStart"/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>emicizuabem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zapisu uprawniającego Zespół Koordynacyjny do zmiany </w:t>
            </w:r>
            <w:proofErr w:type="spellStart"/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>emicizumabu</w:t>
            </w:r>
            <w:proofErr w:type="spellEnd"/>
            <w:r w:rsidRPr="00B165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koncentrat czynnika krzepnięcia w przypadku nieskuteczności leczenia, wystąpienia działań  niepożądanych lub przeciwskazań do stosowania tego leku.</w:t>
            </w:r>
          </w:p>
        </w:tc>
      </w:tr>
      <w:tr w:rsidR="00007B52" w:rsidRPr="004D093B" w14:paraId="3AC35271" w14:textId="77777777" w:rsidTr="005558C1">
        <w:trPr>
          <w:cantSplit/>
          <w:trHeight w:val="836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6BDD71DD" w:rsidR="00007B52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6BE2A7B0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7148042B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LECZENIA PACJENTÓW Z CHOROBAMI SIATKÓWKI (ICD-10: H35.5,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282BD026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związku z objęciem refundacją nowej prezentacji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afliberceptu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dawce 8 mg umożliwiającej wydłużenie odstępów między kolejnymi podaniami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doszklistkowymi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20 tygodni u pacjentów bez aktywności choroby, w obu częściach programu naniesiono odpowiednie uzupełnienia umożliwiające powyższą praktykę.</w:t>
            </w:r>
          </w:p>
        </w:tc>
      </w:tr>
      <w:tr w:rsidR="00007B52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29660DAB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7EC5F08E" w:rsidR="00007B52" w:rsidRPr="00007B52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0AAA619D" w:rsidR="00007B52" w:rsidRPr="00A1146C" w:rsidRDefault="00007B52" w:rsidP="00007B5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27005F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UKŁADOWYMI ZAPALENIAMI NACZYŃ (ICD-10: M31.3, M31.5, M31.6, M31.7, M31.8)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7869" w14:textId="4262B181" w:rsidR="00007B52" w:rsidRDefault="00007B52" w:rsidP="00007B5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Kompleksowa modyfikacja programu lekowego B.75, w ramach której zmiany objęły m. in.:</w:t>
            </w:r>
          </w:p>
          <w:p w14:paraId="606B2CB5" w14:textId="77777777" w:rsidR="00007B52" w:rsidRDefault="00007B52" w:rsidP="00007B52">
            <w:pPr>
              <w:pStyle w:val="Akapitzlist"/>
              <w:numPr>
                <w:ilvl w:val="0"/>
                <w:numId w:val="40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5217D">
              <w:rPr>
                <w:rFonts w:ascii="Lato" w:hAnsi="Lato" w:cstheme="majorHAnsi"/>
                <w:color w:val="000000"/>
                <w:sz w:val="18"/>
                <w:szCs w:val="18"/>
              </w:rPr>
              <w:t>rozszerzeni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1521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populacji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F55EA">
              <w:rPr>
                <w:rFonts w:ascii="Lato" w:hAnsi="Lato" w:cstheme="majorHAnsi"/>
                <w:color w:val="000000"/>
                <w:sz w:val="18"/>
                <w:szCs w:val="18"/>
                <w:u w:val="single"/>
              </w:rPr>
              <w:t>z ciężką postacią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ziarniniakowatości</w:t>
            </w:r>
            <w:proofErr w:type="spellEnd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(GPA) lub mikroskopow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(MPA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leczonych w ramach programu lekowego poprzez zmianę dostępności terapii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II na I lub kolejną linię leczenia,</w:t>
            </w:r>
          </w:p>
          <w:p w14:paraId="0A9F106C" w14:textId="77777777" w:rsidR="00007B52" w:rsidRDefault="00007B52" w:rsidP="00007B52">
            <w:pPr>
              <w:pStyle w:val="Akapitzlist"/>
              <w:numPr>
                <w:ilvl w:val="0"/>
                <w:numId w:val="40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programu lekowego w zakresie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przez umożliwienie leczenia pacjentów z </w:t>
            </w:r>
            <w:r w:rsidRPr="004F55EA">
              <w:rPr>
                <w:rFonts w:ascii="Lato" w:hAnsi="Lato" w:cstheme="majorHAnsi"/>
                <w:color w:val="000000"/>
                <w:sz w:val="18"/>
                <w:szCs w:val="18"/>
                <w:u w:val="single"/>
              </w:rPr>
              <w:t>nieciężką postacią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ziarniniakowatości</w:t>
            </w:r>
            <w:proofErr w:type="spellEnd"/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(GPA) lub mikroskopow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naczyń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76275">
              <w:rPr>
                <w:rFonts w:ascii="Lato" w:hAnsi="Lato" w:cstheme="majorHAnsi"/>
                <w:color w:val="000000"/>
                <w:sz w:val="18"/>
                <w:szCs w:val="18"/>
              </w:rPr>
              <w:t>(MPA)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II lub kolejnej linii leczenia,</w:t>
            </w:r>
          </w:p>
          <w:p w14:paraId="1345AB98" w14:textId="77777777" w:rsidR="00007B52" w:rsidRPr="004F55EA" w:rsidRDefault="00007B52" w:rsidP="00007B52">
            <w:pPr>
              <w:pStyle w:val="Akapitzlist"/>
              <w:numPr>
                <w:ilvl w:val="0"/>
                <w:numId w:val="40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kryteriów oceny skuteczności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w tym umożliwienie włączenia kolejnego cyklu leczenia </w:t>
            </w:r>
            <w:r w:rsidRPr="004F55EA">
              <w:rPr>
                <w:rFonts w:ascii="Lato" w:hAnsi="Lato" w:cstheme="majorHAnsi"/>
                <w:color w:val="000000"/>
                <w:sz w:val="18"/>
                <w:szCs w:val="18"/>
              </w:rPr>
              <w:t>indukcyjnego w przypadku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F55EA">
              <w:rPr>
                <w:rFonts w:ascii="Lato" w:hAnsi="Lato" w:cstheme="majorHAnsi"/>
                <w:color w:val="000000"/>
                <w:sz w:val="18"/>
                <w:szCs w:val="18"/>
              </w:rPr>
              <w:t>nawrotu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F55EA">
              <w:rPr>
                <w:rFonts w:ascii="Lato" w:hAnsi="Lato" w:cstheme="majorHAnsi"/>
                <w:color w:val="000000"/>
                <w:sz w:val="18"/>
                <w:szCs w:val="18"/>
              </w:rPr>
              <w:t>aktywnej postaci choroby w trakcie leczenia podtrzymującego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remisję choroby,</w:t>
            </w:r>
          </w:p>
          <w:p w14:paraId="198AAD37" w14:textId="77777777" w:rsidR="00007B52" w:rsidRDefault="00007B52" w:rsidP="00007B52">
            <w:pPr>
              <w:pStyle w:val="Akapitzlist"/>
              <w:numPr>
                <w:ilvl w:val="0"/>
                <w:numId w:val="40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programu lekowego o moduł umożliwiający leczenie pacjentów z olbrzymiokomórkowym zapaleniem tętnic (GCA) tocilizumabem podawanym dożylnie,</w:t>
            </w:r>
          </w:p>
          <w:p w14:paraId="4C89A20F" w14:textId="1573E0FB" w:rsidR="00007B52" w:rsidRPr="00350EAD" w:rsidRDefault="00007B52" w:rsidP="00007B52">
            <w:pPr>
              <w:pStyle w:val="Akapitzlist"/>
              <w:numPr>
                <w:ilvl w:val="0"/>
                <w:numId w:val="40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zespołu koordynującego program lekowy na </w:t>
            </w:r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Zespół Koordynacyjny ds. Leczenia Biologicznego w Chorobach Reumatycznych</w:t>
            </w: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07B52" w:rsidRPr="004D093B" w14:paraId="7A36E28A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9B07" w14:textId="4B271FA1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059A5" w14:textId="2A0D5C60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03C2" w14:textId="5D9D8A97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TRABECTEDIN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E3C5" w14:textId="7FDABA23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trabektedyny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</w:tr>
      <w:tr w:rsidR="00007B52" w:rsidRPr="004D093B" w14:paraId="47C22A79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2A21" w14:textId="36F53A68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C116C" w14:textId="0523D784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497B" w14:textId="4B0F8DBD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PANITUMUMAB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C715" w14:textId="2EBD5AA3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panitumumabu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</w:tr>
      <w:tr w:rsidR="00007B52" w:rsidRPr="004D093B" w14:paraId="7FE762B9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40D5" w14:textId="78CE763A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EC6B" w14:textId="314AE3ED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C.95.a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791D2" w14:textId="2116C43B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CETUXIMAB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1408" w14:textId="0172C9B4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cetuksymabu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</w:p>
        </w:tc>
      </w:tr>
      <w:tr w:rsidR="00007B52" w:rsidRPr="004D093B" w14:paraId="2AEC9FC6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53C7" w14:textId="239A9618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EEB5" w14:textId="2BB0AFB2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C.95.b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36182" w14:textId="34510713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CETUXIMAB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8435" w14:textId="238926DA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cetuksymabu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52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</w:t>
            </w:r>
          </w:p>
        </w:tc>
      </w:tr>
      <w:tr w:rsidR="00007B52" w:rsidRPr="004D093B" w14:paraId="085204AD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53F55" w14:textId="7C7CD67B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7107" w14:textId="5D2CDFA4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E884" w14:textId="1D8C834D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C0949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LAPATINIB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FB07" w14:textId="3295E9F4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lapatynibu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07B52" w:rsidRPr="004D093B" w14:paraId="58CBFDC4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57CD7" w14:textId="5C3D1CA0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127C" w14:textId="3C3D0C55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D25F" w14:textId="0D0EF8CA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C0949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CABAZITAXEL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B709C" w14:textId="126B240B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kabazytakselu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pii C.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97.</w:t>
            </w:r>
          </w:p>
        </w:tc>
      </w:tr>
      <w:tr w:rsidR="00007B52" w:rsidRPr="004D093B" w14:paraId="3D76E4D2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6F3D" w14:textId="2F800E5A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B46BC" w14:textId="3352787D" w:rsidR="00007B52" w:rsidRPr="00007B52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7B5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7064" w14:textId="0DF0459E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C0949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 xml:space="preserve">RADIUM (223RA) </w:t>
            </w:r>
            <w:r w:rsidR="005558C1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</w:r>
            <w:r w:rsidRPr="001C0949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DICHLORIDE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7ADB" w14:textId="5914A3CE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dichlorku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radu-223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B.56. do katalogu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07B52" w:rsidRPr="004D093B" w14:paraId="0BF0A3A0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9BB20" w14:textId="5EB35F92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748C" w14:textId="3A930827" w:rsidR="00007B52" w:rsidRPr="00BF013B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81AD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E1FE" w14:textId="35AC9CC8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781AD4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AKSITINIB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DC3E3" w14:textId="7DD666FF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aksytynibu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 katalogu </w:t>
            </w:r>
            <w:r w:rsidR="005558C1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>chemioterapii C.9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</w:t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07B52" w:rsidRPr="004D093B" w14:paraId="70CD1574" w14:textId="77777777" w:rsidTr="005558C1">
        <w:trPr>
          <w:cantSplit/>
          <w:trHeight w:val="565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7684B" w14:textId="36EB2FB6" w:rsidR="00007B52" w:rsidRPr="004D093B" w:rsidRDefault="00007B52" w:rsidP="00007B5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F869" w14:textId="3C8B6524" w:rsidR="00007B52" w:rsidRPr="00BF013B" w:rsidRDefault="00007B52" w:rsidP="005558C1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EB508" w14:textId="4AB3F8FC" w:rsidR="00007B52" w:rsidRPr="00A1146C" w:rsidRDefault="00007B52" w:rsidP="005558C1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781AD4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TEMSIROLIMUS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3A211" w14:textId="5BB5BB57" w:rsidR="00007B52" w:rsidRPr="00A1146C" w:rsidRDefault="00007B52" w:rsidP="005558C1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temsirolimusu</w:t>
            </w:r>
            <w:proofErr w:type="spellEnd"/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B.10. do katalogu </w:t>
            </w:r>
            <w:r w:rsidR="005558C1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>chemioterapii C.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100</w:t>
            </w:r>
            <w:r w:rsidRPr="00781AD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1363"/>
        <w:gridCol w:w="1964"/>
        <w:gridCol w:w="6644"/>
        <w:gridCol w:w="3346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61127618"/>
            <w:bookmarkEnd w:id="1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143B25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2B67067F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Nazwa leku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143B25" w:rsidRPr="004D093B" w14:paraId="3E62A70D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691231CF" w:rsidR="00143B25" w:rsidRPr="004D093B" w:rsidRDefault="00350EAD" w:rsidP="00143B2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745DA372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Efluelda</w:t>
            </w:r>
            <w:proofErr w:type="spellEnd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Tetra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47544F8A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czterowalentna</w:t>
            </w:r>
            <w:proofErr w:type="spellEnd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szczepionka przeciw grypie (rozszczepiony </w:t>
            </w: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wirion</w:t>
            </w:r>
            <w:proofErr w:type="spellEnd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), inaktywowana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87C362E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20373C68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Szczepionka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Efluelda</w:t>
            </w:r>
            <w:proofErr w:type="spellEnd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wskazana do czynnego uodpornienia osób dorosłych w wieku 60 lat i starszych w zapobieganiu grypie. Zastosowanie szczepionki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Efluelda</w:t>
            </w:r>
            <w:proofErr w:type="spellEnd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powinno być zgodne z oficjalnymi zaleceniami dotyczącymi szczepień przeciw grypie.</w:t>
            </w:r>
          </w:p>
        </w:tc>
      </w:tr>
      <w:tr w:rsidR="00143B25" w:rsidRPr="004D093B" w14:paraId="28258B5C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5E145" w14:textId="7CE0A705" w:rsidR="00143B25" w:rsidRPr="004D093B" w:rsidRDefault="00350EAD" w:rsidP="00143B2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FE60A" w14:textId="02153661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Lupkynis</w:t>
            </w:r>
            <w:proofErr w:type="spellEnd"/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DC89" w14:textId="02D3DD7E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woklosporyna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13183" w14:textId="14E4CB5F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A4E0" w14:textId="4ABF80D1" w:rsidR="00402165" w:rsidRDefault="000A4E7C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Pierwszy lek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woklosporyną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stosowany w</w:t>
            </w:r>
            <w:r w:rsidR="00143B25"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połączeniu z </w:t>
            </w:r>
            <w:proofErr w:type="spellStart"/>
            <w:r w:rsidR="00143B25"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mykofenolanem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mofetylu</w:t>
            </w:r>
            <w:proofErr w:type="spellEnd"/>
            <w:r w:rsidR="00143B25"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dorosłych pacjentów z czynną nefropatią toczniową klasy III, IV lub V (w tym klasy mieszanej III/V i IV/V).</w:t>
            </w:r>
          </w:p>
          <w:p w14:paraId="479ABAEE" w14:textId="77777777" w:rsidR="00402165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</w:p>
          <w:p w14:paraId="70953BD7" w14:textId="55AB7339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143B25" w:rsidRPr="004D093B" w14:paraId="0C61E571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1B29" w14:textId="7B59E3A1" w:rsidR="00143B25" w:rsidRPr="004D093B" w:rsidRDefault="00350EAD" w:rsidP="00143B2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D3E1" w14:textId="04FC787D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Methadone</w:t>
            </w:r>
            <w:proofErr w:type="spellEnd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Hydrochloride</w:t>
            </w:r>
            <w:proofErr w:type="spellEnd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Molteni</w:t>
            </w:r>
            <w:proofErr w:type="spellEnd"/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F2C5D" w14:textId="64A704F0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metadon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CC84" w14:textId="7675477F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Umiarkowany lub silny ból, który nie może być skutecznie leczony nieopioidowymi lekami przeciwbólowymi; nowotwory złośliwe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D0E7" w14:textId="7383D33E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143B25" w:rsidRPr="004D093B" w14:paraId="697476A9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25DC" w14:textId="0A43F905" w:rsidR="00143B25" w:rsidRPr="004D093B" w:rsidRDefault="00350EAD" w:rsidP="00143B2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4384" w14:textId="31657458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Palexia</w:t>
            </w:r>
            <w:proofErr w:type="spellEnd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retard</w:t>
            </w:r>
            <w:proofErr w:type="spellEnd"/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7C338" w14:textId="1C2D342E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tapentadol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911E3" w14:textId="2FBDAA1E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114D" w14:textId="234BEA9C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143B25" w:rsidRPr="004D093B" w14:paraId="5CAC826D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AA08B" w14:textId="7240826D" w:rsidR="00143B25" w:rsidRPr="004D093B" w:rsidRDefault="00350EAD" w:rsidP="00143B2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D082" w14:textId="1C73EE46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E729" w14:textId="2CCF361D" w:rsidR="00143B25" w:rsidRPr="00350EAD" w:rsidRDefault="00BB4696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="00143B25"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entanyl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(</w:t>
            </w:r>
            <w:r w:rsidR="0040216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doustny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0B39" w14:textId="1A3412B9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894F" w14:textId="32742A87" w:rsidR="00143B25" w:rsidRPr="00350EAD" w:rsidRDefault="00143B2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381A8A28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6E68" w14:textId="453AE465" w:rsidR="00402165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70A2" w14:textId="51533B4F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9E393" w14:textId="0BDE68B7" w:rsidR="00402165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entanyl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(donosowy)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4763" w14:textId="5ABF042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B514C" w14:textId="2D905E4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794901D2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6130" w14:textId="7F58DCF7" w:rsidR="00402165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419B" w14:textId="698CD86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C8F9" w14:textId="6DE07D9E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fentanyl (systemy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transdermalne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E759" w14:textId="6D0FD1F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33AF1" w14:textId="167E80F9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2BD049D2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0032" w14:textId="0F21ED9D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56A7" w14:textId="349B8568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325C" w14:textId="4FDDB0D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morfina (doustn</w:t>
            </w:r>
            <w:r w:rsidR="003403B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formy stałe i płynne</w:t>
            </w:r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F0A0" w14:textId="12F6E399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180B" w14:textId="0E26918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39D54856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2444" w14:textId="23A5598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2C2E" w14:textId="4724494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B4A2" w14:textId="561BA0B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6F1C" w14:textId="7CF0DB8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57138" w14:textId="704C77B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Uporządkowanie oraz ujednolicenie w stosunku do pozostałych leków opioidowych wskazań refundacyjnych dla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oksykodonu</w:t>
            </w:r>
            <w:proofErr w:type="spellEnd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12FAAC17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09F7" w14:textId="19678FEB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2E2E" w14:textId="53B05FE6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98A9" w14:textId="305BD36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oksykodon</w:t>
            </w:r>
            <w:proofErr w:type="spellEnd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nalokson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C988F" w14:textId="4DCA9A0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Ból w przebiegu chorób nowotworowych i nienowotworowych – u pacjentów, u których występują zaparcia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poopioidowe</w:t>
            </w:r>
            <w:proofErr w:type="spellEnd"/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87E1" w14:textId="78A88216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dla opioidowych leków przeciwbólowych</w:t>
            </w:r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7934F419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70F6" w14:textId="3508ECFC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8C4B" w14:textId="77E71DC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0E10" w14:textId="24862998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amisulprid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4361B" w14:textId="505AF6B8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8FCA" w14:textId="739374B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496DD4D8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B1EC" w14:textId="3278456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8F5E" w14:textId="435D1C6F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BA74" w14:textId="6618A90F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aripiprazol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BB8C" w14:textId="1685256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9C7AB" w14:textId="7AF23C1E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442F842B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4503" w14:textId="4B0A7F2B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47348" w14:textId="27FA8E8A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78047" w14:textId="523B16DA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kwetiapina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E594" w14:textId="0CF98D42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4B09" w14:textId="39F9336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05743E75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9729C" w14:textId="6CBD61CB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EA6E8" w14:textId="59059EC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6031F" w14:textId="47A8963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olanzapina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AB3C" w14:textId="5CACDB7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D0A6" w14:textId="28369F1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60927590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E961" w14:textId="385DAC65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92633" w14:textId="6DB5076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4506" w14:textId="54EAD2F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risperidon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D07F" w14:textId="6E6C50C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5F64" w14:textId="5280E0B5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6BBA8D88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BAF6" w14:textId="7CAB7E1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23DF7" w14:textId="6ED47AC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26CB" w14:textId="68767B7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sertindol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E92E" w14:textId="4C64A9E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3C5C" w14:textId="35396CE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1D6F79B6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3A75" w14:textId="5A10818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7564" w14:textId="589CF32A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63D5" w14:textId="1829670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ziprasidon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A86F" w14:textId="4CD5FBA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F21; F22; F23; F24; F25; F28; F29 wg ICD-10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A428" w14:textId="77148C85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20D7E12E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7D3B0" w14:textId="46453390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CDE5" w14:textId="14E654E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A48E" w14:textId="635364A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agomelatyna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B7AC" w14:textId="1148380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Depresja lub zaburzenia depresyjne (F32; F33; F34; F38; F39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2463" w14:textId="6A5FD502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523F95E0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A639" w14:textId="67D8054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8E94" w14:textId="6C659D86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B49C" w14:textId="115904C9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aripiprazol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E8D47" w14:textId="1F19441A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Depresja lub zaburzenia depresyjne (F32; F33; F34; F38; F39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EB703" w14:textId="797B8FF4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7EB25455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E8948" w14:textId="654EAF08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88C4" w14:textId="3E8A1B9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997A" w14:textId="53506DD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aripiprazol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A1BB" w14:textId="4396C7C8" w:rsidR="00402165" w:rsidRPr="00350EAD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="00402165"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aburzenia obsesyjno-kompulsywne (F42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568E" w14:textId="144E88DE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778D9801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66634" w14:textId="169DC1FE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21.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BC862" w14:textId="399D85B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33C3B" w14:textId="6B2062D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aripiprazol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7B1A" w14:textId="2F6C8B37" w:rsidR="00402165" w:rsidRPr="00350EAD" w:rsidRDefault="005558C1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</w:t>
            </w:r>
            <w:r w:rsidR="00402165"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iki (F95.0; F95.1; F95.8; F95.9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5BDB" w14:textId="23E55EA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57D1DD6C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A979" w14:textId="3D27D8F5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240F4" w14:textId="29284EA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9ABF" w14:textId="0A5D3A8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duloksetyna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5D83" w14:textId="359AFDD2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Zaburzenia lękowe i adaptacyjne (F41; F42; F43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5968" w14:textId="316BFFE2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1C39D96A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F216" w14:textId="3CBB04DF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2FF59" w14:textId="725689C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ACC80" w14:textId="7CF0821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kwetiapina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43C2A" w14:textId="31BA99DF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Depresja lub zaburzenia depresyjne (F32; F33; F34; F38; F39 wg ICD - 10) - do ukończenia 18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50626" w14:textId="1744603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770036B9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E632" w14:textId="6DB6BEFE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D871" w14:textId="5E4051D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3D72" w14:textId="64917276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olanzapina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0273" w14:textId="3AE0F74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Jadłowstręt psychiczny (F50.0; F50.1 wg ICD - 10) - do ukończenia18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CCEC" w14:textId="352AD82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0ED20F59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056F" w14:textId="16CA0A44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4BD0" w14:textId="2BA388A6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5842" w14:textId="3BBE0E7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risperidon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B2D1" w14:textId="49F66ADC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Depresja lub zaburzenia depresyjne (F32; F33; F34; F38; F39 wg ICD - 10) - do ukończenia 18. r.ż.;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1E9C5" w14:textId="47B3D57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020A9D94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60DD" w14:textId="5FF88D12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E7B6" w14:textId="0AA960CF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FFA66" w14:textId="1EF398AD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risperidon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5E741" w14:textId="6C4BE73E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Tiki (F95.0; F95.1; F95.8; F95.9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9E66" w14:textId="5910388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49E18BAF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C092" w14:textId="5D48D87C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60BB" w14:textId="6CB89CD3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A88B" w14:textId="01654C35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sulpiryd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C8B0" w14:textId="262942F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Tiki (F95.0; F95.1; F95.8; F95.9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F133A" w14:textId="5E546848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2165" w:rsidRPr="004D093B" w14:paraId="0447FC17" w14:textId="77777777" w:rsidTr="005558C1">
        <w:trPr>
          <w:cantSplit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C885" w14:textId="595D861B" w:rsidR="00402165" w:rsidRPr="004D093B" w:rsidRDefault="00402165" w:rsidP="0040216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8FED" w14:textId="589EB19B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Rożne nazwy handlowe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4972" w14:textId="5B106A70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50E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ziprasidon</w:t>
            </w:r>
            <w:proofErr w:type="spellEnd"/>
          </w:p>
        </w:tc>
        <w:tc>
          <w:tcPr>
            <w:tcW w:w="2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65CA" w14:textId="1FD03071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Tiki (F95.0; F95.1; F95.8; F95.9 wg ICD - 10) - do ukończenia 18. r.ż.</w:t>
            </w:r>
          </w:p>
        </w:tc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4EC3E" w14:textId="6E454497" w:rsidR="00402165" w:rsidRPr="00350EAD" w:rsidRDefault="00402165" w:rsidP="005558C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</w:t>
            </w:r>
            <w:proofErr w:type="spellStart"/>
            <w:r w:rsidRPr="00350EA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="000A4E7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2"/>
    </w:tbl>
    <w:p w14:paraId="71B7EE83" w14:textId="538D4784" w:rsidR="00E0315B" w:rsidRDefault="00E0315B">
      <w:pPr>
        <w:suppressAutoHyphens w:val="0"/>
        <w:rPr>
          <w:rFonts w:ascii="Lato" w:hAnsi="Lato"/>
          <w:b/>
          <w:bCs/>
          <w:color w:val="00B0F0"/>
        </w:rPr>
      </w:pPr>
    </w:p>
    <w:p w14:paraId="1622E3E3" w14:textId="08CFB636" w:rsidR="005558C1" w:rsidRPr="00E0315B" w:rsidRDefault="00E0315B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22B33C6F" w14:textId="1104F7C2" w:rsidR="00744FFB" w:rsidRDefault="00744FFB" w:rsidP="00744FFB">
      <w:pPr>
        <w:suppressAutoHyphens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color w:val="00B0F0"/>
          <w:sz w:val="28"/>
          <w:szCs w:val="28"/>
        </w:rPr>
        <w:lastRenderedPageBreak/>
        <w:t xml:space="preserve">BRAK REFUNDACJI LEKU </w:t>
      </w:r>
      <w:r w:rsidR="00350EAD">
        <w:rPr>
          <w:rFonts w:ascii="Lato" w:hAnsi="Lato"/>
          <w:b/>
          <w:bCs/>
          <w:color w:val="00B0F0"/>
          <w:sz w:val="28"/>
          <w:szCs w:val="28"/>
        </w:rPr>
        <w:t>TRULICITY</w:t>
      </w:r>
    </w:p>
    <w:p w14:paraId="4E8A37D9" w14:textId="77777777" w:rsidR="005C38AF" w:rsidRPr="00350EAD" w:rsidRDefault="005C38AF" w:rsidP="005C38AF">
      <w:pPr>
        <w:spacing w:after="0" w:line="360" w:lineRule="auto"/>
        <w:jc w:val="both"/>
        <w:rPr>
          <w:rFonts w:ascii="Lato" w:hAnsi="Lato"/>
        </w:rPr>
      </w:pPr>
      <w:r w:rsidRPr="00350EAD">
        <w:rPr>
          <w:rFonts w:ascii="Lato" w:hAnsi="Lato"/>
        </w:rPr>
        <w:t xml:space="preserve">30 września 2024 r. upływa termin obowiązywania decyzji o objęciu refundacją i ustaleniu ceny zbytu netto dla wszystkich refundowanych prezentacji leku </w:t>
      </w: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 – analogu GLP-1:</w:t>
      </w:r>
    </w:p>
    <w:p w14:paraId="278D6C08" w14:textId="77777777" w:rsidR="005C38AF" w:rsidRPr="00350EAD" w:rsidRDefault="005C38AF" w:rsidP="005C38AF">
      <w:pPr>
        <w:pStyle w:val="Akapitzlist"/>
        <w:numPr>
          <w:ilvl w:val="0"/>
          <w:numId w:val="37"/>
        </w:numPr>
        <w:suppressAutoHyphens w:val="0"/>
        <w:autoSpaceDN/>
        <w:spacing w:after="0" w:line="360" w:lineRule="auto"/>
        <w:jc w:val="both"/>
        <w:textAlignment w:val="auto"/>
        <w:rPr>
          <w:rFonts w:ascii="Lato" w:hAnsi="Lato"/>
        </w:rPr>
      </w:pP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, </w:t>
      </w:r>
      <w:proofErr w:type="spellStart"/>
      <w:r w:rsidRPr="00350EAD">
        <w:rPr>
          <w:rFonts w:ascii="Lato" w:hAnsi="Lato"/>
        </w:rPr>
        <w:t>Dulaglutidum</w:t>
      </w:r>
      <w:proofErr w:type="spellEnd"/>
      <w:r w:rsidRPr="00350EAD">
        <w:rPr>
          <w:rFonts w:ascii="Lato" w:hAnsi="Lato"/>
        </w:rPr>
        <w:t xml:space="preserve">, 0,75 mg, roztwór do wstrzykiwań, 2 </w:t>
      </w:r>
      <w:proofErr w:type="spellStart"/>
      <w:r w:rsidRPr="00350EAD">
        <w:rPr>
          <w:rFonts w:ascii="Lato" w:hAnsi="Lato"/>
        </w:rPr>
        <w:t>wstrzykiwacze</w:t>
      </w:r>
      <w:proofErr w:type="spellEnd"/>
      <w:r w:rsidRPr="00350EAD">
        <w:rPr>
          <w:rFonts w:ascii="Lato" w:hAnsi="Lato"/>
        </w:rPr>
        <w:t xml:space="preserve"> po 0,5 ml, GTIN: 05909991219130,</w:t>
      </w:r>
    </w:p>
    <w:p w14:paraId="77762D78" w14:textId="77777777" w:rsidR="005C38AF" w:rsidRPr="00350EAD" w:rsidRDefault="005C38AF" w:rsidP="005C38AF">
      <w:pPr>
        <w:pStyle w:val="Akapitzlist"/>
        <w:numPr>
          <w:ilvl w:val="0"/>
          <w:numId w:val="37"/>
        </w:numPr>
        <w:suppressAutoHyphens w:val="0"/>
        <w:autoSpaceDN/>
        <w:spacing w:after="0" w:line="360" w:lineRule="auto"/>
        <w:jc w:val="both"/>
        <w:textAlignment w:val="auto"/>
        <w:rPr>
          <w:rFonts w:ascii="Lato" w:hAnsi="Lato"/>
        </w:rPr>
      </w:pP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, </w:t>
      </w:r>
      <w:proofErr w:type="spellStart"/>
      <w:r w:rsidRPr="00350EAD">
        <w:rPr>
          <w:rFonts w:ascii="Lato" w:hAnsi="Lato"/>
        </w:rPr>
        <w:t>Dulaglutidum</w:t>
      </w:r>
      <w:proofErr w:type="spellEnd"/>
      <w:r w:rsidRPr="00350EAD">
        <w:rPr>
          <w:rFonts w:ascii="Lato" w:hAnsi="Lato"/>
        </w:rPr>
        <w:t xml:space="preserve">, 1,5 mg, roztwór do wstrzykiwań, 2 </w:t>
      </w:r>
      <w:proofErr w:type="spellStart"/>
      <w:r w:rsidRPr="00350EAD">
        <w:rPr>
          <w:rFonts w:ascii="Lato" w:hAnsi="Lato"/>
        </w:rPr>
        <w:t>wstrzykiwacze</w:t>
      </w:r>
      <w:proofErr w:type="spellEnd"/>
      <w:r w:rsidRPr="00350EAD">
        <w:rPr>
          <w:rFonts w:ascii="Lato" w:hAnsi="Lato"/>
        </w:rPr>
        <w:t xml:space="preserve"> po 0,5 ml, GTIN: 05909991219161,</w:t>
      </w:r>
    </w:p>
    <w:p w14:paraId="0BBB4823" w14:textId="77777777" w:rsidR="005C38AF" w:rsidRPr="00350EAD" w:rsidRDefault="005C38AF" w:rsidP="005C38AF">
      <w:pPr>
        <w:pStyle w:val="Akapitzlist"/>
        <w:numPr>
          <w:ilvl w:val="0"/>
          <w:numId w:val="37"/>
        </w:numPr>
        <w:suppressAutoHyphens w:val="0"/>
        <w:autoSpaceDN/>
        <w:spacing w:after="0" w:line="360" w:lineRule="auto"/>
        <w:jc w:val="both"/>
        <w:textAlignment w:val="auto"/>
        <w:rPr>
          <w:rFonts w:ascii="Lato" w:hAnsi="Lato"/>
        </w:rPr>
      </w:pP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, </w:t>
      </w:r>
      <w:proofErr w:type="spellStart"/>
      <w:r w:rsidRPr="00350EAD">
        <w:rPr>
          <w:rFonts w:ascii="Lato" w:hAnsi="Lato"/>
        </w:rPr>
        <w:t>Dulaglutidum</w:t>
      </w:r>
      <w:proofErr w:type="spellEnd"/>
      <w:r w:rsidRPr="00350EAD">
        <w:rPr>
          <w:rFonts w:ascii="Lato" w:hAnsi="Lato"/>
        </w:rPr>
        <w:t xml:space="preserve">, 3 mg, roztwór do wstrzykiwań, 2 </w:t>
      </w:r>
      <w:proofErr w:type="spellStart"/>
      <w:r w:rsidRPr="00350EAD">
        <w:rPr>
          <w:rFonts w:ascii="Lato" w:hAnsi="Lato"/>
        </w:rPr>
        <w:t>wstrzykiwacze</w:t>
      </w:r>
      <w:proofErr w:type="spellEnd"/>
      <w:r w:rsidRPr="00350EAD">
        <w:rPr>
          <w:rFonts w:ascii="Lato" w:hAnsi="Lato"/>
        </w:rPr>
        <w:t xml:space="preserve"> po 0,5 ml, GTIN: 08594012697638,</w:t>
      </w:r>
    </w:p>
    <w:p w14:paraId="2ACB1DCA" w14:textId="77777777" w:rsidR="005C38AF" w:rsidRPr="00350EAD" w:rsidRDefault="005C38AF" w:rsidP="005C38AF">
      <w:pPr>
        <w:pStyle w:val="Akapitzlist"/>
        <w:numPr>
          <w:ilvl w:val="0"/>
          <w:numId w:val="37"/>
        </w:numPr>
        <w:suppressAutoHyphens w:val="0"/>
        <w:autoSpaceDN/>
        <w:spacing w:after="0" w:line="360" w:lineRule="auto"/>
        <w:jc w:val="both"/>
        <w:textAlignment w:val="auto"/>
        <w:rPr>
          <w:rFonts w:ascii="Lato" w:hAnsi="Lato"/>
        </w:rPr>
      </w:pP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, </w:t>
      </w:r>
      <w:proofErr w:type="spellStart"/>
      <w:r w:rsidRPr="00350EAD">
        <w:rPr>
          <w:rFonts w:ascii="Lato" w:hAnsi="Lato"/>
        </w:rPr>
        <w:t>Dulaglutidum</w:t>
      </w:r>
      <w:proofErr w:type="spellEnd"/>
      <w:r w:rsidRPr="00350EAD">
        <w:rPr>
          <w:rFonts w:ascii="Lato" w:hAnsi="Lato"/>
        </w:rPr>
        <w:t xml:space="preserve">, 4,5 mg, roztwór do wstrzykiwań, 2 </w:t>
      </w:r>
      <w:proofErr w:type="spellStart"/>
      <w:r w:rsidRPr="00350EAD">
        <w:rPr>
          <w:rFonts w:ascii="Lato" w:hAnsi="Lato"/>
        </w:rPr>
        <w:t>wstrzykiwacze</w:t>
      </w:r>
      <w:proofErr w:type="spellEnd"/>
      <w:r w:rsidRPr="00350EAD">
        <w:rPr>
          <w:rFonts w:ascii="Lato" w:hAnsi="Lato"/>
        </w:rPr>
        <w:t xml:space="preserve"> po 0,5 ml, GTIN: 08594012697645,</w:t>
      </w:r>
    </w:p>
    <w:p w14:paraId="4D429544" w14:textId="77777777" w:rsidR="005C38AF" w:rsidRPr="00350EAD" w:rsidRDefault="005C38AF" w:rsidP="005C38AF">
      <w:pPr>
        <w:spacing w:after="0" w:line="360" w:lineRule="auto"/>
        <w:jc w:val="both"/>
        <w:rPr>
          <w:rFonts w:ascii="Lato" w:hAnsi="Lato"/>
        </w:rPr>
      </w:pPr>
      <w:r w:rsidRPr="00350EAD">
        <w:rPr>
          <w:rFonts w:ascii="Lato" w:hAnsi="Lato"/>
        </w:rPr>
        <w:t xml:space="preserve">podmiot odpowiedzialny Eli </w:t>
      </w:r>
      <w:proofErr w:type="spellStart"/>
      <w:r w:rsidRPr="00350EAD">
        <w:rPr>
          <w:rFonts w:ascii="Lato" w:hAnsi="Lato"/>
        </w:rPr>
        <w:t>Lilly</w:t>
      </w:r>
      <w:proofErr w:type="spellEnd"/>
      <w:r w:rsidRPr="00350EAD">
        <w:rPr>
          <w:rFonts w:ascii="Lato" w:hAnsi="Lato"/>
        </w:rPr>
        <w:t xml:space="preserve"> Polska sp. z o.o.</w:t>
      </w:r>
    </w:p>
    <w:p w14:paraId="0E65251A" w14:textId="77777777" w:rsidR="005C38AF" w:rsidRPr="00350EAD" w:rsidRDefault="005C38AF" w:rsidP="005C38AF">
      <w:pPr>
        <w:spacing w:after="0" w:line="360" w:lineRule="auto"/>
        <w:jc w:val="both"/>
        <w:rPr>
          <w:rFonts w:ascii="Lato" w:hAnsi="Lato"/>
        </w:rPr>
      </w:pPr>
    </w:p>
    <w:p w14:paraId="2DB522E1" w14:textId="77777777" w:rsidR="009C593F" w:rsidRDefault="005C38AF" w:rsidP="005C38AF">
      <w:pPr>
        <w:spacing w:after="0" w:line="360" w:lineRule="auto"/>
        <w:jc w:val="both"/>
        <w:rPr>
          <w:rFonts w:ascii="Lato" w:hAnsi="Lato"/>
        </w:rPr>
      </w:pPr>
      <w:r w:rsidRPr="00350EAD">
        <w:rPr>
          <w:rFonts w:ascii="Lato" w:hAnsi="Lato"/>
        </w:rPr>
        <w:t xml:space="preserve">Złożone przez Eli </w:t>
      </w:r>
      <w:proofErr w:type="spellStart"/>
      <w:r w:rsidRPr="00350EAD">
        <w:rPr>
          <w:rFonts w:ascii="Lato" w:hAnsi="Lato"/>
        </w:rPr>
        <w:t>Lilly</w:t>
      </w:r>
      <w:proofErr w:type="spellEnd"/>
      <w:r w:rsidRPr="00350EAD">
        <w:rPr>
          <w:rFonts w:ascii="Lato" w:hAnsi="Lato"/>
        </w:rPr>
        <w:t xml:space="preserve"> Polska sp. z o.o. wnioski o kontynuację refundacji leku </w:t>
      </w:r>
      <w:proofErr w:type="spellStart"/>
      <w:r w:rsidRPr="00350EAD">
        <w:rPr>
          <w:rFonts w:ascii="Lato" w:hAnsi="Lato"/>
        </w:rPr>
        <w:t>Trulicity</w:t>
      </w:r>
      <w:proofErr w:type="spellEnd"/>
      <w:r w:rsidRPr="00350EAD">
        <w:rPr>
          <w:rFonts w:ascii="Lato" w:hAnsi="Lato"/>
        </w:rPr>
        <w:t xml:space="preserve"> nie spełniały warunków określonych przepisami art. 13 ust. 2 ustawy z 12 maja 2011 r. </w:t>
      </w:r>
      <w:r w:rsidRPr="00350EAD">
        <w:rPr>
          <w:rFonts w:ascii="Lato" w:hAnsi="Lato"/>
          <w:i/>
          <w:iCs/>
        </w:rPr>
        <w:t>o refundacji leków, środków spożywczych specjalnego przeznaczenia żywieniowego oraz wyrobów medycznych</w:t>
      </w:r>
      <w:r w:rsidRPr="00350EAD">
        <w:rPr>
          <w:rFonts w:ascii="Lato" w:hAnsi="Lato"/>
        </w:rPr>
        <w:t xml:space="preserve"> (Dz. U. z 2024 r. poz. 930, z </w:t>
      </w:r>
      <w:proofErr w:type="spellStart"/>
      <w:r w:rsidRPr="00350EAD">
        <w:rPr>
          <w:rFonts w:ascii="Lato" w:hAnsi="Lato"/>
        </w:rPr>
        <w:t>późn</w:t>
      </w:r>
      <w:proofErr w:type="spellEnd"/>
      <w:r w:rsidRPr="00350EAD">
        <w:rPr>
          <w:rFonts w:ascii="Lato" w:hAnsi="Lato"/>
        </w:rPr>
        <w:t>. zm.</w:t>
      </w:r>
      <w:r w:rsidR="00402165">
        <w:rPr>
          <w:rFonts w:ascii="Lato" w:hAnsi="Lato"/>
        </w:rPr>
        <w:t>, dalej jako „ustawa o refundacji”</w:t>
      </w:r>
      <w:r w:rsidRPr="00350EAD">
        <w:rPr>
          <w:rFonts w:ascii="Lato" w:hAnsi="Lato"/>
        </w:rPr>
        <w:t>), który jednoznacznie wskazuje maksymalną cenę leku wnioskowanego wymaganą w przypadku objęcia refundacją produktu w momencie zakończenia jego okresu wyłączności rynkowej lub ochrony patentowej.</w:t>
      </w:r>
    </w:p>
    <w:p w14:paraId="21BB679E" w14:textId="77777777" w:rsidR="009C593F" w:rsidRDefault="005C38AF" w:rsidP="00402165">
      <w:pPr>
        <w:spacing w:after="0" w:line="360" w:lineRule="auto"/>
        <w:jc w:val="both"/>
        <w:rPr>
          <w:rFonts w:ascii="Lato" w:hAnsi="Lato"/>
        </w:rPr>
      </w:pPr>
      <w:r w:rsidRPr="0088347A">
        <w:rPr>
          <w:rFonts w:ascii="Lato" w:hAnsi="Lato"/>
        </w:rPr>
        <w:t>W związku z powyższym Minister Zdrowia nie ma prawnych możliwości kontynuowania refundacji tych leków od 1 października 2024 r. na</w:t>
      </w:r>
      <w:r w:rsidR="009C593F">
        <w:rPr>
          <w:rFonts w:ascii="Lato" w:hAnsi="Lato"/>
        </w:rPr>
        <w:t xml:space="preserve"> </w:t>
      </w:r>
      <w:r w:rsidRPr="00350EAD">
        <w:rPr>
          <w:rFonts w:ascii="Lato" w:hAnsi="Lato"/>
        </w:rPr>
        <w:t>zaproponowanych przez podmiot odpowiedzialny warunkach.</w:t>
      </w:r>
    </w:p>
    <w:p w14:paraId="10B850C0" w14:textId="77777777" w:rsidR="009C593F" w:rsidRDefault="009C593F" w:rsidP="00402165">
      <w:pPr>
        <w:spacing w:after="0" w:line="360" w:lineRule="auto"/>
        <w:jc w:val="both"/>
        <w:rPr>
          <w:rFonts w:ascii="Lato" w:hAnsi="Lato"/>
        </w:rPr>
      </w:pPr>
    </w:p>
    <w:p w14:paraId="35607ED1" w14:textId="09FE8299" w:rsidR="009C593F" w:rsidRDefault="00BB4696" w:rsidP="005C38AF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Niezależnie od powyższego, podmiot odpowiedzialny Eli </w:t>
      </w:r>
      <w:proofErr w:type="spellStart"/>
      <w:r>
        <w:rPr>
          <w:rFonts w:ascii="Lato" w:hAnsi="Lato"/>
        </w:rPr>
        <w:t>Lilly</w:t>
      </w:r>
      <w:proofErr w:type="spellEnd"/>
      <w:r>
        <w:rPr>
          <w:rFonts w:ascii="Lato" w:hAnsi="Lato"/>
        </w:rPr>
        <w:t xml:space="preserve"> Polska sp. z o.o. przedłożył nowe wnioski refundacyjne dla ww. prezentacji leku </w:t>
      </w:r>
      <w:proofErr w:type="spellStart"/>
      <w:r>
        <w:rPr>
          <w:rFonts w:ascii="Lato" w:hAnsi="Lato"/>
        </w:rPr>
        <w:t>Trulicity</w:t>
      </w:r>
      <w:proofErr w:type="spellEnd"/>
      <w:r>
        <w:rPr>
          <w:rFonts w:ascii="Lato" w:hAnsi="Lato"/>
        </w:rPr>
        <w:t xml:space="preserve">, które obecnie podlegają ocenie Agencji Oceny Technologii Medycznych i Taryfikacji celem przygotowania </w:t>
      </w:r>
      <w:r w:rsidR="00402165" w:rsidRPr="00402165">
        <w:rPr>
          <w:rFonts w:ascii="Lato" w:hAnsi="Lato"/>
        </w:rPr>
        <w:t xml:space="preserve">analizy weryfikacyjnej </w:t>
      </w:r>
      <w:r w:rsidR="00402165">
        <w:rPr>
          <w:rFonts w:ascii="Lato" w:hAnsi="Lato"/>
        </w:rPr>
        <w:t xml:space="preserve">Agencji, </w:t>
      </w:r>
      <w:r w:rsidR="00402165" w:rsidRPr="00402165">
        <w:rPr>
          <w:rFonts w:ascii="Lato" w:hAnsi="Lato"/>
        </w:rPr>
        <w:t>stanowiska Rady Przejrzystości</w:t>
      </w:r>
      <w:r w:rsidR="00402165">
        <w:rPr>
          <w:rFonts w:ascii="Lato" w:hAnsi="Lato"/>
        </w:rPr>
        <w:t xml:space="preserve"> oraz </w:t>
      </w:r>
      <w:r w:rsidR="00402165" w:rsidRPr="00402165">
        <w:rPr>
          <w:rFonts w:ascii="Lato" w:hAnsi="Lato"/>
        </w:rPr>
        <w:t>rekomendacji Prezesa Agencji</w:t>
      </w:r>
      <w:r w:rsidR="00402165">
        <w:rPr>
          <w:rFonts w:ascii="Lato" w:hAnsi="Lato"/>
        </w:rPr>
        <w:t xml:space="preserve">, o których mowa w art. 35 ust. 1 ustawy o refundacji. </w:t>
      </w:r>
    </w:p>
    <w:p w14:paraId="4977F57F" w14:textId="156095D3" w:rsidR="00402165" w:rsidRDefault="00402165" w:rsidP="005C38AF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Szczegóły dotyczące zlecenia dostępne w Biuletynie Informacji Publicznej Agencji pod adresem:</w:t>
      </w:r>
    </w:p>
    <w:p w14:paraId="1F2DF59B" w14:textId="7B0530E3" w:rsidR="005558C1" w:rsidRDefault="00BB4696" w:rsidP="00E0315B">
      <w:pPr>
        <w:spacing w:after="0" w:line="360" w:lineRule="auto"/>
        <w:jc w:val="both"/>
        <w:rPr>
          <w:rFonts w:ascii="Lato" w:hAnsi="Lato"/>
        </w:rPr>
      </w:pPr>
      <w:r w:rsidRPr="00BB4696">
        <w:rPr>
          <w:rFonts w:ascii="Lato" w:hAnsi="Lato"/>
        </w:rPr>
        <w:t>https://bip.aotm.gov.pl/zlecenia-mz-2024/1033-materialy-2024/8681-163-2024-zlc?highlight=WyJ0cnVsaWNpdHkiXQ==</w:t>
      </w:r>
    </w:p>
    <w:p w14:paraId="1431868B" w14:textId="77777777" w:rsidR="001D4EDF" w:rsidRDefault="001D4ED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556CD526" w14:textId="238DDBAF" w:rsidR="00143B25" w:rsidRPr="00600932" w:rsidRDefault="00143B25" w:rsidP="00143B25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50EAD">
        <w:rPr>
          <w:rFonts w:ascii="Lato" w:hAnsi="Lato"/>
          <w:b/>
          <w:bCs/>
          <w:color w:val="00B0F0"/>
          <w:sz w:val="28"/>
          <w:szCs w:val="28"/>
        </w:rPr>
        <w:lastRenderedPageBreak/>
        <w:t>ROZSZERZENIE WSKAZAŃ REFUNDACYJNYCH DLA OPIOIDOWYCH LEKÓW PRZECIWBÓLOWYCH</w:t>
      </w:r>
    </w:p>
    <w:p w14:paraId="4B39FF00" w14:textId="77777777" w:rsidR="00143B25" w:rsidRPr="00027685" w:rsidRDefault="00143B25" w:rsidP="0032369B">
      <w:pPr>
        <w:suppressAutoHyphens w:val="0"/>
        <w:spacing w:line="360" w:lineRule="auto"/>
        <w:jc w:val="both"/>
        <w:rPr>
          <w:rFonts w:ascii="Lato" w:hAnsi="Lato"/>
        </w:rPr>
      </w:pPr>
      <w:r w:rsidRPr="00027685">
        <w:rPr>
          <w:rFonts w:ascii="Lato" w:hAnsi="Lato"/>
        </w:rPr>
        <w:t>W odpowiedzi na postulaty i oczekiwania środowiska medycznego oraz pacjentów Minister Zdrowia podjął działania mające na celu ujednolicenie i uproszczenie dotychczasowych wskazań refundacyjnych opioidowych leków przeciwbólowych.  Po zasięgnięciu opinii Rady Przejrzystości</w:t>
      </w:r>
      <w:r>
        <w:rPr>
          <w:rFonts w:ascii="Lato" w:hAnsi="Lato"/>
        </w:rPr>
        <w:t xml:space="preserve"> oraz</w:t>
      </w:r>
      <w:r w:rsidRPr="00027685">
        <w:rPr>
          <w:rFonts w:ascii="Lato" w:hAnsi="Lato"/>
        </w:rPr>
        <w:t xml:space="preserve"> Konsultanta Krajowego Minister Zdrowia podjął decyzję o modyfikacji dotychczasowych wskazań refundacyjnych produktów leczniczych zawierających fentanyl, metadon, morfinę (postacie doustne), </w:t>
      </w:r>
      <w:proofErr w:type="spellStart"/>
      <w:r w:rsidRPr="00027685">
        <w:rPr>
          <w:rFonts w:ascii="Lato" w:hAnsi="Lato"/>
        </w:rPr>
        <w:t>oksykodon</w:t>
      </w:r>
      <w:proofErr w:type="spellEnd"/>
      <w:r w:rsidRPr="00027685">
        <w:rPr>
          <w:rFonts w:ascii="Lato" w:hAnsi="Lato"/>
        </w:rPr>
        <w:t xml:space="preserve">, </w:t>
      </w:r>
      <w:proofErr w:type="spellStart"/>
      <w:r w:rsidRPr="00027685">
        <w:rPr>
          <w:rFonts w:ascii="Lato" w:hAnsi="Lato"/>
        </w:rPr>
        <w:t>oksykodon</w:t>
      </w:r>
      <w:proofErr w:type="spellEnd"/>
      <w:r w:rsidRPr="00027685">
        <w:rPr>
          <w:rFonts w:ascii="Lato" w:hAnsi="Lato"/>
        </w:rPr>
        <w:t xml:space="preserve"> w połączeniu z </w:t>
      </w:r>
      <w:proofErr w:type="spellStart"/>
      <w:r w:rsidRPr="00027685">
        <w:rPr>
          <w:rFonts w:ascii="Lato" w:hAnsi="Lato"/>
        </w:rPr>
        <w:t>naloksonem</w:t>
      </w:r>
      <w:proofErr w:type="spellEnd"/>
      <w:r w:rsidRPr="00027685">
        <w:rPr>
          <w:rFonts w:ascii="Lato" w:hAnsi="Lato"/>
        </w:rPr>
        <w:t xml:space="preserve">, </w:t>
      </w:r>
      <w:proofErr w:type="spellStart"/>
      <w:r w:rsidRPr="00027685">
        <w:rPr>
          <w:rFonts w:ascii="Lato" w:hAnsi="Lato"/>
        </w:rPr>
        <w:t>tapentadol</w:t>
      </w:r>
      <w:proofErr w:type="spellEnd"/>
      <w:r w:rsidRPr="00027685">
        <w:rPr>
          <w:rFonts w:ascii="Lato" w:hAnsi="Lato"/>
        </w:rPr>
        <w:t xml:space="preserve">. </w:t>
      </w:r>
    </w:p>
    <w:p w14:paraId="0AF887EF" w14:textId="3AB7A1BD" w:rsidR="00143B25" w:rsidRDefault="00143B25" w:rsidP="0032369B">
      <w:pPr>
        <w:spacing w:line="360" w:lineRule="auto"/>
        <w:jc w:val="both"/>
        <w:rPr>
          <w:rFonts w:ascii="Lato" w:hAnsi="Lato"/>
        </w:rPr>
      </w:pPr>
      <w:r w:rsidRPr="00027685">
        <w:rPr>
          <w:rFonts w:ascii="Lato" w:hAnsi="Lato"/>
        </w:rPr>
        <w:t>Z dniem 1 października 2024 r. obowiązywać będą nowe treści wskazań refundacyjnych ww. produktów leczniczych, które rozszerzają grupę</w:t>
      </w:r>
      <w:r>
        <w:rPr>
          <w:rFonts w:ascii="Lato" w:hAnsi="Lato"/>
        </w:rPr>
        <w:t xml:space="preserve"> pacjentów, dla których przysługuje obniżona odpłatność za leki, m.in. o pacjentów z nowotworami niezłośliwymi.</w:t>
      </w:r>
      <w:r w:rsidR="0032369B">
        <w:rPr>
          <w:rFonts w:ascii="Lato" w:hAnsi="Lato"/>
        </w:rPr>
        <w:t xml:space="preserve"> Ponadto, w wielu przypadkach nowe wskazanie referuje do wskazań obecnie zarejestrowanych, zgodnych z Charakterystyką Produktu Leczniczego, upraszczając i ujednolicając tym samym cześć opisowych wskazań leków opioidowych aktualnie znajdujących się na wykazie refundacyjnym Ministra Zdrowia.</w:t>
      </w:r>
    </w:p>
    <w:p w14:paraId="2EF68E41" w14:textId="40932ED5" w:rsidR="00E0315B" w:rsidRDefault="00E0315B" w:rsidP="0032369B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Zmiany, o których mowa powyżej obejmą łącznie 86 leków, rozumianych jako indywidualne kody GTIN.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5652"/>
        <w:gridCol w:w="5653"/>
      </w:tblGrid>
      <w:tr w:rsidR="00143B25" w:rsidRPr="00DC3BA8" w14:paraId="12CC1DC9" w14:textId="77777777" w:rsidTr="006422E4">
        <w:tc>
          <w:tcPr>
            <w:tcW w:w="2689" w:type="dxa"/>
            <w:shd w:val="clear" w:color="auto" w:fill="00B0F0"/>
            <w:vAlign w:val="center"/>
          </w:tcPr>
          <w:p w14:paraId="7B8382A2" w14:textId="77777777" w:rsidR="00143B25" w:rsidRPr="00DC3BA8" w:rsidRDefault="00143B25" w:rsidP="006422E4">
            <w:pPr>
              <w:spacing w:before="60" w:after="60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C3BA8">
              <w:rPr>
                <w:rFonts w:ascii="Lato" w:hAnsi="Lato" w:cstheme="majorHAnsi"/>
                <w:b/>
                <w:bCs/>
                <w:color w:val="FFFFFF" w:themeColor="background1"/>
              </w:rPr>
              <w:t>Lek</w:t>
            </w:r>
          </w:p>
        </w:tc>
        <w:tc>
          <w:tcPr>
            <w:tcW w:w="5652" w:type="dxa"/>
            <w:shd w:val="clear" w:color="auto" w:fill="00B0F0"/>
            <w:vAlign w:val="center"/>
          </w:tcPr>
          <w:p w14:paraId="7F37847F" w14:textId="77777777" w:rsidR="00143B25" w:rsidRPr="00DC3BA8" w:rsidRDefault="00143B25" w:rsidP="006422E4">
            <w:pPr>
              <w:spacing w:before="60" w:after="60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C3BA8">
              <w:rPr>
                <w:rFonts w:ascii="Lato" w:hAnsi="Lato" w:cstheme="majorHAnsi"/>
                <w:b/>
                <w:bCs/>
                <w:color w:val="FFFFFF" w:themeColor="background1"/>
              </w:rPr>
              <w:t>Obecne wskazanie</w:t>
            </w:r>
          </w:p>
        </w:tc>
        <w:tc>
          <w:tcPr>
            <w:tcW w:w="5653" w:type="dxa"/>
            <w:shd w:val="clear" w:color="auto" w:fill="00B0F0"/>
            <w:vAlign w:val="center"/>
          </w:tcPr>
          <w:p w14:paraId="0FE301E3" w14:textId="77777777" w:rsidR="00143B25" w:rsidRPr="00DC3BA8" w:rsidRDefault="00143B25" w:rsidP="006422E4">
            <w:pPr>
              <w:spacing w:before="60" w:after="60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C3BA8">
              <w:rPr>
                <w:rFonts w:ascii="Lato" w:hAnsi="Lato" w:cstheme="majorHAnsi"/>
                <w:b/>
                <w:bCs/>
                <w:color w:val="FFFFFF" w:themeColor="background1"/>
              </w:rPr>
              <w:t>Docelowe wskazanie</w:t>
            </w:r>
          </w:p>
        </w:tc>
      </w:tr>
      <w:tr w:rsidR="00143B25" w:rsidRPr="00A05C45" w14:paraId="5221A424" w14:textId="77777777" w:rsidTr="006422E4">
        <w:tc>
          <w:tcPr>
            <w:tcW w:w="2689" w:type="dxa"/>
            <w:vAlign w:val="center"/>
          </w:tcPr>
          <w:p w14:paraId="3B9F63F6" w14:textId="783D2617" w:rsidR="00143B25" w:rsidRPr="00045F37" w:rsidRDefault="00143B25" w:rsidP="006422E4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Fentanyl</w:t>
            </w:r>
            <w:r w:rsidR="00402165">
              <w:rPr>
                <w:rFonts w:ascii="Lato" w:hAnsi="Lato"/>
                <w:sz w:val="18"/>
                <w:szCs w:val="18"/>
              </w:rPr>
              <w:br/>
              <w:t>(doustna forma stała)</w:t>
            </w:r>
          </w:p>
        </w:tc>
        <w:tc>
          <w:tcPr>
            <w:tcW w:w="5652" w:type="dxa"/>
            <w:vAlign w:val="center"/>
          </w:tcPr>
          <w:p w14:paraId="6CCABA31" w14:textId="77777777" w:rsidR="00143B25" w:rsidRPr="00045F37" w:rsidRDefault="00143B25" w:rsidP="006422E4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Ból przebijający u dorosłych pacjentów z chorobą nowotworową, którzy w ramach leczenia przewlekłego bólu nowotworowego poddawani są opioidowej terapii podtrzymującej, a u których istnieją udokumentowane przeciwwskazania do stosowania innych krótkotrwale działających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opioidów</w:t>
            </w:r>
            <w:proofErr w:type="spellEnd"/>
            <w:r w:rsidRPr="00045F37">
              <w:rPr>
                <w:rFonts w:ascii="Lato" w:hAnsi="Lato"/>
                <w:sz w:val="18"/>
                <w:szCs w:val="18"/>
              </w:rPr>
              <w:t xml:space="preserve"> lub stwierdzono nieskuteczność tych leków</w:t>
            </w:r>
          </w:p>
        </w:tc>
        <w:tc>
          <w:tcPr>
            <w:tcW w:w="5653" w:type="dxa"/>
            <w:vAlign w:val="center"/>
          </w:tcPr>
          <w:p w14:paraId="3855E43C" w14:textId="77777777" w:rsidR="00143B25" w:rsidRPr="00045F37" w:rsidRDefault="00143B25" w:rsidP="006422E4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We wszystkich zarejestrowanych wskazaniach na dzień wydania decyzji</w:t>
            </w:r>
          </w:p>
        </w:tc>
      </w:tr>
      <w:tr w:rsidR="00402165" w:rsidRPr="00A05C45" w14:paraId="02FAEEB2" w14:textId="77777777" w:rsidTr="006422E4">
        <w:tc>
          <w:tcPr>
            <w:tcW w:w="2689" w:type="dxa"/>
            <w:vAlign w:val="center"/>
          </w:tcPr>
          <w:p w14:paraId="3D88CD37" w14:textId="4D790FDA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Fentanyl</w:t>
            </w:r>
            <w:r>
              <w:rPr>
                <w:rFonts w:ascii="Lato" w:hAnsi="Lato"/>
                <w:sz w:val="18"/>
                <w:szCs w:val="18"/>
              </w:rPr>
              <w:br/>
              <w:t>(donosowa postać)</w:t>
            </w:r>
          </w:p>
        </w:tc>
        <w:tc>
          <w:tcPr>
            <w:tcW w:w="5652" w:type="dxa"/>
            <w:vAlign w:val="center"/>
          </w:tcPr>
          <w:p w14:paraId="44358954" w14:textId="15DE8EFD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Ból przebijający u dorosłych pacjentów z chorobą nowotworową, którzy w ramach leczenia przewlekłego bólu nowotworowego poddawani są opioidowej terapii podtrzymującej, a u których istnieją udokumentowane przeciwwskazania do stosowania innych krótkotrwale działających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opioidów</w:t>
            </w:r>
            <w:proofErr w:type="spellEnd"/>
            <w:r w:rsidRPr="00045F37">
              <w:rPr>
                <w:rFonts w:ascii="Lato" w:hAnsi="Lato"/>
                <w:sz w:val="18"/>
                <w:szCs w:val="18"/>
              </w:rPr>
              <w:t xml:space="preserve"> lub stwierdzono nieskuteczność tych leków</w:t>
            </w:r>
          </w:p>
        </w:tc>
        <w:tc>
          <w:tcPr>
            <w:tcW w:w="5653" w:type="dxa"/>
            <w:vAlign w:val="center"/>
          </w:tcPr>
          <w:p w14:paraId="54E226E4" w14:textId="16202D9F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We wszystkich zarejestrowanych wskazaniach na dzień wydania decyzji</w:t>
            </w:r>
          </w:p>
        </w:tc>
      </w:tr>
      <w:tr w:rsidR="00402165" w:rsidRPr="00A05C45" w14:paraId="571B723B" w14:textId="77777777" w:rsidTr="006422E4">
        <w:tc>
          <w:tcPr>
            <w:tcW w:w="2689" w:type="dxa"/>
            <w:vAlign w:val="center"/>
          </w:tcPr>
          <w:p w14:paraId="5F2A35AE" w14:textId="007CCD8B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Fentanyl</w:t>
            </w:r>
            <w:r>
              <w:rPr>
                <w:rFonts w:ascii="Lato" w:hAnsi="Lato"/>
                <w:sz w:val="18"/>
                <w:szCs w:val="18"/>
              </w:rPr>
              <w:br/>
              <w:t xml:space="preserve">(systemy </w:t>
            </w:r>
            <w:proofErr w:type="spellStart"/>
            <w:r>
              <w:rPr>
                <w:rFonts w:ascii="Lato" w:hAnsi="Lato"/>
                <w:sz w:val="18"/>
                <w:szCs w:val="18"/>
              </w:rPr>
              <w:t>transdermalne</w:t>
            </w:r>
            <w:proofErr w:type="spellEnd"/>
            <w:r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5652" w:type="dxa"/>
            <w:vAlign w:val="center"/>
          </w:tcPr>
          <w:p w14:paraId="715A2CA0" w14:textId="63F19030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402165">
              <w:rPr>
                <w:rFonts w:ascii="Lato" w:hAnsi="Lato"/>
                <w:sz w:val="18"/>
                <w:szCs w:val="18"/>
              </w:rPr>
              <w:t xml:space="preserve">Neuralgia </w:t>
            </w:r>
            <w:proofErr w:type="spellStart"/>
            <w:r w:rsidRPr="00402165">
              <w:rPr>
                <w:rFonts w:ascii="Lato" w:hAnsi="Lato"/>
                <w:sz w:val="18"/>
                <w:szCs w:val="18"/>
              </w:rPr>
              <w:t>popółpaścowa</w:t>
            </w:r>
            <w:proofErr w:type="spellEnd"/>
            <w:r w:rsidRPr="00402165">
              <w:rPr>
                <w:rFonts w:ascii="Lato" w:hAnsi="Lato"/>
                <w:sz w:val="18"/>
                <w:szCs w:val="18"/>
              </w:rPr>
              <w:t xml:space="preserve"> przewlekła; Nowotwory złośliwe; Wieloobjawowy miejscowy zespół bólowy typu I - odruchowa dystrofia współczulna oraz typu II – kauzalgia</w:t>
            </w:r>
          </w:p>
        </w:tc>
        <w:tc>
          <w:tcPr>
            <w:tcW w:w="5653" w:type="dxa"/>
            <w:vAlign w:val="center"/>
          </w:tcPr>
          <w:p w14:paraId="2B6EDCDA" w14:textId="4C4864D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We wszystkich zarejestrowanych wskazaniach na dzień wydania decyzji</w:t>
            </w:r>
          </w:p>
        </w:tc>
      </w:tr>
      <w:tr w:rsidR="00402165" w:rsidRPr="00A05C45" w14:paraId="30EEC2BF" w14:textId="77777777" w:rsidTr="006422E4">
        <w:tc>
          <w:tcPr>
            <w:tcW w:w="2689" w:type="dxa"/>
            <w:vAlign w:val="center"/>
          </w:tcPr>
          <w:p w14:paraId="6FA2EAD1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lastRenderedPageBreak/>
              <w:t>Metadon</w:t>
            </w:r>
          </w:p>
        </w:tc>
        <w:tc>
          <w:tcPr>
            <w:tcW w:w="5652" w:type="dxa"/>
            <w:vAlign w:val="center"/>
          </w:tcPr>
          <w:p w14:paraId="581749C9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Nowotwory złośliwe</w:t>
            </w:r>
          </w:p>
        </w:tc>
        <w:tc>
          <w:tcPr>
            <w:tcW w:w="5653" w:type="dxa"/>
            <w:vAlign w:val="center"/>
          </w:tcPr>
          <w:p w14:paraId="10769996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Umiarkowany lub silny ból, który nie może być skutecznie leczony nieopioidowymi lekami przeciwbólowymi; nowotwory złośliwe</w:t>
            </w:r>
          </w:p>
        </w:tc>
      </w:tr>
      <w:tr w:rsidR="00402165" w:rsidRPr="00A05C45" w14:paraId="2AD0BD10" w14:textId="77777777" w:rsidTr="006422E4">
        <w:tc>
          <w:tcPr>
            <w:tcW w:w="2689" w:type="dxa"/>
            <w:vAlign w:val="center"/>
          </w:tcPr>
          <w:p w14:paraId="1C9A88E1" w14:textId="77777777" w:rsidR="00402165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Morfina </w:t>
            </w:r>
          </w:p>
          <w:p w14:paraId="52B1D627" w14:textId="02F2184A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(doustna</w:t>
            </w:r>
            <w:r>
              <w:rPr>
                <w:rFonts w:ascii="Lato" w:hAnsi="Lato"/>
                <w:sz w:val="18"/>
                <w:szCs w:val="18"/>
              </w:rPr>
              <w:t xml:space="preserve"> forma stała i płynna</w:t>
            </w:r>
            <w:r w:rsidRPr="00045F37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5652" w:type="dxa"/>
            <w:vAlign w:val="center"/>
          </w:tcPr>
          <w:p w14:paraId="0B717BED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Neuralgia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popółpaścowa</w:t>
            </w:r>
            <w:proofErr w:type="spellEnd"/>
            <w:r w:rsidRPr="00045F37">
              <w:rPr>
                <w:rFonts w:ascii="Lato" w:hAnsi="Lato"/>
                <w:sz w:val="18"/>
                <w:szCs w:val="18"/>
              </w:rPr>
              <w:t xml:space="preserve"> przewlekła; Wieloobjawowy miejscowy zespół bólowy typu I - odruchowa dystrofia współczulna oraz typu II – kauzalgia</w:t>
            </w:r>
          </w:p>
        </w:tc>
        <w:tc>
          <w:tcPr>
            <w:tcW w:w="5653" w:type="dxa"/>
            <w:vAlign w:val="center"/>
          </w:tcPr>
          <w:p w14:paraId="1BABD9D7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We wszystkich zarejestrowanych wskazaniach na dzień wydania decyzji</w:t>
            </w:r>
          </w:p>
        </w:tc>
      </w:tr>
      <w:tr w:rsidR="00402165" w:rsidRPr="00A05C45" w14:paraId="2FD5F113" w14:textId="77777777" w:rsidTr="006422E4">
        <w:tc>
          <w:tcPr>
            <w:tcW w:w="2689" w:type="dxa"/>
            <w:vAlign w:val="center"/>
          </w:tcPr>
          <w:p w14:paraId="24F1CBE2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5652" w:type="dxa"/>
            <w:vAlign w:val="center"/>
          </w:tcPr>
          <w:p w14:paraId="6B275200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Neuralgia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popółpaścowa</w:t>
            </w:r>
            <w:proofErr w:type="spellEnd"/>
            <w:r w:rsidRPr="00045F37">
              <w:rPr>
                <w:rFonts w:ascii="Lato" w:hAnsi="Lato"/>
                <w:sz w:val="18"/>
                <w:szCs w:val="18"/>
              </w:rPr>
              <w:t xml:space="preserve"> przewlekła; Nowotwory złośliwe; Wieloobjawowy miejscowy zespół bólowy typu I - odruchowa dystrofia współczulna oraz typu II – kauzalgia</w:t>
            </w:r>
          </w:p>
        </w:tc>
        <w:tc>
          <w:tcPr>
            <w:tcW w:w="5653" w:type="dxa"/>
            <w:vAlign w:val="center"/>
          </w:tcPr>
          <w:p w14:paraId="5E81ACFB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Nowotwory złośliwe</w:t>
            </w:r>
          </w:p>
        </w:tc>
      </w:tr>
      <w:tr w:rsidR="00402165" w:rsidRPr="00A05C45" w14:paraId="0A314102" w14:textId="77777777" w:rsidTr="006422E4">
        <w:tc>
          <w:tcPr>
            <w:tcW w:w="2689" w:type="dxa"/>
            <w:vAlign w:val="center"/>
          </w:tcPr>
          <w:p w14:paraId="3D8E4237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Oksykodon</w:t>
            </w:r>
            <w:proofErr w:type="spellEnd"/>
            <w:r w:rsidRPr="00045F37">
              <w:rPr>
                <w:rFonts w:ascii="Lato" w:hAnsi="Lato"/>
                <w:sz w:val="18"/>
                <w:szCs w:val="18"/>
              </w:rPr>
              <w:t xml:space="preserve"> +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nalokson</w:t>
            </w:r>
            <w:proofErr w:type="spellEnd"/>
          </w:p>
        </w:tc>
        <w:tc>
          <w:tcPr>
            <w:tcW w:w="5652" w:type="dxa"/>
            <w:vAlign w:val="center"/>
          </w:tcPr>
          <w:p w14:paraId="158F096E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Ból w przebiegu chorób nowotworowych – u pacjentów, u których występują zaparcia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poopioidowe</w:t>
            </w:r>
            <w:proofErr w:type="spellEnd"/>
          </w:p>
        </w:tc>
        <w:tc>
          <w:tcPr>
            <w:tcW w:w="5653" w:type="dxa"/>
            <w:vAlign w:val="center"/>
          </w:tcPr>
          <w:p w14:paraId="2B698572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 xml:space="preserve">Ból w przebiegu chorób nowotworowych i nienowotworowych – u pacjentów, u których występują zaparcia </w:t>
            </w: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poopioidowe</w:t>
            </w:r>
            <w:proofErr w:type="spellEnd"/>
          </w:p>
        </w:tc>
      </w:tr>
      <w:tr w:rsidR="00402165" w:rsidRPr="00A05C45" w14:paraId="464C5474" w14:textId="77777777" w:rsidTr="006422E4">
        <w:tc>
          <w:tcPr>
            <w:tcW w:w="2689" w:type="dxa"/>
            <w:vAlign w:val="center"/>
          </w:tcPr>
          <w:p w14:paraId="1E978DFF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proofErr w:type="spellStart"/>
            <w:r w:rsidRPr="00045F37">
              <w:rPr>
                <w:rFonts w:ascii="Lato" w:hAnsi="Lato"/>
                <w:sz w:val="18"/>
                <w:szCs w:val="18"/>
              </w:rPr>
              <w:t>Tapentadol</w:t>
            </w:r>
            <w:proofErr w:type="spellEnd"/>
          </w:p>
        </w:tc>
        <w:tc>
          <w:tcPr>
            <w:tcW w:w="5652" w:type="dxa"/>
            <w:vAlign w:val="center"/>
          </w:tcPr>
          <w:p w14:paraId="372F1FD1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Przewlekły ból o dużym nasileniu w przebiegu chorób nowotworowych - u dorosłych pacjentów, u których nie uzyskano odpowiedniej kontroli bólu po zastosowaniu morfiny o zmodyfikowanym lub przedłużonym uwalnianiu lub u których nie jest tolerowana</w:t>
            </w:r>
          </w:p>
        </w:tc>
        <w:tc>
          <w:tcPr>
            <w:tcW w:w="5653" w:type="dxa"/>
            <w:vAlign w:val="center"/>
          </w:tcPr>
          <w:p w14:paraId="25E466E6" w14:textId="77777777" w:rsidR="00402165" w:rsidRPr="00045F37" w:rsidRDefault="00402165" w:rsidP="00402165">
            <w:pPr>
              <w:spacing w:before="60" w:after="60"/>
              <w:jc w:val="center"/>
              <w:rPr>
                <w:rFonts w:ascii="Lato" w:hAnsi="Lato"/>
                <w:sz w:val="18"/>
                <w:szCs w:val="18"/>
              </w:rPr>
            </w:pPr>
            <w:r w:rsidRPr="00045F37">
              <w:rPr>
                <w:rFonts w:ascii="Lato" w:hAnsi="Lato"/>
                <w:sz w:val="18"/>
                <w:szCs w:val="18"/>
              </w:rPr>
              <w:t>We wszystkich zarejestrowanych wskazaniach na dzień wydania decyzji</w:t>
            </w:r>
          </w:p>
        </w:tc>
      </w:tr>
    </w:tbl>
    <w:p w14:paraId="5A6FFD98" w14:textId="77777777" w:rsidR="009C593F" w:rsidRDefault="009C593F" w:rsidP="000D65DF">
      <w:pPr>
        <w:spacing w:line="360" w:lineRule="auto"/>
        <w:jc w:val="both"/>
        <w:rPr>
          <w:rFonts w:ascii="Lato" w:hAnsi="Lato"/>
        </w:rPr>
      </w:pPr>
    </w:p>
    <w:p w14:paraId="7EEC8216" w14:textId="77777777" w:rsidR="009C593F" w:rsidRDefault="009C593F" w:rsidP="000D65DF">
      <w:pPr>
        <w:spacing w:line="360" w:lineRule="auto"/>
        <w:jc w:val="both"/>
        <w:rPr>
          <w:rFonts w:ascii="Lato" w:hAnsi="Lato"/>
        </w:rPr>
      </w:pPr>
    </w:p>
    <w:p w14:paraId="73439078" w14:textId="2D664F12" w:rsidR="00402165" w:rsidRPr="00402165" w:rsidRDefault="00402165" w:rsidP="009C593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 w:rsidRPr="00402165">
        <w:rPr>
          <w:rFonts w:ascii="Lato" w:hAnsi="Lato"/>
          <w:b/>
          <w:bCs/>
          <w:color w:val="00B0F0"/>
          <w:sz w:val="28"/>
          <w:szCs w:val="28"/>
        </w:rPr>
        <w:t>ROZSZERZENIE WSKAZAŃ POZAREJESTRACYJNYCH (OFF-LABEL) LEKÓW STOSOWANYCH W PSYCHIATRII</w:t>
      </w:r>
    </w:p>
    <w:p w14:paraId="020A44D5" w14:textId="50282F81" w:rsidR="00402165" w:rsidRPr="00402165" w:rsidRDefault="00402165" w:rsidP="00402165">
      <w:pPr>
        <w:suppressAutoHyphens w:val="0"/>
        <w:spacing w:line="360" w:lineRule="auto"/>
        <w:jc w:val="both"/>
        <w:rPr>
          <w:rFonts w:ascii="Lato" w:hAnsi="Lato"/>
          <w:b/>
          <w:bCs/>
        </w:rPr>
      </w:pPr>
      <w:r>
        <w:rPr>
          <w:rFonts w:ascii="Lato" w:hAnsi="Lato"/>
        </w:rPr>
        <w:t>O</w:t>
      </w:r>
      <w:r w:rsidRPr="00402165">
        <w:rPr>
          <w:rFonts w:ascii="Lato" w:hAnsi="Lato"/>
        </w:rPr>
        <w:t xml:space="preserve">bjęcie refundacją lub poszerzenie wskazań </w:t>
      </w:r>
      <w:proofErr w:type="spellStart"/>
      <w:r w:rsidRPr="00402165">
        <w:rPr>
          <w:rFonts w:ascii="Lato" w:hAnsi="Lato"/>
        </w:rPr>
        <w:t>pozarejestracyjnych</w:t>
      </w:r>
      <w:proofErr w:type="spellEnd"/>
      <w:r w:rsidRPr="00402165">
        <w:rPr>
          <w:rFonts w:ascii="Lato" w:hAnsi="Lato"/>
        </w:rPr>
        <w:t xml:space="preserve"> dla </w:t>
      </w:r>
      <w:r w:rsidRPr="00402165">
        <w:rPr>
          <w:rFonts w:ascii="Lato" w:hAnsi="Lato"/>
          <w:b/>
          <w:bCs/>
        </w:rPr>
        <w:t xml:space="preserve">doustnych leków </w:t>
      </w:r>
      <w:proofErr w:type="spellStart"/>
      <w:r w:rsidRPr="00402165">
        <w:rPr>
          <w:rFonts w:ascii="Lato" w:hAnsi="Lato"/>
          <w:b/>
          <w:bCs/>
        </w:rPr>
        <w:t>przeciwpsychotycznych</w:t>
      </w:r>
      <w:proofErr w:type="spellEnd"/>
      <w:r w:rsidRPr="00402165">
        <w:rPr>
          <w:rFonts w:ascii="Lato" w:hAnsi="Lato"/>
        </w:rPr>
        <w:t xml:space="preserve"> zawierających 7 substancji  czynnych (</w:t>
      </w:r>
      <w:proofErr w:type="spellStart"/>
      <w:r w:rsidRPr="00402165">
        <w:rPr>
          <w:rFonts w:ascii="Lato" w:hAnsi="Lato"/>
          <w:i/>
          <w:iCs/>
        </w:rPr>
        <w:t>amisulprid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aripiprazol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kwetiapina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olanzapina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risperidon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sertindol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ziprasidon</w:t>
      </w:r>
      <w:proofErr w:type="spellEnd"/>
      <w:r w:rsidRPr="00402165">
        <w:rPr>
          <w:rFonts w:ascii="Lato" w:hAnsi="Lato"/>
        </w:rPr>
        <w:t xml:space="preserve">), refundowanych dotychczas we wskazaniach rejestracyjnych </w:t>
      </w:r>
      <w:r w:rsidRPr="00402165">
        <w:rPr>
          <w:rFonts w:ascii="Lato" w:hAnsi="Lato"/>
          <w:i/>
          <w:iCs/>
        </w:rPr>
        <w:t>Schizofrenia, Choroba Afektywna Dwubiegunowa</w:t>
      </w:r>
      <w:r w:rsidRPr="00402165">
        <w:rPr>
          <w:rFonts w:ascii="Lato" w:hAnsi="Lato"/>
        </w:rPr>
        <w:t xml:space="preserve">, celem  finansowania ze środków publicznych terapii zaburzeń </w:t>
      </w:r>
      <w:proofErr w:type="spellStart"/>
      <w:r w:rsidRPr="00402165">
        <w:rPr>
          <w:rFonts w:ascii="Lato" w:hAnsi="Lato"/>
        </w:rPr>
        <w:t>schizoafektywnych</w:t>
      </w:r>
      <w:proofErr w:type="spellEnd"/>
      <w:r w:rsidRPr="00402165">
        <w:rPr>
          <w:rFonts w:ascii="Lato" w:hAnsi="Lato"/>
        </w:rPr>
        <w:t xml:space="preserve"> zdefiniowanych kodami ICD-10: F21; F22; F23; F24; F25; F28; F29</w:t>
      </w:r>
      <w:r>
        <w:rPr>
          <w:rFonts w:ascii="Lato" w:hAnsi="Lato"/>
        </w:rPr>
        <w:t>.</w:t>
      </w:r>
    </w:p>
    <w:p w14:paraId="5EFF4EF5" w14:textId="6226F927" w:rsidR="00402165" w:rsidRPr="00402165" w:rsidRDefault="00402165" w:rsidP="00402165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Ponadto, od października 2024 r. nastąpi </w:t>
      </w:r>
      <w:r w:rsidRPr="00402165">
        <w:rPr>
          <w:rFonts w:ascii="Lato" w:hAnsi="Lato"/>
        </w:rPr>
        <w:t xml:space="preserve">rozszerzenie wskazań </w:t>
      </w:r>
      <w:proofErr w:type="spellStart"/>
      <w:r w:rsidRPr="00402165">
        <w:rPr>
          <w:rFonts w:ascii="Lato" w:hAnsi="Lato"/>
        </w:rPr>
        <w:t>pozarejestracyjnych</w:t>
      </w:r>
      <w:proofErr w:type="spellEnd"/>
      <w:r w:rsidRPr="00402165">
        <w:rPr>
          <w:rFonts w:ascii="Lato" w:hAnsi="Lato"/>
        </w:rPr>
        <w:t xml:space="preserve"> dla </w:t>
      </w:r>
      <w:r w:rsidRPr="00402165">
        <w:rPr>
          <w:rFonts w:ascii="Lato" w:hAnsi="Lato"/>
          <w:b/>
          <w:bCs/>
        </w:rPr>
        <w:t>wybranych substancji czynnych stosowanych w psychiatrii dzieci i młodzieży</w:t>
      </w:r>
      <w:r w:rsidRPr="00402165">
        <w:rPr>
          <w:rFonts w:ascii="Lato" w:hAnsi="Lato"/>
        </w:rPr>
        <w:t xml:space="preserve">, dotychczas refundowanych w określonych stanach klinicznych, w oparciu o efekt współpracy AOTMiT i zespołu ekspertów klinicznych pod przewodnictwem Konsultant Krajowej ds. Psychiatrii Dzieci i Młodzieży. Zakres dodanych wskazań </w:t>
      </w:r>
      <w:proofErr w:type="spellStart"/>
      <w:r w:rsidRPr="00402165">
        <w:rPr>
          <w:rFonts w:ascii="Lato" w:hAnsi="Lato"/>
        </w:rPr>
        <w:t>pozarejestracyjnych</w:t>
      </w:r>
      <w:proofErr w:type="spellEnd"/>
      <w:r w:rsidRPr="00402165">
        <w:rPr>
          <w:rFonts w:ascii="Lato" w:hAnsi="Lato"/>
        </w:rPr>
        <w:t xml:space="preserve"> obejmuje:</w:t>
      </w:r>
    </w:p>
    <w:p w14:paraId="0384F3F6" w14:textId="77777777" w:rsidR="00402165" w:rsidRPr="00402165" w:rsidRDefault="00402165" w:rsidP="00402165">
      <w:pPr>
        <w:pStyle w:val="Akapitzlist"/>
        <w:numPr>
          <w:ilvl w:val="0"/>
          <w:numId w:val="39"/>
        </w:num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402165">
        <w:rPr>
          <w:rFonts w:ascii="Lato" w:hAnsi="Lato"/>
          <w:i/>
          <w:iCs/>
        </w:rPr>
        <w:lastRenderedPageBreak/>
        <w:t xml:space="preserve">Depresja lub zaburzenia depresyjne (F32; F33; F34; F38; F39 wg ICD - 10) - do ukończenia 18 r.ż. </w:t>
      </w:r>
      <w:r w:rsidRPr="00402165">
        <w:rPr>
          <w:rFonts w:ascii="Lato" w:hAnsi="Lato"/>
        </w:rPr>
        <w:t>(dotyczy:</w:t>
      </w:r>
      <w:r w:rsidRPr="00402165">
        <w:rPr>
          <w:rFonts w:ascii="Lato" w:hAnsi="Lato"/>
          <w:i/>
          <w:iCs/>
        </w:rPr>
        <w:t xml:space="preserve"> </w:t>
      </w:r>
      <w:proofErr w:type="spellStart"/>
      <w:r w:rsidRPr="00402165">
        <w:rPr>
          <w:rFonts w:ascii="Lato" w:hAnsi="Lato"/>
          <w:i/>
          <w:iCs/>
        </w:rPr>
        <w:t>agomelatyna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aripiprazol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kwetiapina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risperidon</w:t>
      </w:r>
      <w:proofErr w:type="spellEnd"/>
      <w:r w:rsidRPr="00402165">
        <w:rPr>
          <w:rFonts w:ascii="Lato" w:hAnsi="Lato"/>
        </w:rPr>
        <w:t>),</w:t>
      </w:r>
    </w:p>
    <w:p w14:paraId="1E8FDE84" w14:textId="77777777" w:rsidR="00402165" w:rsidRPr="00402165" w:rsidRDefault="00402165" w:rsidP="00402165">
      <w:pPr>
        <w:pStyle w:val="Akapitzlist"/>
        <w:numPr>
          <w:ilvl w:val="0"/>
          <w:numId w:val="39"/>
        </w:num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402165">
        <w:rPr>
          <w:rFonts w:ascii="Lato" w:hAnsi="Lato"/>
          <w:i/>
          <w:iCs/>
        </w:rPr>
        <w:t xml:space="preserve">Zaburzenia obsesyjno-kompulsywne (F42 wg ICD - 10) - do ukończenia 18 r.ż. </w:t>
      </w:r>
      <w:r w:rsidRPr="00402165">
        <w:rPr>
          <w:rFonts w:ascii="Lato" w:hAnsi="Lato"/>
        </w:rPr>
        <w:t>(dotyczy:</w:t>
      </w:r>
      <w:r w:rsidRPr="00402165">
        <w:rPr>
          <w:rFonts w:ascii="Lato" w:hAnsi="Lato"/>
          <w:i/>
          <w:iCs/>
        </w:rPr>
        <w:t xml:space="preserve"> </w:t>
      </w:r>
      <w:proofErr w:type="spellStart"/>
      <w:r w:rsidRPr="00402165">
        <w:rPr>
          <w:rFonts w:ascii="Lato" w:hAnsi="Lato"/>
          <w:i/>
          <w:iCs/>
        </w:rPr>
        <w:t>aripiprazol</w:t>
      </w:r>
      <w:proofErr w:type="spellEnd"/>
      <w:r w:rsidRPr="00402165">
        <w:rPr>
          <w:rFonts w:ascii="Lato" w:hAnsi="Lato"/>
        </w:rPr>
        <w:t>),</w:t>
      </w:r>
    </w:p>
    <w:p w14:paraId="10581FA2" w14:textId="77777777" w:rsidR="00402165" w:rsidRPr="00402165" w:rsidRDefault="00402165" w:rsidP="00402165">
      <w:pPr>
        <w:pStyle w:val="Akapitzlist"/>
        <w:numPr>
          <w:ilvl w:val="0"/>
          <w:numId w:val="39"/>
        </w:numPr>
        <w:suppressAutoHyphens w:val="0"/>
        <w:spacing w:line="360" w:lineRule="auto"/>
        <w:jc w:val="both"/>
        <w:rPr>
          <w:rFonts w:ascii="Lato" w:hAnsi="Lato"/>
        </w:rPr>
      </w:pPr>
      <w:r w:rsidRPr="00402165">
        <w:rPr>
          <w:rFonts w:ascii="Lato" w:hAnsi="Lato"/>
          <w:i/>
          <w:iCs/>
        </w:rPr>
        <w:t xml:space="preserve">Zaburzenia lękowe i adaptacyjne (F40; F41; F43 wg ICD - 10)- do ukończenia 18 r.ż. </w:t>
      </w:r>
      <w:r w:rsidRPr="00402165">
        <w:rPr>
          <w:rFonts w:ascii="Lato" w:hAnsi="Lato"/>
        </w:rPr>
        <w:t xml:space="preserve">(dotyczy: </w:t>
      </w:r>
      <w:proofErr w:type="spellStart"/>
      <w:r w:rsidRPr="00402165">
        <w:rPr>
          <w:rFonts w:ascii="Lato" w:hAnsi="Lato"/>
          <w:i/>
          <w:iCs/>
        </w:rPr>
        <w:t>duloksetyna</w:t>
      </w:r>
      <w:proofErr w:type="spellEnd"/>
      <w:r w:rsidRPr="00402165">
        <w:rPr>
          <w:rFonts w:ascii="Lato" w:hAnsi="Lato"/>
        </w:rPr>
        <w:t>),</w:t>
      </w:r>
    </w:p>
    <w:p w14:paraId="1FC24DBD" w14:textId="77777777" w:rsidR="00402165" w:rsidRPr="00402165" w:rsidRDefault="00402165" w:rsidP="00402165">
      <w:pPr>
        <w:pStyle w:val="Akapitzlist"/>
        <w:numPr>
          <w:ilvl w:val="0"/>
          <w:numId w:val="39"/>
        </w:num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402165">
        <w:rPr>
          <w:rFonts w:ascii="Lato" w:hAnsi="Lato"/>
          <w:i/>
          <w:iCs/>
        </w:rPr>
        <w:t xml:space="preserve">Jadłowstręt psychiczny (F50.0; F50.1 wg ICD - 10) - do ukończenia 18 r.ż. </w:t>
      </w:r>
      <w:r w:rsidRPr="00402165">
        <w:rPr>
          <w:rFonts w:ascii="Lato" w:hAnsi="Lato"/>
        </w:rPr>
        <w:t xml:space="preserve">(dotyczy: </w:t>
      </w:r>
      <w:proofErr w:type="spellStart"/>
      <w:r w:rsidRPr="00402165">
        <w:rPr>
          <w:rFonts w:ascii="Lato" w:hAnsi="Lato"/>
          <w:i/>
          <w:iCs/>
        </w:rPr>
        <w:t>olanzapina</w:t>
      </w:r>
      <w:proofErr w:type="spellEnd"/>
      <w:r w:rsidRPr="00402165">
        <w:rPr>
          <w:rFonts w:ascii="Lato" w:hAnsi="Lato"/>
        </w:rPr>
        <w:t>),</w:t>
      </w:r>
    </w:p>
    <w:p w14:paraId="7C2D14DD" w14:textId="77777777" w:rsidR="00402165" w:rsidRPr="00E0315B" w:rsidRDefault="00402165" w:rsidP="00402165">
      <w:pPr>
        <w:pStyle w:val="Akapitzlist"/>
        <w:numPr>
          <w:ilvl w:val="0"/>
          <w:numId w:val="39"/>
        </w:num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402165">
        <w:rPr>
          <w:rFonts w:ascii="Lato" w:hAnsi="Lato"/>
          <w:i/>
          <w:iCs/>
        </w:rPr>
        <w:t xml:space="preserve">Tiki (F95.0; F95.1; F95.8; F95.9 wg ICD - 10) - do ukończenia 18 r.ż. </w:t>
      </w:r>
      <w:r w:rsidRPr="00402165">
        <w:rPr>
          <w:rFonts w:ascii="Lato" w:hAnsi="Lato"/>
        </w:rPr>
        <w:t xml:space="preserve">(dotyczy: </w:t>
      </w:r>
      <w:proofErr w:type="spellStart"/>
      <w:r w:rsidRPr="00402165">
        <w:rPr>
          <w:rFonts w:ascii="Lato" w:hAnsi="Lato"/>
          <w:i/>
          <w:iCs/>
        </w:rPr>
        <w:t>aripiprazol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risperidon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sulpiryd</w:t>
      </w:r>
      <w:proofErr w:type="spellEnd"/>
      <w:r w:rsidRPr="00402165">
        <w:rPr>
          <w:rFonts w:ascii="Lato" w:hAnsi="Lato"/>
          <w:i/>
          <w:iCs/>
        </w:rPr>
        <w:t xml:space="preserve">, </w:t>
      </w:r>
      <w:proofErr w:type="spellStart"/>
      <w:r w:rsidRPr="00402165">
        <w:rPr>
          <w:rFonts w:ascii="Lato" w:hAnsi="Lato"/>
          <w:i/>
          <w:iCs/>
        </w:rPr>
        <w:t>ziprasidon</w:t>
      </w:r>
      <w:proofErr w:type="spellEnd"/>
      <w:r w:rsidRPr="00402165">
        <w:rPr>
          <w:rFonts w:ascii="Lato" w:hAnsi="Lato"/>
        </w:rPr>
        <w:t xml:space="preserve">). </w:t>
      </w:r>
    </w:p>
    <w:p w14:paraId="1E07313E" w14:textId="79C997BE" w:rsidR="00E0315B" w:rsidRPr="00E0315B" w:rsidRDefault="00E0315B" w:rsidP="00E0315B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Implementacja powyższych zmian w psychiatrii związana była z koniecznością wydania ponad 600 dodatkowych decyzji refundacyjnych.</w:t>
      </w:r>
    </w:p>
    <w:p w14:paraId="6507B1F9" w14:textId="77777777" w:rsidR="00402165" w:rsidRPr="00AB3591" w:rsidRDefault="00402165" w:rsidP="000D65DF">
      <w:pPr>
        <w:spacing w:line="360" w:lineRule="auto"/>
        <w:jc w:val="both"/>
        <w:rPr>
          <w:rFonts w:ascii="Lato" w:hAnsi="Lato"/>
        </w:rPr>
      </w:pPr>
    </w:p>
    <w:sectPr w:rsidR="00402165" w:rsidRPr="00AB3591" w:rsidSect="001E27D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933ED" w14:textId="77777777" w:rsidR="00D46C79" w:rsidRDefault="00D46C79">
      <w:pPr>
        <w:spacing w:after="0" w:line="240" w:lineRule="auto"/>
      </w:pPr>
      <w:r>
        <w:separator/>
      </w:r>
    </w:p>
  </w:endnote>
  <w:endnote w:type="continuationSeparator" w:id="0">
    <w:p w14:paraId="39C563D8" w14:textId="77777777" w:rsidR="00D46C79" w:rsidRDefault="00D4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79360" w14:textId="77777777" w:rsidR="00D46C79" w:rsidRDefault="00D46C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6BC0CB" w14:textId="77777777" w:rsidR="00D46C79" w:rsidRDefault="00D4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F19D3"/>
    <w:multiLevelType w:val="hybridMultilevel"/>
    <w:tmpl w:val="E6A4E41E"/>
    <w:lvl w:ilvl="0" w:tplc="07C0B9E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FB5BDA"/>
    <w:multiLevelType w:val="hybridMultilevel"/>
    <w:tmpl w:val="C7B02F50"/>
    <w:lvl w:ilvl="0" w:tplc="612C287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4" w15:restartNumberingAfterBreak="0">
    <w:nsid w:val="0DA63CDA"/>
    <w:multiLevelType w:val="hybridMultilevel"/>
    <w:tmpl w:val="67A6E612"/>
    <w:lvl w:ilvl="0" w:tplc="046E29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A078A"/>
    <w:multiLevelType w:val="hybridMultilevel"/>
    <w:tmpl w:val="ACEE9582"/>
    <w:lvl w:ilvl="0" w:tplc="0E8C5E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5514ACD"/>
    <w:multiLevelType w:val="hybridMultilevel"/>
    <w:tmpl w:val="E0D4C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12C3B"/>
    <w:multiLevelType w:val="hybridMultilevel"/>
    <w:tmpl w:val="1B46C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7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07CA0"/>
    <w:multiLevelType w:val="hybridMultilevel"/>
    <w:tmpl w:val="A0F424B8"/>
    <w:lvl w:ilvl="0" w:tplc="8A88F7A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03EA2"/>
    <w:multiLevelType w:val="hybridMultilevel"/>
    <w:tmpl w:val="A63E2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A6"/>
    <w:multiLevelType w:val="hybridMultilevel"/>
    <w:tmpl w:val="77F46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97E73"/>
    <w:multiLevelType w:val="hybridMultilevel"/>
    <w:tmpl w:val="242ABB08"/>
    <w:lvl w:ilvl="0" w:tplc="3ED024B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4478E"/>
    <w:multiLevelType w:val="hybridMultilevel"/>
    <w:tmpl w:val="AF20E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9"/>
  </w:num>
  <w:num w:numId="2" w16cid:durableId="983047750">
    <w:abstractNumId w:val="6"/>
  </w:num>
  <w:num w:numId="3" w16cid:durableId="912206815">
    <w:abstractNumId w:val="10"/>
  </w:num>
  <w:num w:numId="4" w16cid:durableId="1919241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31"/>
  </w:num>
  <w:num w:numId="6" w16cid:durableId="1164782895">
    <w:abstractNumId w:val="8"/>
  </w:num>
  <w:num w:numId="7" w16cid:durableId="1764568987">
    <w:abstractNumId w:val="13"/>
  </w:num>
  <w:num w:numId="8" w16cid:durableId="1605840971">
    <w:abstractNumId w:val="16"/>
  </w:num>
  <w:num w:numId="9" w16cid:durableId="969629549">
    <w:abstractNumId w:val="28"/>
  </w:num>
  <w:num w:numId="10" w16cid:durableId="1576276737">
    <w:abstractNumId w:val="3"/>
  </w:num>
  <w:num w:numId="11" w16cid:durableId="409036424">
    <w:abstractNumId w:val="37"/>
  </w:num>
  <w:num w:numId="12" w16cid:durableId="1526747669">
    <w:abstractNumId w:val="5"/>
  </w:num>
  <w:num w:numId="13" w16cid:durableId="1746950255">
    <w:abstractNumId w:val="17"/>
  </w:num>
  <w:num w:numId="14" w16cid:durableId="329715522">
    <w:abstractNumId w:val="19"/>
  </w:num>
  <w:num w:numId="15" w16cid:durableId="1837842867">
    <w:abstractNumId w:val="18"/>
  </w:num>
  <w:num w:numId="16" w16cid:durableId="1970238000">
    <w:abstractNumId w:val="30"/>
  </w:num>
  <w:num w:numId="17" w16cid:durableId="485172914">
    <w:abstractNumId w:val="24"/>
  </w:num>
  <w:num w:numId="18" w16cid:durableId="338780148">
    <w:abstractNumId w:val="11"/>
  </w:num>
  <w:num w:numId="19" w16cid:durableId="1977641737">
    <w:abstractNumId w:val="3"/>
  </w:num>
  <w:num w:numId="20" w16cid:durableId="1099830501">
    <w:abstractNumId w:val="2"/>
  </w:num>
  <w:num w:numId="21" w16cid:durableId="1796680411">
    <w:abstractNumId w:val="26"/>
  </w:num>
  <w:num w:numId="22" w16cid:durableId="1157845039">
    <w:abstractNumId w:val="25"/>
  </w:num>
  <w:num w:numId="23" w16cid:durableId="1318220489">
    <w:abstractNumId w:val="21"/>
  </w:num>
  <w:num w:numId="24" w16cid:durableId="791442922">
    <w:abstractNumId w:val="27"/>
  </w:num>
  <w:num w:numId="25" w16cid:durableId="2017875421">
    <w:abstractNumId w:val="20"/>
  </w:num>
  <w:num w:numId="26" w16cid:durableId="980844193">
    <w:abstractNumId w:val="15"/>
  </w:num>
  <w:num w:numId="27" w16cid:durableId="1580867898">
    <w:abstractNumId w:val="23"/>
  </w:num>
  <w:num w:numId="28" w16cid:durableId="108477893">
    <w:abstractNumId w:val="29"/>
  </w:num>
  <w:num w:numId="29" w16cid:durableId="1809199527">
    <w:abstractNumId w:val="36"/>
  </w:num>
  <w:num w:numId="30" w16cid:durableId="210698488">
    <w:abstractNumId w:val="32"/>
  </w:num>
  <w:num w:numId="31" w16cid:durableId="1342464460">
    <w:abstractNumId w:val="12"/>
  </w:num>
  <w:num w:numId="32" w16cid:durableId="2066639270">
    <w:abstractNumId w:val="22"/>
  </w:num>
  <w:num w:numId="33" w16cid:durableId="603922596">
    <w:abstractNumId w:val="33"/>
  </w:num>
  <w:num w:numId="34" w16cid:durableId="302273013">
    <w:abstractNumId w:val="35"/>
  </w:num>
  <w:num w:numId="35" w16cid:durableId="1906723298">
    <w:abstractNumId w:val="34"/>
  </w:num>
  <w:num w:numId="36" w16cid:durableId="2058164342">
    <w:abstractNumId w:val="14"/>
  </w:num>
  <w:num w:numId="37" w16cid:durableId="1907494772">
    <w:abstractNumId w:val="7"/>
  </w:num>
  <w:num w:numId="38" w16cid:durableId="1687100447">
    <w:abstractNumId w:val="1"/>
  </w:num>
  <w:num w:numId="39" w16cid:durableId="1654093875">
    <w:abstractNumId w:val="0"/>
  </w:num>
  <w:num w:numId="40" w16cid:durableId="722413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07B52"/>
    <w:rsid w:val="00031E9F"/>
    <w:rsid w:val="00033ED5"/>
    <w:rsid w:val="000340F0"/>
    <w:rsid w:val="000364D0"/>
    <w:rsid w:val="0004009C"/>
    <w:rsid w:val="0005011B"/>
    <w:rsid w:val="000511BC"/>
    <w:rsid w:val="00052E44"/>
    <w:rsid w:val="000702E4"/>
    <w:rsid w:val="00070A13"/>
    <w:rsid w:val="00070A89"/>
    <w:rsid w:val="00071A55"/>
    <w:rsid w:val="0008118E"/>
    <w:rsid w:val="00086074"/>
    <w:rsid w:val="00090759"/>
    <w:rsid w:val="0009112E"/>
    <w:rsid w:val="00097B17"/>
    <w:rsid w:val="000A4576"/>
    <w:rsid w:val="000A4E7C"/>
    <w:rsid w:val="000A688D"/>
    <w:rsid w:val="000A6B96"/>
    <w:rsid w:val="000B07C1"/>
    <w:rsid w:val="000B21F0"/>
    <w:rsid w:val="000B32C4"/>
    <w:rsid w:val="000B3740"/>
    <w:rsid w:val="000B4286"/>
    <w:rsid w:val="000B7075"/>
    <w:rsid w:val="000D02C0"/>
    <w:rsid w:val="000D2FED"/>
    <w:rsid w:val="000D65DF"/>
    <w:rsid w:val="000E3BBE"/>
    <w:rsid w:val="000E649C"/>
    <w:rsid w:val="000F077F"/>
    <w:rsid w:val="000F3ED2"/>
    <w:rsid w:val="000F5E24"/>
    <w:rsid w:val="000F61F5"/>
    <w:rsid w:val="001030B2"/>
    <w:rsid w:val="00111FD4"/>
    <w:rsid w:val="0011263C"/>
    <w:rsid w:val="001204EA"/>
    <w:rsid w:val="00120C1F"/>
    <w:rsid w:val="00127452"/>
    <w:rsid w:val="0014005D"/>
    <w:rsid w:val="0014120D"/>
    <w:rsid w:val="00143B25"/>
    <w:rsid w:val="00143D0B"/>
    <w:rsid w:val="00144B55"/>
    <w:rsid w:val="00155C8E"/>
    <w:rsid w:val="001566B9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354B"/>
    <w:rsid w:val="001D4EDF"/>
    <w:rsid w:val="001D6485"/>
    <w:rsid w:val="001E2320"/>
    <w:rsid w:val="001E27D2"/>
    <w:rsid w:val="001E610A"/>
    <w:rsid w:val="001E721F"/>
    <w:rsid w:val="001E7A98"/>
    <w:rsid w:val="00202697"/>
    <w:rsid w:val="00205C55"/>
    <w:rsid w:val="00206C0B"/>
    <w:rsid w:val="00221A2A"/>
    <w:rsid w:val="002270E2"/>
    <w:rsid w:val="00230BB7"/>
    <w:rsid w:val="002373C0"/>
    <w:rsid w:val="0024697E"/>
    <w:rsid w:val="00255E53"/>
    <w:rsid w:val="002670F5"/>
    <w:rsid w:val="00275115"/>
    <w:rsid w:val="00280311"/>
    <w:rsid w:val="00281BE7"/>
    <w:rsid w:val="0028384A"/>
    <w:rsid w:val="00286651"/>
    <w:rsid w:val="00287196"/>
    <w:rsid w:val="0029287B"/>
    <w:rsid w:val="0029403F"/>
    <w:rsid w:val="002955B8"/>
    <w:rsid w:val="00296F44"/>
    <w:rsid w:val="002C0340"/>
    <w:rsid w:val="002C19DE"/>
    <w:rsid w:val="002D5020"/>
    <w:rsid w:val="002D55B8"/>
    <w:rsid w:val="002D6ED9"/>
    <w:rsid w:val="002E46AC"/>
    <w:rsid w:val="002E6BA8"/>
    <w:rsid w:val="002F0FB2"/>
    <w:rsid w:val="002F4311"/>
    <w:rsid w:val="002F61E3"/>
    <w:rsid w:val="00300E94"/>
    <w:rsid w:val="003051DF"/>
    <w:rsid w:val="00305610"/>
    <w:rsid w:val="0031104C"/>
    <w:rsid w:val="003130CA"/>
    <w:rsid w:val="0032369B"/>
    <w:rsid w:val="00326537"/>
    <w:rsid w:val="00327DAF"/>
    <w:rsid w:val="00330083"/>
    <w:rsid w:val="003357D9"/>
    <w:rsid w:val="00337B00"/>
    <w:rsid w:val="003403BD"/>
    <w:rsid w:val="00350EAD"/>
    <w:rsid w:val="00355899"/>
    <w:rsid w:val="00356E75"/>
    <w:rsid w:val="0035733E"/>
    <w:rsid w:val="00374DBE"/>
    <w:rsid w:val="0037704D"/>
    <w:rsid w:val="0037714E"/>
    <w:rsid w:val="003841AB"/>
    <w:rsid w:val="003905D7"/>
    <w:rsid w:val="003935E8"/>
    <w:rsid w:val="003975D4"/>
    <w:rsid w:val="003A0F16"/>
    <w:rsid w:val="003A5B7D"/>
    <w:rsid w:val="003A6433"/>
    <w:rsid w:val="003B46BF"/>
    <w:rsid w:val="003C2646"/>
    <w:rsid w:val="003D2AE2"/>
    <w:rsid w:val="003D71C6"/>
    <w:rsid w:val="003E149B"/>
    <w:rsid w:val="003F072E"/>
    <w:rsid w:val="003F3FAA"/>
    <w:rsid w:val="00402165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2587"/>
    <w:rsid w:val="004E4723"/>
    <w:rsid w:val="004F08AD"/>
    <w:rsid w:val="004F3FEF"/>
    <w:rsid w:val="004F7A4E"/>
    <w:rsid w:val="0050014B"/>
    <w:rsid w:val="00501687"/>
    <w:rsid w:val="00504D78"/>
    <w:rsid w:val="005058F2"/>
    <w:rsid w:val="00512C38"/>
    <w:rsid w:val="00512C7C"/>
    <w:rsid w:val="005130EF"/>
    <w:rsid w:val="005143E4"/>
    <w:rsid w:val="00516499"/>
    <w:rsid w:val="005224DB"/>
    <w:rsid w:val="0054388D"/>
    <w:rsid w:val="0055182D"/>
    <w:rsid w:val="00553AE5"/>
    <w:rsid w:val="005558C1"/>
    <w:rsid w:val="00567252"/>
    <w:rsid w:val="0056748F"/>
    <w:rsid w:val="0057280A"/>
    <w:rsid w:val="00574D83"/>
    <w:rsid w:val="00584C82"/>
    <w:rsid w:val="005871C9"/>
    <w:rsid w:val="005B06B3"/>
    <w:rsid w:val="005B598A"/>
    <w:rsid w:val="005C1959"/>
    <w:rsid w:val="005C38AF"/>
    <w:rsid w:val="005C499F"/>
    <w:rsid w:val="005C608D"/>
    <w:rsid w:val="005C6551"/>
    <w:rsid w:val="005D269A"/>
    <w:rsid w:val="005D3140"/>
    <w:rsid w:val="005D5D31"/>
    <w:rsid w:val="005E4CF5"/>
    <w:rsid w:val="005E7898"/>
    <w:rsid w:val="005F550D"/>
    <w:rsid w:val="005F70FE"/>
    <w:rsid w:val="005F7F1B"/>
    <w:rsid w:val="006008CD"/>
    <w:rsid w:val="0061137F"/>
    <w:rsid w:val="006120D3"/>
    <w:rsid w:val="006159D3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7351A"/>
    <w:rsid w:val="0068046C"/>
    <w:rsid w:val="00680B0E"/>
    <w:rsid w:val="006858B7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E4E37"/>
    <w:rsid w:val="006F498A"/>
    <w:rsid w:val="006F5BEB"/>
    <w:rsid w:val="006F74F8"/>
    <w:rsid w:val="0070349C"/>
    <w:rsid w:val="007041E9"/>
    <w:rsid w:val="007135A8"/>
    <w:rsid w:val="00713671"/>
    <w:rsid w:val="007156F6"/>
    <w:rsid w:val="00715B91"/>
    <w:rsid w:val="0072422A"/>
    <w:rsid w:val="007321D8"/>
    <w:rsid w:val="00733AF9"/>
    <w:rsid w:val="00734732"/>
    <w:rsid w:val="00740ABA"/>
    <w:rsid w:val="00741E62"/>
    <w:rsid w:val="0074295D"/>
    <w:rsid w:val="00744FFB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23875"/>
    <w:rsid w:val="00827817"/>
    <w:rsid w:val="00827986"/>
    <w:rsid w:val="008279BD"/>
    <w:rsid w:val="008378F3"/>
    <w:rsid w:val="0084154E"/>
    <w:rsid w:val="00843352"/>
    <w:rsid w:val="00844624"/>
    <w:rsid w:val="008462C0"/>
    <w:rsid w:val="00855871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B6E5C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3339"/>
    <w:rsid w:val="009509F5"/>
    <w:rsid w:val="00953B84"/>
    <w:rsid w:val="00961330"/>
    <w:rsid w:val="00982754"/>
    <w:rsid w:val="00984226"/>
    <w:rsid w:val="009943F4"/>
    <w:rsid w:val="00995FDD"/>
    <w:rsid w:val="00996389"/>
    <w:rsid w:val="009A2234"/>
    <w:rsid w:val="009A6D46"/>
    <w:rsid w:val="009B2F99"/>
    <w:rsid w:val="009B7A4D"/>
    <w:rsid w:val="009C573D"/>
    <w:rsid w:val="009C593F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2CE9"/>
    <w:rsid w:val="00A04BCC"/>
    <w:rsid w:val="00A053B9"/>
    <w:rsid w:val="00A1146C"/>
    <w:rsid w:val="00A118F0"/>
    <w:rsid w:val="00A159DA"/>
    <w:rsid w:val="00A20F7F"/>
    <w:rsid w:val="00A22494"/>
    <w:rsid w:val="00A22A7B"/>
    <w:rsid w:val="00A22EE5"/>
    <w:rsid w:val="00A242D8"/>
    <w:rsid w:val="00A43354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E069A"/>
    <w:rsid w:val="00AE497D"/>
    <w:rsid w:val="00AE6352"/>
    <w:rsid w:val="00AE72D5"/>
    <w:rsid w:val="00AF1EBC"/>
    <w:rsid w:val="00B03985"/>
    <w:rsid w:val="00B1467F"/>
    <w:rsid w:val="00B16509"/>
    <w:rsid w:val="00B265ED"/>
    <w:rsid w:val="00B31928"/>
    <w:rsid w:val="00B326A9"/>
    <w:rsid w:val="00B36EE4"/>
    <w:rsid w:val="00B45ED3"/>
    <w:rsid w:val="00B543E9"/>
    <w:rsid w:val="00B57127"/>
    <w:rsid w:val="00B62557"/>
    <w:rsid w:val="00B76B2B"/>
    <w:rsid w:val="00B8251D"/>
    <w:rsid w:val="00B900B2"/>
    <w:rsid w:val="00B94288"/>
    <w:rsid w:val="00B9538B"/>
    <w:rsid w:val="00B966A6"/>
    <w:rsid w:val="00BA03C4"/>
    <w:rsid w:val="00BA15A9"/>
    <w:rsid w:val="00BB30C0"/>
    <w:rsid w:val="00BB4696"/>
    <w:rsid w:val="00BC376D"/>
    <w:rsid w:val="00BC433B"/>
    <w:rsid w:val="00BC667A"/>
    <w:rsid w:val="00BD18E8"/>
    <w:rsid w:val="00BD20BC"/>
    <w:rsid w:val="00BD752C"/>
    <w:rsid w:val="00BE0486"/>
    <w:rsid w:val="00BF013B"/>
    <w:rsid w:val="00C0285F"/>
    <w:rsid w:val="00C15673"/>
    <w:rsid w:val="00C15E6F"/>
    <w:rsid w:val="00C210A9"/>
    <w:rsid w:val="00C22821"/>
    <w:rsid w:val="00C243BF"/>
    <w:rsid w:val="00C25F63"/>
    <w:rsid w:val="00C273C0"/>
    <w:rsid w:val="00C276AE"/>
    <w:rsid w:val="00C34F0F"/>
    <w:rsid w:val="00C36F4C"/>
    <w:rsid w:val="00C4237C"/>
    <w:rsid w:val="00C4376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240D1"/>
    <w:rsid w:val="00D3459A"/>
    <w:rsid w:val="00D346CD"/>
    <w:rsid w:val="00D4388C"/>
    <w:rsid w:val="00D44A5D"/>
    <w:rsid w:val="00D46C79"/>
    <w:rsid w:val="00D46DBA"/>
    <w:rsid w:val="00D510E8"/>
    <w:rsid w:val="00D554A2"/>
    <w:rsid w:val="00D5628B"/>
    <w:rsid w:val="00D571E2"/>
    <w:rsid w:val="00D63F4F"/>
    <w:rsid w:val="00D6426A"/>
    <w:rsid w:val="00D66456"/>
    <w:rsid w:val="00D75B0A"/>
    <w:rsid w:val="00D77CD0"/>
    <w:rsid w:val="00D9306F"/>
    <w:rsid w:val="00DB0B88"/>
    <w:rsid w:val="00DB68D3"/>
    <w:rsid w:val="00DC6168"/>
    <w:rsid w:val="00DD18C6"/>
    <w:rsid w:val="00DD6D00"/>
    <w:rsid w:val="00DE00F0"/>
    <w:rsid w:val="00DE1894"/>
    <w:rsid w:val="00DE5079"/>
    <w:rsid w:val="00DF2079"/>
    <w:rsid w:val="00DF6B3A"/>
    <w:rsid w:val="00E0315B"/>
    <w:rsid w:val="00E10271"/>
    <w:rsid w:val="00E34DF7"/>
    <w:rsid w:val="00E351BA"/>
    <w:rsid w:val="00E35DF6"/>
    <w:rsid w:val="00E50D44"/>
    <w:rsid w:val="00E52765"/>
    <w:rsid w:val="00E57CCC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E73A4"/>
    <w:rsid w:val="00EF3551"/>
    <w:rsid w:val="00F017D6"/>
    <w:rsid w:val="00F12CF6"/>
    <w:rsid w:val="00F147FC"/>
    <w:rsid w:val="00F15BD4"/>
    <w:rsid w:val="00F25384"/>
    <w:rsid w:val="00F31A79"/>
    <w:rsid w:val="00F34611"/>
    <w:rsid w:val="00F42214"/>
    <w:rsid w:val="00F5061B"/>
    <w:rsid w:val="00F61A7D"/>
    <w:rsid w:val="00F63AA8"/>
    <w:rsid w:val="00F67CA2"/>
    <w:rsid w:val="00F7172F"/>
    <w:rsid w:val="00F72521"/>
    <w:rsid w:val="00F81D5E"/>
    <w:rsid w:val="00F859A8"/>
    <w:rsid w:val="00F9203E"/>
    <w:rsid w:val="00F957B7"/>
    <w:rsid w:val="00FA0EA2"/>
    <w:rsid w:val="00FA174D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  <w:style w:type="character" w:customStyle="1" w:styleId="cf01">
    <w:name w:val="cf01"/>
    <w:basedOn w:val="Domylnaczcionkaakapitu"/>
    <w:rsid w:val="00D46DB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46DBA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14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30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38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1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8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48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25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61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63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12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19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82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pazdziernik%202024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pazdziernik%202024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pazdziernik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pazdziernik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8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E4-47E2-B76D-1AC3E98410E3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  <c:pt idx="2">
                  <c:v>23</c:v>
                </c:pt>
                <c:pt idx="3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E4-47E2-B76D-1AC3E98410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6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3D-4A46-84D5-87CA005C5B3D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25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3D-4A46-84D5-87CA005C5B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</a:t>
            </a:r>
          </a:p>
        </c:rich>
      </c:tx>
      <c:layout>
        <c:manualLayout>
          <c:xMode val="edge"/>
          <c:yMode val="edge"/>
          <c:x val="0.25009163725224004"/>
          <c:y val="8.627492991947434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9.3021586587390862E-2"/>
          <c:w val="0.84009663854336591"/>
          <c:h val="0.83798132376310108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2024'!$A$3:$A$7,'miesiące 2024'!$A$10:$A$12)</c:f>
              <c:strCache>
                <c:ptCount val="8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
ginekologiczne</c:v>
                </c:pt>
                <c:pt idx="6">
                  <c:v>Nowotwory układu 
endokrynnego</c:v>
                </c:pt>
                <c:pt idx="7">
                  <c:v>Hematoonkologia</c:v>
                </c:pt>
              </c:strCache>
              <c:extLst/>
            </c:strRef>
          </c:cat>
          <c:val>
            <c:numRef>
              <c:f>('miesiące 2024'!$B$3:$B$7,'miesiące 2024'!$B$10:$B$12)</c:f>
              <c:numCache>
                <c:formatCode>General</c:formatCode>
                <c:ptCount val="8"/>
                <c:pt idx="0">
                  <c:v>2</c:v>
                </c:pt>
                <c:pt idx="1">
                  <c:v>5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6</c:v>
                </c:pt>
                <c:pt idx="6">
                  <c:v>1</c:v>
                </c:pt>
                <c:pt idx="7">
                  <c:v>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58C-4AFD-9A01-246FC9747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 </a:t>
            </a:r>
          </a:p>
        </c:rich>
      </c:tx>
      <c:layout>
        <c:manualLayout>
          <c:xMode val="edge"/>
          <c:yMode val="edge"/>
          <c:x val="0.2061082795512284"/>
          <c:y val="7.561554805649293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9.2192761619083324E-2"/>
          <c:w val="0.76644349190079053"/>
          <c:h val="0.83315514132162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9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Endokrynologia</c:v>
                </c:pt>
                <c:pt idx="14">
                  <c:v>Diabetologia</c:v>
                </c:pt>
                <c:pt idx="15">
                  <c:v>Dermatologia</c:v>
                </c:pt>
                <c:pt idx="16">
                  <c:v>Choroby metaboliczne</c:v>
                </c:pt>
                <c:pt idx="17">
                  <c:v>Angiologia</c:v>
                </c:pt>
                <c:pt idx="18">
                  <c:v>Alergologia</c:v>
                </c:pt>
              </c:strCache>
            </c:strRef>
          </c:cat>
          <c:val>
            <c:numRef>
              <c:f>'miesiące 2024'!$B$20:$B$38</c:f>
              <c:numCache>
                <c:formatCode>General</c:formatCode>
                <c:ptCount val="19"/>
                <c:pt idx="0">
                  <c:v>1</c:v>
                </c:pt>
                <c:pt idx="1">
                  <c:v>8</c:v>
                </c:pt>
                <c:pt idx="2">
                  <c:v>2</c:v>
                </c:pt>
                <c:pt idx="3">
                  <c:v>19</c:v>
                </c:pt>
                <c:pt idx="4">
                  <c:v>2</c:v>
                </c:pt>
                <c:pt idx="5">
                  <c:v>17</c:v>
                </c:pt>
                <c:pt idx="6">
                  <c:v>6</c:v>
                </c:pt>
                <c:pt idx="7">
                  <c:v>7</c:v>
                </c:pt>
                <c:pt idx="8">
                  <c:v>3</c:v>
                </c:pt>
                <c:pt idx="9">
                  <c:v>1</c:v>
                </c:pt>
                <c:pt idx="10">
                  <c:v>4</c:v>
                </c:pt>
                <c:pt idx="11">
                  <c:v>11</c:v>
                </c:pt>
                <c:pt idx="12">
                  <c:v>2</c:v>
                </c:pt>
                <c:pt idx="13">
                  <c:v>1</c:v>
                </c:pt>
                <c:pt idx="14">
                  <c:v>8</c:v>
                </c:pt>
                <c:pt idx="15">
                  <c:v>1</c:v>
                </c:pt>
                <c:pt idx="16">
                  <c:v>3</c:v>
                </c:pt>
                <c:pt idx="17">
                  <c:v>1</c:v>
                </c:pt>
                <c:pt idx="1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46-4117-AF2B-DC7BA0BD9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3932</Words>
  <Characters>23594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Morawiec Wioleta</cp:lastModifiedBy>
  <cp:revision>11</cp:revision>
  <dcterms:created xsi:type="dcterms:W3CDTF">2024-09-12T09:48:00Z</dcterms:created>
  <dcterms:modified xsi:type="dcterms:W3CDTF">2024-09-17T09:13:00Z</dcterms:modified>
</cp:coreProperties>
</file>