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227D02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5850D1D4" w:rsidR="007C7923" w:rsidRPr="003F68FB" w:rsidRDefault="006528D7" w:rsidP="00227D0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F68FB">
        <w:rPr>
          <w:rFonts w:ascii="Arial" w:hAnsi="Arial" w:cs="Arial"/>
          <w:sz w:val="21"/>
          <w:szCs w:val="21"/>
        </w:rPr>
        <w:t>RDOŚ-Gd-WOO.420.</w:t>
      </w:r>
      <w:r w:rsidR="00C07B47" w:rsidRPr="003F68FB">
        <w:rPr>
          <w:rFonts w:ascii="Arial" w:hAnsi="Arial" w:cs="Arial"/>
          <w:sz w:val="21"/>
          <w:szCs w:val="21"/>
        </w:rPr>
        <w:t>1</w:t>
      </w:r>
      <w:r w:rsidR="007C7923" w:rsidRPr="003F68FB">
        <w:rPr>
          <w:rFonts w:ascii="Arial" w:hAnsi="Arial" w:cs="Arial"/>
          <w:sz w:val="21"/>
          <w:szCs w:val="21"/>
        </w:rPr>
        <w:t>.20</w:t>
      </w:r>
      <w:r w:rsidR="00F761D6" w:rsidRPr="003F68FB">
        <w:rPr>
          <w:rFonts w:ascii="Arial" w:hAnsi="Arial" w:cs="Arial"/>
          <w:sz w:val="21"/>
          <w:szCs w:val="21"/>
        </w:rPr>
        <w:t>2</w:t>
      </w:r>
      <w:r w:rsidR="00C07B47" w:rsidRPr="003F68FB">
        <w:rPr>
          <w:rFonts w:ascii="Arial" w:hAnsi="Arial" w:cs="Arial"/>
          <w:sz w:val="21"/>
          <w:szCs w:val="21"/>
        </w:rPr>
        <w:t>5</w:t>
      </w:r>
      <w:r w:rsidR="002E46B5" w:rsidRPr="003F68FB">
        <w:rPr>
          <w:rFonts w:ascii="Arial" w:hAnsi="Arial" w:cs="Arial"/>
          <w:sz w:val="21"/>
          <w:szCs w:val="21"/>
        </w:rPr>
        <w:t>.</w:t>
      </w:r>
      <w:r w:rsidR="00F761D6" w:rsidRPr="003F68FB">
        <w:rPr>
          <w:rFonts w:ascii="Arial" w:hAnsi="Arial" w:cs="Arial"/>
          <w:sz w:val="21"/>
          <w:szCs w:val="21"/>
        </w:rPr>
        <w:t>MR</w:t>
      </w:r>
      <w:r w:rsidR="007C7923" w:rsidRPr="003F68FB">
        <w:rPr>
          <w:rFonts w:ascii="Arial" w:hAnsi="Arial" w:cs="Arial"/>
          <w:sz w:val="21"/>
          <w:szCs w:val="21"/>
        </w:rPr>
        <w:t>.</w:t>
      </w:r>
      <w:r w:rsidR="00C07B47" w:rsidRPr="003F68FB">
        <w:rPr>
          <w:rFonts w:ascii="Arial" w:hAnsi="Arial" w:cs="Arial"/>
          <w:sz w:val="21"/>
          <w:szCs w:val="21"/>
        </w:rPr>
        <w:t>29</w:t>
      </w:r>
      <w:r w:rsidR="008B1F75" w:rsidRPr="003F68FB">
        <w:rPr>
          <w:rFonts w:ascii="Arial" w:hAnsi="Arial" w:cs="Arial"/>
          <w:sz w:val="21"/>
          <w:szCs w:val="21"/>
        </w:rPr>
        <w:t xml:space="preserve">           </w:t>
      </w:r>
      <w:r w:rsidR="00C3274B" w:rsidRPr="003F68FB">
        <w:rPr>
          <w:rFonts w:ascii="Arial" w:hAnsi="Arial" w:cs="Arial"/>
          <w:sz w:val="21"/>
          <w:szCs w:val="21"/>
        </w:rPr>
        <w:t xml:space="preserve">                  </w:t>
      </w:r>
      <w:r w:rsidR="00992D38" w:rsidRPr="003F68FB">
        <w:rPr>
          <w:rFonts w:ascii="Arial" w:hAnsi="Arial" w:cs="Arial"/>
          <w:sz w:val="21"/>
          <w:szCs w:val="21"/>
        </w:rPr>
        <w:t xml:space="preserve">  </w:t>
      </w:r>
      <w:r w:rsidRPr="003F68FB">
        <w:rPr>
          <w:rFonts w:ascii="Arial" w:hAnsi="Arial" w:cs="Arial"/>
          <w:sz w:val="21"/>
          <w:szCs w:val="21"/>
        </w:rPr>
        <w:t xml:space="preserve"> </w:t>
      </w:r>
      <w:r w:rsidR="007800EF" w:rsidRPr="003F68FB">
        <w:rPr>
          <w:rFonts w:ascii="Arial" w:hAnsi="Arial" w:cs="Arial"/>
          <w:sz w:val="21"/>
          <w:szCs w:val="21"/>
        </w:rPr>
        <w:t xml:space="preserve"> </w:t>
      </w:r>
      <w:r w:rsidRPr="003F68FB">
        <w:rPr>
          <w:rFonts w:ascii="Arial" w:hAnsi="Arial" w:cs="Arial"/>
          <w:sz w:val="21"/>
          <w:szCs w:val="21"/>
        </w:rPr>
        <w:t xml:space="preserve"> </w:t>
      </w:r>
      <w:r w:rsidR="00F761D6" w:rsidRPr="003F68FB">
        <w:rPr>
          <w:rFonts w:ascii="Arial" w:hAnsi="Arial" w:cs="Arial"/>
          <w:sz w:val="21"/>
          <w:szCs w:val="21"/>
        </w:rPr>
        <w:t xml:space="preserve"> </w:t>
      </w:r>
      <w:r w:rsidR="003F68FB">
        <w:rPr>
          <w:rFonts w:ascii="Arial" w:hAnsi="Arial" w:cs="Arial"/>
          <w:sz w:val="21"/>
          <w:szCs w:val="21"/>
        </w:rPr>
        <w:t xml:space="preserve">       </w:t>
      </w:r>
      <w:r w:rsidR="00C07B47" w:rsidRPr="003F68FB">
        <w:rPr>
          <w:rFonts w:ascii="Arial" w:hAnsi="Arial" w:cs="Arial"/>
          <w:sz w:val="21"/>
          <w:szCs w:val="21"/>
        </w:rPr>
        <w:t xml:space="preserve">       </w:t>
      </w:r>
      <w:r w:rsidR="00AB2C4D" w:rsidRPr="003F68FB">
        <w:rPr>
          <w:rFonts w:ascii="Arial" w:hAnsi="Arial" w:cs="Arial"/>
          <w:sz w:val="21"/>
          <w:szCs w:val="21"/>
        </w:rPr>
        <w:t xml:space="preserve"> </w:t>
      </w:r>
      <w:r w:rsidR="00F761D6" w:rsidRPr="003F68FB">
        <w:rPr>
          <w:rFonts w:ascii="Arial" w:hAnsi="Arial" w:cs="Arial"/>
          <w:sz w:val="21"/>
          <w:szCs w:val="21"/>
        </w:rPr>
        <w:t xml:space="preserve"> </w:t>
      </w:r>
      <w:r w:rsidR="00734F6B" w:rsidRPr="003F68FB">
        <w:rPr>
          <w:rFonts w:ascii="Arial" w:hAnsi="Arial" w:cs="Arial"/>
          <w:sz w:val="21"/>
          <w:szCs w:val="21"/>
        </w:rPr>
        <w:t xml:space="preserve">Gdańsk, dnia </w:t>
      </w:r>
      <w:r w:rsidR="00C41B09" w:rsidRPr="003F68FB">
        <w:rPr>
          <w:rFonts w:ascii="Arial" w:hAnsi="Arial" w:cs="Arial"/>
          <w:sz w:val="21"/>
          <w:szCs w:val="21"/>
        </w:rPr>
        <w:t xml:space="preserve">  </w:t>
      </w:r>
      <w:r w:rsidR="00227D02">
        <w:rPr>
          <w:rFonts w:ascii="Arial" w:hAnsi="Arial" w:cs="Arial"/>
          <w:sz w:val="21"/>
          <w:szCs w:val="21"/>
        </w:rPr>
        <w:t>16.</w:t>
      </w:r>
      <w:r w:rsidR="00AB48C9" w:rsidRPr="003F68FB">
        <w:rPr>
          <w:rFonts w:ascii="Arial" w:hAnsi="Arial" w:cs="Arial"/>
          <w:sz w:val="21"/>
          <w:szCs w:val="21"/>
        </w:rPr>
        <w:t>1</w:t>
      </w:r>
      <w:r w:rsidR="00C07B47" w:rsidRPr="003F68FB">
        <w:rPr>
          <w:rFonts w:ascii="Arial" w:hAnsi="Arial" w:cs="Arial"/>
          <w:sz w:val="21"/>
          <w:szCs w:val="21"/>
        </w:rPr>
        <w:t>2</w:t>
      </w:r>
      <w:r w:rsidR="00F761D6" w:rsidRPr="003F68FB">
        <w:rPr>
          <w:rFonts w:ascii="Arial" w:hAnsi="Arial" w:cs="Arial"/>
          <w:sz w:val="21"/>
          <w:szCs w:val="21"/>
        </w:rPr>
        <w:t>.</w:t>
      </w:r>
      <w:r w:rsidR="007C7923" w:rsidRPr="003F68FB">
        <w:rPr>
          <w:rFonts w:ascii="Arial" w:hAnsi="Arial" w:cs="Arial"/>
          <w:sz w:val="21"/>
          <w:szCs w:val="21"/>
        </w:rPr>
        <w:t>20</w:t>
      </w:r>
      <w:r w:rsidR="00F761D6" w:rsidRPr="003F68FB">
        <w:rPr>
          <w:rFonts w:ascii="Arial" w:hAnsi="Arial" w:cs="Arial"/>
          <w:sz w:val="21"/>
          <w:szCs w:val="21"/>
        </w:rPr>
        <w:t>2</w:t>
      </w:r>
      <w:r w:rsidR="00FD50A3" w:rsidRPr="003F68FB">
        <w:rPr>
          <w:rFonts w:ascii="Arial" w:hAnsi="Arial" w:cs="Arial"/>
          <w:sz w:val="21"/>
          <w:szCs w:val="21"/>
        </w:rPr>
        <w:t>5</w:t>
      </w:r>
      <w:r w:rsidR="00F761D6" w:rsidRPr="003F68FB">
        <w:rPr>
          <w:rFonts w:ascii="Arial" w:hAnsi="Arial" w:cs="Arial"/>
          <w:sz w:val="21"/>
          <w:szCs w:val="21"/>
        </w:rPr>
        <w:t xml:space="preserve"> </w:t>
      </w:r>
      <w:r w:rsidR="000C3004" w:rsidRPr="003F68FB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3F68FB" w:rsidRDefault="005A2187" w:rsidP="00227D02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3F68FB" w:rsidRDefault="00294032" w:rsidP="00227D02">
      <w:pPr>
        <w:spacing w:after="0"/>
        <w:rPr>
          <w:rFonts w:ascii="Arial" w:hAnsi="Arial" w:cs="Arial"/>
          <w:b/>
          <w:sz w:val="21"/>
          <w:szCs w:val="21"/>
        </w:rPr>
      </w:pPr>
      <w:r w:rsidRPr="003F68FB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3F68FB" w:rsidRDefault="005A2187" w:rsidP="00227D02">
      <w:pPr>
        <w:spacing w:after="0"/>
        <w:rPr>
          <w:rFonts w:ascii="Arial" w:hAnsi="Arial" w:cs="Arial"/>
          <w:b/>
          <w:sz w:val="8"/>
          <w:szCs w:val="8"/>
        </w:rPr>
      </w:pPr>
    </w:p>
    <w:p w14:paraId="49DDE6E6" w14:textId="285982AF" w:rsidR="00C3274B" w:rsidRPr="003F68FB" w:rsidRDefault="004D3E3A" w:rsidP="00227D02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F68FB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3F68FB">
        <w:rPr>
          <w:rFonts w:ascii="Arial" w:hAnsi="Arial" w:cs="Arial"/>
          <w:sz w:val="21"/>
          <w:szCs w:val="21"/>
        </w:rPr>
        <w:t xml:space="preserve">art. </w:t>
      </w:r>
      <w:r w:rsidR="004540B6" w:rsidRPr="003F68FB">
        <w:rPr>
          <w:rFonts w:ascii="Arial" w:hAnsi="Arial" w:cs="Arial"/>
          <w:sz w:val="21"/>
          <w:szCs w:val="21"/>
        </w:rPr>
        <w:t>10 § 1</w:t>
      </w:r>
      <w:r w:rsidR="003F68FB" w:rsidRPr="003F68FB">
        <w:rPr>
          <w:rFonts w:ascii="Arial" w:hAnsi="Arial" w:cs="Arial"/>
          <w:sz w:val="21"/>
          <w:szCs w:val="21"/>
        </w:rPr>
        <w:t>, 36</w:t>
      </w:r>
      <w:r w:rsidR="004540B6" w:rsidRPr="003F68FB">
        <w:rPr>
          <w:rFonts w:ascii="Arial" w:hAnsi="Arial" w:cs="Arial"/>
          <w:sz w:val="21"/>
          <w:szCs w:val="21"/>
        </w:rPr>
        <w:t xml:space="preserve"> oraz </w:t>
      </w:r>
      <w:r w:rsidRPr="003F68FB">
        <w:rPr>
          <w:rFonts w:ascii="Arial" w:hAnsi="Arial" w:cs="Arial"/>
          <w:sz w:val="21"/>
          <w:szCs w:val="21"/>
        </w:rPr>
        <w:t>49</w:t>
      </w:r>
      <w:r w:rsidR="00B8726F" w:rsidRPr="003F68FB">
        <w:rPr>
          <w:rFonts w:ascii="Arial" w:hAnsi="Arial" w:cs="Arial"/>
          <w:sz w:val="21"/>
          <w:szCs w:val="21"/>
        </w:rPr>
        <w:t xml:space="preserve"> </w:t>
      </w:r>
      <w:r w:rsidRPr="003F68FB">
        <w:rPr>
          <w:rFonts w:ascii="Arial" w:hAnsi="Arial" w:cs="Arial"/>
          <w:sz w:val="21"/>
          <w:szCs w:val="21"/>
        </w:rPr>
        <w:t>ustawy z dnia 14 czerwca 1960 roku - Kodeks postępowania administracyjnego (</w:t>
      </w:r>
      <w:r w:rsidR="00C3274B" w:rsidRPr="003F68FB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3F68FB">
        <w:rPr>
          <w:rFonts w:ascii="Arial" w:hAnsi="Arial" w:cs="Arial"/>
          <w:iCs/>
          <w:sz w:val="21"/>
          <w:szCs w:val="21"/>
        </w:rPr>
        <w:t>202</w:t>
      </w:r>
      <w:r w:rsidR="003F68FB" w:rsidRPr="003F68FB">
        <w:rPr>
          <w:rFonts w:ascii="Arial" w:hAnsi="Arial" w:cs="Arial"/>
          <w:iCs/>
          <w:sz w:val="21"/>
          <w:szCs w:val="21"/>
        </w:rPr>
        <w:t>5</w:t>
      </w:r>
      <w:r w:rsidR="00244374" w:rsidRPr="003F68FB">
        <w:rPr>
          <w:rFonts w:ascii="Arial" w:hAnsi="Arial" w:cs="Arial"/>
          <w:iCs/>
          <w:sz w:val="21"/>
          <w:szCs w:val="21"/>
        </w:rPr>
        <w:t xml:space="preserve"> r. poz. </w:t>
      </w:r>
      <w:r w:rsidR="003F68FB" w:rsidRPr="003F68FB">
        <w:rPr>
          <w:rFonts w:ascii="Arial" w:hAnsi="Arial" w:cs="Arial"/>
          <w:iCs/>
          <w:sz w:val="21"/>
          <w:szCs w:val="21"/>
        </w:rPr>
        <w:t>1691</w:t>
      </w:r>
      <w:r w:rsidRPr="003F68FB">
        <w:rPr>
          <w:rFonts w:ascii="Arial" w:hAnsi="Arial" w:cs="Arial"/>
          <w:iCs/>
          <w:sz w:val="21"/>
          <w:szCs w:val="21"/>
        </w:rPr>
        <w:t>)</w:t>
      </w:r>
      <w:r w:rsidRPr="003F68FB">
        <w:rPr>
          <w:rFonts w:ascii="Arial" w:hAnsi="Arial" w:cs="Arial"/>
          <w:sz w:val="21"/>
          <w:szCs w:val="21"/>
        </w:rPr>
        <w:t xml:space="preserve">, w związku art. </w:t>
      </w:r>
      <w:r w:rsidR="004540B6" w:rsidRPr="003F68FB">
        <w:rPr>
          <w:rFonts w:ascii="Arial" w:hAnsi="Arial" w:cs="Arial"/>
          <w:sz w:val="21"/>
          <w:szCs w:val="21"/>
        </w:rPr>
        <w:t xml:space="preserve">w związku z art. </w:t>
      </w:r>
      <w:r w:rsidR="003F51DC" w:rsidRPr="003F68FB">
        <w:rPr>
          <w:rFonts w:ascii="Arial" w:hAnsi="Arial" w:cs="Arial"/>
          <w:sz w:val="21"/>
          <w:szCs w:val="21"/>
        </w:rPr>
        <w:t xml:space="preserve">75 ust. </w:t>
      </w:r>
      <w:r w:rsidR="00C07B47" w:rsidRPr="003F68FB">
        <w:rPr>
          <w:rFonts w:ascii="Arial" w:hAnsi="Arial" w:cs="Arial"/>
          <w:sz w:val="21"/>
          <w:szCs w:val="21"/>
        </w:rPr>
        <w:t>7</w:t>
      </w:r>
      <w:r w:rsidR="004540B6" w:rsidRPr="003F68FB">
        <w:rPr>
          <w:rFonts w:ascii="Arial" w:hAnsi="Arial" w:cs="Arial"/>
          <w:sz w:val="21"/>
          <w:szCs w:val="21"/>
        </w:rPr>
        <w:t xml:space="preserve"> oraz </w:t>
      </w:r>
      <w:r w:rsidRPr="003F68FB">
        <w:rPr>
          <w:rFonts w:ascii="Arial" w:hAnsi="Arial" w:cs="Arial"/>
          <w:sz w:val="21"/>
          <w:szCs w:val="21"/>
        </w:rPr>
        <w:t>74 ust. 3 ustawy z</w:t>
      </w:r>
      <w:r w:rsidR="00C41B09" w:rsidRPr="003F68FB">
        <w:rPr>
          <w:rFonts w:ascii="Arial" w:hAnsi="Arial" w:cs="Arial"/>
          <w:sz w:val="21"/>
          <w:szCs w:val="21"/>
        </w:rPr>
        <w:t> </w:t>
      </w:r>
      <w:r w:rsidRPr="003F68FB">
        <w:rPr>
          <w:rFonts w:ascii="Arial" w:hAnsi="Arial" w:cs="Arial"/>
          <w:sz w:val="21"/>
          <w:szCs w:val="21"/>
        </w:rPr>
        <w:t>dnia 3 października 2008</w:t>
      </w:r>
      <w:r w:rsidR="00684C7F" w:rsidRPr="003F68FB">
        <w:rPr>
          <w:rFonts w:ascii="Arial" w:hAnsi="Arial" w:cs="Arial"/>
          <w:sz w:val="21"/>
          <w:szCs w:val="21"/>
        </w:rPr>
        <w:t xml:space="preserve"> </w:t>
      </w:r>
      <w:r w:rsidRPr="003F68FB">
        <w:rPr>
          <w:rFonts w:ascii="Arial" w:hAnsi="Arial" w:cs="Arial"/>
          <w:sz w:val="21"/>
          <w:szCs w:val="21"/>
        </w:rPr>
        <w:t xml:space="preserve">r. </w:t>
      </w:r>
      <w:r w:rsidRPr="003F68FB">
        <w:rPr>
          <w:rFonts w:ascii="Arial" w:hAnsi="Arial" w:cs="Arial"/>
          <w:iCs/>
          <w:sz w:val="21"/>
          <w:szCs w:val="21"/>
        </w:rPr>
        <w:t>o</w:t>
      </w:r>
      <w:r w:rsidR="00E9225E" w:rsidRPr="003F68FB">
        <w:rPr>
          <w:rFonts w:ascii="Arial" w:hAnsi="Arial" w:cs="Arial"/>
          <w:iCs/>
          <w:sz w:val="21"/>
          <w:szCs w:val="21"/>
        </w:rPr>
        <w:t> </w:t>
      </w:r>
      <w:r w:rsidRPr="003F68FB">
        <w:rPr>
          <w:rFonts w:ascii="Arial" w:hAnsi="Arial" w:cs="Arial"/>
          <w:iCs/>
          <w:sz w:val="21"/>
          <w:szCs w:val="21"/>
        </w:rPr>
        <w:t>udostępnianiu informacji o</w:t>
      </w:r>
      <w:r w:rsidR="003F68FB">
        <w:rPr>
          <w:rFonts w:ascii="Arial" w:hAnsi="Arial" w:cs="Arial"/>
          <w:iCs/>
          <w:sz w:val="21"/>
          <w:szCs w:val="21"/>
        </w:rPr>
        <w:t> </w:t>
      </w:r>
      <w:r w:rsidRPr="003F68FB">
        <w:rPr>
          <w:rFonts w:ascii="Arial" w:hAnsi="Arial" w:cs="Arial"/>
          <w:iCs/>
          <w:sz w:val="21"/>
          <w:szCs w:val="21"/>
        </w:rPr>
        <w:t>środowisku i jego ochronie, udziale społeczeństwa w ochronie środowiska oraz o</w:t>
      </w:r>
      <w:r w:rsidR="003F51DC" w:rsidRPr="003F68FB">
        <w:rPr>
          <w:rFonts w:ascii="Arial" w:hAnsi="Arial" w:cs="Arial"/>
          <w:iCs/>
          <w:sz w:val="21"/>
          <w:szCs w:val="21"/>
        </w:rPr>
        <w:t> </w:t>
      </w:r>
      <w:r w:rsidRPr="003F68FB">
        <w:rPr>
          <w:rFonts w:ascii="Arial" w:hAnsi="Arial" w:cs="Arial"/>
          <w:iCs/>
          <w:sz w:val="21"/>
          <w:szCs w:val="21"/>
        </w:rPr>
        <w:t xml:space="preserve">ocenach oddziaływania na środowisko (tekst jedn. Dz. U. z </w:t>
      </w:r>
      <w:r w:rsidR="00C3274B" w:rsidRPr="003F68FB">
        <w:rPr>
          <w:rFonts w:ascii="Arial" w:hAnsi="Arial" w:cs="Arial"/>
          <w:iCs/>
          <w:sz w:val="21"/>
          <w:szCs w:val="21"/>
        </w:rPr>
        <w:t>20</w:t>
      </w:r>
      <w:r w:rsidR="00F761D6" w:rsidRPr="003F68FB">
        <w:rPr>
          <w:rFonts w:ascii="Arial" w:hAnsi="Arial" w:cs="Arial"/>
          <w:iCs/>
          <w:sz w:val="21"/>
          <w:szCs w:val="21"/>
        </w:rPr>
        <w:t>2</w:t>
      </w:r>
      <w:r w:rsidR="00FD50A3" w:rsidRPr="003F68FB">
        <w:rPr>
          <w:rFonts w:ascii="Arial" w:hAnsi="Arial" w:cs="Arial"/>
          <w:iCs/>
          <w:sz w:val="21"/>
          <w:szCs w:val="21"/>
        </w:rPr>
        <w:t>4</w:t>
      </w:r>
      <w:r w:rsidR="00F761D6" w:rsidRPr="003F68FB">
        <w:rPr>
          <w:rFonts w:ascii="Arial" w:hAnsi="Arial" w:cs="Arial"/>
          <w:iCs/>
          <w:sz w:val="21"/>
          <w:szCs w:val="21"/>
        </w:rPr>
        <w:t xml:space="preserve"> </w:t>
      </w:r>
      <w:r w:rsidRPr="003F68FB">
        <w:rPr>
          <w:rFonts w:ascii="Arial" w:hAnsi="Arial" w:cs="Arial"/>
          <w:iCs/>
          <w:sz w:val="21"/>
          <w:szCs w:val="21"/>
        </w:rPr>
        <w:t xml:space="preserve">r. poz. </w:t>
      </w:r>
      <w:r w:rsidR="00FD50A3" w:rsidRPr="003F68FB">
        <w:rPr>
          <w:rFonts w:ascii="Arial" w:hAnsi="Arial" w:cs="Arial"/>
          <w:iCs/>
          <w:sz w:val="21"/>
          <w:szCs w:val="21"/>
        </w:rPr>
        <w:t>1112</w:t>
      </w:r>
      <w:r w:rsidR="00684C7F" w:rsidRPr="003F68FB">
        <w:rPr>
          <w:rFonts w:ascii="Arial" w:hAnsi="Arial" w:cs="Arial"/>
          <w:sz w:val="21"/>
          <w:szCs w:val="21"/>
        </w:rPr>
        <w:t xml:space="preserve"> ze zm.</w:t>
      </w:r>
      <w:r w:rsidRPr="003F68FB">
        <w:rPr>
          <w:rFonts w:ascii="Arial" w:hAnsi="Arial" w:cs="Arial"/>
          <w:sz w:val="21"/>
          <w:szCs w:val="21"/>
        </w:rPr>
        <w:t>),</w:t>
      </w:r>
      <w:r w:rsidR="006B3C48" w:rsidRPr="003F68FB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3F68FB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3F68FB">
        <w:rPr>
          <w:rFonts w:ascii="Arial" w:hAnsi="Arial" w:cs="Arial"/>
          <w:sz w:val="21"/>
          <w:szCs w:val="21"/>
        </w:rPr>
        <w:t>,</w:t>
      </w:r>
      <w:r w:rsidRPr="003F68FB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3F68FB">
        <w:rPr>
          <w:rFonts w:ascii="Arial" w:hAnsi="Arial" w:cs="Arial"/>
          <w:sz w:val="21"/>
          <w:szCs w:val="21"/>
        </w:rPr>
        <w:t xml:space="preserve"> iż </w:t>
      </w:r>
      <w:r w:rsidR="00E9225E" w:rsidRPr="003F68FB">
        <w:rPr>
          <w:rFonts w:ascii="Arial" w:hAnsi="Arial" w:cs="Arial"/>
          <w:sz w:val="21"/>
          <w:szCs w:val="21"/>
        </w:rPr>
        <w:t>w</w:t>
      </w:r>
      <w:r w:rsidR="003F68FB">
        <w:rPr>
          <w:rFonts w:ascii="Arial" w:hAnsi="Arial" w:cs="Arial"/>
          <w:sz w:val="21"/>
          <w:szCs w:val="21"/>
        </w:rPr>
        <w:t> </w:t>
      </w:r>
      <w:r w:rsidR="00E9225E" w:rsidRPr="003F68FB">
        <w:rPr>
          <w:rFonts w:ascii="Arial" w:hAnsi="Arial" w:cs="Arial"/>
          <w:sz w:val="21"/>
          <w:szCs w:val="21"/>
        </w:rPr>
        <w:t xml:space="preserve">postępowaniu na </w:t>
      </w:r>
      <w:bookmarkStart w:id="0" w:name="_Hlk203658920"/>
      <w:r w:rsidR="00C07B47" w:rsidRPr="003F68FB">
        <w:rPr>
          <w:rFonts w:ascii="Arial" w:hAnsi="Arial" w:cs="Arial"/>
          <w:bCs/>
          <w:sz w:val="21"/>
          <w:szCs w:val="21"/>
        </w:rPr>
        <w:t xml:space="preserve">wniosek Dyrektora Urzędu Morskiego w Gdyni z dnia 31.12.2024 r. (wpływ 02.01.2025 r.), uzupełniony w dniu 29.01.2025 r., o wydanie decyzji o środowiskowych uwarunkowaniach dla przedsięwzięcia pn.: </w:t>
      </w:r>
      <w:r w:rsidR="00C07B47" w:rsidRPr="003F68FB">
        <w:rPr>
          <w:rFonts w:ascii="Arial" w:hAnsi="Arial" w:cs="Arial"/>
          <w:b/>
          <w:bCs/>
          <w:sz w:val="21"/>
          <w:szCs w:val="21"/>
        </w:rPr>
        <w:t>„Przebudowa istniejącego wejścia do Portu Morskiego w Ustce”</w:t>
      </w:r>
      <w:r w:rsidR="00C07B47" w:rsidRPr="003F68FB">
        <w:rPr>
          <w:rFonts w:ascii="Arial" w:hAnsi="Arial" w:cs="Arial"/>
          <w:bCs/>
          <w:sz w:val="21"/>
          <w:szCs w:val="21"/>
        </w:rPr>
        <w:t>, planowanego do realizacji na obszarze wskazanym w zawiadomieniu znak RDOŚ-Gd-WOO.420.1.2025.MR.3 z dnia 06.02.2025 r.</w:t>
      </w:r>
      <w:r w:rsidR="00684C7F" w:rsidRPr="003F68FB">
        <w:rPr>
          <w:rFonts w:ascii="Arial" w:hAnsi="Arial" w:cs="Arial"/>
          <w:sz w:val="21"/>
          <w:szCs w:val="21"/>
        </w:rPr>
        <w:t>:</w:t>
      </w:r>
      <w:bookmarkEnd w:id="0"/>
    </w:p>
    <w:p w14:paraId="6E57BA11" w14:textId="0F0F1BB6" w:rsidR="004540B6" w:rsidRPr="003F68FB" w:rsidRDefault="00C07B47" w:rsidP="00227D02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bookmarkStart w:id="1" w:name="_Hlk203658958"/>
      <w:r w:rsidRPr="003F68FB">
        <w:rPr>
          <w:rFonts w:ascii="Arial" w:hAnsi="Arial" w:cs="Arial"/>
          <w:bCs/>
          <w:sz w:val="21"/>
          <w:szCs w:val="21"/>
        </w:rPr>
        <w:t>Państwowy Graniczny Inspektor Sanitarny w Gdyni, jako organ opiniujący w przedmiotowym postępowaniu, w opinii znak ZNS.491.1.7.2025 z dnia 04.03.2025 r. wyraził opinię, że nie istniej</w:t>
      </w:r>
      <w:r w:rsidR="00BA14EF">
        <w:rPr>
          <w:rFonts w:ascii="Arial" w:hAnsi="Arial" w:cs="Arial"/>
          <w:bCs/>
          <w:sz w:val="21"/>
          <w:szCs w:val="21"/>
        </w:rPr>
        <w:t>e</w:t>
      </w:r>
      <w:r w:rsidRPr="003F68FB">
        <w:rPr>
          <w:rFonts w:ascii="Arial" w:hAnsi="Arial" w:cs="Arial"/>
          <w:bCs/>
          <w:sz w:val="21"/>
          <w:szCs w:val="21"/>
        </w:rPr>
        <w:t xml:space="preserve"> konieczność przeprowadzenia oceny oddziaływania przedsięwzięcia na środowisko. Pismem znak ZNS.491.1.7.2025.1 z dnia 16.04.2025 r. Państwowy Graniczny Inspektor Sanitarny w Gdyni podtrzymał swoje stanowisko wyrażone w opinii znak ZNS.491.1.7.2025 z dnia 04.03.2025 r.</w:t>
      </w:r>
      <w:bookmarkEnd w:id="1"/>
    </w:p>
    <w:p w14:paraId="6D7F5054" w14:textId="5F7A0CE4" w:rsidR="00244374" w:rsidRPr="003F68FB" w:rsidRDefault="00C07B47" w:rsidP="00227D02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bookmarkStart w:id="2" w:name="_Hlk216782700"/>
      <w:r w:rsidRPr="003F68FB">
        <w:rPr>
          <w:rFonts w:ascii="Arial" w:hAnsi="Arial" w:cs="Arial"/>
          <w:sz w:val="21"/>
          <w:szCs w:val="21"/>
        </w:rPr>
        <w:t>Dyrektor Urzędu Morskiego w Gdyni, jako organ uzgadniający w przedmiotowym postępowaniu, postanowieniem znak INZ1.9202.33.3.2025.AD EZD: INZ1.9202.36.2024.AD z dnia 11.09.2025 r.</w:t>
      </w:r>
      <w:r w:rsidRPr="003F68FB">
        <w:rPr>
          <w:rFonts w:ascii="Arial" w:hAnsi="Arial" w:cs="Arial"/>
          <w:bCs/>
          <w:sz w:val="21"/>
          <w:szCs w:val="21"/>
        </w:rPr>
        <w:t xml:space="preserve"> uzgodnił warunki realizacji przedsięwzięcia.</w:t>
      </w:r>
      <w:bookmarkEnd w:id="2"/>
    </w:p>
    <w:p w14:paraId="7EC3EC49" w14:textId="06534DD5" w:rsidR="00C07B47" w:rsidRPr="003F68FB" w:rsidRDefault="00C07B47" w:rsidP="00227D02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bookmarkStart w:id="3" w:name="_Hlk216782707"/>
      <w:r w:rsidRPr="003F68FB">
        <w:rPr>
          <w:rFonts w:ascii="Arial" w:hAnsi="Arial" w:cs="Arial"/>
          <w:bCs/>
          <w:sz w:val="21"/>
          <w:szCs w:val="21"/>
        </w:rPr>
        <w:t>Dyrektor Regionalnego Zarządu Gospodarki Wodnej w Gdańsku</w:t>
      </w:r>
      <w:r w:rsidRPr="003F68FB">
        <w:rPr>
          <w:rFonts w:ascii="Arial" w:hAnsi="Arial" w:cs="Arial"/>
          <w:sz w:val="21"/>
          <w:szCs w:val="21"/>
        </w:rPr>
        <w:t xml:space="preserve">, jako organ uzgadniający w przedmiotowym postępowaniu, </w:t>
      </w:r>
      <w:r w:rsidRPr="003F68FB">
        <w:rPr>
          <w:rFonts w:ascii="Arial" w:hAnsi="Arial" w:cs="Arial"/>
          <w:bCs/>
          <w:sz w:val="21"/>
          <w:szCs w:val="21"/>
        </w:rPr>
        <w:t>postanowieniem znak G.RZŚ.4900.70.2025.MG.4 z dnia 03.10.2025 r. uzgodnił realizację przedmiotowego przedsięwzięcia i wskazał na konieczność uwzględnienia w decyzji o środowiskowych uwarunkowaniach warunków i</w:t>
      </w:r>
      <w:r w:rsidR="003F68FB">
        <w:rPr>
          <w:rFonts w:ascii="Arial" w:hAnsi="Arial" w:cs="Arial"/>
          <w:bCs/>
          <w:sz w:val="21"/>
          <w:szCs w:val="21"/>
        </w:rPr>
        <w:t> </w:t>
      </w:r>
      <w:r w:rsidRPr="003F68FB">
        <w:rPr>
          <w:rFonts w:ascii="Arial" w:hAnsi="Arial" w:cs="Arial"/>
          <w:bCs/>
          <w:sz w:val="21"/>
          <w:szCs w:val="21"/>
        </w:rPr>
        <w:t>wymagań</w:t>
      </w:r>
      <w:r w:rsidRPr="003F68FB">
        <w:rPr>
          <w:rFonts w:ascii="Arial" w:hAnsi="Arial" w:cs="Arial"/>
          <w:sz w:val="21"/>
          <w:szCs w:val="21"/>
        </w:rPr>
        <w:t>.</w:t>
      </w:r>
      <w:bookmarkEnd w:id="3"/>
    </w:p>
    <w:p w14:paraId="71D6143D" w14:textId="77777777" w:rsidR="00EF26B9" w:rsidRPr="00EF26B9" w:rsidRDefault="00EF26B9" w:rsidP="00227D02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bookmarkStart w:id="4" w:name="_Hlk216782721"/>
      <w:bookmarkStart w:id="5" w:name="_Hlk203658984"/>
      <w:r w:rsidRPr="003F68FB">
        <w:rPr>
          <w:rFonts w:ascii="Arial" w:hAnsi="Arial" w:cs="Arial"/>
          <w:sz w:val="21"/>
          <w:szCs w:val="21"/>
        </w:rPr>
        <w:t xml:space="preserve">Wniosek </w:t>
      </w:r>
      <w:r w:rsidRPr="003F68FB">
        <w:rPr>
          <w:rFonts w:ascii="Arial" w:hAnsi="Arial" w:cs="Arial"/>
          <w:bCs/>
          <w:sz w:val="21"/>
          <w:szCs w:val="21"/>
        </w:rPr>
        <w:t xml:space="preserve">nie może być rozpatrzony w ustawowym terminie. Ze względu na konieczność przeanalizowania wszystkich zgromadzonych dokumentów, zawiadamia się o wyznaczeniu nowego terminu załatwienia sprawy na dzień </w:t>
      </w:r>
      <w:r w:rsidRPr="003F68FB">
        <w:rPr>
          <w:rFonts w:ascii="Arial" w:hAnsi="Arial" w:cs="Arial"/>
          <w:b/>
          <w:bCs/>
          <w:sz w:val="21"/>
          <w:szCs w:val="21"/>
        </w:rPr>
        <w:t>23 stycznia 2026 r.</w:t>
      </w:r>
      <w:bookmarkEnd w:id="4"/>
    </w:p>
    <w:p w14:paraId="754990A0" w14:textId="04BF1479" w:rsidR="00C07B47" w:rsidRPr="00EF26B9" w:rsidRDefault="004540B6" w:rsidP="00227D02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bookmarkStart w:id="6" w:name="_Hlk216782731"/>
      <w:r w:rsidRPr="003F68FB">
        <w:rPr>
          <w:rFonts w:ascii="Arial" w:hAnsi="Arial" w:cs="Arial"/>
          <w:sz w:val="21"/>
          <w:szCs w:val="21"/>
        </w:rPr>
        <w:t>Z</w:t>
      </w:r>
      <w:r w:rsidRPr="003F68FB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3F68FB">
        <w:rPr>
          <w:rFonts w:ascii="Arial" w:hAnsi="Arial" w:cs="Arial"/>
          <w:sz w:val="21"/>
          <w:szCs w:val="21"/>
        </w:rPr>
        <w:t>wydanie decyzji o środowiskowych uwarunkowaniach</w:t>
      </w:r>
      <w:r w:rsidRPr="003F68FB">
        <w:rPr>
          <w:rFonts w:ascii="Arial" w:hAnsi="Arial" w:cs="Arial"/>
          <w:bCs/>
          <w:sz w:val="21"/>
          <w:szCs w:val="21"/>
        </w:rPr>
        <w:t xml:space="preserve"> dla ww. przedsięwzięcia.</w:t>
      </w:r>
      <w:bookmarkEnd w:id="5"/>
      <w:bookmarkEnd w:id="6"/>
    </w:p>
    <w:p w14:paraId="09EAD0A8" w14:textId="4591612B" w:rsidR="004540B6" w:rsidRPr="003F68FB" w:rsidRDefault="004540B6" w:rsidP="00227D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bookmarkStart w:id="7" w:name="_Hlk216782739"/>
      <w:r w:rsidRPr="003F68FB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3F68FB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  <w:bookmarkEnd w:id="7"/>
    </w:p>
    <w:p w14:paraId="6C213C1F" w14:textId="77777777" w:rsidR="004540B6" w:rsidRPr="003F68FB" w:rsidRDefault="004540B6" w:rsidP="00227D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3F68FB" w:rsidRDefault="007C7923" w:rsidP="00227D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3F68FB">
        <w:rPr>
          <w:rFonts w:ascii="Arial" w:hAnsi="Arial" w:cs="Arial"/>
          <w:sz w:val="21"/>
          <w:szCs w:val="21"/>
        </w:rPr>
        <w:t xml:space="preserve">Doręczenie </w:t>
      </w:r>
      <w:r w:rsidR="00294032" w:rsidRPr="003F68FB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3F68FB">
        <w:rPr>
          <w:rFonts w:ascii="Arial" w:hAnsi="Arial" w:cs="Arial"/>
          <w:sz w:val="21"/>
          <w:szCs w:val="21"/>
        </w:rPr>
        <w:br/>
      </w:r>
      <w:r w:rsidR="00294032" w:rsidRPr="003F68FB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3F68FB" w:rsidRDefault="00294032" w:rsidP="00227D02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3F68FB" w:rsidRDefault="00294032" w:rsidP="00227D0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3F68FB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0EA84582" w14:textId="77777777" w:rsidR="00BB0A0A" w:rsidRPr="003F68FB" w:rsidRDefault="00A1455C" w:rsidP="00227D0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3F68FB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227D0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227D0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227D0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227D0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051754F0" w:rsidR="00E9225E" w:rsidRDefault="003F68FB" w:rsidP="00227D02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8A0E1D">
        <w:rPr>
          <w:rFonts w:ascii="Arial" w:hAnsi="Arial" w:cs="Arial"/>
          <w:sz w:val="18"/>
          <w:szCs w:val="18"/>
          <w:u w:val="single"/>
        </w:rPr>
        <w:t>Art. 36 kpa:</w:t>
      </w:r>
      <w:r w:rsidRPr="008A0E1D">
        <w:rPr>
          <w:rFonts w:ascii="Arial" w:hAnsi="Arial" w:cs="Arial"/>
          <w:sz w:val="18"/>
          <w:szCs w:val="18"/>
        </w:rPr>
        <w:t xml:space="preserve"> O</w:t>
      </w:r>
      <w:r w:rsidRPr="008A0E1D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 wskazując nowy termin załatwienia sprawy.</w:t>
      </w:r>
    </w:p>
    <w:p w14:paraId="3FE319AC" w14:textId="77777777" w:rsidR="004540B6" w:rsidRDefault="004540B6" w:rsidP="00227D02">
      <w:pPr>
        <w:spacing w:after="0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227D0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227D0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227D0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227D0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43691892" w:rsidR="004540B6" w:rsidRPr="00244374" w:rsidRDefault="003F51DC" w:rsidP="00227D02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</w:t>
      </w:r>
      <w:r w:rsidR="00C07B47">
        <w:rPr>
          <w:rFonts w:ascii="Arial" w:hAnsi="Arial" w:cs="Arial"/>
          <w:iCs/>
          <w:sz w:val="18"/>
          <w:szCs w:val="18"/>
          <w:u w:val="single"/>
        </w:rPr>
        <w:t>7</w:t>
      </w: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="00C07B47" w:rsidRPr="00C07B47">
        <w:rPr>
          <w:rFonts w:ascii="Arial" w:hAnsi="Arial" w:cs="Arial"/>
          <w:iCs/>
          <w:sz w:val="18"/>
          <w:szCs w:val="18"/>
        </w:rPr>
        <w:t>Organem właściwym do wydania decyzji o środowiskowych uwarunkowaniach jest regionalny dyrektor ochrony środowiska - w przypadku przedsięwzięcia realizowanego w części na obszarze morskim dla całego przedsięwzięcia decyzję o środowiskowych uwarunkowaniach wydaje regionalny dyrektor ochrony środowiska.</w:t>
      </w:r>
    </w:p>
    <w:p w14:paraId="69F28F98" w14:textId="77777777" w:rsidR="00684C7F" w:rsidRPr="00244374" w:rsidRDefault="00684C7F" w:rsidP="00227D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227D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227D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AB58C00" w:rsidR="00F761D6" w:rsidRPr="00244374" w:rsidRDefault="00684C7F" w:rsidP="00227D02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32DCDAC" w:rsidR="00DA56F3" w:rsidRDefault="00C3274B" w:rsidP="00227D0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227D0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227D02">
      <w:pPr>
        <w:rPr>
          <w:rFonts w:ascii="Arial" w:hAnsi="Arial" w:cs="Arial"/>
          <w:sz w:val="21"/>
          <w:szCs w:val="21"/>
        </w:rPr>
      </w:pPr>
    </w:p>
    <w:sectPr w:rsidR="00E9225E" w:rsidRPr="00E9225E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3F24CC5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011B3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011B3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011B34">
              <w:rPr>
                <w:rFonts w:ascii="Arial" w:hAnsi="Arial" w:cs="Arial"/>
                <w:sz w:val="16"/>
                <w:szCs w:val="16"/>
              </w:rPr>
              <w:t>29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11B34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27D02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B7D56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089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3F68FB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3561"/>
    <w:rsid w:val="00624112"/>
    <w:rsid w:val="00626F39"/>
    <w:rsid w:val="00633F2F"/>
    <w:rsid w:val="006528D7"/>
    <w:rsid w:val="006657C0"/>
    <w:rsid w:val="00684C7F"/>
    <w:rsid w:val="006A3ED6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B48C9"/>
    <w:rsid w:val="00AD2FF7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A14EF"/>
    <w:rsid w:val="00BB0A0A"/>
    <w:rsid w:val="00BC407A"/>
    <w:rsid w:val="00C07B47"/>
    <w:rsid w:val="00C106CC"/>
    <w:rsid w:val="00C15C8B"/>
    <w:rsid w:val="00C3274B"/>
    <w:rsid w:val="00C36120"/>
    <w:rsid w:val="00C41B09"/>
    <w:rsid w:val="00C6452C"/>
    <w:rsid w:val="00C8003C"/>
    <w:rsid w:val="00CC6790"/>
    <w:rsid w:val="00CF07CF"/>
    <w:rsid w:val="00CF136F"/>
    <w:rsid w:val="00D06763"/>
    <w:rsid w:val="00D16970"/>
    <w:rsid w:val="00D173B8"/>
    <w:rsid w:val="00D26062"/>
    <w:rsid w:val="00D26CC4"/>
    <w:rsid w:val="00D32B28"/>
    <w:rsid w:val="00D401B3"/>
    <w:rsid w:val="00D47B4A"/>
    <w:rsid w:val="00D47D5F"/>
    <w:rsid w:val="00D556EF"/>
    <w:rsid w:val="00D7658E"/>
    <w:rsid w:val="00D85FF2"/>
    <w:rsid w:val="00D971E8"/>
    <w:rsid w:val="00DA1297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EF26B9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2025-12-16T12:25:00Z</cp:lastPrinted>
  <dcterms:created xsi:type="dcterms:W3CDTF">2025-12-16T11:56:00Z</dcterms:created>
  <dcterms:modified xsi:type="dcterms:W3CDTF">2025-12-16T14:07:00Z</dcterms:modified>
</cp:coreProperties>
</file>