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FAB2" w14:textId="77777777" w:rsidR="000E2196" w:rsidRPr="00DD19FA" w:rsidRDefault="000E2196" w:rsidP="00DD19FA">
      <w:bookmarkStart w:id="0" w:name="_Toc513799400"/>
      <w:r w:rsidRPr="00DD19FA">
        <w:t>Krajowe priorytety na rzecz zrównoważonego rozwoju</w:t>
      </w:r>
      <w:bookmarkEnd w:id="0"/>
      <w:r w:rsidRPr="00DD19FA">
        <w:t xml:space="preserve"> </w:t>
      </w:r>
    </w:p>
    <w:p w14:paraId="382A59A1" w14:textId="77777777" w:rsidR="000E2196" w:rsidRPr="00DD19FA" w:rsidRDefault="000E2196" w:rsidP="00DD19FA">
      <w:bookmarkStart w:id="1" w:name="_Toc507502283"/>
      <w:bookmarkStart w:id="2" w:name="_Toc513799401"/>
      <w:r w:rsidRPr="00DD19FA">
        <w:t>Krajowa strategia rozwoju</w:t>
      </w:r>
      <w:bookmarkEnd w:id="1"/>
      <w:bookmarkEnd w:id="2"/>
    </w:p>
    <w:p w14:paraId="4BBD3C98" w14:textId="77777777" w:rsidR="000E2196" w:rsidRPr="00DD19FA" w:rsidRDefault="000E2196" w:rsidP="00DD19FA">
      <w:r w:rsidRPr="00DD19FA">
        <w:t xml:space="preserve">Agenda 2030 i cele zrównoważonego rozwoju, oparte na rozwoju uwzględniającym jednocześnie aspekt społeczny, ekonomiczny i środowiskowy, znajdują silne odzwierciedlenie w polskiej polityce rozwoju. Są zawarte w wizji rozwoju sformułowanej w Strategii na rzecz Odpowiedzialnego Rozwoju (SOR), przyjętej przez Radę Ministrów w lutym 2017 r. </w:t>
      </w:r>
    </w:p>
    <w:p w14:paraId="35CA7B85" w14:textId="77777777" w:rsidR="000E2196" w:rsidRPr="00DD19FA" w:rsidRDefault="000E2196" w:rsidP="00DD19FA">
      <w:r w:rsidRPr="00DD19FA">
        <w:t>Polska gospodarka potrzebuje nowych impulsów rozwojowych, które zapewnią stabilny wzrost, jednocześnie poprawiając jakość życia mieszkańców i ich zamożność. Strategia wychodząc naprzeciw tym potrzebom przedstawia nowy model rozwoju – rozwój odpowiedzialny, czyli taki, który budując siłę konkurencyjną z wykorzystaniem nowych czynników wzrostu, zapewnia udział i korzyści wszystkim grupom społecznym zamieszkującym różne miejsca Polski. Jednocześnie w nowym modelu potrzeby obecnego pokolenia będą realizowane bez umniejszania szans przyszłych pokoleń. Nie chodzi zatem tylko o wielkość PKB, ale przede wszystkim o jego jakość oraz o postrzeganie procesów rozwojowych w kontekście ich znacze</w:t>
      </w:r>
      <w:r w:rsidRPr="00DD19FA">
        <w:softHyphen/>
        <w:t>nia dla obywateli. Strategia ukierunkowana jest zatem na rozwój społeczno-gospodarczy zapewniający włączenie społeczne, dlatego stawia człowieka w centrum bezpośredniego zainteresowania i podporządkowuje dzia</w:t>
      </w:r>
      <w:r w:rsidRPr="00DD19FA">
        <w:softHyphen/>
        <w:t>łania w sferze gospodarczej osiąganiu celów związanych z poziomem i jakością życia obywateli.</w:t>
      </w:r>
    </w:p>
    <w:p w14:paraId="33F1712A" w14:textId="77777777" w:rsidR="000E2196" w:rsidRPr="00DD19FA" w:rsidRDefault="000E2196" w:rsidP="00DD19FA">
      <w:r w:rsidRPr="00DD19FA">
        <w:t xml:space="preserve">Głównym celem wszystkich działań i przedsięwzięć przewidzianych w SOR jest stworzenie warunków dla wzrostu dochodów mieszkańców Polski, przy jednoczesnym wzroście spójności w wymiarze społecznym, ekonomicznym, środowiskowym i terytorialnym. Odbywać się to będzie poprzez skoncentrowanie działań o charakterze prawnym, instytucjonalnym i inwestycyjnym na trzech celach: </w:t>
      </w:r>
    </w:p>
    <w:p w14:paraId="508F158C" w14:textId="77777777" w:rsidR="000E2196" w:rsidRPr="00DD19FA" w:rsidRDefault="000E2196" w:rsidP="00DD19FA">
      <w:r w:rsidRPr="00DD19FA">
        <w:t xml:space="preserve">Trwały wzrost gospodarczy oparty coraz silniej o wiedzę, dane i doskonałość organizacyjną; </w:t>
      </w:r>
    </w:p>
    <w:p w14:paraId="1C3A8C08" w14:textId="77777777" w:rsidR="000E2196" w:rsidRPr="00DD19FA" w:rsidRDefault="000E2196" w:rsidP="00DD19FA">
      <w:r w:rsidRPr="00DD19FA">
        <w:t xml:space="preserve">Rozwój społecznie wrażliwy i terytorialnie zrównoważony; </w:t>
      </w:r>
    </w:p>
    <w:p w14:paraId="0D1ABF2A" w14:textId="77777777" w:rsidR="000E2196" w:rsidRPr="00DD19FA" w:rsidRDefault="000E2196" w:rsidP="00DD19FA">
      <w:r w:rsidRPr="00DD19FA">
        <w:t xml:space="preserve">Skuteczne państwo i instytucje służące wzrostowi oraz włączeniu społecznemu i gospodarczemu. </w:t>
      </w:r>
    </w:p>
    <w:p w14:paraId="562460D5" w14:textId="77777777" w:rsidR="000E2196" w:rsidRPr="00DD19FA" w:rsidRDefault="000E2196" w:rsidP="00DD19FA">
      <w:r w:rsidRPr="00DD19FA">
        <w:t>Podejmowane działania w trzech, określonych jako priorytetowe, celach szczegółowych będą uzupełniane przez realizację przedsięwzięć infrastrukturalnych i działań o charakterze regulacyjnym i instytucjonalnym. Przewidziano zintensyfikowanie działań na rzecz rozwoju kapitału ludzkiego i społecznego, w tym edukacji, kultury i zdrowia, w obszarze transportu, pozyskiwania i dystrybucji energii oraz zapewnienia trwałego dobrego stanu środowiska naturalnego.</w:t>
      </w:r>
    </w:p>
    <w:p w14:paraId="4CA3BC85" w14:textId="77777777" w:rsidR="000E2196" w:rsidRPr="00DD19FA" w:rsidRDefault="000E2196" w:rsidP="00DD19FA"/>
    <w:p w14:paraId="40841ECC" w14:textId="77777777" w:rsidR="000E2196" w:rsidRPr="00DD19FA" w:rsidRDefault="000E2196" w:rsidP="00DD19FA">
      <w:r w:rsidRPr="00DD19FA">
        <w:t xml:space="preserve">Realizacji celów społeczno-gospodarczych służyć będzie wzmocnienie narodowego potencjału bezpieczeństwa umożliwiającego zapobieganie i przeciwdziałanie współczesnym zagrożeniom. </w:t>
      </w:r>
    </w:p>
    <w:p w14:paraId="05E9FD42" w14:textId="2AFE400B" w:rsidR="000E2196" w:rsidRPr="00DD19FA" w:rsidRDefault="000E2196" w:rsidP="00DD19FA">
      <w:r w:rsidRPr="00DD19FA">
        <w:br w:type="page"/>
      </w:r>
      <w:bookmarkStart w:id="3" w:name="_Toc507502284"/>
    </w:p>
    <w:p w14:paraId="7CA57A01" w14:textId="77777777" w:rsidR="000E2196" w:rsidRPr="00DD19FA" w:rsidRDefault="000E2196" w:rsidP="00DD19FA">
      <w:bookmarkStart w:id="4" w:name="_Toc513799402"/>
      <w:r w:rsidRPr="00DD19FA">
        <w:lastRenderedPageBreak/>
        <w:t>Krajowe priorytety wdrażania SDGs</w:t>
      </w:r>
      <w:bookmarkEnd w:id="3"/>
      <w:bookmarkEnd w:id="4"/>
      <w:r w:rsidRPr="00DD19FA">
        <w:t xml:space="preserve"> </w:t>
      </w:r>
    </w:p>
    <w:p w14:paraId="73467EEF" w14:textId="77777777" w:rsidR="000E2196" w:rsidRPr="00DD19FA" w:rsidRDefault="000E2196" w:rsidP="00DD19FA">
      <w:r w:rsidRPr="00DD19FA">
        <w:t xml:space="preserve">Strategia na rzecz Odpowiedzialnego Rozwoju, stanowiąca odpowiedź na stojące przed Polską wyzwania XXI wieku, tworzy przestrzeń do wykorzystania nowych szans w procesach gospodarczych, związanych m.in. z rewolucją cyfrową, robotyzacją, postępem technologicznym, a równocześnie daje nadzieję na to, że z efektów wzrostu skorzystają wszystkie grupy społeczne. Wyznacza kierunki efektywnej współpracy wewnątrz branż i pomiędzy różnymi sektorami gospodarki. </w:t>
      </w:r>
    </w:p>
    <w:p w14:paraId="7280795A" w14:textId="77777777" w:rsidR="000E2196" w:rsidRPr="00DD19FA" w:rsidRDefault="000E2196" w:rsidP="00DD19FA">
      <w:r w:rsidRPr="00DD19FA">
        <w:t xml:space="preserve">Kluczowe dla budowania trwałych podstaw wzrostu jest dla Polski zwiększanie roli kapitału ludzkiego i społecznego, stanowiącego podstawę dla rozwoju gospodarki. Priorytetowym kierunkiem działań jest przede wszystkim ograniczenie wykluczenia społecznego, ubóstwa, wszelkiego rodzaju nierówności społecznych, poprawa jakości życia, dostęp do wiedzy i edukacji, podnoszenie kompetencji, poprawa opieki zdrowotnej [Cel 1,3 i 4 zrównoważonego rozwoju]. </w:t>
      </w:r>
    </w:p>
    <w:p w14:paraId="45BC6C81" w14:textId="77777777" w:rsidR="000E2196" w:rsidRPr="00DD19FA" w:rsidRDefault="000E2196" w:rsidP="00DD19FA">
      <w:r w:rsidRPr="00DD19FA">
        <w:t>W sferze gospodarczej za priorytety Polska uznaje budowę silnego przemysłu, wsparcie przedsiębiorczości we wszystkich wymiarach (z uwzględnieniem zwiększania konkurencyjności gospodarstw rolnych oraz producentów rolno-spożywczych, rozwoju sektora wysoko produktywnych usług), spójne i kompleksowe inwestycje, zwłaszcza inwestycje w innowacje, ekspansję zagraniczną polskiego biznesu, jak najpełniejsze skorzystanie z osiągnięć rewolucji cyfrowej, dynamiczny rozwój oraz upowszechnienie stosowania technologii informatycznych. Warunkami niezbędnymi dla uruchamiania drzemiących potencjałów są z kolei infrastruktura transportowa i dostęp do energii [Cel 2, 8 i 9 zrównoważonego rozwoju].</w:t>
      </w:r>
    </w:p>
    <w:p w14:paraId="689B5F9C" w14:textId="77777777" w:rsidR="000E2196" w:rsidRPr="00DD19FA" w:rsidRDefault="000E2196" w:rsidP="00DD19FA">
      <w:r w:rsidRPr="00DD19FA">
        <w:t>W wymiarze środowiskowym Polska dąży do poprawy stanu środowiska oraz zrównoważonego gospodarowania zasobami, zapewniających rozwój gospodarczy i wysoką jakość życia przy jednoczesnym zagwarantowaniu szans rozwojowych przyszłych pokoleń. Celem państwa jest zwłaszcza zwiększenie dyspozycyjnych zasobów wodnych i osiągnięcie wysokiej jakości wód, racjonalne zarządzanie zasobami przyrodniczymi i geologicznymi oraz efektywna gospodarka odpadami. Podejmowane działania mają prowadzić też do poprawy jakości powietrza, ochrony gleb przed degradacją, jak również do zmniejszenia oddziaływania hałasu i pól elektromagnetycznych, co pozytywnie przełoży się na zdrowie mieszkańców [Cel 6, 12 i 15 zrównoważonego rozwoju].</w:t>
      </w:r>
    </w:p>
    <w:p w14:paraId="2BAFE034" w14:textId="77777777" w:rsidR="000E2196" w:rsidRPr="00DD19FA" w:rsidRDefault="000E2196" w:rsidP="00DD19FA">
      <w:r w:rsidRPr="00DD19FA">
        <w:t>Polska stawia sobie za cel rozwój społecznie i terytorialnie wrażliwy, charakteryzujący się wysokim poziomem zatrudnienia, dobrej jakości miejscami pracy i dużą skalą przedsiębiorczości oraz kładzie nacisk na włączenie w procesy rozwojowe wszystkich obszarów, w tym aglomeracji, małych miast i obszarów wiejskich. Korzyści ze wzrostu gospodarczego powinny być dostępne dla wszystkich, bez względu na miejsce zamieszkania [Cel 10, 11 zrównoważonego rozwoju].</w:t>
      </w:r>
    </w:p>
    <w:p w14:paraId="15390063" w14:textId="77777777" w:rsidR="000E2196" w:rsidRPr="00DD19FA" w:rsidRDefault="000E2196" w:rsidP="00DD19FA">
      <w:r w:rsidRPr="00DD19FA">
        <w:t>Osiągnięcie powyższych priorytetów nie będzie możliwe bez wzmocnienia sprawności i skuteczności państwa i jego instytucji, służących wzrostowi oraz włączeniu społecznemu i gospodarczemu. Poprawa jakości stanowionego prawa i jego stosowania, zwiększenie efektywności funkcjonowania instytucji publicznych, wzmocnienie systemu strategicznego zarządzania procesami rozwojowymi, większe wykorzystanie możliwości jakie dają technologie w zarządzaniu państwem i komunikacji z obywatelami i przede wszystkim przełamanie praktyki silosowości zwiększą zdolność państwa do zapewnienia spójnej i efektywnej realizacji kompleksowych strategicznych celów rozwojowych oraz zwiększenia poziomu zaufania obywatela do państwa [Cel 16 zrównoważonego rozwoju].</w:t>
      </w:r>
    </w:p>
    <w:p w14:paraId="46D0931B" w14:textId="77777777" w:rsidR="000E2196" w:rsidRPr="00DD19FA" w:rsidRDefault="000E2196" w:rsidP="00DD19FA">
      <w:r w:rsidRPr="00DD19FA">
        <w:t xml:space="preserve">Stawiamy na współpracę, partnerstwo i współodpowiedzialność podmiotów publicznych, biznesu i obywateli za przebieg procesów rozwojowych. Wyrazem tego jest przede wszystkim odejście od systemu administrowania na rzecz systemu współzarządzania, co wymaga zaangażowania w ich realizację instytucji państwa (organów konstytucyjnych, rządu, samorządu terytorialnego), partnerów </w:t>
      </w:r>
      <w:r w:rsidRPr="00DD19FA">
        <w:lastRenderedPageBreak/>
        <w:t>społeczno-gospodarczych, środowisk akademickich, podmiotów prywatnych, w tym przedsiębiorców. Kluczowa jest budowa dialogu społecznego wokół najważniejszych przedsięwzięć oraz szerokiego wsparcia społecznego i zaufania między podmiotami publicznymi i ich partnerami dla osiągania celów rozwojowych. W tym też kontekście Cel 17 Partnerstwo na rzecz celów wskazuje jednocześnie zasadę realizacji priorytetów rozwojowych Polski, jak i pozostaje niezależnym celem, osiągnięcie którego warunkuje postępy w pięciu podstawowych obszarach tj. ludzie, planeta, dobrobyt, pokój i partnerstwo. Polska dostrzega, iż szereg podejmowanych w kraju działań przyczynia się do osiągnięcia wszystkich 5 zmian transformacyjnych zdefiniowanych w Agendzie 2030.</w:t>
      </w:r>
    </w:p>
    <w:p w14:paraId="2EEC8ED0" w14:textId="77777777" w:rsidR="000E2196" w:rsidRPr="00DD19FA" w:rsidRDefault="000E2196" w:rsidP="00DD19FA">
      <w:bookmarkStart w:id="5" w:name="_Toc513799403"/>
      <w:r w:rsidRPr="00DD19FA">
        <w:t>Mechanizm instytucjonalny wdrażania zrównoważonego rozwoju w Polsce</w:t>
      </w:r>
      <w:bookmarkEnd w:id="5"/>
    </w:p>
    <w:p w14:paraId="442F7B68" w14:textId="77777777" w:rsidR="000E2196" w:rsidRPr="00DD19FA" w:rsidRDefault="000E2196" w:rsidP="00DD19FA">
      <w:r w:rsidRPr="00DD19FA">
        <w:t xml:space="preserve">Zgodnie z nowym globalnym partnerstwem na rzecz zrównoważonego rozwoju, polski rząd dąży do tego, aby współpracować z partnerami na równych zasadach na rzecz wspólnych inicjatyw, stale rozwijając ich efektywność i skuteczność. Pomyślna realizacja celów zrównoważonego rozwoju jest złożonym zadaniem, które wymaga zdecydowanych i ciągłych działań oraz ścisłej współpracy resortów i administracji szczebla samorządowego oraz wszystkich zainteresowanych stron. </w:t>
      </w:r>
    </w:p>
    <w:p w14:paraId="6C9E274F" w14:textId="77777777" w:rsidR="000E2196" w:rsidRPr="00DD19FA" w:rsidRDefault="000E2196" w:rsidP="00DD19FA">
      <w:r w:rsidRPr="00DD19FA">
        <w:t>System instytucjonalny na rzecz zrównoważonego rozwoju w Polsce zapewnia przejrzysty podział kompetencji w zakresie planowania strategicznego, programowania operacyjnego, zarządzania i wdrażania, a także monitoringu i ewaluacji zintegrowanego podejścia. System instytucjonalny umożliwia uczestnictwo partnerów społecznych i gospodarczych w opracowaniu zintegrowanych dokumentów strategicznych oraz włącza ich w monitorowanie i ocenę polityki rozwoju na wszystkich poziomach zarządzania rozwojem.</w:t>
      </w:r>
    </w:p>
    <w:p w14:paraId="0A56FC6F" w14:textId="77777777" w:rsidR="000E2196" w:rsidRPr="00DD19FA" w:rsidRDefault="000E2196" w:rsidP="00DD19FA">
      <w:r w:rsidRPr="00DD19FA">
        <w:t>Zgodnie z proponowanym modelem zarządzania rozwojem Polski w koordynacji strategicznej uczestniczą:</w:t>
      </w:r>
    </w:p>
    <w:p w14:paraId="461EF62E" w14:textId="77777777" w:rsidR="000E2196" w:rsidRPr="00DD19FA" w:rsidRDefault="000E2196" w:rsidP="00DD19FA">
      <w:r w:rsidRPr="00DD19FA">
        <w:t xml:space="preserve">Rada Ministrów, na czele z Prezesem Rady Ministrów, określa cele rozwojowe kraju oraz sposób ich osiągania w ramach poszczególnych polityk rozwojowych. Rada Ministrów przyjmuje strategię rozwoju kraju i jej aktualizacje, przesądza sposób realizacji zawartych w niej celów, w tym potrzebne nakłady finansowe. </w:t>
      </w:r>
    </w:p>
    <w:p w14:paraId="2CD723F8" w14:textId="77777777" w:rsidR="000E2196" w:rsidRPr="00DD19FA" w:rsidRDefault="000E2196" w:rsidP="00DD19FA">
      <w:r w:rsidRPr="00DD19FA">
        <w:t xml:space="preserve">Komitet Ekonomiczny Rady Ministrów koordynuje całość polityki gospodarczej, natomiast przedmiotem prac Komitetu Społecznego Rady Ministrów są kluczowe sprawy społeczne. </w:t>
      </w:r>
    </w:p>
    <w:p w14:paraId="548BB217" w14:textId="77777777" w:rsidR="000E2196" w:rsidRPr="00DD19FA" w:rsidRDefault="000E2196" w:rsidP="00DD19FA">
      <w:r w:rsidRPr="00DD19FA">
        <w:t>Do najważniejszych gremiów służących efektywnej realizacji strategii rozwoju kraju oraz wzmocnieniu postaw kooperacyjnych i współdziałania z partnerami społecznymi należy w szczególności Komitet Koordynacyjny ds. Polityki Rozwoju (KK PR)</w:t>
      </w:r>
      <w:r w:rsidRPr="00DD19FA">
        <w:footnoteReference w:id="1"/>
      </w:r>
      <w:r w:rsidRPr="00DD19FA">
        <w:t>.</w:t>
      </w:r>
    </w:p>
    <w:p w14:paraId="0E3C03C3" w14:textId="77777777" w:rsidR="000E2196" w:rsidRPr="00DD19FA" w:rsidRDefault="000E2196" w:rsidP="00DD19FA">
      <w:r w:rsidRPr="00DD19FA">
        <w:t>Schemat 5. Mechanizm instytucjonalny wspierający wdrażanie zrównoważonego rozwoju w Polsce</w:t>
      </w:r>
    </w:p>
    <w:p w14:paraId="2F68F66E" w14:textId="77777777" w:rsidR="000E2196" w:rsidRPr="00DD19FA" w:rsidRDefault="000E2196" w:rsidP="00DD19FA">
      <w:r w:rsidRPr="00DD19FA">
        <w:rPr>
          <w:noProof/>
        </w:rPr>
        <w:lastRenderedPageBreak/>
        <w:drawing>
          <wp:inline distT="0" distB="0" distL="0" distR="0" wp14:anchorId="62927F1E" wp14:editId="741D3807">
            <wp:extent cx="4352925" cy="2395907"/>
            <wp:effectExtent l="0" t="0" r="0" b="444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622" cy="2397942"/>
                    </a:xfrm>
                    <a:prstGeom prst="rect">
                      <a:avLst/>
                    </a:prstGeom>
                    <a:noFill/>
                    <a:ln>
                      <a:noFill/>
                    </a:ln>
                  </pic:spPr>
                </pic:pic>
              </a:graphicData>
            </a:graphic>
          </wp:inline>
        </w:drawing>
      </w:r>
    </w:p>
    <w:p w14:paraId="68C2A257" w14:textId="77777777" w:rsidR="000E2196" w:rsidRPr="00DD19FA" w:rsidRDefault="000E2196" w:rsidP="00DD19FA">
      <w:r w:rsidRPr="00DD19FA">
        <w:t>Źródło: Opracowanie własne.</w:t>
      </w:r>
    </w:p>
    <w:p w14:paraId="0DDACF48" w14:textId="77777777" w:rsidR="000E2196" w:rsidRPr="00DD19FA" w:rsidRDefault="000E2196" w:rsidP="00DD19FA">
      <w:r w:rsidRPr="00DD19FA">
        <w:t xml:space="preserve">Uznając, że tak złożony program jak cele zrównoważonego rozwoju wymaga kompleksowego podejścia, silnej współpracy i zaangażowania w proces przedstawicieli różnych środowisk powołany został wcześniej wspomniany Zespół ds. spójności Strategii na rzecz Odpowiedzialnego Rozwoju do r. 2020 (z perspektywą do 2030 roku) z Agendą rozwojową 2030 i jej Celami Zrównoważonego Rozwoju. Jest to kluczowe gremium współpracy pomiędzy administracją oraz partnerami społeczno-gospodarczymi w zakresie budowania odpowiedniego mechanizmu koordynacji i realizacji SDGs w Polsce. </w:t>
      </w:r>
    </w:p>
    <w:p w14:paraId="1E4EB14F" w14:textId="77777777" w:rsidR="000E2196" w:rsidRPr="00DD19FA" w:rsidRDefault="000E2196" w:rsidP="00DD19FA">
      <w:r w:rsidRPr="00DD19FA">
        <w:t>Dokumenty będące efektem prac Zespołu prezentowane są na posiedzeniu Komitetu Koordynacyjnego ds. Polityki Rozwoju (KK PR). KK PR analizuje propozycje dokumentów strategicznych. Ponadto dokonuje oceny postępów prac i osiągniętych rezultatów wdrażania strategii. Oprócz ministerstw, urzędów centralnych i instytucji szczególną rolę w mechanizmie instytucjonalnym odgrywają platformy dialogu społecznego. Na poziomie centralnym funkcjonuje Rada Dialogu Społecznego</w:t>
      </w:r>
      <w:r w:rsidRPr="00DD19FA">
        <w:footnoteReference w:id="2"/>
      </w:r>
      <w:r w:rsidRPr="00DD19FA">
        <w:t xml:space="preserve">. Instytucja ta stanowi forum dialogu trójstronnego w Polsce i współpracy strony pracowników, strony pracodawców oraz strony rządowej. Na poziomie regionalnym funkcjonują także Wojewódzkie Rady Dialogu Społecznego, w ramach których współpracują ze sobą przedstawiciele pracowników, pracodawców oraz władz samorządowych i rządowych. </w:t>
      </w:r>
    </w:p>
    <w:p w14:paraId="4BF4E75C" w14:textId="77777777" w:rsidR="000E2196" w:rsidRPr="00DD19FA" w:rsidRDefault="000E2196" w:rsidP="00DD19FA">
      <w:r w:rsidRPr="00DD19FA">
        <w:t xml:space="preserve">Istotnym elementem dialogu społecznego są Trójstronne Zespoły Branżowe (w których reprezentowane są strona rządowa, strona pracodawców i strona pracowników) – powołane w celu prowadzenia dialogu sektorowego dla godzenia interesów stron podczas realizacji programów działań rządu oraz rozwiązywania problemów dotyczących funkcjonowania danego sektora/branży. </w:t>
      </w:r>
    </w:p>
    <w:p w14:paraId="0D5C8F17" w14:textId="77777777" w:rsidR="000E2196" w:rsidRPr="00DD19FA" w:rsidRDefault="000E2196" w:rsidP="00DD19FA">
      <w:r w:rsidRPr="00DD19FA">
        <w:t xml:space="preserve">Kluczowymi partnerami procesu kształtowania systemu zarządzania rozwojem kraju na szczeblu regionalnym i lokalnym są samorządy terytorialne. Pełnią one kluczową rolę w zarządzaniu rozwojem województw i gmin. Współpraca ta na zasadach pomocniczości i partnerstwa wspierana jest przez system kontraktów oraz porozumień terytorialnych, zapewnia współdziałanie pomiędzy samorządami terytorialnymi a stroną rządową w programowaniu, wdrażaniu, monitorowaniu i ewaluacji polityki rozwoju. </w:t>
      </w:r>
    </w:p>
    <w:p w14:paraId="32EA1097" w14:textId="77777777" w:rsidR="000E2196" w:rsidRPr="00DD19FA" w:rsidRDefault="000E2196" w:rsidP="00DD19FA">
      <w:r w:rsidRPr="00DD19FA">
        <w:lastRenderedPageBreak/>
        <w:t>Samorząd województwa pełni rolę inicjująco-integrująco-koordynacyjną w odniesieniu do rozwoju regionu</w:t>
      </w:r>
      <w:r w:rsidRPr="00DD19FA">
        <w:footnoteReference w:id="3"/>
      </w:r>
      <w:r w:rsidRPr="00DD19FA">
        <w:t xml:space="preserve">. Jest odpowiedzialny za programowanie działań rozwojowych regionu, budowanie sieci współpracy na szczeblu regionalnym, koordynowanie działań prorozwojowych realizowanych na terenie województwa oraz czuwanie nad przebiegiem procesów realizacji polityki regionalnej poprzez odpowiednie mechanizmy monitorowania i ewaluacji. Samorząd województwa pełni również rolę koordynującą dla działań i inwestycji planowanych w regionie o znaczeniu ponadlokalnym, w tym w obszarach funkcjonalnych. </w:t>
      </w:r>
    </w:p>
    <w:p w14:paraId="588B4347" w14:textId="77777777" w:rsidR="000E2196" w:rsidRPr="00DD19FA" w:rsidRDefault="000E2196" w:rsidP="00DD19FA">
      <w:r w:rsidRPr="00DD19FA">
        <w:t xml:space="preserve">Komisja Wspólna Rządu i Samorządu (KWRiST) skupia przedstawicieli ogólnopolskich organizacji jednostek samorządu terytorialnego. Komisja ustala priorytety gospodarcze i społeczne warunkujące rozwój gmin, powiatów i województw, ocenia stan warunków prawnych i finansowych funkcjonowania jednostek samorządu terytorialnego oraz opiniuje projekty aktów normatywnych, dokumenty programowe oraz rozwiązania dotyczące problematyki samorządu terytorialnego (w szczególności przewidywane skutki finansowe), w tym również tych, które będą wynikać z realizacji Strategii na rzecz Odpowiedzialnego Rozwoju. </w:t>
      </w:r>
    </w:p>
    <w:p w14:paraId="71A0CD23" w14:textId="77777777" w:rsidR="000E2196" w:rsidRPr="00DD19FA" w:rsidRDefault="000E2196" w:rsidP="00DD19FA">
      <w:r w:rsidRPr="00DD19FA">
        <w:t xml:space="preserve">Aktywnym partnerem współpracy na rzecz polityki zrównoważonego rozwoju w Polsce jest Rada Działalności Pożytku Publicznego. Rada Działalności Pożytku Publicznego jest ciałem instytucjonalizującym zasadę dialogu obywatelskiego oraz współpracę pomiędzy sektorem publicznym a tzw. trzecim sektorem. Stanowi ona dopełnienie instytucji realizujących zasadę dialogu społecznego i sytuuje się obok Komisji Wspólnej Rządu i Samorządu Terytorialnego oraz Rady Dialogu Społecznego. Jest organem opiniodawczo-doradczym oraz pomocniczym Przewodniczącego Komitetu ds. Pożytku Publicznego. </w:t>
      </w:r>
    </w:p>
    <w:p w14:paraId="40EAA975" w14:textId="77777777" w:rsidR="000E2196" w:rsidRPr="00DD19FA" w:rsidRDefault="000E2196" w:rsidP="00DD19FA">
      <w:r w:rsidRPr="00DD19FA">
        <w:t>Istotną rolę dla wdrażania zasad zrównoważonego rozwoju na płaszczyźnie zatrudnienia i pracy odgrywa Rada Rynku Pracy oraz wojewódzkie i powiatowe rady rynku pracy. Rada Rynku Pracy, jako płaszczyzna trójstronnego dialogu społecznego, ma prerogatywy do programowania wydatków  Krajowego Funduszu Szkoleniowego w zakresie ustawicznego kształcenia dorosłych zgodnie z aktualnymi potrzebami pracodawców, np. w zakresie nowych technologii – w sprzyjających efektywności procesach pracy w połączeniu z dbałością o jej ekologiczny wymiar.</w:t>
      </w:r>
    </w:p>
    <w:p w14:paraId="0573BD28" w14:textId="77777777" w:rsidR="000E2196" w:rsidRPr="00DD19FA" w:rsidRDefault="000E2196" w:rsidP="00DD19FA">
      <w:r w:rsidRPr="00DD19FA">
        <w:t xml:space="preserve">W ramach współpracy podmiotów w mechanizmie instytucjonalnym stosuje się zintegrowane podejście, co oznacza koncentrację różnych działań podejmowanych przez poszczególne podmioty wokół wyznaczonych celów strategicznych. Interwencje w ramach poszczególnych obszarów nie są rozłączne lecz uzupełniają się, podobnie jak współzależne są priorytety rozwojowe i SDGs. Umożliwia to koordynację już na etapie programowania, a następnie na etapie realizacji działań, tak aby uzyskać efekt synergii niezbędny dla osiągnięcia zakładanych celów. </w:t>
      </w:r>
    </w:p>
    <w:p w14:paraId="442C5E3B" w14:textId="77777777" w:rsidR="000E2196" w:rsidRPr="00DD19FA" w:rsidRDefault="000E2196" w:rsidP="00DD19FA">
      <w:r w:rsidRPr="00DD19FA">
        <w:t xml:space="preserve">Biorąc pod uwagę strategiczny i horyzontalny charakter SDGs, a także spójność z celami SOR, ich realizacja angażuje instytucje państwowe zgodnie z ich kompetencjami oraz z zachowaniem zasady pomocniczości, w tym organy konstytucyjne, administrację rządową i władze terytorialne oraz partnerów społeczno-gospodarczych, stowarzyszenia i organizacje pozarządowe, a także środowiska akademickie i podmioty prywatne (zwłaszcza przedsiębiorstwa). Udział tych podmiotów na wszystkich etapach procesów związanych z programowaniem i realizacją działań rozwojowych zapewnia ich skuteczność i efektywność. Prowadzi to również do szerokiego wsparcia społecznego i zaufania między podmiotami publicznymi i ich partnerami dla osiągania celów rozwojowych. Celom tym służyć będą dodatkowo m.in. programy współpracy dla poszczególnych organów administracji </w:t>
      </w:r>
      <w:r w:rsidRPr="00DD19FA">
        <w:lastRenderedPageBreak/>
        <w:t xml:space="preserve">rządowej z organizacjami pozarządowymi, określające aktywne formy dialogu z podmiotami biorącymi udział w polityce rozwoju. </w:t>
      </w:r>
    </w:p>
    <w:p w14:paraId="7527C7D6" w14:textId="77777777" w:rsidR="000E2196" w:rsidRPr="00DD19FA" w:rsidRDefault="000E2196" w:rsidP="00DD19FA">
      <w:r w:rsidRPr="00DD19FA">
        <w:t xml:space="preserve">Równie ważne jest precyzyjne określenie podziału zadań pomiędzy administracją rządową i samorządową. Stąd oprócz współpracy horyzontalnej mówimy także o współpracy wertykalnej pomiędzy poszczególnymi poziomami oddziaływania: centralnym, regionalnym i lokalnym. </w:t>
      </w:r>
    </w:p>
    <w:p w14:paraId="6CDB63F9" w14:textId="77777777" w:rsidR="000E2196" w:rsidRPr="00DD19FA" w:rsidRDefault="000E2196" w:rsidP="00DD19FA"/>
    <w:p w14:paraId="0EA2C88D" w14:textId="1BC19770" w:rsidR="000E2196" w:rsidRPr="00DD19FA" w:rsidRDefault="000E2196" w:rsidP="00DD19FA">
      <w:r w:rsidRPr="00DD19FA">
        <w:t>Działania na rzecz SDGs</w:t>
      </w:r>
    </w:p>
    <w:p w14:paraId="15F4955A" w14:textId="77777777" w:rsidR="000E2196" w:rsidRPr="00DD19FA" w:rsidRDefault="000E2196" w:rsidP="00DD19FA"/>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1C2E"/>
        <w:tblLook w:val="04A0" w:firstRow="1" w:lastRow="0" w:firstColumn="1" w:lastColumn="0" w:noHBand="0" w:noVBand="1"/>
      </w:tblPr>
      <w:tblGrid>
        <w:gridCol w:w="1816"/>
        <w:gridCol w:w="7256"/>
      </w:tblGrid>
      <w:tr w:rsidR="000E2196" w:rsidRPr="00DD19FA" w14:paraId="10AE988C" w14:textId="77777777" w:rsidTr="00082F27">
        <w:trPr>
          <w:trHeight w:val="1497"/>
        </w:trPr>
        <w:tc>
          <w:tcPr>
            <w:tcW w:w="1817" w:type="dxa"/>
            <w:tcBorders>
              <w:right w:val="single" w:sz="8" w:space="0" w:color="FFFFFF" w:themeColor="background1"/>
            </w:tcBorders>
            <w:shd w:val="clear" w:color="auto" w:fill="EB1C2E"/>
          </w:tcPr>
          <w:p w14:paraId="63126626" w14:textId="77777777" w:rsidR="000E2196" w:rsidRPr="00DD19FA" w:rsidRDefault="000E2196" w:rsidP="00DD19FA">
            <w:r w:rsidRPr="00DD19FA">
              <w:rPr>
                <w:noProof/>
              </w:rPr>
              <w:drawing>
                <wp:inline distT="0" distB="0" distL="0" distR="0" wp14:anchorId="49AB4F95" wp14:editId="4C18D069">
                  <wp:extent cx="978958" cy="970059"/>
                  <wp:effectExtent l="0" t="0" r="0" b="1905"/>
                  <wp:docPr id="21513" name="Obraz 2151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3" name="Obraz 21513"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25" cy="981620"/>
                          </a:xfrm>
                          <a:prstGeom prst="rect">
                            <a:avLst/>
                          </a:prstGeom>
                          <a:noFill/>
                          <a:ln>
                            <a:noFill/>
                          </a:ln>
                        </pic:spPr>
                      </pic:pic>
                    </a:graphicData>
                  </a:graphic>
                </wp:inline>
              </w:drawing>
            </w:r>
          </w:p>
        </w:tc>
        <w:tc>
          <w:tcPr>
            <w:tcW w:w="7393" w:type="dxa"/>
            <w:tcBorders>
              <w:left w:val="single" w:sz="8" w:space="0" w:color="FFFFFF" w:themeColor="background1"/>
            </w:tcBorders>
            <w:shd w:val="clear" w:color="auto" w:fill="EB1C2E"/>
          </w:tcPr>
          <w:p w14:paraId="53E5B272" w14:textId="77777777" w:rsidR="000E2196" w:rsidRPr="00DD19FA" w:rsidRDefault="000E2196" w:rsidP="00DD19FA"/>
          <w:p w14:paraId="2DFB95CF" w14:textId="77777777" w:rsidR="000E2196" w:rsidRPr="00DD19FA" w:rsidRDefault="000E2196" w:rsidP="00DD19FA"/>
          <w:p w14:paraId="27AEEA3C" w14:textId="77777777" w:rsidR="000E2196" w:rsidRPr="00DD19FA" w:rsidRDefault="000E2196" w:rsidP="00DD19FA">
            <w:bookmarkStart w:id="6" w:name="_Toc513799406"/>
            <w:r w:rsidRPr="00DD19FA">
              <w:t>CEL 1.</w:t>
            </w:r>
            <w:r w:rsidRPr="00DD19FA">
              <w:br/>
              <w:t>Wyeliminować ubóstwo we wszystkich jego formach na całym świecie</w:t>
            </w:r>
            <w:bookmarkEnd w:id="6"/>
          </w:p>
          <w:p w14:paraId="7C5CD6EF" w14:textId="77777777" w:rsidR="000E2196" w:rsidRPr="00DD19FA" w:rsidRDefault="000E2196" w:rsidP="00DD19FA"/>
        </w:tc>
      </w:tr>
    </w:tbl>
    <w:p w14:paraId="151EE0F1" w14:textId="77777777" w:rsidR="000E2196" w:rsidRPr="00DD19FA" w:rsidRDefault="000E2196" w:rsidP="00DD19FA"/>
    <w:p w14:paraId="5CA84C39" w14:textId="77777777" w:rsidR="000E2196" w:rsidRPr="00DD19FA" w:rsidRDefault="000E2196" w:rsidP="00DD19FA">
      <w:r w:rsidRPr="00DD19FA">
        <w:t xml:space="preserve">W ostatnich latach sytuacja materialna Polaków istotnie się poprawiła. Obliczany na podstawie badania EU-SILC wskaźnik zagrożenia ubóstwem lub wykluczeniem społecznym w 2016 r. w porównaniu z 2008 rokiem spadł o niemal 9 pkt. proc., najbardziej w całej Unii Europejskiej. To jednocześnie oznacza, że liczba osób zagrożonych ubóstwem zmniejszyła się o prawie 3,3 mln. Nastąpił też spadek wskaźników ubóstwa obliczanych na podstawie badania budżetów gospodarstw domowych. Dotyczy to zarówno ubóstwa skrajnego (do 4,9%), jak i relatywnego (do 13,9%). Szczególnie wart podkreślenia jest spadek ubóstwa skrajnego wśród dzieci w wieku 0-17 lat – wskaźnik dla tej grupy zmniejszył się z poziomu 9,0% w 2015 r. do 5,8% w 2016 r., między innymi za sprawą realizacji programu Rodzina 500 Plus. Likwidacja ubóstwa jest istotnym elementem Strategii na rzecz Odpowiedzialnego Rozwoju. SOR identyfikuje jako grupy najbardziej narażone na ryzyko ubóstwa w Polsce: rodziny wielodzietne i rodziny niepełne, dzieci i młodzież (zwłaszcza z niepełnosprawnością) oraz rodziny, w których co najmniej jeden opiekun nie posiada zatrudnienia. </w:t>
      </w:r>
    </w:p>
    <w:p w14:paraId="3F811C45" w14:textId="77777777" w:rsidR="000E2196" w:rsidRPr="00DD19FA" w:rsidRDefault="000E2196" w:rsidP="00DD19FA">
      <w:r w:rsidRPr="00DD19FA">
        <w:t>Priorytety</w:t>
      </w:r>
    </w:p>
    <w:p w14:paraId="57265CAE" w14:textId="77777777" w:rsidR="000E2196" w:rsidRPr="00DD19FA" w:rsidRDefault="000E2196" w:rsidP="00DD19FA">
      <w:r w:rsidRPr="00DD19FA">
        <w:t xml:space="preserve">Pomimo wielu pozytywnych zmian na przestrzeni lat, Polska wciąż dostrzega potrzebę koncentracji nakładów na walkę z ubóstwem, które w Polsce ma wiele wymiarów. Za priorytety w tym obszarze uznajemy: </w:t>
      </w:r>
    </w:p>
    <w:p w14:paraId="75BE6257" w14:textId="77777777" w:rsidR="000E2196" w:rsidRPr="00DD19FA" w:rsidRDefault="000E2196" w:rsidP="00DD19FA">
      <w:r w:rsidRPr="00DD19FA">
        <w:t>Wzrost realnych dochodów gospodarstw domowych, który powinien przełożyć się na spadek wskaźnika zagrożenia ubóstwem relatywnym – do 12,0% w 2030 r., ze szczególnym uwzględnieniem dzieci.</w:t>
      </w:r>
    </w:p>
    <w:p w14:paraId="23CF895C" w14:textId="77777777" w:rsidR="000E2196" w:rsidRPr="00DD19FA" w:rsidRDefault="000E2196" w:rsidP="00DD19FA">
      <w:r w:rsidRPr="00DD19FA">
        <w:t>Zwiększenie aktywizacji osób wykluczonych społecznie m.in. poprzez rozwój sektora ekonomii społecznej.</w:t>
      </w:r>
    </w:p>
    <w:p w14:paraId="6BD55BAC" w14:textId="77777777" w:rsidR="000E2196" w:rsidRPr="00DD19FA" w:rsidRDefault="000E2196" w:rsidP="00DD19FA">
      <w:r w:rsidRPr="00DD19FA">
        <w:t>Poprawę dostępności do usług społecznych (np. wsparcie dla rodzin z dziećmi, opieka nad dziećmi, nad starszymi osobami) i zdrowotnych. Dążymy do tego aby w 2030 r. odsetek dzieci w wieku 0-3 lata objętych różnymi formami opieki instytucjonalnej wzrósł do 33,0%.</w:t>
      </w:r>
    </w:p>
    <w:p w14:paraId="732AB9BC" w14:textId="77777777" w:rsidR="000E2196" w:rsidRPr="00DD19FA" w:rsidRDefault="000E2196" w:rsidP="00DD19FA">
      <w:r w:rsidRPr="00DD19FA">
        <w:t xml:space="preserve">Poprawa sytuacji mieszkaniowej. Oczekiwaniem jest, że w 2030 roku na 1000 mieszkańców przypadać będzie 435 mieszkań. </w:t>
      </w:r>
    </w:p>
    <w:p w14:paraId="492462FF" w14:textId="77777777" w:rsidR="000E2196" w:rsidRPr="00DD19FA" w:rsidRDefault="000E2196" w:rsidP="00DD19FA">
      <w:bookmarkStart w:id="7" w:name="_Hlk506026570"/>
      <w:r w:rsidRPr="00DD19FA">
        <w:lastRenderedPageBreak/>
        <w:t>Działania</w:t>
      </w:r>
    </w:p>
    <w:bookmarkEnd w:id="7"/>
    <w:p w14:paraId="13F6BAAA" w14:textId="77777777" w:rsidR="000E2196" w:rsidRPr="00DD19FA" w:rsidRDefault="000E2196" w:rsidP="00DD19FA">
      <w:r w:rsidRPr="00DD19FA">
        <w:t>Prace polskiego rządu zmierzają do stworzenia stabilnej polityki wspierającej osoby ubogie i społecznie wrażliwe. Wprowadzony program Rodzina 500 plus istotnie wpłynął w 2016 r. na redukcję ubóstwa, przez podniesienie poziomu dochodów na osobę wśród najmniej zamożnego odsetka 1/10 populacji o ok. 40%</w:t>
      </w:r>
      <w:r w:rsidRPr="00DD19FA">
        <w:footnoteReference w:id="4"/>
      </w:r>
      <w:r w:rsidRPr="00DD19FA">
        <w:t>.</w:t>
      </w:r>
    </w:p>
    <w:p w14:paraId="7B63C00E" w14:textId="77777777" w:rsidR="000E2196" w:rsidRPr="00DD19FA" w:rsidRDefault="000E2196" w:rsidP="00DD19FA">
      <w:r w:rsidRPr="00DD19FA">
        <w:t>Obniżeniu poziomu ubóstwa służyło też podwyższenie kwot zasiłku rodzinnego oraz wprowadzenie zasady „złotówka za złotówkę” (dzięki niej rodzina nie utraci całkowicie prawa do świadczeń z chwilą przekroczenia progu dochodowego), wprowadzenie świadczenia rodzicielskiego oraz podniesienie progów dochodowych uprawniające do świadczeń pomocy społecznej (w roku 2012 i 2015). Dodatkowo od 2017 r. wysokość kwoty wolnej od podatku uzależniona jest od wysokości dochodów podatnika. Corocznie rośnie też płaca minimalna (w latach 2016-2018 wzrosła o 13,5%).</w:t>
      </w:r>
    </w:p>
    <w:p w14:paraId="3CCBD10C" w14:textId="77777777" w:rsidR="000E2196" w:rsidRPr="00DD19FA" w:rsidRDefault="000E2196" w:rsidP="00DD19FA">
      <w:r w:rsidRPr="00DD19FA">
        <w:t xml:space="preserve">Oprócz ww. instrumentów polityki społecznej, realizowanych jest wiele programów i projektów ukierunkowanych na kluczowe obszary związane z ograniczaniem ubóstwa w Polsce. W ramach rozwiązywania problemu bezdomności, Ministerstwo Rodziny Pracy i Polityki Społecznej co roku dofinansowuje projekty organizacji prowadzących działalność w zakresie pomocy osobom bezdomnym. </w:t>
      </w:r>
    </w:p>
    <w:p w14:paraId="721F8BDA" w14:textId="77777777" w:rsidR="000E2196" w:rsidRPr="00DD19FA" w:rsidRDefault="000E2196" w:rsidP="00DD19FA">
      <w:r w:rsidRPr="00DD19FA">
        <w:t>Poprawa sytuacji osób niesamodzielnych (dzieci, osób starych i niepełnosprawnych oraz ich rodzin) realizowana jest w ramach polityk i programów skierowanych do tych grup osób. Prowadzone jest wsparcie dla osób starszych, mające na celu poprawę jakości i poziomu ich życia. W roku 2018 rozpoczęła się realizacja programu „Opieka 75+” , którego celem jest zwiększenie dostępności do usług opiekuńczych oraz usług specjalistycznych dla osób samotnych i starszych w wieku 75 lat i więcej, które mieszkają na terenach małych gmin do 40 tys. mieszkańców. Aktywna polityka senioralna (Program Wieloletni Senior+ na lata 2015-2020 i Rządowy Program Aktywności Społecznej Osób Starszych na lata 2014-2020 (ASOS)) koncentruje się m.in. na rozbudowie sieci dziennych domów i klubów dla osób starszych oraz rozwój ich aktywności społecznej. Z kolei Program „Przyjazna Polska - Dostępność Plus” ma na celu podniesienie jakości i zapewnienie niezależności życia wszystkich obywateli, w tym w szczególności osób starszych i osób z trwałymi lub czasowymi ograniczeniami mobilności i percepcji. Służyć temu ma poprawa dostępności przestrzeni publicznej, produktów i usług w aspekcie architektonicznym, informacyjnym i komunikacyjnym. Poprawę sytuacji rodzin znacznie obciążonych wydatkami na leczenie i rehabilitację osób niepełnosprawnych przewiduje szereg rozwiązań w programie Za życiem.</w:t>
      </w:r>
    </w:p>
    <w:p w14:paraId="3F4529E0" w14:textId="77777777" w:rsidR="000E2196" w:rsidRPr="00DD19FA" w:rsidRDefault="000E2196" w:rsidP="00DD19FA">
      <w:r w:rsidRPr="00DD19FA">
        <w:t>Aktywnie wspierany jest także obszar ekonomii społecznej w ramach realizacji Krajowego Programu Rozwoju Ekonomii Społecznej 2014-2020 (obecnie w trakcie aktualizacji). Podmiotom ekonomii społecznej i solidarnej zapewniono dostęp do zwrotnych instrumentów finansowych</w:t>
      </w:r>
      <w:r w:rsidRPr="00DD19FA">
        <w:footnoteReference w:id="5"/>
      </w:r>
      <w:r w:rsidRPr="00DD19FA">
        <w:t xml:space="preserve"> ułatwiających im samodzielne funkcjonowanie. Podnoszone są również standardy usług wsparcia dla tych podmiotów dzięki stałemu rozwojowi systemu akredytacji Ośrodków Wsparcia Ekonomii Społecznej.</w:t>
      </w:r>
    </w:p>
    <w:p w14:paraId="5B643DA1" w14:textId="77777777" w:rsidR="000E2196" w:rsidRPr="00DD19FA" w:rsidRDefault="000E2196" w:rsidP="00DD19FA">
      <w:r w:rsidRPr="00DD19FA">
        <w:t xml:space="preserve">Dodatkowo rozwiązywaniu problemu ubóstwa w Polsce służą instrumenty polityki mieszkaniowej. Pakiet „Mieszkanie+”, w ramach przyjętego przez rząd w 2016 r. Narodowego Programu Mieszkaniowego, obejmuje przede wszystkim działania inwestycyjne, które koncentrują się na tworzeniu nowego zasobu mieszkaniowego: budowie powszechnie dostępnych mieszkań na wynajem o umiarkowanym czynszu (z opcją docelowej własności) na zasadach rynkowych, przy </w:t>
      </w:r>
      <w:r w:rsidRPr="00DD19FA">
        <w:lastRenderedPageBreak/>
        <w:t xml:space="preserve">wykorzystaniu m. in. gruntów publicznych oraz wsparciu przedsięwzięć społecznego budownictwa czynszowego.         </w:t>
      </w:r>
    </w:p>
    <w:p w14:paraId="2F9D3FBA" w14:textId="77777777" w:rsidR="000E2196" w:rsidRPr="00DD19FA" w:rsidRDefault="000E2196" w:rsidP="00DD19FA">
      <w:r w:rsidRPr="00DD19FA">
        <w:t xml:space="preserve">Aktywne działania prowadzone są również w kierunku przeciwdziałania wykluczeniu społecznemu. Program Aktywne Formy Przeciwdziałania Wykluczeniu Społecznemu – nowy wymiar 2020 wspiera działania jednostek samorządu terytorialnego oraz organizacji pozarządowych na rzecz aktywnej integracji osób wykluczonych w środowisku lokalnym, aktywnych form pomocy oraz podnoszenia kompetencji, przedsiębiorczości i odpowiedzialności w środowisku lokalnym. </w:t>
      </w:r>
    </w:p>
    <w:p w14:paraId="3EA28E2C" w14:textId="77777777" w:rsidR="000E2196" w:rsidRPr="00DD19FA" w:rsidRDefault="000E2196" w:rsidP="00DD19FA">
      <w:r w:rsidRPr="00DD19FA">
        <w:t xml:space="preserve">Z kolei, istotnym elementem polityki prorodzinnej zorientowanym na ograniczenie problemu ubóstwa jest wzrost podaży usług dla rodzin z dziećmi, w tym wzmocnienie roli asystenta rodziny, rozwój placówek wsparcia dziennego i rodzin wspierających oraz przyspieszanie procesu deinstytucjonalizacji w obszarze pieczy zastępczej. </w:t>
      </w:r>
    </w:p>
    <w:p w14:paraId="7D351263" w14:textId="77777777" w:rsidR="000E2196" w:rsidRPr="00DD19FA" w:rsidRDefault="000E2196" w:rsidP="00DD19FA">
      <w:r w:rsidRPr="00DD19FA">
        <w:t>Wydatki związane z lekami są dla osób starszych niejednokrotnie jedną z największych pozycji w domowym budżecie. Dlatego budżet Państwa przejął część ciężaru finansowego związanego z kupnem leków, zapewniając seniorom możliwość nabycia niektórych z nich bezpłatnie. Działania te mają na celu zapewnienie osobom, które ukończyły 75 lat, bezpłatnych (do limitu) leków, środków spożywczych specjalnego przeznaczenia żywieniowego i wyrobów medycznych, wymienionych w wykazie ogłaszanym przez Ministra Zdrowia w drodze obwieszczenia. W wykazie tym ujęte są w szczególności leki, środki spożywcze specjalnego przeznaczenia żywieniowego i wyroby medyczne objęte decyzją o refundacji, związane z leczeniem chorób wieku podeszłego.</w:t>
      </w:r>
    </w:p>
    <w:p w14:paraId="780F4916" w14:textId="77777777" w:rsidR="000E2196" w:rsidRPr="00DD19FA" w:rsidRDefault="000E2196" w:rsidP="00DD19FA">
      <w:r w:rsidRPr="00DD19FA">
        <w:t>Projekty strategiczne</w:t>
      </w:r>
    </w:p>
    <w:p w14:paraId="7D73CB32" w14:textId="77777777" w:rsidR="000E2196" w:rsidRPr="00DD19FA" w:rsidRDefault="000E2196" w:rsidP="00DD19FA">
      <w:r w:rsidRPr="00DD19FA">
        <w:t>Program Rodzina 500 Plus – program wsparcia materialnego rodzin z dziećmi, którego celami są: wzrost liczby urodzeń, ograniczenie ubóstwa wśród najmłodszych, inwestycja w rozwój dzieci.</w:t>
      </w:r>
    </w:p>
    <w:p w14:paraId="5E474741" w14:textId="77777777" w:rsidR="000E2196" w:rsidRPr="00DD19FA" w:rsidRDefault="000E2196" w:rsidP="00DD19FA">
      <w:r w:rsidRPr="00DD19FA">
        <w:t>Skuteczna Pomoc Społeczna – pakiet działań na rzecz poprawy potencjału i efektywności instytucji pomocy społecznej.</w:t>
      </w:r>
    </w:p>
    <w:p w14:paraId="6F857FD2" w14:textId="77777777" w:rsidR="000E2196" w:rsidRPr="00DD19FA" w:rsidRDefault="000E2196" w:rsidP="00DD19FA">
      <w:r w:rsidRPr="00DD19FA">
        <w:t xml:space="preserve">Inkubator Innowacji Społecznych – system identyfikacji i testowania nowych rozwiązań oraz narzędzi dla eliminacji lub ograniczenia problemów społecznych. </w:t>
      </w:r>
    </w:p>
    <w:p w14:paraId="6F859B1D" w14:textId="77777777" w:rsidR="000E2196" w:rsidRPr="00DD19FA" w:rsidRDefault="000E2196" w:rsidP="00DD19FA">
      <w:r w:rsidRPr="00DD19FA">
        <w:t>Leki 75+ – program zapewniający osobom starszym dostęp do bezpłatnych leków, środków spożywczych specjalnego przeznaczenia żywieniowego i wyrobów medycznych, związanych z leczeniem chorób wieku podeszłego w celu zmniejszenia, istotnie obciążających budżety domowe tych osób, wydatków na leki.</w:t>
      </w:r>
    </w:p>
    <w:p w14:paraId="739CA33D" w14:textId="77777777" w:rsidR="000E2196" w:rsidRPr="00DD19FA" w:rsidRDefault="000E2196" w:rsidP="00DD19FA">
      <w:r w:rsidRPr="00DD19FA">
        <w:t>Narodowy Program Mieszkaniowy – nowa polityka mieszkaniowa ujmująca zagadnienia regulacyjne i finansowe, dążąca do zaspokojenia potrzeb mieszkaniowych niezamożnych gospodarstw domowych.</w:t>
      </w:r>
    </w:p>
    <w:p w14:paraId="5B2F572A" w14:textId="77777777" w:rsidR="000E2196" w:rsidRPr="00DD19FA" w:rsidRDefault="000E2196" w:rsidP="00DD19FA">
      <w:r w:rsidRPr="00DD19FA">
        <w:t xml:space="preserve">Ekonomia Solidarności Społecznej – program wzmocnienia sektora ekonomii społecznej, w szczególności w realizacji usług społecznych użyteczności publicznej na rzecz osób zagrożonych wykluczeniem społecznym. </w:t>
      </w:r>
    </w:p>
    <w:p w14:paraId="2F55B6B0" w14:textId="5D11F627" w:rsidR="00B80730" w:rsidRPr="00DD19FA" w:rsidRDefault="00B80730" w:rsidP="00DD19FA"/>
    <w:sectPr w:rsidR="00B80730" w:rsidRPr="00DD19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86FB" w14:textId="77777777" w:rsidR="00D15AD8" w:rsidRDefault="00D15AD8" w:rsidP="000E2196">
      <w:pPr>
        <w:spacing w:after="0" w:line="240" w:lineRule="auto"/>
      </w:pPr>
      <w:r>
        <w:separator/>
      </w:r>
    </w:p>
  </w:endnote>
  <w:endnote w:type="continuationSeparator" w:id="0">
    <w:p w14:paraId="075FDF57" w14:textId="77777777" w:rsidR="00D15AD8" w:rsidRDefault="00D15AD8" w:rsidP="000E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4132" w14:textId="77777777" w:rsidR="000E2196" w:rsidRDefault="000E21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3410" w14:textId="77777777" w:rsidR="000E2196" w:rsidRDefault="000E219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E37C" w14:textId="77777777" w:rsidR="000E2196" w:rsidRDefault="000E21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D505" w14:textId="77777777" w:rsidR="00D15AD8" w:rsidRDefault="00D15AD8" w:rsidP="000E2196">
      <w:pPr>
        <w:spacing w:after="0" w:line="240" w:lineRule="auto"/>
      </w:pPr>
      <w:r>
        <w:separator/>
      </w:r>
    </w:p>
  </w:footnote>
  <w:footnote w:type="continuationSeparator" w:id="0">
    <w:p w14:paraId="65C4229B" w14:textId="77777777" w:rsidR="00D15AD8" w:rsidRDefault="00D15AD8" w:rsidP="000E2196">
      <w:pPr>
        <w:spacing w:after="0" w:line="240" w:lineRule="auto"/>
      </w:pPr>
      <w:r>
        <w:continuationSeparator/>
      </w:r>
    </w:p>
  </w:footnote>
  <w:footnote w:id="1">
    <w:p w14:paraId="6F001858" w14:textId="77777777" w:rsidR="000E2196" w:rsidRPr="00E54840" w:rsidRDefault="000E2196" w:rsidP="000E2196">
      <w:pPr>
        <w:pStyle w:val="Tekstprzypisudolnego"/>
        <w:jc w:val="both"/>
        <w:rPr>
          <w:rFonts w:asciiTheme="minorHAnsi" w:hAnsiTheme="minorHAnsi"/>
        </w:rPr>
      </w:pPr>
      <w:r w:rsidRPr="00E54840">
        <w:rPr>
          <w:rStyle w:val="Odwoanieprzypisudolnego"/>
          <w:rFonts w:asciiTheme="minorHAnsi" w:hAnsiTheme="minorHAnsi"/>
        </w:rPr>
        <w:footnoteRef/>
      </w:r>
      <w:r w:rsidRPr="00E54840">
        <w:rPr>
          <w:rFonts w:asciiTheme="minorHAnsi" w:hAnsiTheme="minorHAnsi"/>
        </w:rPr>
        <w:t xml:space="preserve"> Komitet Koordynacyjny do Spraw Polityki Rozwoju jest organem opiniodawczo-doradczym Prezesa Rady Ministrów, powołanym na podstawie ustawy z dnia 6 grudnia 2006 r. o zasadach prowadzenia polityki rozwoju (Dz. U. z 2016 r. poz. 383).</w:t>
      </w:r>
    </w:p>
  </w:footnote>
  <w:footnote w:id="2">
    <w:p w14:paraId="71B2DDC1" w14:textId="77777777" w:rsidR="000E2196" w:rsidRPr="00E54840" w:rsidRDefault="000E2196" w:rsidP="000E2196">
      <w:pPr>
        <w:pStyle w:val="Tekstprzypisudolnego"/>
        <w:jc w:val="both"/>
        <w:rPr>
          <w:rFonts w:asciiTheme="minorHAnsi" w:hAnsiTheme="minorHAnsi"/>
        </w:rPr>
      </w:pPr>
      <w:r w:rsidRPr="00E54840">
        <w:rPr>
          <w:rStyle w:val="Odwoanieprzypisudolnego"/>
          <w:rFonts w:asciiTheme="minorHAnsi" w:hAnsiTheme="minorHAnsi"/>
        </w:rPr>
        <w:footnoteRef/>
      </w:r>
      <w:r w:rsidRPr="00E54840">
        <w:rPr>
          <w:rFonts w:asciiTheme="minorHAnsi" w:hAnsiTheme="minorHAnsi"/>
        </w:rPr>
        <w:t xml:space="preserve"> </w:t>
      </w:r>
      <w:r w:rsidRPr="00E54840">
        <w:rPr>
          <w:rStyle w:val="Pogrubienie"/>
          <w:rFonts w:asciiTheme="minorHAnsi" w:hAnsiTheme="minorHAnsi"/>
        </w:rPr>
        <w:t xml:space="preserve">Rada Dialogu Społecznego </w:t>
      </w:r>
      <w:r w:rsidRPr="00E54840">
        <w:rPr>
          <w:rFonts w:asciiTheme="minorHAnsi" w:hAnsiTheme="minorHAnsi"/>
        </w:rPr>
        <w:t>(RDS) została powołana przez Prezydenta RP w dniu 22 października 2015 r., na mocy Ustawy z dnia 24 lipca 2015 r. o Radzie Dialogu Społecznego i innych instytucjach dialogu społecznego (Dz. U. z 2015 r., poz. 1240).</w:t>
      </w:r>
    </w:p>
  </w:footnote>
  <w:footnote w:id="3">
    <w:p w14:paraId="75F223A1" w14:textId="77777777" w:rsidR="000E2196" w:rsidRPr="00D00367" w:rsidRDefault="000E2196" w:rsidP="000E2196">
      <w:pPr>
        <w:spacing w:after="0" w:line="240" w:lineRule="auto"/>
        <w:jc w:val="both"/>
        <w:rPr>
          <w:rStyle w:val="Odwoanieprzypisudolnego"/>
        </w:rPr>
      </w:pPr>
      <w:r w:rsidRPr="00D00367">
        <w:rPr>
          <w:rStyle w:val="Odwoanieprzypisudolnego"/>
          <w:sz w:val="20"/>
          <w:szCs w:val="20"/>
        </w:rPr>
        <w:footnoteRef/>
      </w:r>
      <w:r w:rsidRPr="00D00367">
        <w:rPr>
          <w:sz w:val="20"/>
          <w:szCs w:val="20"/>
        </w:rPr>
        <w:t xml:space="preserve"> Samorząd województwa prowadzi politykę rozwoju województwa (art. 11, ust 2 Ustawy z dnia 5 czerwca 1998 r. o samorządzie województwa, Dz.U. 1998 nr 91 poz. 576</w:t>
      </w:r>
      <w:r w:rsidRPr="00D00367">
        <w:rPr>
          <w:bCs/>
          <w:sz w:val="20"/>
          <w:szCs w:val="20"/>
        </w:rPr>
        <w:t>) oraz określa strategię rozwoju województwa (art. 11, ust 1  Ustawy z dnia 5 czerwca 1998 r. o samorządzie województwa, Dz.U. 1998 nr 91 poz. 576).</w:t>
      </w:r>
    </w:p>
  </w:footnote>
  <w:footnote w:id="4">
    <w:p w14:paraId="7F41E816" w14:textId="77777777" w:rsidR="000E2196" w:rsidRPr="00E54840" w:rsidRDefault="000E2196" w:rsidP="000E2196">
      <w:pPr>
        <w:pStyle w:val="footnotedescription"/>
        <w:spacing w:line="240" w:lineRule="auto"/>
        <w:jc w:val="both"/>
        <w:rPr>
          <w:rFonts w:asciiTheme="minorHAnsi" w:hAnsiTheme="minorHAnsi" w:cs="Times New Roman"/>
          <w:color w:val="auto"/>
        </w:rPr>
      </w:pPr>
      <w:r w:rsidRPr="00E54840">
        <w:rPr>
          <w:rStyle w:val="footnotemark"/>
          <w:rFonts w:asciiTheme="minorHAnsi" w:hAnsiTheme="minorHAnsi" w:cs="Times New Roman"/>
          <w:color w:val="auto"/>
        </w:rPr>
        <w:footnoteRef/>
      </w:r>
      <w:r w:rsidRPr="00E54840">
        <w:rPr>
          <w:rFonts w:asciiTheme="minorHAnsi" w:hAnsiTheme="minorHAnsi" w:cs="Times New Roman"/>
          <w:color w:val="auto"/>
        </w:rPr>
        <w:t xml:space="preserve"> Zgodnie z wyliczeniami Ministerstwa Rodziny</w:t>
      </w:r>
      <w:r>
        <w:rPr>
          <w:rFonts w:asciiTheme="minorHAnsi" w:hAnsiTheme="minorHAnsi" w:cs="Times New Roman"/>
          <w:color w:val="auto"/>
        </w:rPr>
        <w:t>,</w:t>
      </w:r>
      <w:r w:rsidRPr="00E54840">
        <w:rPr>
          <w:rFonts w:asciiTheme="minorHAnsi" w:hAnsiTheme="minorHAnsi" w:cs="Times New Roman"/>
          <w:color w:val="auto"/>
        </w:rPr>
        <w:t xml:space="preserve"> Pracy i Polityki Społecznej (MRPiPS). </w:t>
      </w:r>
    </w:p>
  </w:footnote>
  <w:footnote w:id="5">
    <w:p w14:paraId="1E719BFD" w14:textId="77777777" w:rsidR="000E2196" w:rsidRDefault="000E2196" w:rsidP="000E2196">
      <w:pPr>
        <w:pStyle w:val="Tekstprzypisudolnego"/>
        <w:jc w:val="both"/>
        <w:rPr>
          <w:rFonts w:asciiTheme="minorHAnsi" w:hAnsiTheme="minorHAnsi"/>
          <w:lang w:val="en-US"/>
        </w:rPr>
      </w:pPr>
      <w:r>
        <w:rPr>
          <w:rStyle w:val="Odwoanieprzypisudolnego"/>
          <w:rFonts w:asciiTheme="minorHAnsi" w:hAnsiTheme="minorHAnsi"/>
        </w:rPr>
        <w:footnoteRef/>
      </w:r>
      <w:r>
        <w:rPr>
          <w:rFonts w:asciiTheme="minorHAnsi" w:hAnsiTheme="minorHAnsi"/>
          <w:lang w:val="en-US"/>
        </w:rPr>
        <w:t xml:space="preserve"> </w:t>
      </w:r>
      <w:r>
        <w:rPr>
          <w:rFonts w:asciiTheme="minorHAnsi" w:hAnsiTheme="minorHAnsi"/>
          <w:color w:val="000000"/>
          <w:lang w:val="en-US"/>
        </w:rPr>
        <w:t>Pożyczek, gwarancji i reporęczeń.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7182" w14:textId="2F6BB433" w:rsidR="000E2196" w:rsidRDefault="00000000">
    <w:pPr>
      <w:pStyle w:val="Nagwek"/>
    </w:pPr>
    <w:r>
      <w:rPr>
        <w:noProof/>
      </w:rPr>
      <w:pict w14:anchorId="703B5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1391"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PRÓBKA TEKST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FBD1" w14:textId="5F41D22D" w:rsidR="000E2196" w:rsidRDefault="00000000">
    <w:pPr>
      <w:pStyle w:val="Nagwek"/>
    </w:pPr>
    <w:r>
      <w:rPr>
        <w:noProof/>
      </w:rPr>
      <w:pict w14:anchorId="12EF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1392"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PRÓBKA TEKSTU"/>
          <w10:wrap anchorx="margin" anchory="margin"/>
        </v:shape>
      </w:pict>
    </w:r>
    <w:r w:rsidR="00984B62">
      <w:t>Załącznik A. Próbka tekstu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523F" w14:textId="6C34A805" w:rsidR="000E2196" w:rsidRDefault="00000000">
    <w:pPr>
      <w:pStyle w:val="Nagwek"/>
    </w:pPr>
    <w:r>
      <w:rPr>
        <w:noProof/>
      </w:rPr>
      <w:pict w14:anchorId="090DA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1390"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PRÓBKA TEKST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54E76"/>
    <w:multiLevelType w:val="hybridMultilevel"/>
    <w:tmpl w:val="2C10B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AB01DE"/>
    <w:multiLevelType w:val="hybridMultilevel"/>
    <w:tmpl w:val="A5A2CE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C956823"/>
    <w:multiLevelType w:val="hybridMultilevel"/>
    <w:tmpl w:val="8F7067B0"/>
    <w:lvl w:ilvl="0" w:tplc="3AFE83A0">
      <w:start w:val="1"/>
      <w:numFmt w:val="bullet"/>
      <w:lvlText w:val="•"/>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4FD5116"/>
    <w:multiLevelType w:val="hybridMultilevel"/>
    <w:tmpl w:val="468CD8FE"/>
    <w:lvl w:ilvl="0" w:tplc="2F16DB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398869">
    <w:abstractNumId w:val="3"/>
  </w:num>
  <w:num w:numId="2" w16cid:durableId="1822962065">
    <w:abstractNumId w:val="0"/>
  </w:num>
  <w:num w:numId="3" w16cid:durableId="1367439977">
    <w:abstractNumId w:val="1"/>
  </w:num>
  <w:num w:numId="4" w16cid:durableId="181201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YwNzA0tDSyNDBX0lEKTi0uzszPAykwrAUAc1aIjSwAAAA="/>
  </w:docVars>
  <w:rsids>
    <w:rsidRoot w:val="000E2196"/>
    <w:rsid w:val="000421C2"/>
    <w:rsid w:val="000A61D9"/>
    <w:rsid w:val="000E2196"/>
    <w:rsid w:val="00783C01"/>
    <w:rsid w:val="00984B62"/>
    <w:rsid w:val="00B80730"/>
    <w:rsid w:val="00D15AD8"/>
    <w:rsid w:val="00DD1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73CA"/>
  <w15:chartTrackingRefBased/>
  <w15:docId w15:val="{AF8FA2CE-3B09-44C2-856F-AEB19713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21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E2196"/>
    <w:pPr>
      <w:spacing w:after="0" w:line="240" w:lineRule="auto"/>
      <w:ind w:left="165"/>
      <w:outlineLvl w:val="1"/>
    </w:pPr>
    <w:rPr>
      <w:rFonts w:ascii="Calibri" w:eastAsiaTheme="majorEastAsia" w:hAnsi="Calibri" w:cs="Calibri"/>
      <w:b/>
      <w:bCs/>
      <w:smallCaps/>
      <w:color w:val="FFFFFF" w:themeColor="background1"/>
      <w:sz w:val="24"/>
      <w:szCs w:val="20"/>
      <w:lang w:eastAsia="pl-PL"/>
      <w14:shadow w14:blurRad="50800" w14:dist="50800" w14:dir="5400000" w14:sx="0" w14:sy="0" w14:kx="0" w14:ky="0" w14:algn="ctr">
        <w14:srgbClr w14:val="D4A028"/>
      </w14:shadow>
    </w:rPr>
  </w:style>
  <w:style w:type="paragraph" w:styleId="Nagwek3">
    <w:name w:val="heading 3"/>
    <w:basedOn w:val="Normalny"/>
    <w:next w:val="Normalny"/>
    <w:link w:val="Nagwek3Znak"/>
    <w:uiPriority w:val="9"/>
    <w:unhideWhenUsed/>
    <w:qFormat/>
    <w:rsid w:val="000E2196"/>
    <w:pPr>
      <w:keepNext/>
      <w:spacing w:before="240" w:after="60" w:line="276"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2196"/>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0E2196"/>
    <w:rPr>
      <w:rFonts w:ascii="Calibri" w:eastAsiaTheme="majorEastAsia" w:hAnsi="Calibri" w:cs="Calibri"/>
      <w:b/>
      <w:bCs/>
      <w:smallCaps/>
      <w:color w:val="FFFFFF" w:themeColor="background1"/>
      <w:sz w:val="24"/>
      <w:szCs w:val="20"/>
      <w:lang w:eastAsia="pl-PL"/>
      <w14:shadow w14:blurRad="50800" w14:dist="50800" w14:dir="5400000" w14:sx="0" w14:sy="0" w14:kx="0" w14:ky="0" w14:algn="ctr">
        <w14:srgbClr w14:val="D4A028"/>
      </w14:shadow>
    </w:rPr>
  </w:style>
  <w:style w:type="character" w:customStyle="1" w:styleId="Nagwek3Znak">
    <w:name w:val="Nagłówek 3 Znak"/>
    <w:basedOn w:val="Domylnaczcionkaakapitu"/>
    <w:link w:val="Nagwek3"/>
    <w:uiPriority w:val="9"/>
    <w:rsid w:val="000E2196"/>
    <w:rPr>
      <w:rFonts w:ascii="Cambria" w:eastAsia="Times New Roman" w:hAnsi="Cambria" w:cs="Times New Roman"/>
      <w:b/>
      <w:bCs/>
      <w:sz w:val="26"/>
      <w:szCs w:val="2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Przypis,Fußnote,Pl,Znak,FOOTNOTE"/>
    <w:basedOn w:val="Normalny"/>
    <w:link w:val="TekstprzypisudolnegoZnak"/>
    <w:uiPriority w:val="99"/>
    <w:unhideWhenUsed/>
    <w:qFormat/>
    <w:rsid w:val="000E2196"/>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Pl Znak"/>
    <w:basedOn w:val="Domylnaczcionkaakapitu"/>
    <w:link w:val="Tekstprzypisudolnego"/>
    <w:uiPriority w:val="99"/>
    <w:qFormat/>
    <w:rsid w:val="000E2196"/>
    <w:rPr>
      <w:rFonts w:ascii="Calibri" w:eastAsia="Calibri" w:hAnsi="Calibri" w:cs="Times New Roman"/>
      <w:sz w:val="20"/>
      <w:szCs w:val="20"/>
    </w:rPr>
  </w:style>
  <w:style w:type="character" w:styleId="Odwoanieprzypisudolnego">
    <w:name w:val="footnote reference"/>
    <w:aliases w:val="Footnote Reference Number,Footnote reference number,Footnote symbol,note TESI,SUPERS,EN Footnote Reference,Appel note de bas de p,Nota,Footnote Reference/,BVI fnr,Footnote Reference Superscript,Footnote Reference_LVL6,Ref,numb"/>
    <w:basedOn w:val="Domylnaczcionkaakapitu"/>
    <w:uiPriority w:val="99"/>
    <w:unhideWhenUsed/>
    <w:qFormat/>
    <w:rsid w:val="000E2196"/>
    <w:rPr>
      <w:vertAlign w:val="superscript"/>
    </w:rPr>
  </w:style>
  <w:style w:type="paragraph" w:styleId="Akapitzlist">
    <w:name w:val="List Paragraph"/>
    <w:aliases w:val="Lettre d'introduction,Paragrafo elenco,List Paragraph1,1st level - Bullet List Paragraph"/>
    <w:basedOn w:val="Normalny"/>
    <w:link w:val="AkapitzlistZnak"/>
    <w:uiPriority w:val="34"/>
    <w:qFormat/>
    <w:rsid w:val="000E2196"/>
    <w:pPr>
      <w:spacing w:after="200" w:line="276" w:lineRule="auto"/>
      <w:ind w:left="720"/>
      <w:contextualSpacing/>
    </w:pPr>
    <w:rPr>
      <w:rFonts w:ascii="Calibri" w:eastAsia="Calibri" w:hAnsi="Calibri" w:cs="Times New Roman"/>
    </w:rPr>
  </w:style>
  <w:style w:type="character" w:customStyle="1" w:styleId="AkapitzlistZnak">
    <w:name w:val="Akapit z listą Znak"/>
    <w:aliases w:val="Lettre d'introduction Znak,Paragrafo elenco Znak,List Paragraph1 Znak,1st level - Bullet List Paragraph Znak"/>
    <w:link w:val="Akapitzlist"/>
    <w:uiPriority w:val="34"/>
    <w:qFormat/>
    <w:locked/>
    <w:rsid w:val="000E2196"/>
    <w:rPr>
      <w:rFonts w:ascii="Calibri" w:eastAsia="Calibri" w:hAnsi="Calibri" w:cs="Times New Roman"/>
    </w:rPr>
  </w:style>
  <w:style w:type="paragraph" w:styleId="NormalnyWeb">
    <w:name w:val="Normal (Web)"/>
    <w:aliases w:val="Char Char Char Char Char Char Znak Znak Znak"/>
    <w:basedOn w:val="Normalny"/>
    <w:uiPriority w:val="99"/>
    <w:qFormat/>
    <w:rsid w:val="000E21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0E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E2196"/>
    <w:rPr>
      <w:rFonts w:ascii="Courier New" w:eastAsia="Times New Roman" w:hAnsi="Courier New" w:cs="Courier New"/>
      <w:sz w:val="20"/>
      <w:szCs w:val="20"/>
      <w:lang w:eastAsia="pl-PL"/>
    </w:rPr>
  </w:style>
  <w:style w:type="character" w:styleId="Pogrubienie">
    <w:name w:val="Strong"/>
    <w:uiPriority w:val="22"/>
    <w:qFormat/>
    <w:rsid w:val="000E2196"/>
    <w:rPr>
      <w:b/>
      <w:bCs/>
    </w:rPr>
  </w:style>
  <w:style w:type="paragraph" w:styleId="Tekstkomentarza">
    <w:name w:val="annotation text"/>
    <w:basedOn w:val="Normalny"/>
    <w:link w:val="TekstkomentarzaZnak"/>
    <w:uiPriority w:val="99"/>
    <w:unhideWhenUsed/>
    <w:rsid w:val="000E2196"/>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0E2196"/>
    <w:rPr>
      <w:rFonts w:ascii="Calibri" w:eastAsia="Calibri" w:hAnsi="Calibri" w:cs="Times New Roman"/>
      <w:sz w:val="20"/>
      <w:szCs w:val="20"/>
    </w:rPr>
  </w:style>
  <w:style w:type="table" w:styleId="Tabela-Siatka">
    <w:name w:val="Table Grid"/>
    <w:basedOn w:val="Standardowy"/>
    <w:uiPriority w:val="39"/>
    <w:rsid w:val="000E21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ny"/>
    <w:link w:val="footnotedescriptionChar"/>
    <w:hidden/>
    <w:rsid w:val="000E2196"/>
    <w:pPr>
      <w:spacing w:after="0"/>
      <w:ind w:left="10"/>
    </w:pPr>
    <w:rPr>
      <w:rFonts w:ascii="Calibri" w:eastAsia="Calibri" w:hAnsi="Calibri" w:cs="Calibri"/>
      <w:color w:val="000000"/>
      <w:sz w:val="20"/>
      <w:szCs w:val="20"/>
      <w:lang w:eastAsia="pl-PL"/>
    </w:rPr>
  </w:style>
  <w:style w:type="character" w:customStyle="1" w:styleId="footnotedescriptionChar">
    <w:name w:val="footnote description Char"/>
    <w:link w:val="footnotedescription"/>
    <w:rsid w:val="000E2196"/>
    <w:rPr>
      <w:rFonts w:ascii="Calibri" w:eastAsia="Calibri" w:hAnsi="Calibri" w:cs="Calibri"/>
      <w:color w:val="000000"/>
      <w:sz w:val="20"/>
      <w:szCs w:val="20"/>
      <w:lang w:eastAsia="pl-PL"/>
    </w:rPr>
  </w:style>
  <w:style w:type="character" w:customStyle="1" w:styleId="footnotemark">
    <w:name w:val="footnote mark"/>
    <w:hidden/>
    <w:rsid w:val="000E2196"/>
    <w:rPr>
      <w:rFonts w:ascii="Calibri" w:eastAsia="Calibri" w:hAnsi="Calibri" w:cs="Calibri"/>
      <w:color w:val="000000"/>
      <w:sz w:val="20"/>
      <w:vertAlign w:val="superscript"/>
    </w:rPr>
  </w:style>
  <w:style w:type="paragraph" w:styleId="Nagwek">
    <w:name w:val="header"/>
    <w:basedOn w:val="Normalny"/>
    <w:link w:val="NagwekZnak"/>
    <w:uiPriority w:val="99"/>
    <w:unhideWhenUsed/>
    <w:rsid w:val="000E21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196"/>
  </w:style>
  <w:style w:type="paragraph" w:styleId="Stopka">
    <w:name w:val="footer"/>
    <w:basedOn w:val="Normalny"/>
    <w:link w:val="StopkaZnak"/>
    <w:uiPriority w:val="99"/>
    <w:unhideWhenUsed/>
    <w:rsid w:val="000E21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196"/>
  </w:style>
  <w:style w:type="character" w:styleId="Wyrnienieintensywne">
    <w:name w:val="Intense Emphasis"/>
    <w:basedOn w:val="Domylnaczcionkaakapitu"/>
    <w:uiPriority w:val="21"/>
    <w:qFormat/>
    <w:rsid w:val="00DD19F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3418</Words>
  <Characters>20508</Characters>
  <Application>Microsoft Office Word</Application>
  <DocSecurity>0</DocSecurity>
  <Lines>170</Lines>
  <Paragraphs>47</Paragraphs>
  <ScaleCrop>false</ScaleCrop>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Jabłońska Agnieszka</dc:creator>
  <cp:keywords/>
  <dc:description/>
  <cp:lastModifiedBy>Świątek Joanna</cp:lastModifiedBy>
  <cp:revision>2</cp:revision>
  <dcterms:created xsi:type="dcterms:W3CDTF">2023-03-09T08:11:00Z</dcterms:created>
  <dcterms:modified xsi:type="dcterms:W3CDTF">2023-03-09T08:11:00Z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c46bb6f1-7479-41d2-9546-0a07e5ba8b89</vt:lpwstr>
  </property>
</Properties>
</file>