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right"/>
      </w:pPr>
      <w:r>
        <w:rPr>
          <w:rStyle w:val="CharStyle3"/>
        </w:rPr>
        <w:t>12 lutego 2026 r.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5"/>
          <w:b/>
          <w:bCs/>
        </w:rPr>
        <w:t>Adresat właściwy: Minister Klimatu i Środowiska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r>
        <w:rPr>
          <w:rStyle w:val="CharStyle3"/>
        </w:rPr>
        <w:t>ul. Wawelska 52/54 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>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left"/>
      </w:pPr>
      <w:r>
        <w:rPr>
          <w:rStyle w:val="CharStyle3"/>
          <w:b/>
          <w:bCs/>
        </w:rPr>
        <w:t>dotycząca umożliwienia wytwórcom energii odnawialnej, którzy wygrali aukcje w koszyku do 1 MW, rozbudowy instalacji powyżej maksymalnej mocy zainstalowanej koszyka, bez utraty prawa do wsparcia wynikającego z wygranej aukcji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rStyle w:val="CharStyle5"/>
          <w:b/>
          <w:bCs/>
        </w:rPr>
        <w:t>Szanowny Panie Ministrze,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 xml:space="preserve">Na podstawie </w:t>
      </w:r>
      <w:r>
        <w:rPr>
          <w:rStyle w:val="CharStyle3"/>
          <w:b/>
          <w:bCs/>
        </w:rPr>
        <w:t>ustawy z dnia 11 lipca 2014 r. o petycjach (Dz. U. z 2018 r. poz. 870)</w:t>
      </w:r>
      <w:r>
        <w:rPr>
          <w:rStyle w:val="CharStyle3"/>
        </w:rPr>
        <w:t>, w, składam niniejszą petycję o podjęcie działań legislacyjnych i regulacyjnych umożliwiających wprowadzenie przepisów, które jednoznacznie pozwolą wytwórcom, którzy wygrali aukcję w koszyku dla instalacji o mocy do 1 MW, na rozbudowę tych instalacji powyżej progu 1 MW, pod warunkiem że: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760" w:right="0" w:hanging="360"/>
        <w:jc w:val="left"/>
      </w:pPr>
      <w:r>
        <w:rPr>
          <w:rStyle w:val="CharStyle3"/>
        </w:rPr>
        <w:t>Wsparcie aukcyjne (cena transakcyjna) przysługuje wyłącznie dla ilości energii odpowiadającej pierwotnej mocy instalacji.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after="0" w:line="240" w:lineRule="auto"/>
        <w:ind w:left="760" w:right="0" w:hanging="360"/>
        <w:jc w:val="left"/>
      </w:pPr>
      <w:r>
        <w:rPr>
          <w:rStyle w:val="CharStyle3"/>
        </w:rPr>
        <w:t>Energia wytworzona w części rozbudowanej (nadwyżka) jest rozliczana na zasadach rynkowych.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6" w:val="left"/>
        </w:tabs>
        <w:bidi w:val="0"/>
        <w:spacing w:before="0" w:line="240" w:lineRule="auto"/>
        <w:ind w:left="760" w:right="0" w:hanging="360"/>
        <w:jc w:val="left"/>
      </w:pPr>
      <w:r>
        <w:rPr>
          <w:rStyle w:val="CharStyle3"/>
        </w:rPr>
        <w:t>Rozbudowa nie powoduje utraty statusu beneficjenta systemu wsparcia dla części pierwotnej.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3"/>
        </w:rPr>
        <w:t>UZASADNIENIE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8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Zgodność z celami strategicznymi rządu (Projekty UC84 i UD284) </w:t>
      </w:r>
      <w:r>
        <w:rPr>
          <w:rStyle w:val="CharStyle3"/>
        </w:rPr>
        <w:t>Aktualne działania rządu, odzwierciedlone w projektach nowelizacji Prawa energetycznego oraz ustawy o OZE (UC84 i UD284), zmierzają do radykalnego przyspieszenia transformacji energetycznej poprzez usuwanie barier administracyjnych. Rząd deklaruje chęć ułatwienia procesów pozwoleniowych i przyłączeniowych. Umożliwienie rozbudowy istniejących instalacji aukcyjnych jest najprostszą metodą realizacji tych założeń – nie wymaga tworzenia nowych procedur, a jedynie odblokowania potencjału już istniejących podmiotów.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3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Efektywniejsze wykorzystanie infrastruktury (Alternatywa dla cable pooling) </w:t>
      </w:r>
      <w:r>
        <w:rPr>
          <w:rStyle w:val="CharStyle3"/>
        </w:rPr>
        <w:t xml:space="preserve">Podczas gdy mechanizm </w:t>
      </w:r>
      <w:r>
        <w:rPr>
          <w:rStyle w:val="CharStyle3"/>
          <w:i/>
          <w:iCs/>
        </w:rPr>
        <w:t>cable pooling</w:t>
      </w:r>
      <w:r>
        <w:rPr>
          <w:rStyle w:val="CharStyle3"/>
        </w:rPr>
        <w:t xml:space="preserve"> (projektowany m.in. w UC84) zakłada łączenie różnych źródeł energii, rozbudowa istniejącej instalacji w ramach tego samego przyłącza jest rozwiązaniem jeszcze efektywniejszym. Pozwala ona na maksymalne wykorzystanie przepustowości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istniejącego punktu przyłączenia (PPE) bez konieczności angażowania dodatkowych zasobów sieciowych, które są obecnie towarem deficytowym. Jest to optymalizacja „u źródła”, która bezpośrednio odciąża system elektroenergetyczny.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3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Szybkość realizacji – gotowe zgody formalno-prawne </w:t>
      </w:r>
      <w:r>
        <w:rPr>
          <w:rStyle w:val="CharStyle3"/>
        </w:rPr>
        <w:t xml:space="preserve">Budowa nowych instalacji typu </w:t>
      </w:r>
      <w:r>
        <w:rPr>
          <w:rStyle w:val="CharStyle3"/>
          <w:i/>
          <w:iCs/>
        </w:rPr>
        <w:t>greenfield</w:t>
      </w:r>
      <w:r>
        <w:rPr>
          <w:rStyle w:val="CharStyle3"/>
        </w:rPr>
        <w:t xml:space="preserve"> trwa latami ze względu na przewlekłość procedur środowiskowych i planistycznych. W przypadku rozbudowy istniejących obiektów: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40" w:lineRule="auto"/>
        <w:ind w:left="740" w:right="0" w:hanging="360"/>
        <w:jc w:val="left"/>
      </w:pPr>
      <w:r>
        <w:rPr>
          <w:rStyle w:val="CharStyle3"/>
        </w:rPr>
        <w:t>Większość niezbędnych zgód administracyjnych, w tym decyzje środowiskowe oraz ustalenia miejscowych planów zagospodarowania przestrzennego (MPZP), jest już wydana lub wymaga jedynie aktualizacji.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line="240" w:lineRule="auto"/>
        <w:ind w:left="740" w:right="0" w:hanging="360"/>
        <w:jc w:val="left"/>
      </w:pPr>
      <w:r>
        <w:rPr>
          <w:rStyle w:val="CharStyle3"/>
        </w:rPr>
        <w:t>Infrastruktura towarzysząca (drogi dojazdowe, ogrodzenia, stacje transformatorowe) już istnieje. Dzięki temu przyrost mocy OZE może nastąpić w ciągu kilku miesięcy, co ma kluczowe znaczenie dla wypełnienia krajowych zobowiązań wobec UE na lata 2025–2030.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Implementacja Dyrektywy 2024/1711 i Rozporządzenia 2024/1747 </w:t>
      </w:r>
      <w:r>
        <w:rPr>
          <w:rStyle w:val="CharStyle3"/>
        </w:rPr>
        <w:t>Nowe unijne ramy prawne kładą nacisk na elastyczność rynku energii i zwiększenie stabilności dostaw.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Rozbudowa małych instalacji do jednostek o większej mocy ułatwia ich integrację z rynkiem bilansującym, pozwala na świadczenie usług systemowych i ułatwia agregację. Obecne ograniczenie „sztywnego” progu 1 MW dla beneficjentów aukcji jest barierą technologiczną, która stoi w sprzeczności z duchem nowoczesnego, elastycznego rynku energii promowanego przez UE.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8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Likwidacja nierówności rynkowej </w:t>
      </w:r>
      <w:r>
        <w:rPr>
          <w:rStyle w:val="CharStyle3"/>
        </w:rPr>
        <w:t>Obecny stan prawny faworyzuje duże instalacje (powyżej 1 MW), które mogą być swobodnie rozbudowywane. Wytwórcy z koszyka do 1 MW są de facto karani za chęć zwiększenia produkcji zielonej energii ryzykiem utraty całego wsparcia aukcyjnego. Wprowadzenie postulowanych zmian wyrówna szanse rynkowe i pozwoli mniejszym, lokalnym przedsiębiorcom na rozwój skali działalności.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5"/>
          <w:b/>
          <w:bCs/>
        </w:rPr>
        <w:t>Podsumowanie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rStyle w:val="CharStyle3"/>
        </w:rPr>
        <w:t xml:space="preserve">Rozbudowa istniejących instalacji OZE to </w:t>
      </w:r>
      <w:r>
        <w:rPr>
          <w:rStyle w:val="CharStyle3"/>
          <w:b/>
          <w:bCs/>
        </w:rPr>
        <w:t>najtańsza, najszybsza i najbardziej racjonalna ścieżka zwiększenia udziału zielonej energii w miksie energetycznym</w:t>
      </w:r>
      <w:r>
        <w:rPr>
          <w:rStyle w:val="CharStyle3"/>
        </w:rPr>
        <w:t>. Wykorzystanie potencjału już wydanych decyzji i istniejących przyłączy pozwoli na błyskawiczny przyrost mocy bez obciążania budżetu państwa dodatkowymi kosztami wsparcia (część rozbudowana działałaby na zasadach rynkowych).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rStyle w:val="CharStyle3"/>
        </w:rPr>
        <w:t>Oświadczam, że wyrażam zgodę na ujawnienie na stronie internetowej podmiotu rozpatrującego petycje lub urzędu go obsługującego danych osobowych podmiotu wnoszącego petycję/podmiotu trzeciego, w którego interesie wnoszona jest petycja.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798320" cy="9207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98320" cy="9207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2180" w:right="1423" w:bottom="319" w:left="1371" w:header="1752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Heading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Robert Cymbalak</dc:creator>
  <cp:keywords/>
</cp:coreProperties>
</file>