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8301" w14:textId="77777777" w:rsidR="00DB2CAA" w:rsidRPr="008B766F" w:rsidRDefault="00DB2CAA" w:rsidP="00DB2CAA">
      <w:pPr>
        <w:spacing w:after="0" w:line="240" w:lineRule="auto"/>
        <w:jc w:val="center"/>
        <w:rPr>
          <w:rFonts w:cs="Times New Roman"/>
          <w:b/>
          <w:bCs/>
          <w:szCs w:val="20"/>
        </w:rPr>
      </w:pPr>
      <w:r>
        <w:rPr>
          <w:b/>
        </w:rPr>
        <w:t>Uwagi do projektu rozporządzenia Ministra Cyfryzacji w sprawie wysokości opłaty za udział w piaskownicy regulacyjnej oraz sposobu jej wnoszenia</w:t>
      </w:r>
    </w:p>
    <w:p w14:paraId="7E299E3E" w14:textId="77777777" w:rsidR="00DB2CAA" w:rsidRPr="008B766F" w:rsidRDefault="00DB2CAA" w:rsidP="00DB2CAA">
      <w:pPr>
        <w:spacing w:after="0" w:line="240" w:lineRule="auto"/>
        <w:rPr>
          <w:rFonts w:cs="Times New Roman"/>
          <w:szCs w:val="20"/>
        </w:rPr>
      </w:pPr>
    </w:p>
    <w:tbl>
      <w:tblPr>
        <w:tblStyle w:val="Tabela-Siatka"/>
        <w:tblpPr w:leftFromText="142" w:rightFromText="142" w:vertAnchor="text" w:horzAnchor="margin" w:tblpXSpec="center" w:tblpY="58"/>
        <w:tblW w:w="15740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694"/>
        <w:gridCol w:w="5103"/>
        <w:gridCol w:w="4252"/>
        <w:gridCol w:w="1428"/>
      </w:tblGrid>
      <w:tr w:rsidR="00DB2CAA" w:rsidRPr="008B766F" w14:paraId="06C41F72" w14:textId="77777777" w:rsidTr="005649FA">
        <w:trPr>
          <w:trHeight w:val="551"/>
          <w:tblHeader/>
        </w:trPr>
        <w:tc>
          <w:tcPr>
            <w:tcW w:w="562" w:type="dxa"/>
            <w:vAlign w:val="center"/>
          </w:tcPr>
          <w:p w14:paraId="1DA8AB69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Lp.</w:t>
            </w:r>
          </w:p>
        </w:tc>
        <w:tc>
          <w:tcPr>
            <w:tcW w:w="1701" w:type="dxa"/>
            <w:vAlign w:val="center"/>
          </w:tcPr>
          <w:p w14:paraId="6AC48A6C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Podmiot wnoszący uwagę</w:t>
            </w:r>
          </w:p>
        </w:tc>
        <w:tc>
          <w:tcPr>
            <w:tcW w:w="2694" w:type="dxa"/>
            <w:vAlign w:val="center"/>
          </w:tcPr>
          <w:p w14:paraId="10FF42AE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Jednostka redakcyjna, do której wnoszona jest uwaga</w:t>
            </w:r>
            <w:r w:rsidRPr="008B766F">
              <w:rPr>
                <w:rStyle w:val="Odwoanieprzypisudolnego"/>
                <w:rFonts w:cs="Times New Roman"/>
                <w:b/>
                <w:bCs/>
                <w:szCs w:val="20"/>
              </w:rPr>
              <w:footnoteReference w:customMarkFollows="1" w:id="1"/>
              <w:t>1)</w:t>
            </w:r>
          </w:p>
        </w:tc>
        <w:tc>
          <w:tcPr>
            <w:tcW w:w="5103" w:type="dxa"/>
            <w:vAlign w:val="center"/>
          </w:tcPr>
          <w:p w14:paraId="2BADC0D7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Treść uwagi</w:t>
            </w:r>
          </w:p>
        </w:tc>
        <w:tc>
          <w:tcPr>
            <w:tcW w:w="4252" w:type="dxa"/>
            <w:vAlign w:val="center"/>
          </w:tcPr>
          <w:p w14:paraId="43CBB15A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Propozycja brzmienia przepisu</w:t>
            </w:r>
          </w:p>
        </w:tc>
        <w:tc>
          <w:tcPr>
            <w:tcW w:w="1428" w:type="dxa"/>
            <w:vAlign w:val="center"/>
          </w:tcPr>
          <w:p w14:paraId="785F9AD7" w14:textId="77777777" w:rsidR="00DB2CAA" w:rsidRPr="008B766F" w:rsidRDefault="00DB2CAA" w:rsidP="005649F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8B766F">
              <w:rPr>
                <w:rFonts w:cs="Times New Roman"/>
                <w:b/>
                <w:bCs/>
                <w:szCs w:val="20"/>
              </w:rPr>
              <w:t>Stanowisko do uwagi</w:t>
            </w:r>
          </w:p>
        </w:tc>
      </w:tr>
      <w:tr w:rsidR="00DB2CAA" w14:paraId="31DE9559" w14:textId="77777777" w:rsidTr="005649FA">
        <w:tc>
          <w:tcPr>
            <w:tcW w:w="562" w:type="dxa"/>
          </w:tcPr>
          <w:p w14:paraId="2CF71D46" w14:textId="77777777" w:rsidR="00DB2CAA" w:rsidRDefault="00DB2CAA" w:rsidP="005649F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1F2ADD80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4A802D86" w14:textId="77777777" w:rsidR="00DB2CAA" w:rsidRDefault="00DB2CAA" w:rsidP="005649FA">
            <w:r>
              <w:t>§ 2 ust. 1 pkt 2 projektu</w:t>
            </w:r>
          </w:p>
        </w:tc>
        <w:tc>
          <w:tcPr>
            <w:tcW w:w="5103" w:type="dxa"/>
          </w:tcPr>
          <w:p w14:paraId="7EB82B08" w14:textId="77777777" w:rsidR="00DB2CAA" w:rsidRDefault="00DB2CAA" w:rsidP="005649FA">
            <w:pPr>
              <w:jc w:val="both"/>
            </w:pPr>
            <w:r>
              <w:t xml:space="preserve">Wątpliwości budzi ustanowienie jednolitej opłaty w wysokości 14 418 zł dla wszystkich podmiotów innych niż mikro-, mali i średni przedsiębiorcy oraz jednostki samorządu terytorialnego, niezależnie od wielkości podmiotu i zakresu piaskownicy regulacyjnej. Art. 93 ust. 4 ustawy z dnia 3 lipca 2026 r. o systemach sztucznej inteligencji nakazuje przy ustalaniu wysokości opłaty uwzględnić rodzaj podmiotu, zakres piaskownicy regulacyjnej oraz konieczność zapewnienia jej prawidłowej i efektywnej obsługi. </w:t>
            </w:r>
            <w:r w:rsidRPr="00C922A6">
              <w:rPr>
                <w:u w:val="single"/>
              </w:rPr>
              <w:t>Przyjęta konstrukcja nie wykazuje, w jaki sposób kryterium zakresu piaskownicy zostało rzeczywiście uwzględnione</w:t>
            </w:r>
            <w:r>
              <w:t xml:space="preserve">. Dodatkowo z perspektywy polityki innowacyjności szczególnego uwzględnienia wymaga sytuacja przedsiębiorstw w fazie skalowania, w tym small </w:t>
            </w:r>
            <w:proofErr w:type="spellStart"/>
            <w:r>
              <w:t>mid</w:t>
            </w:r>
            <w:proofErr w:type="spellEnd"/>
            <w:r>
              <w:t>-cap enterprises. Jednolita stawka powoduje skok obciążenia z 0 zł dla MŚP do 14 418 zł po utracie statusu MŚP, bez rozróżnienia pomiędzy przedsiębiorstwem bezpośrednio przekraczającym próg MŚP a największymi przedsiębiorstwami technologicznymi. Rozwiązanie może osłabiać dostępność instrumentu dla firm o wysokim potencjale wzrostu i nie w pełni odpowiada proinnowacyjnej funkcji piaskownic regulacyjnych wynikającej z art. 57 i 58 rozporządzenia (UE) 2024/1689.</w:t>
            </w:r>
          </w:p>
          <w:p w14:paraId="13332FCE" w14:textId="77777777" w:rsidR="00DB2CAA" w:rsidRDefault="00DB2CAA" w:rsidP="005649FA">
            <w:pPr>
              <w:jc w:val="both"/>
            </w:pPr>
          </w:p>
          <w:p w14:paraId="325F4619" w14:textId="2DBDB174" w:rsidR="00DB2CAA" w:rsidRDefault="00DB2CAA" w:rsidP="005649FA">
            <w:pPr>
              <w:jc w:val="both"/>
            </w:pPr>
            <w:r>
              <w:rPr>
                <w:rFonts w:ascii="Lato" w:hAnsi="Lato" w:cs="Times New Roman"/>
                <w:sz w:val="20"/>
                <w:szCs w:val="20"/>
              </w:rPr>
              <w:t>W celu umożliwienia automatycznej waloryzacji wysokości opłaty za udział w piaskownicy regulacyjnej bez konieczności corocznej zmiany rozporządzenia, proponuje się określenie wysokości opłaty jako wielokrotność minimalnego wynagrodzenia za pracę, zamiast wskazywania konkretnej kwoty.</w:t>
            </w:r>
          </w:p>
        </w:tc>
        <w:tc>
          <w:tcPr>
            <w:tcW w:w="4252" w:type="dxa"/>
          </w:tcPr>
          <w:p w14:paraId="02B28280" w14:textId="77777777" w:rsidR="00DB2CAA" w:rsidRDefault="00DB2CAA" w:rsidP="005649FA">
            <w:pPr>
              <w:jc w:val="both"/>
            </w:pPr>
            <w:r>
              <w:t xml:space="preserve">Proponuje się rozważenie wyodrębnienia small </w:t>
            </w:r>
            <w:proofErr w:type="spellStart"/>
            <w:r>
              <w:t>mid</w:t>
            </w:r>
            <w:proofErr w:type="spellEnd"/>
            <w:r>
              <w:t>-cap enterprises jako odrębnej kategorii objętej niższą stawką opłaty oraz zróżnicowania wysokości opłaty w zależności od zakresu wsparcia udzielanego w ramach piaskownicy regulacyjnej. Ewentualna wysokość stawki pośredniej powinna zostać poprzedzona kalkulacją kosztową.</w:t>
            </w:r>
          </w:p>
          <w:p w14:paraId="19DE7A03" w14:textId="77777777" w:rsidR="00DB2CAA" w:rsidRDefault="00DB2CAA" w:rsidP="005649FA">
            <w:pPr>
              <w:jc w:val="both"/>
            </w:pPr>
          </w:p>
          <w:p w14:paraId="78D9FE02" w14:textId="77777777" w:rsidR="00DB2CAA" w:rsidRDefault="00DB2CAA" w:rsidP="005649FA">
            <w:pPr>
              <w:jc w:val="both"/>
            </w:pPr>
          </w:p>
          <w:p w14:paraId="3C663885" w14:textId="77777777" w:rsidR="00DB2CAA" w:rsidRDefault="00DB2CAA" w:rsidP="005649FA">
            <w:pPr>
              <w:jc w:val="both"/>
            </w:pPr>
          </w:p>
          <w:p w14:paraId="7C62B170" w14:textId="77777777" w:rsidR="00DB2CAA" w:rsidRDefault="00DB2CAA" w:rsidP="005649FA">
            <w:pPr>
              <w:jc w:val="both"/>
            </w:pPr>
          </w:p>
          <w:p w14:paraId="73879845" w14:textId="77777777" w:rsidR="00DB2CAA" w:rsidRDefault="00DB2CAA" w:rsidP="005649FA">
            <w:pPr>
              <w:jc w:val="both"/>
            </w:pPr>
          </w:p>
          <w:p w14:paraId="1DB7CF07" w14:textId="77777777" w:rsidR="00DB2CAA" w:rsidRDefault="00DB2CAA" w:rsidP="005649FA">
            <w:pPr>
              <w:jc w:val="both"/>
            </w:pPr>
          </w:p>
          <w:p w14:paraId="77C4498A" w14:textId="77777777" w:rsidR="00DB2CAA" w:rsidRDefault="00DB2CAA" w:rsidP="005649FA">
            <w:pPr>
              <w:jc w:val="both"/>
            </w:pPr>
          </w:p>
          <w:p w14:paraId="60239C4D" w14:textId="77777777" w:rsidR="00DB2CAA" w:rsidRDefault="00DB2CAA" w:rsidP="005649FA">
            <w:pPr>
              <w:jc w:val="both"/>
            </w:pPr>
          </w:p>
          <w:p w14:paraId="3DA47BAC" w14:textId="77777777" w:rsidR="00DB2CAA" w:rsidRDefault="00DB2CAA" w:rsidP="005649FA">
            <w:pPr>
              <w:jc w:val="both"/>
            </w:pPr>
          </w:p>
          <w:p w14:paraId="4D4DDAE7" w14:textId="77777777" w:rsidR="00DB2CAA" w:rsidRDefault="00DB2CAA" w:rsidP="005649FA">
            <w:pPr>
              <w:jc w:val="both"/>
            </w:pPr>
          </w:p>
          <w:p w14:paraId="595AE6B1" w14:textId="77777777" w:rsidR="00DB2CAA" w:rsidRDefault="00DB2CAA" w:rsidP="005649FA">
            <w:pPr>
              <w:jc w:val="both"/>
            </w:pPr>
          </w:p>
          <w:p w14:paraId="2E7F103E" w14:textId="77777777" w:rsidR="00DB2CAA" w:rsidRDefault="00DB2CAA" w:rsidP="005649FA">
            <w:pPr>
              <w:jc w:val="both"/>
            </w:pPr>
          </w:p>
          <w:p w14:paraId="7B6D8CD3" w14:textId="77777777" w:rsidR="00DB2CAA" w:rsidRDefault="00DB2CAA" w:rsidP="005649FA">
            <w:pPr>
              <w:jc w:val="both"/>
            </w:pPr>
          </w:p>
          <w:p w14:paraId="57D9CDDC" w14:textId="77777777" w:rsidR="00DB2CAA" w:rsidRDefault="00DB2CAA" w:rsidP="005649FA">
            <w:pPr>
              <w:jc w:val="both"/>
            </w:pPr>
          </w:p>
          <w:p w14:paraId="00699570" w14:textId="77777777" w:rsidR="00DB2CAA" w:rsidRDefault="00DB2CAA" w:rsidP="005649FA">
            <w:pPr>
              <w:jc w:val="both"/>
            </w:pPr>
          </w:p>
          <w:p w14:paraId="48656B6B" w14:textId="77777777" w:rsidR="00DB2CAA" w:rsidRDefault="00DB2CAA" w:rsidP="005649FA">
            <w:pPr>
              <w:jc w:val="both"/>
            </w:pPr>
          </w:p>
          <w:p w14:paraId="4CCC1E07" w14:textId="77777777" w:rsidR="00DB2CAA" w:rsidRDefault="00DB2CAA" w:rsidP="005649FA">
            <w:pPr>
              <w:jc w:val="both"/>
            </w:pPr>
          </w:p>
          <w:p w14:paraId="60341795" w14:textId="77777777" w:rsidR="00DB2CAA" w:rsidRDefault="00DB2CAA" w:rsidP="005649FA">
            <w:pPr>
              <w:jc w:val="both"/>
            </w:pPr>
          </w:p>
          <w:p w14:paraId="02439CF2" w14:textId="77777777" w:rsidR="00DB2CAA" w:rsidRPr="00D76C0A" w:rsidRDefault="00DB2CAA" w:rsidP="00DB2CAA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D76C0A">
              <w:rPr>
                <w:rFonts w:ascii="Lato" w:hAnsi="Lato" w:cs="Times New Roman"/>
                <w:sz w:val="20"/>
                <w:szCs w:val="20"/>
              </w:rPr>
              <w:t>§ 2. 1. Wysokość opłaty, o której mowa w § 1, dla:</w:t>
            </w:r>
          </w:p>
          <w:p w14:paraId="76E8A39D" w14:textId="77777777" w:rsidR="00DB2CAA" w:rsidRPr="00D76C0A" w:rsidRDefault="00DB2CAA" w:rsidP="00DB2CAA">
            <w:pPr>
              <w:jc w:val="both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D76C0A">
              <w:rPr>
                <w:rFonts w:ascii="Lato" w:hAnsi="Lato" w:cs="Times New Roman"/>
                <w:sz w:val="20"/>
                <w:szCs w:val="20"/>
              </w:rPr>
              <w:t>1)</w:t>
            </w:r>
            <w:r>
              <w:rPr>
                <w:rFonts w:ascii="Lato" w:hAnsi="Lato" w:cs="Times New Roman"/>
                <w:sz w:val="20"/>
                <w:szCs w:val="20"/>
              </w:rPr>
              <w:t xml:space="preserve"> </w:t>
            </w:r>
            <w:r w:rsidRPr="00D76C0A">
              <w:rPr>
                <w:rFonts w:ascii="Lato" w:hAnsi="Lato" w:cs="Times New Roman"/>
                <w:sz w:val="20"/>
                <w:szCs w:val="20"/>
              </w:rPr>
              <w:t xml:space="preserve">jednostki samorządu terytorialnego wynosi </w:t>
            </w:r>
            <w:r>
              <w:rPr>
                <w:rFonts w:ascii="Lato" w:hAnsi="Lato" w:cs="Times New Roman"/>
                <w:b/>
                <w:bCs/>
                <w:sz w:val="20"/>
                <w:szCs w:val="20"/>
              </w:rPr>
              <w:t>jednokrotność minimalnego wynagrodzenia za pracę;</w:t>
            </w:r>
          </w:p>
          <w:p w14:paraId="0C10ED73" w14:textId="55D9A49D" w:rsidR="00DB2CAA" w:rsidRDefault="00DB2CAA" w:rsidP="00DB2CAA">
            <w:pPr>
              <w:jc w:val="both"/>
            </w:pPr>
            <w:r w:rsidRPr="00D76C0A">
              <w:rPr>
                <w:rFonts w:ascii="Lato" w:hAnsi="Lato" w:cs="Times New Roman"/>
                <w:sz w:val="20"/>
                <w:szCs w:val="20"/>
              </w:rPr>
              <w:lastRenderedPageBreak/>
              <w:t>2)</w:t>
            </w:r>
            <w:r>
              <w:rPr>
                <w:rFonts w:ascii="Lato" w:hAnsi="Lato" w:cs="Times New Roman"/>
                <w:sz w:val="20"/>
                <w:szCs w:val="20"/>
              </w:rPr>
              <w:t xml:space="preserve"> </w:t>
            </w:r>
            <w:r w:rsidRPr="00D76C0A">
              <w:rPr>
                <w:rFonts w:ascii="Lato" w:hAnsi="Lato" w:cs="Times New Roman"/>
                <w:sz w:val="20"/>
                <w:szCs w:val="20"/>
              </w:rPr>
              <w:t xml:space="preserve">podmiotu innego niż </w:t>
            </w:r>
            <w:proofErr w:type="spellStart"/>
            <w:r w:rsidRPr="00D76C0A">
              <w:rPr>
                <w:rFonts w:ascii="Lato" w:hAnsi="Lato" w:cs="Times New Roman"/>
                <w:sz w:val="20"/>
                <w:szCs w:val="20"/>
              </w:rPr>
              <w:t>mikroprzedsiębiorcy</w:t>
            </w:r>
            <w:proofErr w:type="spellEnd"/>
            <w:r w:rsidRPr="00D76C0A">
              <w:rPr>
                <w:rFonts w:ascii="Lato" w:hAnsi="Lato" w:cs="Times New Roman"/>
                <w:sz w:val="20"/>
                <w:szCs w:val="20"/>
              </w:rPr>
              <w:t xml:space="preserve">, mali i średni przedsiębiorcy oraz podmioty wskazane w pkt 1 wynosi </w:t>
            </w:r>
            <w:r>
              <w:rPr>
                <w:rFonts w:ascii="Lato" w:hAnsi="Lato" w:cs="Times New Roman"/>
                <w:b/>
                <w:bCs/>
                <w:sz w:val="20"/>
                <w:szCs w:val="20"/>
              </w:rPr>
              <w:t>trzykrotność minimalnego wynagrodzenia za pracę.</w:t>
            </w:r>
          </w:p>
        </w:tc>
        <w:tc>
          <w:tcPr>
            <w:tcW w:w="1428" w:type="dxa"/>
          </w:tcPr>
          <w:p w14:paraId="00720962" w14:textId="77777777" w:rsidR="00DB2CAA" w:rsidRDefault="00DB2CAA" w:rsidP="005649FA"/>
        </w:tc>
      </w:tr>
      <w:tr w:rsidR="00DB2CAA" w14:paraId="0B032E3F" w14:textId="77777777" w:rsidTr="005649FA">
        <w:tc>
          <w:tcPr>
            <w:tcW w:w="562" w:type="dxa"/>
          </w:tcPr>
          <w:p w14:paraId="43143945" w14:textId="77777777" w:rsidR="00DB2CAA" w:rsidRDefault="00DB2CAA" w:rsidP="005649FA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E5EB69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04850D7D" w14:textId="77777777" w:rsidR="00DB2CAA" w:rsidRDefault="00DB2CAA" w:rsidP="005649FA">
            <w:r>
              <w:t>§ 2 projektu</w:t>
            </w:r>
          </w:p>
        </w:tc>
        <w:tc>
          <w:tcPr>
            <w:tcW w:w="5103" w:type="dxa"/>
          </w:tcPr>
          <w:p w14:paraId="7F632F13" w14:textId="77777777" w:rsidR="00DB2CAA" w:rsidRDefault="00DB2CAA" w:rsidP="005649FA">
            <w:pPr>
              <w:jc w:val="both"/>
            </w:pPr>
            <w:r>
              <w:t xml:space="preserve">OSR wskazuje, że opłata będzie wnoszona w terminie 7 dni od dnia doręczenia decyzji, o której mowa w art. 91 ust. 1 ustawy, nie później jednak niż przed rozpoczęciem udziału w piaskownicy regulacyjnej. </w:t>
            </w:r>
            <w:r w:rsidRPr="00C922A6">
              <w:rPr>
                <w:u w:val="single"/>
              </w:rPr>
              <w:t>Termin ten nie został jednak ujęty w części normatywnej projektu</w:t>
            </w:r>
            <w:r>
              <w:t>. Ponieważ art. 93 ust. 4 ustawy upoważnia ministra również do określenia sposobu wnoszenia opłaty, zasadne jest uregulowanie terminu jej wniesienia w rozporządzeniu, a nie wyłącznie w OSR.</w:t>
            </w:r>
          </w:p>
        </w:tc>
        <w:tc>
          <w:tcPr>
            <w:tcW w:w="4252" w:type="dxa"/>
          </w:tcPr>
          <w:p w14:paraId="1B11F4B9" w14:textId="77777777" w:rsidR="00DB2CAA" w:rsidRDefault="00DB2CAA" w:rsidP="005649FA">
            <w:pPr>
              <w:jc w:val="both"/>
            </w:pPr>
            <w:r>
              <w:t>Proponuje się dodanie ust. 3 w brzmieniu: „3. Opłatę wnosi się w terminie 7 dni od dnia doręczenia decyzji, o której mowa w art. 91 ust. 1 ustawy, nie później jednak niż przed rozpoczęciem uczestnictwa w piaskownicy regulacyjnej.”</w:t>
            </w:r>
          </w:p>
        </w:tc>
        <w:tc>
          <w:tcPr>
            <w:tcW w:w="1428" w:type="dxa"/>
          </w:tcPr>
          <w:p w14:paraId="1AE62AC3" w14:textId="77777777" w:rsidR="00DB2CAA" w:rsidRDefault="00DB2CAA" w:rsidP="005649FA"/>
        </w:tc>
      </w:tr>
      <w:tr w:rsidR="00DB2CAA" w14:paraId="6F7B1FE8" w14:textId="77777777" w:rsidTr="005649FA">
        <w:tc>
          <w:tcPr>
            <w:tcW w:w="562" w:type="dxa"/>
          </w:tcPr>
          <w:p w14:paraId="1411CB3B" w14:textId="77777777" w:rsidR="00DB2CAA" w:rsidRDefault="00DB2CAA" w:rsidP="005649FA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09AE4D96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7EE31AFA" w14:textId="77777777" w:rsidR="00DB2CAA" w:rsidRDefault="00DB2CAA" w:rsidP="005649FA">
            <w:r>
              <w:t>Uzasadnienie do § 2 oraz OSR pkt 2, 6 i 7</w:t>
            </w:r>
          </w:p>
        </w:tc>
        <w:tc>
          <w:tcPr>
            <w:tcW w:w="5103" w:type="dxa"/>
          </w:tcPr>
          <w:p w14:paraId="698EDE75" w14:textId="77777777" w:rsidR="00DB2CAA" w:rsidRDefault="00DB2CAA" w:rsidP="005649FA">
            <w:pPr>
              <w:jc w:val="both"/>
            </w:pPr>
            <w:r>
              <w:t>Uzasadnienie nie przedstawia kalkulacji wykazującej relację między wysokością opłaty a kosztami organizacyjnymi i administracyjnymi obsługi uczestnika. Nie przedstawiono również analizy wpływu zakresu i czasu trwania piaskownicy na koszt jej obsługi. Samo wskazanie, że kwoty mieszczą się w ustawowych limitach, nie pozwala ocenić proporcjonalności opłaty ani jej wpływu na dostępność instrumentu. Jednocześnie OSR zawiera konkretne prognozy dochodów z opłat w okresie 10 lat, mimo stwierdzenia, że na obecnym etapie nie jest możliwe oszacowanie liczby uczestników ani wpływów z tego tytułu. Wymaga to ujednolicenia i wskazania przyjętych założeń.</w:t>
            </w:r>
          </w:p>
        </w:tc>
        <w:tc>
          <w:tcPr>
            <w:tcW w:w="4252" w:type="dxa"/>
          </w:tcPr>
          <w:p w14:paraId="28F90F3D" w14:textId="77777777" w:rsidR="00DB2CAA" w:rsidRDefault="00DB2CAA" w:rsidP="005649FA">
            <w:pPr>
              <w:jc w:val="both"/>
            </w:pPr>
            <w:r>
              <w:t>Nie dotyczy zmiany przepisu. Proponuje się uzupełnienie OSR o kalkulację lub model kosztowy obejmujący co najmniej czas trwania projektu, zakres wsparcia regulacyjnego, wykorzystanie infrastruktury technologicznej oraz intensywność zaangażowania organu. Należy również wskazać założenia przyjęte do oszacowania wartości wykazanych w tabeli wpływu na sektor finansów publicznych.</w:t>
            </w:r>
          </w:p>
        </w:tc>
        <w:tc>
          <w:tcPr>
            <w:tcW w:w="1428" w:type="dxa"/>
          </w:tcPr>
          <w:p w14:paraId="75CA5DBD" w14:textId="77777777" w:rsidR="00DB2CAA" w:rsidRDefault="00DB2CAA" w:rsidP="005649FA"/>
        </w:tc>
      </w:tr>
      <w:tr w:rsidR="00DB2CAA" w14:paraId="68EC2671" w14:textId="77777777" w:rsidTr="005649FA">
        <w:tc>
          <w:tcPr>
            <w:tcW w:w="562" w:type="dxa"/>
          </w:tcPr>
          <w:p w14:paraId="6183F80C" w14:textId="77777777" w:rsidR="00DB2CAA" w:rsidRDefault="00DB2CAA" w:rsidP="005649FA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1ECFCC70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24E2A3A1" w14:textId="77777777" w:rsidR="00DB2CAA" w:rsidRDefault="00DB2CAA" w:rsidP="005649FA">
            <w:r>
              <w:t>OSR pkt 4 i 7</w:t>
            </w:r>
          </w:p>
        </w:tc>
        <w:tc>
          <w:tcPr>
            <w:tcW w:w="5103" w:type="dxa"/>
          </w:tcPr>
          <w:p w14:paraId="25AC2125" w14:textId="77777777" w:rsidR="00DB2CAA" w:rsidRDefault="00DB2CAA" w:rsidP="005649FA">
            <w:pPr>
              <w:jc w:val="both"/>
            </w:pPr>
            <w:r>
              <w:t xml:space="preserve">Analiza wpływu na przedsiębiorstwa wymaga aktualizacji i pogłębienia. Przyjęty w OSR przedział 120–200 dużych przedsiębiorstw bezpośrednio rozwijających i tworzących własne technologie AI został określony jako wynik analiz własnych opartych na kilku źródłach, jednak </w:t>
            </w:r>
            <w:r w:rsidRPr="00C922A6">
              <w:rPr>
                <w:u w:val="single"/>
              </w:rPr>
              <w:t>nie przedstawiono metodologii pozwalającej na jego zweryfikowanie</w:t>
            </w:r>
            <w:r>
              <w:t xml:space="preserve">. Dane dotyczące wykorzystywania AI przez przedsiębiorstwa nie są tożsame z liczbą dostawców lub przyszłych dostawców systemów AI, którzy mogą być zainteresowani </w:t>
            </w:r>
            <w:r>
              <w:lastRenderedPageBreak/>
              <w:t xml:space="preserve">udziałem w piaskownicy. Zasadne jest także odrębne przeanalizowanie wpływu opłaty na przedsiębiorstwa technologiczne znajdujące się w fazie skalowania, w tym small </w:t>
            </w:r>
            <w:proofErr w:type="spellStart"/>
            <w:r>
              <w:t>mid</w:t>
            </w:r>
            <w:proofErr w:type="spellEnd"/>
            <w:r>
              <w:t>-cap enterprises, ponieważ ich możliwości finansowe i charakter działalności mogą istotnie różnić się od największych przedsiębiorstw.</w:t>
            </w:r>
          </w:p>
        </w:tc>
        <w:tc>
          <w:tcPr>
            <w:tcW w:w="4252" w:type="dxa"/>
          </w:tcPr>
          <w:p w14:paraId="5780511F" w14:textId="77777777" w:rsidR="00DB2CAA" w:rsidRDefault="00DB2CAA" w:rsidP="005649FA">
            <w:pPr>
              <w:jc w:val="both"/>
            </w:pPr>
            <w:r>
              <w:lastRenderedPageBreak/>
              <w:t xml:space="preserve">Nie dotyczy zmiany przepisu. Proponuje się aktualizację OSR z wyraźnym rozróżnieniem dostawców i przyszłych dostawców systemów AI od podmiotów jedynie wykorzystujących AI oraz z odrębnym ujęciem MŚP, small </w:t>
            </w:r>
            <w:proofErr w:type="spellStart"/>
            <w:r>
              <w:t>mid</w:t>
            </w:r>
            <w:proofErr w:type="spellEnd"/>
            <w:r>
              <w:t>-cap enterprises i pozostałych dużych przedsiębiorstw. Należy wskazać metodologię oraz źródła przyjętych szacunków.</w:t>
            </w:r>
          </w:p>
        </w:tc>
        <w:tc>
          <w:tcPr>
            <w:tcW w:w="1428" w:type="dxa"/>
          </w:tcPr>
          <w:p w14:paraId="70B4F371" w14:textId="77777777" w:rsidR="00DB2CAA" w:rsidRDefault="00DB2CAA" w:rsidP="005649FA"/>
        </w:tc>
      </w:tr>
      <w:tr w:rsidR="00DB2CAA" w14:paraId="7735E30E" w14:textId="77777777" w:rsidTr="005649FA">
        <w:tc>
          <w:tcPr>
            <w:tcW w:w="562" w:type="dxa"/>
          </w:tcPr>
          <w:p w14:paraId="468BA893" w14:textId="77777777" w:rsidR="00DB2CAA" w:rsidRDefault="00DB2CAA" w:rsidP="005649FA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76CEDBFA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78D9F815" w14:textId="77777777" w:rsidR="00DB2CAA" w:rsidRDefault="00DB2CAA" w:rsidP="005649FA">
            <w:r>
              <w:t>OSR pkt 3</w:t>
            </w:r>
          </w:p>
        </w:tc>
        <w:tc>
          <w:tcPr>
            <w:tcW w:w="5103" w:type="dxa"/>
          </w:tcPr>
          <w:p w14:paraId="5D0F3DFB" w14:textId="77777777" w:rsidR="00DB2CAA" w:rsidRDefault="00DB2CAA" w:rsidP="005649FA">
            <w:pPr>
              <w:jc w:val="both"/>
            </w:pPr>
            <w:r>
              <w:t>Część porównawcza wymaga weryfikacji i doprecyzowania. W szczególności przedstawione informacje dotyczące Hiszpanii nie wskazują w sposób dostatecznie udokumentowany podstawy twierdzenia, że podmioty inne niż MŚP ponoszą opłatę proporcjonalną do skali prowadzonej działalności. Jednocześnie rozwiązania funkcjonujące w części państw członkowskich opierają się na bezpłatnym dostępie do piaskownicy lub doradztwa regulacyjnego. Porównanie międzynarodowe w obecnym kształcie nie stanowi zatem wystarczającej podstawy do uzasadnienia wysokości opłaty 14 418 zł.</w:t>
            </w:r>
          </w:p>
        </w:tc>
        <w:tc>
          <w:tcPr>
            <w:tcW w:w="4252" w:type="dxa"/>
          </w:tcPr>
          <w:p w14:paraId="2CC9A5DE" w14:textId="77777777" w:rsidR="00DB2CAA" w:rsidRDefault="00DB2CAA" w:rsidP="005649FA">
            <w:pPr>
              <w:jc w:val="both"/>
            </w:pPr>
            <w:r>
              <w:t>Nie dotyczy zmiany przepisu. Proponuje się aktualizację pkt 3 OSR i ograniczenie porównania do państw, dla których dostępne są zweryfikowane i aktualne informacje dotyczące faktycznej odpłatności, kryteriów ustalania opłat oraz zakresu usług świadczonych uczestnikom.</w:t>
            </w:r>
          </w:p>
        </w:tc>
        <w:tc>
          <w:tcPr>
            <w:tcW w:w="1428" w:type="dxa"/>
          </w:tcPr>
          <w:p w14:paraId="4EED0DC3" w14:textId="77777777" w:rsidR="00DB2CAA" w:rsidRDefault="00DB2CAA" w:rsidP="005649FA"/>
        </w:tc>
      </w:tr>
      <w:tr w:rsidR="00DB2CAA" w14:paraId="7C1BDA7F" w14:textId="77777777" w:rsidTr="005649FA">
        <w:tc>
          <w:tcPr>
            <w:tcW w:w="562" w:type="dxa"/>
          </w:tcPr>
          <w:p w14:paraId="69547B88" w14:textId="77777777" w:rsidR="00DB2CAA" w:rsidRDefault="00DB2CAA" w:rsidP="005649FA">
            <w:pPr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6913FC87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3ECBA501" w14:textId="77777777" w:rsidR="00DB2CAA" w:rsidRDefault="00DB2CAA" w:rsidP="005649FA">
            <w:r>
              <w:t>OSR pkt 12</w:t>
            </w:r>
          </w:p>
        </w:tc>
        <w:tc>
          <w:tcPr>
            <w:tcW w:w="5103" w:type="dxa"/>
          </w:tcPr>
          <w:p w14:paraId="2585E8AA" w14:textId="77777777" w:rsidR="00DB2CAA" w:rsidRDefault="00DB2CAA" w:rsidP="005649FA">
            <w:pPr>
              <w:jc w:val="both"/>
            </w:pPr>
            <w:r w:rsidRPr="00C922A6">
              <w:rPr>
                <w:u w:val="single"/>
              </w:rPr>
              <w:t>Nieprzewidywanie ewaluacji efektów projektu budzi wątpliwości</w:t>
            </w:r>
            <w:r>
              <w:t xml:space="preserve"> wobec nowatorskiego charakteru instrumentu, braku krajowych danych empirycznych dotyczących jego funkcjonowania oraz braku możliwości wiarygodnego oszacowania ex </w:t>
            </w:r>
            <w:proofErr w:type="spellStart"/>
            <w:r>
              <w:t>ante</w:t>
            </w:r>
            <w:proofErr w:type="spellEnd"/>
            <w:r>
              <w:t xml:space="preserve"> wpływu wysokości opłaty na zainteresowanie piaskownicą. Ewaluacja pozwoliłaby ustalić, czy poziom opłat nie stanowi bariery dla przedsiębiorstw technologicznych, w szczególności podmiotów w fazie skalowania, oraz czy przyjęta konstrukcja pozostaje adekwatna do kosztów obsługi piaskownicy i realizuje jej proinnowacyjną funkcję.</w:t>
            </w:r>
          </w:p>
        </w:tc>
        <w:tc>
          <w:tcPr>
            <w:tcW w:w="4252" w:type="dxa"/>
          </w:tcPr>
          <w:p w14:paraId="1D3B784F" w14:textId="77777777" w:rsidR="00DB2CAA" w:rsidRDefault="00DB2CAA" w:rsidP="005649FA">
            <w:pPr>
              <w:jc w:val="both"/>
            </w:pPr>
            <w:r>
              <w:t xml:space="preserve">Proponuje się przewidzenie ewaluacji po upływie 24 miesięcy od rozpoczęcia funkcjonowania pierwszej piaskownicy regulacyjnej. Ocenie powinny podlegać co najmniej liczba wniosków i uczestników według kategorii wielkości przedsiębiorstw, udział small </w:t>
            </w:r>
            <w:proofErr w:type="spellStart"/>
            <w:r>
              <w:t>mid</w:t>
            </w:r>
            <w:proofErr w:type="spellEnd"/>
            <w:r>
              <w:t>-cap enterprises i dużych przedsiębiorstw, przypadki rezygnacji z uczestnictwa z przyczyn kosztowych, relacja wpływów z opłat do kosztów obsługi oraz wpływ instrumentu na rozwój i wprowadzanie systemów AI na rynek.</w:t>
            </w:r>
          </w:p>
        </w:tc>
        <w:tc>
          <w:tcPr>
            <w:tcW w:w="1428" w:type="dxa"/>
          </w:tcPr>
          <w:p w14:paraId="0D832B2B" w14:textId="77777777" w:rsidR="00DB2CAA" w:rsidRDefault="00DB2CAA" w:rsidP="005649FA"/>
        </w:tc>
      </w:tr>
      <w:tr w:rsidR="00DB2CAA" w14:paraId="1AF03560" w14:textId="77777777" w:rsidTr="005649FA">
        <w:tc>
          <w:tcPr>
            <w:tcW w:w="562" w:type="dxa"/>
          </w:tcPr>
          <w:p w14:paraId="539A3E16" w14:textId="77777777" w:rsidR="00DB2CAA" w:rsidRDefault="00DB2CAA" w:rsidP="005649FA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14:paraId="5F4CA6E2" w14:textId="77777777" w:rsidR="00DB2CAA" w:rsidRDefault="00DB2CAA" w:rsidP="005649FA">
            <w:proofErr w:type="spellStart"/>
            <w:r>
              <w:t>MFiG</w:t>
            </w:r>
            <w:proofErr w:type="spellEnd"/>
            <w:r>
              <w:t xml:space="preserve"> (MRiT)</w:t>
            </w:r>
          </w:p>
        </w:tc>
        <w:tc>
          <w:tcPr>
            <w:tcW w:w="2694" w:type="dxa"/>
          </w:tcPr>
          <w:p w14:paraId="1AAB2497" w14:textId="77777777" w:rsidR="00DB2CAA" w:rsidRDefault="00DB2CAA" w:rsidP="005649FA">
            <w:r>
              <w:t>Uzasadnienie – część dotycząca odstępstw od wymogów rozporządzenia (UE) 2024/1689</w:t>
            </w:r>
          </w:p>
        </w:tc>
        <w:tc>
          <w:tcPr>
            <w:tcW w:w="5103" w:type="dxa"/>
          </w:tcPr>
          <w:p w14:paraId="32A76B54" w14:textId="77777777" w:rsidR="00DB2CAA" w:rsidRDefault="00DB2CAA" w:rsidP="005649FA">
            <w:pPr>
              <w:jc w:val="both"/>
            </w:pPr>
            <w:r>
              <w:t xml:space="preserve">Uzasadnienie wymaga doprecyzowania w części wskazującej na możliwość czasowego odstępstwa od wymogów rozporządzenia (UE) 2024/1689. Art. 57 i 58 AI Act konstruują piaskownicę przede wszystkim jako kontrolowane środowisko służące rozwojowi, </w:t>
            </w:r>
            <w:r>
              <w:lastRenderedPageBreak/>
              <w:t xml:space="preserve">testowaniu i osiąganiu zgodności, przy zachowaniu wymaganych zabezpieczeń i kompetencji nadzorczych. AI Act nie ustanawia ogólnej kompetencji państwa członkowskiego do zawieszania stosowania wymogów rozporządzenia. Kwestia ta wynika przede wszystkim z regulacji ustawowej i wykracza częściowo poza zakres projektowanego rozporządzenia, jednak </w:t>
            </w:r>
            <w:r w:rsidRPr="00C922A6">
              <w:rPr>
                <w:u w:val="single"/>
              </w:rPr>
              <w:t>obecne sformułowania uzasadnienia mogą sugerować szerszy zakres derogacji niż dopuszczalny na gruncie prawa Unii Europejskiej</w:t>
            </w:r>
            <w:r>
              <w:t>.</w:t>
            </w:r>
          </w:p>
        </w:tc>
        <w:tc>
          <w:tcPr>
            <w:tcW w:w="4252" w:type="dxa"/>
          </w:tcPr>
          <w:p w14:paraId="5BCD5160" w14:textId="77777777" w:rsidR="00DB2CAA" w:rsidRDefault="00DB2CAA" w:rsidP="005649FA">
            <w:pPr>
              <w:jc w:val="both"/>
            </w:pPr>
            <w:r>
              <w:lastRenderedPageBreak/>
              <w:t xml:space="preserve">Nie dotyczy bezpośrednio zmiany § 1–3 projektu. Proponuje się doprecyzowanie uzasadnienia przez wskazanie, że piaskownica umożliwia rozwój i testowanie systemów AI w kontrolowanym środowisku </w:t>
            </w:r>
            <w:r>
              <w:lastRenderedPageBreak/>
              <w:t>oraz udzielanie wsparcia w osiąganiu zgodności z rozporządzeniem (UE) 2024/1689, a szczególne rozwiązania dotyczące testowania mogą być stosowane wyłącznie w zakresie dopuszczonym prawem Unii Europejskiej.</w:t>
            </w:r>
          </w:p>
        </w:tc>
        <w:tc>
          <w:tcPr>
            <w:tcW w:w="1428" w:type="dxa"/>
          </w:tcPr>
          <w:p w14:paraId="6EB7C43C" w14:textId="77777777" w:rsidR="00DB2CAA" w:rsidRDefault="00DB2CAA" w:rsidP="005649FA"/>
        </w:tc>
      </w:tr>
    </w:tbl>
    <w:p w14:paraId="0C3C55DB" w14:textId="77777777" w:rsidR="00DB2CAA" w:rsidRPr="008B766F" w:rsidRDefault="00DB2CAA" w:rsidP="00DB2CAA">
      <w:pPr>
        <w:spacing w:after="0" w:line="240" w:lineRule="auto"/>
        <w:rPr>
          <w:rFonts w:cs="Times New Roman"/>
          <w:szCs w:val="20"/>
        </w:rPr>
      </w:pPr>
    </w:p>
    <w:p w14:paraId="4A485AB3" w14:textId="77777777" w:rsidR="00CA2841" w:rsidRPr="00DB2CAA" w:rsidRDefault="00CA2841" w:rsidP="00DB2CAA"/>
    <w:sectPr w:rsidR="00CA2841" w:rsidRPr="00DB2CAA" w:rsidSect="00DB2C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195EC" w14:textId="77777777" w:rsidR="004769C9" w:rsidRDefault="004769C9" w:rsidP="00CA2841">
      <w:pPr>
        <w:spacing w:after="0" w:line="240" w:lineRule="auto"/>
      </w:pPr>
      <w:r>
        <w:separator/>
      </w:r>
    </w:p>
  </w:endnote>
  <w:endnote w:type="continuationSeparator" w:id="0">
    <w:p w14:paraId="1BF6D00B" w14:textId="77777777" w:rsidR="004769C9" w:rsidRDefault="004769C9" w:rsidP="00CA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3A797" w14:textId="77777777" w:rsidR="004769C9" w:rsidRDefault="004769C9" w:rsidP="00CA2841">
      <w:pPr>
        <w:spacing w:after="0" w:line="240" w:lineRule="auto"/>
      </w:pPr>
      <w:r>
        <w:separator/>
      </w:r>
    </w:p>
  </w:footnote>
  <w:footnote w:type="continuationSeparator" w:id="0">
    <w:p w14:paraId="7353F99F" w14:textId="77777777" w:rsidR="004769C9" w:rsidRDefault="004769C9" w:rsidP="00CA2841">
      <w:pPr>
        <w:spacing w:after="0" w:line="240" w:lineRule="auto"/>
      </w:pPr>
      <w:r>
        <w:continuationSeparator/>
      </w:r>
    </w:p>
  </w:footnote>
  <w:footnote w:id="1">
    <w:p w14:paraId="01B66BF5" w14:textId="77777777" w:rsidR="00DB2CAA" w:rsidRPr="00EF494C" w:rsidRDefault="00DB2CAA" w:rsidP="00DB2CAA">
      <w:pPr>
        <w:pStyle w:val="Tekstprzypisudolnego"/>
        <w:rPr>
          <w:rFonts w:cs="Times New Roman"/>
          <w:sz w:val="22"/>
          <w:szCs w:val="22"/>
        </w:rPr>
      </w:pPr>
      <w:r w:rsidRPr="00EF494C">
        <w:rPr>
          <w:rStyle w:val="Odwoanieprzypisudolnego"/>
          <w:rFonts w:cs="Times New Roman"/>
        </w:rPr>
        <w:t>1)</w:t>
      </w:r>
      <w:r w:rsidRPr="00EF494C">
        <w:rPr>
          <w:rFonts w:cs="Times New Roman"/>
        </w:rPr>
        <w:t xml:space="preserve"> W przypadku aktu nowelizującego należy wskazać jednostkę redakcyjną projektu oraz jednostkę redakcyjną zmienianego aktu prawnego.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614F"/>
    <w:multiLevelType w:val="hybridMultilevel"/>
    <w:tmpl w:val="AB2E71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813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41"/>
    <w:rsid w:val="00007CAA"/>
    <w:rsid w:val="00067D4B"/>
    <w:rsid w:val="00156831"/>
    <w:rsid w:val="0019568F"/>
    <w:rsid w:val="001B734F"/>
    <w:rsid w:val="001E0007"/>
    <w:rsid w:val="001E4824"/>
    <w:rsid w:val="0022071F"/>
    <w:rsid w:val="003969D0"/>
    <w:rsid w:val="00435D45"/>
    <w:rsid w:val="004769C9"/>
    <w:rsid w:val="00494E30"/>
    <w:rsid w:val="004B3DC9"/>
    <w:rsid w:val="004C61FF"/>
    <w:rsid w:val="004F2D1D"/>
    <w:rsid w:val="0058428C"/>
    <w:rsid w:val="00591C66"/>
    <w:rsid w:val="00617453"/>
    <w:rsid w:val="00656F4F"/>
    <w:rsid w:val="0065784C"/>
    <w:rsid w:val="00671CB6"/>
    <w:rsid w:val="00691459"/>
    <w:rsid w:val="00706547"/>
    <w:rsid w:val="00754E23"/>
    <w:rsid w:val="007715AF"/>
    <w:rsid w:val="00773DAD"/>
    <w:rsid w:val="008140A7"/>
    <w:rsid w:val="0083771B"/>
    <w:rsid w:val="00885030"/>
    <w:rsid w:val="00894E5C"/>
    <w:rsid w:val="008B1756"/>
    <w:rsid w:val="008B556D"/>
    <w:rsid w:val="008B766F"/>
    <w:rsid w:val="0090574C"/>
    <w:rsid w:val="00914A7C"/>
    <w:rsid w:val="0099254D"/>
    <w:rsid w:val="009B5AD6"/>
    <w:rsid w:val="009E504D"/>
    <w:rsid w:val="00B3412D"/>
    <w:rsid w:val="00B829F8"/>
    <w:rsid w:val="00B864FF"/>
    <w:rsid w:val="00B91BB7"/>
    <w:rsid w:val="00BD1829"/>
    <w:rsid w:val="00C554DC"/>
    <w:rsid w:val="00C6094F"/>
    <w:rsid w:val="00C93278"/>
    <w:rsid w:val="00CA2841"/>
    <w:rsid w:val="00CD3075"/>
    <w:rsid w:val="00D35962"/>
    <w:rsid w:val="00DB2CAA"/>
    <w:rsid w:val="00DE2687"/>
    <w:rsid w:val="00E40E3D"/>
    <w:rsid w:val="00EB31B4"/>
    <w:rsid w:val="00EC4C43"/>
    <w:rsid w:val="00ED1E17"/>
    <w:rsid w:val="00EF494C"/>
    <w:rsid w:val="00F33FD4"/>
    <w:rsid w:val="00F63242"/>
    <w:rsid w:val="00FB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3F60"/>
  <w15:chartTrackingRefBased/>
  <w15:docId w15:val="{6BE2EF6E-7A57-45BA-8729-04A92DBE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8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8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841"/>
    <w:rPr>
      <w:vertAlign w:val="superscript"/>
    </w:rPr>
  </w:style>
  <w:style w:type="table" w:styleId="Tabela-Siatka">
    <w:name w:val="Table Grid"/>
    <w:basedOn w:val="Standardowy"/>
    <w:uiPriority w:val="39"/>
    <w:rsid w:val="00CA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2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2D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D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D1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E2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8A9B-02CF-49B8-B19D-07AFA93A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1221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Wójcikiewicz-Kawa Agata</dc:creator>
  <cp:keywords/>
  <dc:description/>
  <cp:lastModifiedBy>Korczyński Jarosław</cp:lastModifiedBy>
  <cp:revision>15</cp:revision>
  <dcterms:created xsi:type="dcterms:W3CDTF">2026-05-29T10:21:00Z</dcterms:created>
  <dcterms:modified xsi:type="dcterms:W3CDTF">2026-09-11T12:43:00Z</dcterms:modified>
</cp:coreProperties>
</file>