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29830" w14:textId="2FC51173" w:rsidR="00415323" w:rsidRDefault="00415323" w:rsidP="0060080D">
      <w:pPr>
        <w:jc w:val="right"/>
        <w:rPr>
          <w:rFonts w:ascii="Times New Roman" w:hAnsi="Times New Roman"/>
          <w:sz w:val="24"/>
          <w:szCs w:val="24"/>
        </w:rPr>
      </w:pPr>
    </w:p>
    <w:p w14:paraId="363B4278" w14:textId="6075ECF1" w:rsidR="00415323" w:rsidRDefault="00415323" w:rsidP="00415323">
      <w:pPr>
        <w:jc w:val="both"/>
        <w:rPr>
          <w:rFonts w:ascii="Times New Roman" w:hAnsi="Times New Roman"/>
          <w:sz w:val="24"/>
          <w:szCs w:val="24"/>
        </w:rPr>
      </w:pPr>
      <w:r w:rsidRPr="00415323">
        <w:rPr>
          <w:rFonts w:ascii="Times New Roman" w:hAnsi="Times New Roman"/>
          <w:sz w:val="24"/>
          <w:szCs w:val="24"/>
        </w:rPr>
        <w:t>W nagłówku, po lewej stronie, znajduje się logo Komisji do spraw reprywatyzacji nieruchomości warszawskich zawierające godło państwa polskiego i podkreślenie w formie miniaturki flagi RP</w:t>
      </w:r>
    </w:p>
    <w:p w14:paraId="270FC72C" w14:textId="12432A04" w:rsidR="00300FE8" w:rsidRPr="00300FE8" w:rsidRDefault="00300FE8" w:rsidP="00415323">
      <w:pPr>
        <w:jc w:val="both"/>
        <w:rPr>
          <w:rFonts w:ascii="Times New Roman" w:hAnsi="Times New Roman"/>
          <w:b/>
          <w:bCs/>
          <w:sz w:val="40"/>
          <w:szCs w:val="40"/>
        </w:rPr>
      </w:pPr>
      <w:r w:rsidRPr="00300FE8">
        <w:rPr>
          <w:rFonts w:ascii="Times New Roman" w:hAnsi="Times New Roman"/>
          <w:b/>
          <w:bCs/>
          <w:sz w:val="40"/>
          <w:szCs w:val="40"/>
        </w:rPr>
        <w:t>Przewodniczący</w:t>
      </w:r>
    </w:p>
    <w:p w14:paraId="1C0B8EE8" w14:textId="6F87893F" w:rsidR="0060080D" w:rsidRPr="003761E1" w:rsidRDefault="00300FE8" w:rsidP="00300FE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Warszawa, 2</w:t>
      </w:r>
      <w:r w:rsidR="00CC0A3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kwietnia 2023 r. </w:t>
      </w:r>
    </w:p>
    <w:p w14:paraId="0A44ABC0" w14:textId="68F61E51" w:rsidR="00954389" w:rsidRDefault="00834EB1" w:rsidP="00834EB1">
      <w:pPr>
        <w:pStyle w:val="Style7"/>
        <w:widowControl/>
        <w:spacing w:line="422" w:lineRule="exact"/>
        <w:ind w:right="6240"/>
        <w:rPr>
          <w:rStyle w:val="FontStyle15"/>
        </w:rPr>
      </w:pPr>
      <w:r>
        <w:rPr>
          <w:rStyle w:val="FontStyle15"/>
        </w:rPr>
        <w:t xml:space="preserve">Sygn. akt KR </w:t>
      </w:r>
      <w:r w:rsidR="0016081D">
        <w:rPr>
          <w:rStyle w:val="FontStyle15"/>
        </w:rPr>
        <w:t>V</w:t>
      </w:r>
      <w:r>
        <w:rPr>
          <w:rStyle w:val="FontStyle15"/>
        </w:rPr>
        <w:t xml:space="preserve">I R </w:t>
      </w:r>
      <w:r w:rsidR="007A2C80">
        <w:rPr>
          <w:rStyle w:val="FontStyle15"/>
        </w:rPr>
        <w:t>56/22</w:t>
      </w:r>
      <w:r w:rsidR="009E3469">
        <w:rPr>
          <w:rStyle w:val="FontStyle15"/>
        </w:rPr>
        <w:t xml:space="preserve">  </w:t>
      </w:r>
      <w:r>
        <w:rPr>
          <w:rStyle w:val="FontStyle15"/>
        </w:rPr>
        <w:t>DPA-</w:t>
      </w:r>
      <w:r w:rsidR="0016081D">
        <w:rPr>
          <w:rStyle w:val="FontStyle15"/>
        </w:rPr>
        <w:t>V</w:t>
      </w:r>
      <w:r>
        <w:rPr>
          <w:rStyle w:val="FontStyle15"/>
        </w:rPr>
        <w:t>I.9130.</w:t>
      </w:r>
      <w:r w:rsidR="007A2C80">
        <w:rPr>
          <w:rStyle w:val="FontStyle15"/>
        </w:rPr>
        <w:t>24</w:t>
      </w:r>
      <w:r>
        <w:rPr>
          <w:rStyle w:val="FontStyle15"/>
        </w:rPr>
        <w:t>.20</w:t>
      </w:r>
      <w:r w:rsidR="004E79CB">
        <w:rPr>
          <w:rStyle w:val="FontStyle15"/>
        </w:rPr>
        <w:t>2</w:t>
      </w:r>
      <w:r w:rsidR="007A2C80">
        <w:rPr>
          <w:rStyle w:val="FontStyle15"/>
        </w:rPr>
        <w:t>2</w:t>
      </w:r>
    </w:p>
    <w:p w14:paraId="3381D035" w14:textId="77777777" w:rsidR="00EE7D01" w:rsidRDefault="00EE7D01" w:rsidP="00BE36AD">
      <w:pPr>
        <w:pStyle w:val="Style7"/>
        <w:widowControl/>
        <w:spacing w:before="29"/>
        <w:ind w:right="14"/>
        <w:rPr>
          <w:rStyle w:val="FontStyle15"/>
        </w:rPr>
      </w:pPr>
    </w:p>
    <w:p w14:paraId="11282A9C" w14:textId="77777777" w:rsidR="00BE36AD" w:rsidRDefault="00BE36AD" w:rsidP="00BE36AD">
      <w:pPr>
        <w:pStyle w:val="Style7"/>
        <w:widowControl/>
        <w:spacing w:before="29"/>
        <w:ind w:right="14"/>
        <w:rPr>
          <w:rStyle w:val="FontStyle15"/>
        </w:rPr>
      </w:pPr>
    </w:p>
    <w:p w14:paraId="2BDD2F26" w14:textId="319A8D36" w:rsidR="00834EB1" w:rsidRPr="001A4742" w:rsidRDefault="00834EB1" w:rsidP="00BE36AD">
      <w:pPr>
        <w:pStyle w:val="Style7"/>
        <w:widowControl/>
        <w:spacing w:before="29"/>
        <w:ind w:right="14"/>
        <w:rPr>
          <w:rStyle w:val="FontStyle15"/>
          <w:sz w:val="28"/>
          <w:szCs w:val="28"/>
        </w:rPr>
      </w:pPr>
      <w:r w:rsidRPr="001A4742">
        <w:rPr>
          <w:rStyle w:val="FontStyle15"/>
          <w:sz w:val="28"/>
          <w:szCs w:val="28"/>
        </w:rPr>
        <w:t>ZAWIADOMIENIE</w:t>
      </w:r>
    </w:p>
    <w:p w14:paraId="488E1785" w14:textId="77777777" w:rsidR="00BE36AD" w:rsidRDefault="00BE36AD" w:rsidP="00BE36AD">
      <w:pPr>
        <w:pStyle w:val="Style8"/>
        <w:widowControl/>
        <w:spacing w:before="5"/>
        <w:ind w:firstLine="0"/>
        <w:rPr>
          <w:rStyle w:val="FontStyle11"/>
        </w:rPr>
      </w:pPr>
    </w:p>
    <w:p w14:paraId="7E5F976E" w14:textId="4CF75BEB" w:rsidR="00834EB1" w:rsidRPr="002C3D16" w:rsidRDefault="00834EB1" w:rsidP="00BE36AD">
      <w:pPr>
        <w:pStyle w:val="Style8"/>
        <w:widowControl/>
        <w:spacing w:before="5"/>
        <w:ind w:firstLine="0"/>
      </w:pPr>
      <w:r>
        <w:rPr>
          <w:rStyle w:val="FontStyle11"/>
        </w:rPr>
        <w:t xml:space="preserve">Na podstawie art. 8 § 1 i art. 12 w związku z art. 35, </w:t>
      </w:r>
      <w:r w:rsidR="00B0432F">
        <w:rPr>
          <w:rStyle w:val="FontStyle11"/>
        </w:rPr>
        <w:t>art.</w:t>
      </w:r>
      <w:r>
        <w:rPr>
          <w:rStyle w:val="FontStyle11"/>
        </w:rPr>
        <w:t xml:space="preserve"> 36 i art. 37 ustawy z dnia 14 czerwca 1960 r.</w:t>
      </w:r>
      <w:r w:rsidR="00B01A7A">
        <w:rPr>
          <w:rStyle w:val="FontStyle11"/>
        </w:rPr>
        <w:t xml:space="preserve"> </w:t>
      </w:r>
      <w:r>
        <w:rPr>
          <w:rStyle w:val="FontStyle11"/>
        </w:rPr>
        <w:t xml:space="preserve">Kodeks postępowania </w:t>
      </w:r>
      <w:r w:rsidR="005C49DD">
        <w:rPr>
          <w:rStyle w:val="FontStyle11"/>
        </w:rPr>
        <w:t>administracyjnego (Dz. U. z 20</w:t>
      </w:r>
      <w:r w:rsidR="001F678C">
        <w:rPr>
          <w:rStyle w:val="FontStyle11"/>
        </w:rPr>
        <w:t>2</w:t>
      </w:r>
      <w:r w:rsidR="007A2C80">
        <w:rPr>
          <w:rStyle w:val="FontStyle11"/>
        </w:rPr>
        <w:t>2</w:t>
      </w:r>
      <w:r w:rsidR="005C49DD">
        <w:rPr>
          <w:rStyle w:val="FontStyle11"/>
        </w:rPr>
        <w:t xml:space="preserve"> r. poz. </w:t>
      </w:r>
      <w:r w:rsidR="007A2C80">
        <w:rPr>
          <w:rStyle w:val="FontStyle11"/>
        </w:rPr>
        <w:t>2000</w:t>
      </w:r>
      <w:r w:rsidR="0016081D">
        <w:rPr>
          <w:rStyle w:val="FontStyle11"/>
        </w:rPr>
        <w:t xml:space="preserve">, </w:t>
      </w:r>
      <w:r>
        <w:rPr>
          <w:rStyle w:val="FontStyle11"/>
        </w:rPr>
        <w:t>dalej: k.p.a.) w zw</w:t>
      </w:r>
      <w:r w:rsidR="0016081D">
        <w:rPr>
          <w:rStyle w:val="FontStyle11"/>
        </w:rPr>
        <w:t xml:space="preserve">iązku </w:t>
      </w:r>
      <w:r>
        <w:rPr>
          <w:rStyle w:val="FontStyle11"/>
        </w:rPr>
        <w:t xml:space="preserve">z art. 38 ust. 1 i </w:t>
      </w:r>
      <w:r w:rsidR="0016081D">
        <w:rPr>
          <w:rStyle w:val="FontStyle11"/>
        </w:rPr>
        <w:t xml:space="preserve">ust. </w:t>
      </w:r>
      <w:r>
        <w:rPr>
          <w:rStyle w:val="FontStyle11"/>
        </w:rPr>
        <w:t>4 ustawy z dnia 9 marca 2017 r. o szczególnych zasadach usuwania skutków prawnych decyzji reprywatyzacyjnych dotyczących nieruchomości warszawskich, wydanych z naruszeniem prawa (Dz.</w:t>
      </w:r>
      <w:r w:rsidR="0016081D">
        <w:rPr>
          <w:rStyle w:val="FontStyle11"/>
        </w:rPr>
        <w:t xml:space="preserve"> </w:t>
      </w:r>
      <w:r>
        <w:rPr>
          <w:rStyle w:val="FontStyle11"/>
        </w:rPr>
        <w:t xml:space="preserve">U. </w:t>
      </w:r>
      <w:r w:rsidR="0016081D">
        <w:rPr>
          <w:rStyle w:val="FontStyle11"/>
        </w:rPr>
        <w:t xml:space="preserve">z </w:t>
      </w:r>
      <w:r>
        <w:rPr>
          <w:rStyle w:val="FontStyle11"/>
        </w:rPr>
        <w:t>20</w:t>
      </w:r>
      <w:r w:rsidR="0016081D">
        <w:rPr>
          <w:rStyle w:val="FontStyle11"/>
        </w:rPr>
        <w:t>21</w:t>
      </w:r>
      <w:r w:rsidR="00A1727F">
        <w:rPr>
          <w:rStyle w:val="FontStyle11"/>
        </w:rPr>
        <w:t xml:space="preserve"> r.</w:t>
      </w:r>
      <w:r>
        <w:rPr>
          <w:rStyle w:val="FontStyle11"/>
        </w:rPr>
        <w:t xml:space="preserve"> poz.</w:t>
      </w:r>
      <w:r w:rsidR="0016081D">
        <w:rPr>
          <w:rStyle w:val="FontStyle11"/>
        </w:rPr>
        <w:t xml:space="preserve"> 795</w:t>
      </w:r>
      <w:r>
        <w:rPr>
          <w:rStyle w:val="FontStyle11"/>
        </w:rPr>
        <w:t>)</w:t>
      </w:r>
      <w:r w:rsidR="0016081D">
        <w:rPr>
          <w:rStyle w:val="FontStyle11"/>
        </w:rPr>
        <w:t>,</w:t>
      </w:r>
      <w:r>
        <w:rPr>
          <w:rStyle w:val="FontStyle11"/>
        </w:rPr>
        <w:t xml:space="preserve"> wyznaczam nowy termin załatwienia sprawy w przedmiocie decyzji Prezydenta m.st. Warszawy</w:t>
      </w:r>
      <w:r w:rsidR="0065444F">
        <w:rPr>
          <w:rStyle w:val="FontStyle11"/>
        </w:rPr>
        <w:t xml:space="preserve"> </w:t>
      </w:r>
      <w:r>
        <w:rPr>
          <w:rStyle w:val="FontStyle11"/>
        </w:rPr>
        <w:t xml:space="preserve">z dnia </w:t>
      </w:r>
      <w:r w:rsidR="007A2C80" w:rsidRPr="00E54684">
        <w:rPr>
          <w:bCs/>
        </w:rPr>
        <w:t>17</w:t>
      </w:r>
      <w:r w:rsidR="007A2C80" w:rsidRPr="00E54684">
        <w:rPr>
          <w:rFonts w:eastAsia="Calibri"/>
          <w:lang w:eastAsia="en-US"/>
        </w:rPr>
        <w:t> </w:t>
      </w:r>
      <w:r w:rsidR="007A2C80" w:rsidRPr="00E54684">
        <w:rPr>
          <w:bCs/>
        </w:rPr>
        <w:t>listopada</w:t>
      </w:r>
      <w:r w:rsidR="007A2C80" w:rsidRPr="00E54684">
        <w:rPr>
          <w:rFonts w:eastAsia="Calibri"/>
          <w:lang w:eastAsia="en-US"/>
        </w:rPr>
        <w:t> </w:t>
      </w:r>
      <w:r w:rsidR="007A2C80" w:rsidRPr="00E54684">
        <w:rPr>
          <w:bCs/>
        </w:rPr>
        <w:t>2014 r. nr</w:t>
      </w:r>
      <w:r w:rsidR="007A2C80" w:rsidRPr="00E54684">
        <w:rPr>
          <w:rFonts w:eastAsia="Calibri"/>
          <w:lang w:eastAsia="en-US"/>
        </w:rPr>
        <w:t> </w:t>
      </w:r>
      <w:r w:rsidR="007A2C80" w:rsidRPr="00E54684">
        <w:rPr>
          <w:bCs/>
        </w:rPr>
        <w:t xml:space="preserve"> 551/GK/DW/2014</w:t>
      </w:r>
      <w:r>
        <w:rPr>
          <w:rStyle w:val="FontStyle11"/>
        </w:rPr>
        <w:t xml:space="preserve">, dotyczącej nieruchomości położonej w Warszawie przy </w:t>
      </w:r>
      <w:r w:rsidR="007A2C80" w:rsidRPr="00E54684">
        <w:rPr>
          <w:bCs/>
        </w:rPr>
        <w:t>ul. Emilii Plater</w:t>
      </w:r>
      <w:r w:rsidR="007A2C80">
        <w:rPr>
          <w:bCs/>
        </w:rPr>
        <w:t xml:space="preserve"> (dawna ul. Sienna 30 róg Śliskiej 23)</w:t>
      </w:r>
      <w:r>
        <w:rPr>
          <w:rStyle w:val="FontStyle11"/>
        </w:rPr>
        <w:t xml:space="preserve">, do dnia </w:t>
      </w:r>
      <w:r w:rsidR="00F4782B">
        <w:rPr>
          <w:rStyle w:val="FontStyle11"/>
        </w:rPr>
        <w:t xml:space="preserve">30 czerwca </w:t>
      </w:r>
      <w:r w:rsidR="00884097">
        <w:rPr>
          <w:rStyle w:val="FontStyle11"/>
        </w:rPr>
        <w:t xml:space="preserve"> </w:t>
      </w:r>
      <w:r>
        <w:rPr>
          <w:rStyle w:val="FontStyle11"/>
        </w:rPr>
        <w:t>20</w:t>
      </w:r>
      <w:r w:rsidR="001F678C">
        <w:rPr>
          <w:rStyle w:val="FontStyle11"/>
        </w:rPr>
        <w:t>2</w:t>
      </w:r>
      <w:r w:rsidR="007A2C80">
        <w:rPr>
          <w:rStyle w:val="FontStyle11"/>
        </w:rPr>
        <w:t>3</w:t>
      </w:r>
      <w:r>
        <w:rPr>
          <w:rStyle w:val="FontStyle11"/>
        </w:rPr>
        <w:t xml:space="preserve"> r., z uwagi na szczególnie skomplikowany stan sprawy, obszerny materiał dowodowy oraz konieczność zapewnienia stronom czynnego udziału w</w:t>
      </w:r>
      <w:r w:rsidR="00291DE9">
        <w:rPr>
          <w:rStyle w:val="FontStyle11"/>
        </w:rPr>
        <w:t> </w:t>
      </w:r>
      <w:r>
        <w:rPr>
          <w:rStyle w:val="FontStyle11"/>
        </w:rPr>
        <w:t>postępowaniu.</w:t>
      </w:r>
    </w:p>
    <w:p w14:paraId="657AFC65" w14:textId="77777777" w:rsidR="00B01A7A" w:rsidRDefault="00B01A7A" w:rsidP="00294DBD">
      <w:pPr>
        <w:spacing w:after="0" w:line="360" w:lineRule="auto"/>
        <w:ind w:left="5103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095FBE1" w14:textId="0E29184B" w:rsidR="00682E20" w:rsidRDefault="00682E20" w:rsidP="00BE36AD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Przewodniczący</w:t>
      </w:r>
      <w:r w:rsidRPr="00751C4F">
        <w:rPr>
          <w:rFonts w:ascii="Times New Roman" w:hAnsi="Times New Roman"/>
          <w:b/>
          <w:sz w:val="24"/>
          <w:szCs w:val="24"/>
        </w:rPr>
        <w:t xml:space="preserve"> Komisji</w:t>
      </w:r>
      <w:r>
        <w:rPr>
          <w:rFonts w:ascii="Times New Roman" w:hAnsi="Times New Roman"/>
          <w:b/>
          <w:sz w:val="24"/>
          <w:szCs w:val="24"/>
        </w:rPr>
        <w:t xml:space="preserve">    </w:t>
      </w:r>
    </w:p>
    <w:p w14:paraId="44ECDD20" w14:textId="77777777" w:rsidR="00682E20" w:rsidRDefault="00682E20" w:rsidP="00BE36AD">
      <w:pPr>
        <w:spacing w:after="0" w:line="360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4"/>
          <w:szCs w:val="24"/>
        </w:rPr>
        <w:t>Sebastian Kaleta</w:t>
      </w:r>
    </w:p>
    <w:p w14:paraId="79AE8929" w14:textId="77777777" w:rsidR="0016081D" w:rsidRDefault="0016081D" w:rsidP="0016081D">
      <w:pPr>
        <w:spacing w:after="0" w:line="360" w:lineRule="auto"/>
        <w:rPr>
          <w:rFonts w:ascii="Times New Roman" w:hAnsi="Times New Roman"/>
          <w:b/>
          <w:bCs/>
          <w:sz w:val="16"/>
          <w:szCs w:val="16"/>
        </w:rPr>
      </w:pPr>
    </w:p>
    <w:p w14:paraId="02E0BDDA" w14:textId="77777777" w:rsidR="00565CF6" w:rsidRDefault="00565CF6" w:rsidP="0016081D">
      <w:pPr>
        <w:spacing w:after="0" w:line="360" w:lineRule="auto"/>
        <w:rPr>
          <w:rFonts w:ascii="Times New Roman" w:hAnsi="Times New Roman"/>
          <w:b/>
          <w:bCs/>
          <w:sz w:val="16"/>
          <w:szCs w:val="16"/>
        </w:rPr>
      </w:pPr>
    </w:p>
    <w:p w14:paraId="074C2118" w14:textId="77777777" w:rsidR="0016081D" w:rsidRPr="00D93206" w:rsidRDefault="0016081D" w:rsidP="00BE36AD">
      <w:pPr>
        <w:suppressAutoHyphens w:val="0"/>
        <w:spacing w:after="0" w:line="360" w:lineRule="auto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b/>
          <w:sz w:val="20"/>
          <w:szCs w:val="20"/>
          <w:lang w:eastAsia="en-US"/>
        </w:rPr>
        <w:t>Pouczenie:</w:t>
      </w:r>
    </w:p>
    <w:p w14:paraId="0E9E5137" w14:textId="77777777" w:rsidR="0016081D" w:rsidRPr="00D93206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9652A1">
        <w:rPr>
          <w:rFonts w:ascii="Times New Roman" w:eastAsia="Calibri" w:hAnsi="Times New Roman"/>
          <w:sz w:val="20"/>
          <w:szCs w:val="20"/>
          <w:lang w:eastAsia="en-US"/>
        </w:rPr>
        <w:t xml:space="preserve">Zgodnie z art. 37 </w:t>
      </w:r>
      <w:r w:rsidRPr="009652A1">
        <w:rPr>
          <w:rFonts w:ascii="Times New Roman" w:hAnsi="Times New Roman"/>
          <w:color w:val="4D5156"/>
          <w:sz w:val="20"/>
          <w:szCs w:val="20"/>
          <w:shd w:val="clear" w:color="auto" w:fill="FFFFFF"/>
        </w:rPr>
        <w:t xml:space="preserve">§  1, 2 i 3 </w:t>
      </w:r>
      <w:r w:rsidRPr="009652A1">
        <w:rPr>
          <w:rFonts w:ascii="Times New Roman" w:eastAsia="Calibri" w:hAnsi="Times New Roman"/>
          <w:sz w:val="20"/>
          <w:szCs w:val="20"/>
          <w:lang w:eastAsia="en-US"/>
        </w:rPr>
        <w:t>k.p.a.</w:t>
      </w:r>
      <w:r w:rsidRPr="00D93206">
        <w:rPr>
          <w:rFonts w:ascii="Times New Roman" w:eastAsia="Calibri" w:hAnsi="Times New Roman"/>
          <w:sz w:val="20"/>
          <w:szCs w:val="20"/>
          <w:lang w:eastAsia="en-US"/>
        </w:rPr>
        <w:t xml:space="preserve"> stronie służy prawo do wniesienia </w:t>
      </w:r>
      <w:r w:rsidRPr="00D93206">
        <w:rPr>
          <w:rFonts w:ascii="Times New Roman" w:eastAsia="Calibri" w:hAnsi="Times New Roman"/>
          <w:b/>
          <w:sz w:val="20"/>
          <w:szCs w:val="20"/>
          <w:lang w:eastAsia="en-US"/>
        </w:rPr>
        <w:t>ponaglenia</w:t>
      </w:r>
      <w:r w:rsidRPr="00D93206">
        <w:rPr>
          <w:rFonts w:ascii="Times New Roman" w:eastAsia="Calibri" w:hAnsi="Times New Roman"/>
          <w:sz w:val="20"/>
          <w:szCs w:val="20"/>
          <w:lang w:eastAsia="en-US"/>
        </w:rPr>
        <w:t>, jeżeli:</w:t>
      </w:r>
    </w:p>
    <w:p w14:paraId="6A9E66FF" w14:textId="77777777" w:rsidR="0016081D" w:rsidRPr="00D93206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sz w:val="20"/>
          <w:szCs w:val="20"/>
          <w:lang w:eastAsia="en-US"/>
        </w:rPr>
        <w:t>1)   nie załatwiono sprawy w terminie określonym w art. 35 k.p.a. lub przepisach szczególnych ani w terminie wskazanym zgodnie z a</w:t>
      </w:r>
      <w:r>
        <w:rPr>
          <w:rFonts w:ascii="Times New Roman" w:eastAsia="Calibri" w:hAnsi="Times New Roman"/>
          <w:sz w:val="20"/>
          <w:szCs w:val="20"/>
          <w:lang w:eastAsia="en-US"/>
        </w:rPr>
        <w:t>rt. 36 § 1 k.p.a. (bezczynność),</w:t>
      </w:r>
    </w:p>
    <w:p w14:paraId="59E2316E" w14:textId="77777777" w:rsidR="0016081D" w:rsidRPr="00D93206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sz w:val="20"/>
          <w:szCs w:val="20"/>
          <w:lang w:eastAsia="en-US"/>
        </w:rPr>
        <w:t>2)   postępowanie jest prowadzone dłużej niż jest to niezbędne do załatwienia sprawy (przewlekłość).</w:t>
      </w:r>
    </w:p>
    <w:p w14:paraId="558F3F46" w14:textId="77777777" w:rsidR="0016081D" w:rsidRPr="00D93206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sz w:val="20"/>
          <w:szCs w:val="20"/>
          <w:lang w:eastAsia="en-US"/>
        </w:rPr>
        <w:t>Ponaglenie zawiera uzasadnienie. Ponaglenie wnosi się:</w:t>
      </w:r>
    </w:p>
    <w:p w14:paraId="737B32FF" w14:textId="77777777" w:rsidR="0016081D" w:rsidRPr="00D93206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sz w:val="20"/>
          <w:szCs w:val="20"/>
          <w:lang w:eastAsia="en-US"/>
        </w:rPr>
        <w:t>1)   do organu wyższego stopnia za pośrednictwem o</w:t>
      </w:r>
      <w:r>
        <w:rPr>
          <w:rFonts w:ascii="Times New Roman" w:eastAsia="Calibri" w:hAnsi="Times New Roman"/>
          <w:sz w:val="20"/>
          <w:szCs w:val="20"/>
          <w:lang w:eastAsia="en-US"/>
        </w:rPr>
        <w:t>rganu prowadzącego postępowanie,</w:t>
      </w:r>
    </w:p>
    <w:p w14:paraId="58606748" w14:textId="77777777" w:rsidR="0016081D" w:rsidRPr="00E45821" w:rsidRDefault="0016081D" w:rsidP="0016081D">
      <w:pPr>
        <w:suppressAutoHyphens w:val="0"/>
        <w:spacing w:after="0" w:line="360" w:lineRule="auto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D93206">
        <w:rPr>
          <w:rFonts w:ascii="Times New Roman" w:eastAsia="Calibri" w:hAnsi="Times New Roman"/>
          <w:sz w:val="20"/>
          <w:szCs w:val="20"/>
          <w:lang w:eastAsia="en-US"/>
        </w:rPr>
        <w:t>2)   do organu prowadzącego postępowanie - jeżeli nie ma organu wyższego stopnia.</w:t>
      </w:r>
    </w:p>
    <w:p w14:paraId="28DC4582" w14:textId="43B4B9E3" w:rsidR="00C609DA" w:rsidRPr="00407667" w:rsidRDefault="00C609DA" w:rsidP="0016081D">
      <w:pPr>
        <w:spacing w:after="0" w:line="360" w:lineRule="auto"/>
        <w:ind w:firstLine="708"/>
        <w:jc w:val="center"/>
        <w:rPr>
          <w:rFonts w:ascii="Times New Roman" w:hAnsi="Times New Roman"/>
          <w:sz w:val="16"/>
          <w:szCs w:val="16"/>
        </w:rPr>
      </w:pPr>
    </w:p>
    <w:sectPr w:rsidR="00C609DA" w:rsidRPr="00407667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9549B" w14:textId="77777777" w:rsidR="00CF2D92" w:rsidRDefault="00CF2D92">
      <w:pPr>
        <w:spacing w:after="0" w:line="240" w:lineRule="auto"/>
      </w:pPr>
      <w:r>
        <w:separator/>
      </w:r>
    </w:p>
  </w:endnote>
  <w:endnote w:type="continuationSeparator" w:id="0">
    <w:p w14:paraId="7A6D3E01" w14:textId="77777777" w:rsidR="00CF2D92" w:rsidRDefault="00CF2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30166" w14:textId="77777777" w:rsidR="00CF2D92" w:rsidRDefault="00CF2D92">
      <w:pPr>
        <w:spacing w:after="0" w:line="240" w:lineRule="auto"/>
      </w:pPr>
      <w:r>
        <w:separator/>
      </w:r>
    </w:p>
  </w:footnote>
  <w:footnote w:type="continuationSeparator" w:id="0">
    <w:p w14:paraId="0772E7A9" w14:textId="77777777" w:rsidR="00CF2D92" w:rsidRDefault="00CF2D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F2AD3" w14:textId="77777777" w:rsidR="0097148C" w:rsidRDefault="008B16A0">
    <w:pPr>
      <w:pStyle w:val="Nagwek"/>
      <w:rPr>
        <w:lang w:eastAsia="pl-PL"/>
      </w:rPr>
    </w:pPr>
    <w:r>
      <w:rPr>
        <w:noProof/>
        <w:lang w:eastAsia="pl-PL"/>
      </w:rPr>
      <w:drawing>
        <wp:anchor distT="0" distB="0" distL="0" distR="0" simplePos="0" relativeHeight="251659264" behindDoc="0" locked="0" layoutInCell="1" allowOverlap="1" wp14:anchorId="5D42E420" wp14:editId="456D4743">
          <wp:simplePos x="0" y="0"/>
          <wp:positionH relativeFrom="margin">
            <wp:align>left</wp:align>
          </wp:positionH>
          <wp:positionV relativeFrom="paragraph">
            <wp:posOffset>-276225</wp:posOffset>
          </wp:positionV>
          <wp:extent cx="2591435" cy="623570"/>
          <wp:effectExtent l="0" t="0" r="0" b="5080"/>
          <wp:wrapSquare wrapText="largest"/>
          <wp:docPr id="2" name="Obraz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1435" cy="62357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80D"/>
    <w:rsid w:val="00067475"/>
    <w:rsid w:val="000B3685"/>
    <w:rsid w:val="000D4FBE"/>
    <w:rsid w:val="000E0FEC"/>
    <w:rsid w:val="000F6CEA"/>
    <w:rsid w:val="00101F49"/>
    <w:rsid w:val="00113229"/>
    <w:rsid w:val="00123EBC"/>
    <w:rsid w:val="0016081D"/>
    <w:rsid w:val="00170A08"/>
    <w:rsid w:val="001718E2"/>
    <w:rsid w:val="00192F34"/>
    <w:rsid w:val="00192FE0"/>
    <w:rsid w:val="00193C7E"/>
    <w:rsid w:val="001A4742"/>
    <w:rsid w:val="001C2645"/>
    <w:rsid w:val="001E140A"/>
    <w:rsid w:val="001E5354"/>
    <w:rsid w:val="001E7883"/>
    <w:rsid w:val="001F678C"/>
    <w:rsid w:val="001F689F"/>
    <w:rsid w:val="00200461"/>
    <w:rsid w:val="0021309C"/>
    <w:rsid w:val="002159F2"/>
    <w:rsid w:val="002370B3"/>
    <w:rsid w:val="00252534"/>
    <w:rsid w:val="00254FAC"/>
    <w:rsid w:val="00291CB7"/>
    <w:rsid w:val="00291DE9"/>
    <w:rsid w:val="00294DBD"/>
    <w:rsid w:val="002B29E2"/>
    <w:rsid w:val="002C1F22"/>
    <w:rsid w:val="002C3D16"/>
    <w:rsid w:val="002D083F"/>
    <w:rsid w:val="002E1794"/>
    <w:rsid w:val="002F5717"/>
    <w:rsid w:val="00300FE8"/>
    <w:rsid w:val="00304B3F"/>
    <w:rsid w:val="0030691C"/>
    <w:rsid w:val="003231A8"/>
    <w:rsid w:val="00332B65"/>
    <w:rsid w:val="00334B7B"/>
    <w:rsid w:val="00342A42"/>
    <w:rsid w:val="00360F46"/>
    <w:rsid w:val="00370994"/>
    <w:rsid w:val="003B3259"/>
    <w:rsid w:val="003B7EAE"/>
    <w:rsid w:val="00407667"/>
    <w:rsid w:val="00415323"/>
    <w:rsid w:val="00423E61"/>
    <w:rsid w:val="004440DD"/>
    <w:rsid w:val="004967D2"/>
    <w:rsid w:val="004E36EC"/>
    <w:rsid w:val="004E6907"/>
    <w:rsid w:val="004E79CB"/>
    <w:rsid w:val="00541E2A"/>
    <w:rsid w:val="00547AB8"/>
    <w:rsid w:val="005634E3"/>
    <w:rsid w:val="00563F32"/>
    <w:rsid w:val="00565CF6"/>
    <w:rsid w:val="0058703B"/>
    <w:rsid w:val="00592D6C"/>
    <w:rsid w:val="005A73C0"/>
    <w:rsid w:val="005B4F45"/>
    <w:rsid w:val="005C3B2C"/>
    <w:rsid w:val="005C49DD"/>
    <w:rsid w:val="005D6B93"/>
    <w:rsid w:val="005E0366"/>
    <w:rsid w:val="005E4195"/>
    <w:rsid w:val="005E74DB"/>
    <w:rsid w:val="0060080D"/>
    <w:rsid w:val="006059A4"/>
    <w:rsid w:val="00617706"/>
    <w:rsid w:val="0065444F"/>
    <w:rsid w:val="00663093"/>
    <w:rsid w:val="00682E20"/>
    <w:rsid w:val="006931C3"/>
    <w:rsid w:val="006A3ABA"/>
    <w:rsid w:val="006C5601"/>
    <w:rsid w:val="006D0444"/>
    <w:rsid w:val="006F75A1"/>
    <w:rsid w:val="00715DFC"/>
    <w:rsid w:val="0072713F"/>
    <w:rsid w:val="007361FE"/>
    <w:rsid w:val="007418F8"/>
    <w:rsid w:val="00786E23"/>
    <w:rsid w:val="00793EC1"/>
    <w:rsid w:val="007A2C80"/>
    <w:rsid w:val="007C0ED8"/>
    <w:rsid w:val="007E0B00"/>
    <w:rsid w:val="007E2118"/>
    <w:rsid w:val="007F11B3"/>
    <w:rsid w:val="00834EB1"/>
    <w:rsid w:val="00850FE0"/>
    <w:rsid w:val="0086676E"/>
    <w:rsid w:val="00884097"/>
    <w:rsid w:val="008B16A0"/>
    <w:rsid w:val="008D2F6E"/>
    <w:rsid w:val="008D6394"/>
    <w:rsid w:val="00924D88"/>
    <w:rsid w:val="009317D9"/>
    <w:rsid w:val="00934E4A"/>
    <w:rsid w:val="00946F63"/>
    <w:rsid w:val="0095126B"/>
    <w:rsid w:val="00954389"/>
    <w:rsid w:val="00983F44"/>
    <w:rsid w:val="009869D8"/>
    <w:rsid w:val="009E3469"/>
    <w:rsid w:val="00A04661"/>
    <w:rsid w:val="00A065C6"/>
    <w:rsid w:val="00A1727F"/>
    <w:rsid w:val="00A45529"/>
    <w:rsid w:val="00A627FA"/>
    <w:rsid w:val="00A62AA3"/>
    <w:rsid w:val="00A6432F"/>
    <w:rsid w:val="00A6581D"/>
    <w:rsid w:val="00A723DD"/>
    <w:rsid w:val="00AE2300"/>
    <w:rsid w:val="00AE3B31"/>
    <w:rsid w:val="00B002CA"/>
    <w:rsid w:val="00B01A7A"/>
    <w:rsid w:val="00B0432F"/>
    <w:rsid w:val="00B0541E"/>
    <w:rsid w:val="00B25571"/>
    <w:rsid w:val="00B2631B"/>
    <w:rsid w:val="00B35CD3"/>
    <w:rsid w:val="00B7049A"/>
    <w:rsid w:val="00B719F0"/>
    <w:rsid w:val="00BA48F5"/>
    <w:rsid w:val="00BB1818"/>
    <w:rsid w:val="00BD7E20"/>
    <w:rsid w:val="00BE0A95"/>
    <w:rsid w:val="00BE36AD"/>
    <w:rsid w:val="00C01F50"/>
    <w:rsid w:val="00C0784E"/>
    <w:rsid w:val="00C33CC7"/>
    <w:rsid w:val="00C45CCA"/>
    <w:rsid w:val="00C609DA"/>
    <w:rsid w:val="00C9100E"/>
    <w:rsid w:val="00CA2968"/>
    <w:rsid w:val="00CA495C"/>
    <w:rsid w:val="00CA4C44"/>
    <w:rsid w:val="00CA7102"/>
    <w:rsid w:val="00CA7717"/>
    <w:rsid w:val="00CC0A3D"/>
    <w:rsid w:val="00CF2D92"/>
    <w:rsid w:val="00D04F40"/>
    <w:rsid w:val="00D06234"/>
    <w:rsid w:val="00D77C78"/>
    <w:rsid w:val="00D81CBB"/>
    <w:rsid w:val="00D90348"/>
    <w:rsid w:val="00DB2940"/>
    <w:rsid w:val="00DB6555"/>
    <w:rsid w:val="00E66D73"/>
    <w:rsid w:val="00E75F8C"/>
    <w:rsid w:val="00E934A6"/>
    <w:rsid w:val="00EB0335"/>
    <w:rsid w:val="00EE7D01"/>
    <w:rsid w:val="00EF1640"/>
    <w:rsid w:val="00EF5CCE"/>
    <w:rsid w:val="00F02735"/>
    <w:rsid w:val="00F4782B"/>
    <w:rsid w:val="00F638DD"/>
    <w:rsid w:val="00F93786"/>
    <w:rsid w:val="00FA31A6"/>
    <w:rsid w:val="00FC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7137CE"/>
  <w15:docId w15:val="{7491C843-FAF5-46AB-93CB-80A6EBF40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80D"/>
    <w:pPr>
      <w:suppressAutoHyphens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60080D"/>
    <w:pPr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0080D"/>
    <w:rPr>
      <w:rFonts w:ascii="Calibri" w:eastAsia="Times New Roman" w:hAnsi="Calibri" w:cs="Times New Roman"/>
      <w:lang w:eastAsia="zh-CN"/>
    </w:rPr>
  </w:style>
  <w:style w:type="paragraph" w:customStyle="1" w:styleId="Style7">
    <w:name w:val="Style7"/>
    <w:basedOn w:val="Normalny"/>
    <w:uiPriority w:val="99"/>
    <w:rsid w:val="009869D8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character" w:customStyle="1" w:styleId="FontStyle11">
    <w:name w:val="Font Style11"/>
    <w:basedOn w:val="Domylnaczcionkaakapitu"/>
    <w:uiPriority w:val="99"/>
    <w:rsid w:val="009869D8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basedOn w:val="Domylnaczcionkaakapitu"/>
    <w:uiPriority w:val="99"/>
    <w:rsid w:val="009869D8"/>
    <w:rPr>
      <w:rFonts w:ascii="Times New Roman" w:hAnsi="Times New Roman" w:cs="Times New Roman" w:hint="default"/>
      <w:b/>
      <w:bCs/>
      <w:sz w:val="24"/>
      <w:szCs w:val="24"/>
    </w:rPr>
  </w:style>
  <w:style w:type="paragraph" w:customStyle="1" w:styleId="Style8">
    <w:name w:val="Style8"/>
    <w:basedOn w:val="Normalny"/>
    <w:uiPriority w:val="99"/>
    <w:rsid w:val="00834EB1"/>
    <w:pPr>
      <w:widowControl w:val="0"/>
      <w:suppressAutoHyphens w:val="0"/>
      <w:autoSpaceDE w:val="0"/>
      <w:autoSpaceDN w:val="0"/>
      <w:adjustRightInd w:val="0"/>
      <w:spacing w:after="0" w:line="413" w:lineRule="exact"/>
      <w:ind w:firstLine="706"/>
      <w:jc w:val="both"/>
    </w:pPr>
    <w:rPr>
      <w:rFonts w:ascii="Times New Roman" w:eastAsiaTheme="minorEastAsia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53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532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254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Galant Katarzyna  (DPA)</dc:creator>
  <cp:lastModifiedBy>Strzelecki Rafał  (DPA)</cp:lastModifiedBy>
  <cp:revision>6</cp:revision>
  <cp:lastPrinted>2019-01-15T08:29:00Z</cp:lastPrinted>
  <dcterms:created xsi:type="dcterms:W3CDTF">2023-04-26T10:00:00Z</dcterms:created>
  <dcterms:modified xsi:type="dcterms:W3CDTF">2023-04-28T13:58:00Z</dcterms:modified>
</cp:coreProperties>
</file>