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84D5D" w14:textId="77777777" w:rsidR="00A7006B" w:rsidRPr="00A7006B" w:rsidRDefault="00A7006B" w:rsidP="00A7006B">
      <w:pPr>
        <w:spacing w:after="0" w:line="264" w:lineRule="auto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A7006B">
        <w:rPr>
          <w:rFonts w:asciiTheme="minorHAnsi" w:hAnsiTheme="minorHAnsi" w:cstheme="minorHAnsi"/>
          <w:sz w:val="24"/>
          <w:szCs w:val="24"/>
          <w:u w:val="single"/>
        </w:rPr>
        <w:t xml:space="preserve">Wykaz aktów prawnych zawierających szczegółowe informacje: </w:t>
      </w:r>
    </w:p>
    <w:p w14:paraId="431CBC68" w14:textId="77777777" w:rsidR="00A7006B" w:rsidRPr="00A7006B" w:rsidRDefault="00A7006B" w:rsidP="00A7006B">
      <w:pPr>
        <w:numPr>
          <w:ilvl w:val="0"/>
          <w:numId w:val="1"/>
        </w:numPr>
        <w:spacing w:after="0" w:line="240" w:lineRule="auto"/>
        <w:ind w:left="378"/>
        <w:jc w:val="both"/>
        <w:rPr>
          <w:rFonts w:asciiTheme="minorHAnsi" w:hAnsiTheme="minorHAnsi" w:cstheme="minorHAnsi"/>
          <w:sz w:val="24"/>
          <w:szCs w:val="24"/>
        </w:rPr>
      </w:pPr>
      <w:r w:rsidRPr="00A7006B">
        <w:rPr>
          <w:rFonts w:asciiTheme="minorHAnsi" w:hAnsiTheme="minorHAnsi" w:cstheme="minorHAnsi"/>
          <w:sz w:val="24"/>
          <w:szCs w:val="24"/>
        </w:rPr>
        <w:t xml:space="preserve">Ustawa z dnia 21 grudnia 2000 r. </w:t>
      </w:r>
      <w:r w:rsidRPr="00A7006B">
        <w:rPr>
          <w:rFonts w:asciiTheme="minorHAnsi" w:hAnsiTheme="minorHAnsi" w:cstheme="minorHAnsi"/>
          <w:i/>
          <w:sz w:val="24"/>
          <w:szCs w:val="24"/>
        </w:rPr>
        <w:t>o jakości handlowej artykułów rolno–spożywczych,</w:t>
      </w:r>
      <w:r w:rsidRPr="00A7006B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074B088" w14:textId="77777777" w:rsidR="00A7006B" w:rsidRPr="00A7006B" w:rsidRDefault="00A7006B" w:rsidP="00A7006B">
      <w:pPr>
        <w:numPr>
          <w:ilvl w:val="0"/>
          <w:numId w:val="1"/>
        </w:numPr>
        <w:spacing w:after="0" w:line="240" w:lineRule="auto"/>
        <w:ind w:left="374" w:hanging="357"/>
        <w:jc w:val="both"/>
        <w:rPr>
          <w:rFonts w:asciiTheme="minorHAnsi" w:hAnsiTheme="minorHAnsi" w:cstheme="minorHAnsi"/>
          <w:sz w:val="24"/>
          <w:szCs w:val="24"/>
        </w:rPr>
      </w:pPr>
      <w:r w:rsidRPr="00A7006B">
        <w:rPr>
          <w:rFonts w:asciiTheme="minorHAnsi" w:hAnsiTheme="minorHAnsi" w:cstheme="minorHAnsi"/>
          <w:sz w:val="24"/>
          <w:szCs w:val="24"/>
        </w:rPr>
        <w:t xml:space="preserve">Rozporządzenie Parlamentu Europejskiego i Rady (UE) nr 1169/2011 z dnia 25 października 2011 r. </w:t>
      </w:r>
      <w:r w:rsidRPr="00A7006B">
        <w:rPr>
          <w:rFonts w:asciiTheme="minorHAnsi" w:hAnsiTheme="minorHAnsi" w:cstheme="minorHAnsi"/>
          <w:bCs/>
          <w:i/>
          <w:sz w:val="24"/>
          <w:szCs w:val="24"/>
        </w:rPr>
        <w:t>w sprawie przekazywania konsumentom informacji na temat żywności, zmiany rozporządzeń Parlamentu Europejskiego i Rady (WE) nr 1924/2006 i (WE) nr 1925/2006 oraz uchylenia dyrektywy Komisji 87/250/EWG, dyrektywy Rady 90/496/EWG, dyrektywy Komisji 1999/10/WE, dyrektywy 2000/13/WE Parlamentu Europejskiego i Rady, dyrektyw Komisji 2002/67/WE i 2008/5/WE oraz rozporządzenia Komisji (WE) nr 608/2004</w:t>
      </w:r>
      <w:r w:rsidRPr="00A7006B">
        <w:rPr>
          <w:rFonts w:asciiTheme="minorHAnsi" w:hAnsiTheme="minorHAnsi" w:cstheme="minorHAnsi"/>
          <w:sz w:val="24"/>
          <w:szCs w:val="24"/>
        </w:rPr>
        <w:t>,</w:t>
      </w:r>
    </w:p>
    <w:p w14:paraId="57A52793" w14:textId="77777777" w:rsidR="00A7006B" w:rsidRPr="00A7006B" w:rsidRDefault="00A7006B" w:rsidP="00A7006B">
      <w:pPr>
        <w:numPr>
          <w:ilvl w:val="0"/>
          <w:numId w:val="1"/>
        </w:numPr>
        <w:spacing w:after="0" w:line="240" w:lineRule="auto"/>
        <w:ind w:left="378"/>
        <w:jc w:val="both"/>
        <w:rPr>
          <w:rFonts w:asciiTheme="minorHAnsi" w:hAnsiTheme="minorHAnsi" w:cstheme="minorHAnsi"/>
          <w:sz w:val="24"/>
          <w:szCs w:val="24"/>
        </w:rPr>
      </w:pPr>
      <w:r w:rsidRPr="00A7006B">
        <w:rPr>
          <w:rFonts w:asciiTheme="minorHAnsi" w:hAnsiTheme="minorHAnsi" w:cstheme="minorHAnsi"/>
          <w:sz w:val="24"/>
          <w:szCs w:val="24"/>
        </w:rPr>
        <w:t xml:space="preserve">Rozporządzenie Parlamentu Europejskiego i Rady (UE) NR 1308/2013 z dnia 17 grudnia 2013 r. </w:t>
      </w:r>
      <w:r w:rsidRPr="00A7006B">
        <w:rPr>
          <w:rFonts w:asciiTheme="minorHAnsi" w:hAnsiTheme="minorHAnsi" w:cstheme="minorHAnsi"/>
          <w:i/>
          <w:iCs/>
          <w:sz w:val="24"/>
          <w:szCs w:val="24"/>
        </w:rPr>
        <w:t>ustanawiające wspólną organizację rynków produktów rolnych oraz uchylające rozporządzenia Rady (EWG) nr 922/72, (EWG) nr 234/79, (WE) 1037/2001, i (WE) nr 1234/2007,</w:t>
      </w:r>
    </w:p>
    <w:p w14:paraId="75EC07E4" w14:textId="77777777" w:rsidR="00A7006B" w:rsidRPr="00A7006B" w:rsidRDefault="00A7006B" w:rsidP="00A7006B">
      <w:pPr>
        <w:numPr>
          <w:ilvl w:val="0"/>
          <w:numId w:val="1"/>
        </w:numPr>
        <w:spacing w:after="0" w:line="240" w:lineRule="auto"/>
        <w:ind w:left="378"/>
        <w:jc w:val="both"/>
        <w:rPr>
          <w:rFonts w:asciiTheme="minorHAnsi" w:hAnsiTheme="minorHAnsi" w:cstheme="minorHAnsi"/>
          <w:strike/>
          <w:sz w:val="24"/>
          <w:szCs w:val="24"/>
        </w:rPr>
      </w:pPr>
      <w:r w:rsidRPr="00A7006B">
        <w:rPr>
          <w:rFonts w:asciiTheme="minorHAnsi" w:hAnsiTheme="minorHAnsi" w:cstheme="minorHAnsi"/>
          <w:sz w:val="24"/>
          <w:szCs w:val="24"/>
        </w:rPr>
        <w:t>Rozporządzenie Delegowane Komisji (UE) 2023/2465 z dnia 17 sierpnia 2023 r. uzupełniające rozporządzenie Parlamentu Europejskiego i Rady (UE) nr 1308/2013 w odniesieniu do norm handlowych dotyczących jaj oraz uchylające rozporządzenie Komisji nr 589/2008 (Dz. U. L z 8.11.2023);</w:t>
      </w:r>
    </w:p>
    <w:p w14:paraId="7AF7BFB1" w14:textId="77777777" w:rsidR="00A7006B" w:rsidRPr="00A7006B" w:rsidRDefault="00A7006B" w:rsidP="00A7006B">
      <w:pPr>
        <w:numPr>
          <w:ilvl w:val="0"/>
          <w:numId w:val="1"/>
        </w:numPr>
        <w:spacing w:after="0" w:line="240" w:lineRule="auto"/>
        <w:ind w:left="378"/>
        <w:jc w:val="both"/>
        <w:rPr>
          <w:rFonts w:asciiTheme="minorHAnsi" w:hAnsiTheme="minorHAnsi" w:cstheme="minorHAnsi"/>
          <w:strike/>
          <w:sz w:val="24"/>
          <w:szCs w:val="24"/>
        </w:rPr>
      </w:pPr>
      <w:r w:rsidRPr="00A7006B">
        <w:rPr>
          <w:rFonts w:asciiTheme="minorHAnsi" w:hAnsiTheme="minorHAnsi" w:cstheme="minorHAnsi"/>
          <w:sz w:val="24"/>
          <w:szCs w:val="24"/>
        </w:rPr>
        <w:t>Rozporządzenie Wykonawcze Komisji (UE) 2023/2466 z dnia 17 sierpnia 2023 r. ustanawiające zasady stosowania rozporządzenia Parlamentu Europejskiego i Rady (UE) nr 1308/2013 w odniesieniu do norm handlowych dotyczących jaj (Dz. U. L z 8.11.2023);</w:t>
      </w:r>
    </w:p>
    <w:p w14:paraId="0D81F1E6" w14:textId="77777777" w:rsidR="00A7006B" w:rsidRPr="00A7006B" w:rsidRDefault="00A7006B" w:rsidP="00A7006B">
      <w:pPr>
        <w:numPr>
          <w:ilvl w:val="0"/>
          <w:numId w:val="1"/>
        </w:numPr>
        <w:spacing w:after="0" w:line="240" w:lineRule="auto"/>
        <w:ind w:left="378"/>
        <w:jc w:val="both"/>
        <w:rPr>
          <w:rFonts w:asciiTheme="minorHAnsi" w:hAnsiTheme="minorHAnsi" w:cstheme="minorHAnsi"/>
          <w:sz w:val="24"/>
          <w:szCs w:val="24"/>
        </w:rPr>
      </w:pPr>
      <w:r w:rsidRPr="00A7006B">
        <w:rPr>
          <w:rFonts w:asciiTheme="minorHAnsi" w:hAnsiTheme="minorHAnsi" w:cstheme="minorHAnsi"/>
          <w:sz w:val="24"/>
          <w:szCs w:val="24"/>
        </w:rPr>
        <w:t xml:space="preserve">Rozporządzenie Ministra Rolnictwa i Rozwoju Wsi z dnia 23 grudnia 2014 r. </w:t>
      </w:r>
      <w:r w:rsidRPr="00A7006B">
        <w:rPr>
          <w:rFonts w:asciiTheme="minorHAnsi" w:hAnsiTheme="minorHAnsi" w:cstheme="minorHAnsi"/>
          <w:i/>
          <w:sz w:val="24"/>
          <w:szCs w:val="24"/>
        </w:rPr>
        <w:t>w sprawie znakowania poszczególnych rodzajów środków spożywczych,</w:t>
      </w:r>
    </w:p>
    <w:p w14:paraId="3AA00E46" w14:textId="77777777" w:rsidR="00A22E3D" w:rsidRPr="00721352" w:rsidRDefault="00A22E3D" w:rsidP="00721352"/>
    <w:sectPr w:rsidR="00A22E3D" w:rsidRPr="00721352" w:rsidSect="0085296A">
      <w:footerReference w:type="default" r:id="rId7"/>
      <w:pgSz w:w="11906" w:h="16838" w:code="9"/>
      <w:pgMar w:top="1418" w:right="1418" w:bottom="1418" w:left="1418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446A9" w14:textId="77777777" w:rsidR="00714C9A" w:rsidRDefault="00714C9A" w:rsidP="009A6E37">
      <w:r>
        <w:separator/>
      </w:r>
    </w:p>
  </w:endnote>
  <w:endnote w:type="continuationSeparator" w:id="0">
    <w:p w14:paraId="6A0C2C1B" w14:textId="77777777" w:rsidR="00714C9A" w:rsidRDefault="00714C9A" w:rsidP="009A6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739E0" w14:textId="77777777" w:rsidR="009A6E37" w:rsidRDefault="00B85886" w:rsidP="009A6E37">
    <w:pPr>
      <w:pStyle w:val="Stopka"/>
      <w:tabs>
        <w:tab w:val="left" w:pos="3600"/>
      </w:tabs>
      <w:ind w:right="360"/>
      <w:jc w:val="center"/>
      <w:rPr>
        <w:b/>
        <w:sz w:val="20"/>
        <w:szCs w:val="2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A7A25C9" wp14:editId="0B083F9A">
              <wp:simplePos x="0" y="0"/>
              <wp:positionH relativeFrom="page">
                <wp:posOffset>540385</wp:posOffset>
              </wp:positionH>
              <wp:positionV relativeFrom="paragraph">
                <wp:posOffset>-38735</wp:posOffset>
              </wp:positionV>
              <wp:extent cx="6480175" cy="0"/>
              <wp:effectExtent l="6985" t="8890" r="8890" b="1016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9462C43" id="Line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.55pt,-3.05pt" to="552.8pt,-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">
              <w10:wrap anchorx="page"/>
            </v:line>
          </w:pict>
        </mc:Fallback>
      </mc:AlternateContent>
    </w:r>
    <w:r w:rsidR="009A6E37">
      <w:rPr>
        <w:b/>
        <w:sz w:val="20"/>
        <w:szCs w:val="20"/>
      </w:rPr>
      <w:t xml:space="preserve">Certyfikat Systemu Zarządzania Jakością nr </w:t>
    </w:r>
    <w:r w:rsidR="00981847" w:rsidRPr="00981847">
      <w:rPr>
        <w:b/>
        <w:sz w:val="20"/>
        <w:szCs w:val="20"/>
      </w:rPr>
      <w:t>000317013</w:t>
    </w:r>
    <w:r w:rsidR="00DF2CAD">
      <w:rPr>
        <w:b/>
        <w:sz w:val="20"/>
        <w:szCs w:val="20"/>
      </w:rPr>
      <w:t>/</w:t>
    </w:r>
    <w:r w:rsidR="00F453E3">
      <w:rPr>
        <w:b/>
        <w:sz w:val="20"/>
        <w:szCs w:val="20"/>
      </w:rPr>
      <w:t>3-</w:t>
    </w:r>
    <w:r w:rsidR="00721352">
      <w:rPr>
        <w:b/>
        <w:sz w:val="20"/>
        <w:szCs w:val="20"/>
      </w:rPr>
      <w:t>9</w:t>
    </w:r>
    <w:r w:rsidR="00DF2CAD">
      <w:rPr>
        <w:b/>
        <w:sz w:val="20"/>
        <w:szCs w:val="20"/>
      </w:rPr>
      <w:t xml:space="preserve"> wg ISO 9001:2015</w:t>
    </w:r>
  </w:p>
  <w:p w14:paraId="51440CA8" w14:textId="77777777" w:rsidR="009A6E37" w:rsidRPr="0085296A" w:rsidRDefault="00B85886" w:rsidP="009A6E37">
    <w:pPr>
      <w:pStyle w:val="Stopka"/>
      <w:tabs>
        <w:tab w:val="left" w:pos="3600"/>
      </w:tabs>
      <w:ind w:right="360"/>
      <w:jc w:val="center"/>
      <w:rPr>
        <w:b/>
        <w:sz w:val="16"/>
        <w:szCs w:val="16"/>
      </w:rPr>
    </w:pPr>
    <w:r>
      <w:rPr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7CB788" wp14:editId="0999CC47">
              <wp:simplePos x="0" y="0"/>
              <wp:positionH relativeFrom="page">
                <wp:posOffset>540385</wp:posOffset>
              </wp:positionH>
              <wp:positionV relativeFrom="paragraph">
                <wp:posOffset>51435</wp:posOffset>
              </wp:positionV>
              <wp:extent cx="6480175" cy="0"/>
              <wp:effectExtent l="6985" t="13335" r="8890" b="5715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041509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.55pt,4.05pt" to="552.8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">
              <w10:wrap anchorx="page"/>
            </v:line>
          </w:pict>
        </mc:Fallback>
      </mc:AlternateContent>
    </w:r>
  </w:p>
  <w:p w14:paraId="3AA67168" w14:textId="77777777" w:rsidR="009A6E37" w:rsidRDefault="009A6E37" w:rsidP="009A6E37">
    <w:pPr>
      <w:pStyle w:val="Stopka"/>
      <w:tabs>
        <w:tab w:val="left" w:pos="3600"/>
      </w:tabs>
      <w:ind w:right="360"/>
      <w:rPr>
        <w:sz w:val="20"/>
        <w:szCs w:val="20"/>
      </w:rPr>
    </w:pPr>
    <w:r>
      <w:rPr>
        <w:sz w:val="20"/>
        <w:szCs w:val="20"/>
      </w:rPr>
      <w:t>ul. Szarych Szeregów 7, 10 – 079 Olsztyn</w:t>
    </w:r>
  </w:p>
  <w:p w14:paraId="1E597D99" w14:textId="77777777" w:rsidR="009A6E37" w:rsidRDefault="009A6E37" w:rsidP="009A6E37">
    <w:pPr>
      <w:pStyle w:val="Stopka"/>
      <w:tabs>
        <w:tab w:val="left" w:pos="3600"/>
      </w:tabs>
      <w:ind w:right="360"/>
      <w:rPr>
        <w:sz w:val="20"/>
        <w:szCs w:val="20"/>
      </w:rPr>
    </w:pPr>
    <w:r>
      <w:rPr>
        <w:sz w:val="20"/>
        <w:szCs w:val="20"/>
      </w:rPr>
      <w:t>tel. (89) 522 89 20,  faks: (89) 521 33 25</w:t>
    </w:r>
  </w:p>
  <w:p w14:paraId="6A340FC0" w14:textId="77777777" w:rsidR="009A6E37" w:rsidRPr="00981847" w:rsidRDefault="00031F9D" w:rsidP="0093674E">
    <w:pPr>
      <w:pStyle w:val="Stopka"/>
      <w:tabs>
        <w:tab w:val="left" w:pos="3600"/>
      </w:tabs>
      <w:ind w:right="-2"/>
      <w:rPr>
        <w:rFonts w:ascii="Verdana" w:hAnsi="Verdana"/>
        <w:sz w:val="20"/>
        <w:szCs w:val="20"/>
        <w:lang w:val="en-GB"/>
      </w:rPr>
    </w:pPr>
    <w:r>
      <w:rPr>
        <w:sz w:val="20"/>
        <w:szCs w:val="20"/>
        <w:lang w:val="de-DE"/>
      </w:rPr>
      <w:t>https://</w:t>
    </w:r>
    <w:r w:rsidR="009A6E37">
      <w:rPr>
        <w:sz w:val="20"/>
        <w:szCs w:val="20"/>
        <w:lang w:val="de-DE"/>
      </w:rPr>
      <w:t>www.</w:t>
    </w:r>
    <w:r>
      <w:rPr>
        <w:sz w:val="20"/>
        <w:szCs w:val="20"/>
        <w:lang w:val="de-DE"/>
      </w:rPr>
      <w:t>gov.pl/web/</w:t>
    </w:r>
    <w:r w:rsidR="009A6E37">
      <w:rPr>
        <w:sz w:val="20"/>
        <w:szCs w:val="20"/>
        <w:lang w:val="de-DE"/>
      </w:rPr>
      <w:t>wijhars</w:t>
    </w:r>
    <w:r>
      <w:rPr>
        <w:sz w:val="20"/>
        <w:szCs w:val="20"/>
        <w:lang w:val="de-DE"/>
      </w:rPr>
      <w:t>-</w:t>
    </w:r>
    <w:r w:rsidR="009A6E37">
      <w:rPr>
        <w:sz w:val="20"/>
        <w:szCs w:val="20"/>
        <w:lang w:val="de-DE"/>
      </w:rPr>
      <w:t xml:space="preserve">olsztyn, </w:t>
    </w:r>
    <w:proofErr w:type="spellStart"/>
    <w:r w:rsidR="009A6E37">
      <w:rPr>
        <w:sz w:val="20"/>
        <w:szCs w:val="20"/>
        <w:lang w:val="de-DE"/>
      </w:rPr>
      <w:t>e-ma</w:t>
    </w:r>
    <w:r w:rsidR="0093674E">
      <w:rPr>
        <w:sz w:val="20"/>
        <w:szCs w:val="20"/>
        <w:lang w:val="de-DE"/>
      </w:rPr>
      <w:t>il</w:t>
    </w:r>
    <w:proofErr w:type="spellEnd"/>
    <w:r w:rsidR="0093674E">
      <w:rPr>
        <w:sz w:val="20"/>
        <w:szCs w:val="20"/>
        <w:lang w:val="de-DE"/>
      </w:rPr>
      <w:t>: wijhars@wijhars.olsztyn.pl</w:t>
    </w:r>
    <w:r w:rsidR="0093674E">
      <w:rPr>
        <w:sz w:val="20"/>
        <w:szCs w:val="20"/>
        <w:lang w:val="de-DE"/>
      </w:rPr>
      <w:tab/>
    </w:r>
    <w:r w:rsidR="009A6E37" w:rsidRPr="00981847">
      <w:rPr>
        <w:rFonts w:ascii="Verdana" w:hAnsi="Verdana"/>
        <w:sz w:val="20"/>
        <w:szCs w:val="20"/>
        <w:lang w:val="en-GB"/>
      </w:rPr>
      <w:t xml:space="preserve">Strona </w:t>
    </w:r>
    <w:r w:rsidR="009A6E37">
      <w:rPr>
        <w:rFonts w:ascii="Verdana" w:hAnsi="Verdana"/>
        <w:sz w:val="20"/>
        <w:szCs w:val="20"/>
      </w:rPr>
      <w:fldChar w:fldCharType="begin"/>
    </w:r>
    <w:r w:rsidR="009A6E37" w:rsidRPr="00981847">
      <w:rPr>
        <w:rFonts w:ascii="Verdana" w:hAnsi="Verdana"/>
        <w:sz w:val="20"/>
        <w:szCs w:val="20"/>
        <w:lang w:val="en-GB"/>
      </w:rPr>
      <w:instrText xml:space="preserve"> PAGE </w:instrText>
    </w:r>
    <w:r w:rsidR="009A6E37">
      <w:rPr>
        <w:rFonts w:ascii="Verdana" w:hAnsi="Verdana"/>
        <w:sz w:val="20"/>
        <w:szCs w:val="20"/>
      </w:rPr>
      <w:fldChar w:fldCharType="separate"/>
    </w:r>
    <w:r w:rsidR="009E6396">
      <w:rPr>
        <w:rFonts w:ascii="Verdana" w:hAnsi="Verdana"/>
        <w:noProof/>
        <w:sz w:val="20"/>
        <w:szCs w:val="20"/>
        <w:lang w:val="en-GB"/>
      </w:rPr>
      <w:t>1</w:t>
    </w:r>
    <w:r w:rsidR="009A6E37">
      <w:rPr>
        <w:rFonts w:ascii="Verdana" w:hAnsi="Verdana"/>
        <w:sz w:val="20"/>
        <w:szCs w:val="20"/>
      </w:rPr>
      <w:fldChar w:fldCharType="end"/>
    </w:r>
    <w:r w:rsidR="009A6E37" w:rsidRPr="00981847">
      <w:rPr>
        <w:rFonts w:ascii="Verdana" w:hAnsi="Verdana"/>
        <w:sz w:val="20"/>
        <w:szCs w:val="20"/>
        <w:lang w:val="en-GB"/>
      </w:rPr>
      <w:t>/</w:t>
    </w:r>
    <w:r w:rsidR="009A6E37">
      <w:rPr>
        <w:rFonts w:ascii="Verdana" w:hAnsi="Verdana"/>
        <w:sz w:val="20"/>
        <w:szCs w:val="20"/>
      </w:rPr>
      <w:fldChar w:fldCharType="begin"/>
    </w:r>
    <w:r w:rsidR="009A6E37" w:rsidRPr="00981847">
      <w:rPr>
        <w:rFonts w:ascii="Verdana" w:hAnsi="Verdana"/>
        <w:sz w:val="20"/>
        <w:szCs w:val="20"/>
        <w:lang w:val="en-GB"/>
      </w:rPr>
      <w:instrText xml:space="preserve"> NUMPAGES </w:instrText>
    </w:r>
    <w:r w:rsidR="009A6E37">
      <w:rPr>
        <w:rFonts w:ascii="Verdana" w:hAnsi="Verdana"/>
        <w:sz w:val="20"/>
        <w:szCs w:val="20"/>
      </w:rPr>
      <w:fldChar w:fldCharType="separate"/>
    </w:r>
    <w:r w:rsidR="009E6396">
      <w:rPr>
        <w:rFonts w:ascii="Verdana" w:hAnsi="Verdana"/>
        <w:noProof/>
        <w:sz w:val="20"/>
        <w:szCs w:val="20"/>
        <w:lang w:val="en-GB"/>
      </w:rPr>
      <w:t>1</w:t>
    </w:r>
    <w:r w:rsidR="009A6E37">
      <w:rPr>
        <w:rFonts w:ascii="Verdana" w:hAnsi="Verdana"/>
        <w:sz w:val="20"/>
        <w:szCs w:val="20"/>
      </w:rPr>
      <w:fldChar w:fldCharType="end"/>
    </w:r>
  </w:p>
  <w:p w14:paraId="6A4D294A" w14:textId="77777777" w:rsidR="009A6E37" w:rsidRPr="00981847" w:rsidRDefault="009A6E37">
    <w:pPr>
      <w:pStyle w:val="Stopka"/>
      <w:rPr>
        <w:lang w:val="en-GB"/>
      </w:rPr>
    </w:pPr>
  </w:p>
  <w:p w14:paraId="2D35F558" w14:textId="77777777" w:rsidR="009A6E37" w:rsidRPr="00981847" w:rsidRDefault="009A6E37">
    <w:pPr>
      <w:pStyle w:val="Stopka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D2554" w14:textId="77777777" w:rsidR="00714C9A" w:rsidRDefault="00714C9A" w:rsidP="009A6E37">
      <w:r>
        <w:separator/>
      </w:r>
    </w:p>
  </w:footnote>
  <w:footnote w:type="continuationSeparator" w:id="0">
    <w:p w14:paraId="4BE25621" w14:textId="77777777" w:rsidR="00714C9A" w:rsidRDefault="00714C9A" w:rsidP="009A6E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055EDF"/>
    <w:multiLevelType w:val="hybridMultilevel"/>
    <w:tmpl w:val="7A84A4BC"/>
    <w:lvl w:ilvl="0" w:tplc="6D56EBC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9540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06B"/>
    <w:rsid w:val="00031F9D"/>
    <w:rsid w:val="00106FBC"/>
    <w:rsid w:val="00312AC1"/>
    <w:rsid w:val="003E5478"/>
    <w:rsid w:val="00574466"/>
    <w:rsid w:val="005E33AE"/>
    <w:rsid w:val="00714C9A"/>
    <w:rsid w:val="00721352"/>
    <w:rsid w:val="00773071"/>
    <w:rsid w:val="007956A5"/>
    <w:rsid w:val="0085296A"/>
    <w:rsid w:val="0093674E"/>
    <w:rsid w:val="00981847"/>
    <w:rsid w:val="009A6E37"/>
    <w:rsid w:val="009E6396"/>
    <w:rsid w:val="00A22E3D"/>
    <w:rsid w:val="00A7006B"/>
    <w:rsid w:val="00B71F57"/>
    <w:rsid w:val="00B85886"/>
    <w:rsid w:val="00BA63F5"/>
    <w:rsid w:val="00C27D2E"/>
    <w:rsid w:val="00DF2CAD"/>
    <w:rsid w:val="00E17663"/>
    <w:rsid w:val="00E35060"/>
    <w:rsid w:val="00E764FB"/>
    <w:rsid w:val="00EA2905"/>
    <w:rsid w:val="00F313F4"/>
    <w:rsid w:val="00F453E3"/>
    <w:rsid w:val="00F60E6E"/>
    <w:rsid w:val="00FF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EFC332"/>
  <w15:chartTrackingRefBased/>
  <w15:docId w15:val="{38BE9BBA-4FD7-47E1-8DB8-1A13DE7C0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006B"/>
    <w:rPr>
      <w:rFonts w:ascii="Calibri" w:eastAsia="Calibri" w:hAnsi="Calibri"/>
      <w:lang w:val="pl-PL" w:bidi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71F5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1F5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71F5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71F5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71F5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71F57"/>
    <w:pPr>
      <w:spacing w:before="240" w:after="60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71F57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71F57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71F57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71F5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1F5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71F5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rsid w:val="00B71F57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71F57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71F57"/>
    <w:rPr>
      <w:b/>
      <w:bCs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71F57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71F57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71F57"/>
    <w:rPr>
      <w:rFonts w:asciiTheme="majorHAnsi" w:eastAsiaTheme="majorEastAsia" w:hAnsiTheme="majorHAnsi"/>
    </w:rPr>
  </w:style>
  <w:style w:type="paragraph" w:styleId="Tytu">
    <w:name w:val="Title"/>
    <w:basedOn w:val="Normalny"/>
    <w:next w:val="Normalny"/>
    <w:link w:val="TytuZnak"/>
    <w:uiPriority w:val="10"/>
    <w:qFormat/>
    <w:rsid w:val="00B71F5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B71F5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71F5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tytuZnak">
    <w:name w:val="Podtytuł Znak"/>
    <w:basedOn w:val="Domylnaczcionkaakapitu"/>
    <w:link w:val="Podtytu"/>
    <w:uiPriority w:val="11"/>
    <w:rsid w:val="00B71F57"/>
    <w:rPr>
      <w:rFonts w:asciiTheme="majorHAnsi" w:eastAsiaTheme="majorEastAsia" w:hAnsiTheme="majorHAns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71F57"/>
    <w:rPr>
      <w:b/>
      <w:bCs/>
    </w:rPr>
  </w:style>
  <w:style w:type="character" w:styleId="Uwydatnienie">
    <w:name w:val="Emphasis"/>
    <w:basedOn w:val="Domylnaczcionkaakapitu"/>
    <w:uiPriority w:val="20"/>
    <w:qFormat/>
    <w:rsid w:val="00B71F57"/>
    <w:rPr>
      <w:rFonts w:asciiTheme="minorHAnsi" w:hAnsiTheme="minorHAnsi"/>
      <w:b/>
      <w:i/>
      <w:iCs/>
    </w:rPr>
  </w:style>
  <w:style w:type="paragraph" w:styleId="Bezodstpw">
    <w:name w:val="No Spacing"/>
    <w:basedOn w:val="Normalny"/>
    <w:uiPriority w:val="1"/>
    <w:qFormat/>
    <w:rsid w:val="00B71F57"/>
    <w:rPr>
      <w:szCs w:val="32"/>
    </w:rPr>
  </w:style>
  <w:style w:type="paragraph" w:styleId="Akapitzlist">
    <w:name w:val="List Paragraph"/>
    <w:basedOn w:val="Normalny"/>
    <w:uiPriority w:val="34"/>
    <w:qFormat/>
    <w:rsid w:val="00B71F57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B71F57"/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B71F57"/>
    <w:rPr>
      <w:i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71F57"/>
    <w:pPr>
      <w:ind w:left="720" w:right="720"/>
    </w:pPr>
    <w:rPr>
      <w:b/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71F57"/>
    <w:rPr>
      <w:b/>
      <w:i/>
      <w:sz w:val="24"/>
    </w:rPr>
  </w:style>
  <w:style w:type="character" w:styleId="Wyrnieniedelikatne">
    <w:name w:val="Subtle Emphasis"/>
    <w:uiPriority w:val="19"/>
    <w:qFormat/>
    <w:rsid w:val="00B71F57"/>
    <w:rPr>
      <w:i/>
      <w:color w:val="5A5A5A" w:themeColor="text1" w:themeTint="A5"/>
    </w:rPr>
  </w:style>
  <w:style w:type="character" w:styleId="Wyrnienieintensywne">
    <w:name w:val="Intense Emphasis"/>
    <w:basedOn w:val="Domylnaczcionkaakapitu"/>
    <w:uiPriority w:val="21"/>
    <w:qFormat/>
    <w:rsid w:val="00B71F57"/>
    <w:rPr>
      <w:b/>
      <w:i/>
      <w:sz w:val="24"/>
      <w:szCs w:val="24"/>
      <w:u w:val="single"/>
    </w:rPr>
  </w:style>
  <w:style w:type="character" w:styleId="Odwoaniedelikatne">
    <w:name w:val="Subtle Reference"/>
    <w:basedOn w:val="Domylnaczcionkaakapitu"/>
    <w:uiPriority w:val="31"/>
    <w:qFormat/>
    <w:rsid w:val="00B71F57"/>
    <w:rPr>
      <w:sz w:val="24"/>
      <w:szCs w:val="24"/>
      <w:u w:val="single"/>
    </w:rPr>
  </w:style>
  <w:style w:type="character" w:styleId="Odwoanieintensywne">
    <w:name w:val="Intense Reference"/>
    <w:basedOn w:val="Domylnaczcionkaakapitu"/>
    <w:uiPriority w:val="32"/>
    <w:qFormat/>
    <w:rsid w:val="00B71F57"/>
    <w:rPr>
      <w:b/>
      <w:sz w:val="24"/>
      <w:u w:val="single"/>
    </w:rPr>
  </w:style>
  <w:style w:type="character" w:styleId="Tytuksiki">
    <w:name w:val="Book Title"/>
    <w:basedOn w:val="Domylnaczcionkaakapitu"/>
    <w:uiPriority w:val="33"/>
    <w:qFormat/>
    <w:rsid w:val="00B71F57"/>
    <w:rPr>
      <w:rFonts w:asciiTheme="majorHAnsi" w:eastAsiaTheme="majorEastAsia" w:hAnsiTheme="majorHAnsi"/>
      <w:b/>
      <w:i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71F57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9A6E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A6E37"/>
    <w:rPr>
      <w:sz w:val="24"/>
      <w:szCs w:val="24"/>
      <w:lang w:val="pl-PL"/>
    </w:rPr>
  </w:style>
  <w:style w:type="paragraph" w:styleId="Stopka">
    <w:name w:val="footer"/>
    <w:basedOn w:val="Normalny"/>
    <w:link w:val="StopkaZnak"/>
    <w:unhideWhenUsed/>
    <w:rsid w:val="009A6E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A6E37"/>
    <w:rPr>
      <w:sz w:val="24"/>
      <w:szCs w:val="24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6E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6E37"/>
    <w:rPr>
      <w:rFonts w:ascii="Tahoma" w:hAnsi="Tahoma" w:cs="Tahoma"/>
      <w:sz w:val="16"/>
      <w:szCs w:val="16"/>
      <w:lang w:val="pl-PL"/>
    </w:rPr>
  </w:style>
  <w:style w:type="character" w:styleId="Hipercze">
    <w:name w:val="Hyperlink"/>
    <w:basedOn w:val="Domylnaczcionkaakapitu"/>
    <w:uiPriority w:val="99"/>
    <w:unhideWhenUsed/>
    <w:rsid w:val="009367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7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0F9EC5A5A08794CAB9E52D28752CD31" ma:contentTypeVersion="10" ma:contentTypeDescription="Utwórz nowy dokument." ma:contentTypeScope="" ma:versionID="2cebb503a75d58ebfce3ef0f77938e80">
  <xsd:schema xmlns:xsd="http://www.w3.org/2001/XMLSchema" xmlns:xs="http://www.w3.org/2001/XMLSchema" xmlns:p="http://schemas.microsoft.com/office/2006/metadata/properties" xmlns:ns2="2c4a7dd8-7dad-47e8-aba1-6dacb6f29e58" xmlns:ns3="bd7cf794-0e8b-4156-a83d-f122dadfb173" targetNamespace="http://schemas.microsoft.com/office/2006/metadata/properties" ma:root="true" ma:fieldsID="388d3c47f79b361d61beed41f4c73069" ns2:_="" ns3:_="">
    <xsd:import namespace="2c4a7dd8-7dad-47e8-aba1-6dacb6f29e58"/>
    <xsd:import namespace="bd7cf794-0e8b-4156-a83d-f122dadfb1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a7dd8-7dad-47e8-aba1-6dacb6f29e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891c4e3e-5581-4b0c-a591-ce92af3378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cf794-0e8b-4156-a83d-f122dadfb17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f3d64e3-5661-4a5b-9b4b-7fd71f3b125f}" ma:internalName="TaxCatchAll" ma:showField="CatchAllData" ma:web="bd7cf794-0e8b-4156-a83d-f122dadfb1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7cf794-0e8b-4156-a83d-f122dadfb173" xsi:nil="true"/>
    <lcf76f155ced4ddcb4097134ff3c332f xmlns="2c4a7dd8-7dad-47e8-aba1-6dacb6f29e5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5A251DE-F787-49B4-9B7D-EF22394ACB07}"/>
</file>

<file path=customXml/itemProps2.xml><?xml version="1.0" encoding="utf-8"?>
<ds:datastoreItem xmlns:ds="http://schemas.openxmlformats.org/officeDocument/2006/customXml" ds:itemID="{BA99739F-F72C-42FD-A17B-4B2F81A4A9F5}"/>
</file>

<file path=customXml/itemProps3.xml><?xml version="1.0" encoding="utf-8"?>
<ds:datastoreItem xmlns:ds="http://schemas.openxmlformats.org/officeDocument/2006/customXml" ds:itemID="{B14C5389-1887-418F-9741-5887654D92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Materna Joanna</dc:creator>
  <cp:keywords/>
  <dc:description/>
  <cp:lastModifiedBy>Materna Joanna</cp:lastModifiedBy>
  <cp:revision>1</cp:revision>
  <dcterms:created xsi:type="dcterms:W3CDTF">2025-07-11T08:16:00Z</dcterms:created>
  <dcterms:modified xsi:type="dcterms:W3CDTF">2025-07-11T08:17:00Z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0x010100B0F9EC5A5A08794CAB9E52D28752CD31</vt:lpwstr>
  </property>
</Properties>
</file>