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75E" w:rsidRDefault="00F2475E" w:rsidP="00D5606F">
      <w:pPr>
        <w:spacing w:after="120" w:line="240" w:lineRule="exact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PROGI</w:t>
      </w:r>
      <w:r w:rsidR="001E6134">
        <w:rPr>
          <w:rFonts w:ascii="Arial" w:hAnsi="Arial" w:cs="Arial"/>
          <w:b/>
          <w:sz w:val="20"/>
          <w:szCs w:val="20"/>
          <w:u w:val="single"/>
        </w:rPr>
        <w:t xml:space="preserve"> UNIJNE</w:t>
      </w:r>
      <w:r>
        <w:rPr>
          <w:rFonts w:ascii="Arial" w:hAnsi="Arial" w:cs="Arial"/>
          <w:b/>
          <w:sz w:val="20"/>
          <w:szCs w:val="20"/>
          <w:u w:val="single"/>
        </w:rPr>
        <w:t xml:space="preserve"> </w:t>
      </w:r>
    </w:p>
    <w:p w:rsidR="00D17DD1" w:rsidRDefault="00D17DD1" w:rsidP="00D5606F">
      <w:pPr>
        <w:spacing w:after="120" w:line="240" w:lineRule="exact"/>
        <w:jc w:val="both"/>
        <w:rPr>
          <w:rFonts w:ascii="Arial" w:hAnsi="Arial" w:cs="Arial"/>
          <w:i/>
          <w:color w:val="0070C0"/>
          <w:sz w:val="20"/>
          <w:szCs w:val="20"/>
        </w:rPr>
      </w:pPr>
      <w:r w:rsidRPr="00F2475E">
        <w:rPr>
          <w:rFonts w:ascii="Arial" w:hAnsi="Arial" w:cs="Arial"/>
          <w:i/>
          <w:color w:val="0070C0"/>
          <w:sz w:val="20"/>
          <w:szCs w:val="20"/>
        </w:rPr>
        <w:t>OBWIESZCZENIE PREZESA URZĘ</w:t>
      </w:r>
      <w:r w:rsidR="00B30F94">
        <w:rPr>
          <w:rFonts w:ascii="Arial" w:hAnsi="Arial" w:cs="Arial"/>
          <w:i/>
          <w:color w:val="0070C0"/>
          <w:sz w:val="20"/>
          <w:szCs w:val="20"/>
        </w:rPr>
        <w:t>DU ZAMÓWIEŃ PUBLICZNYCH z dnia 3</w:t>
      </w:r>
      <w:r w:rsidRPr="00F2475E">
        <w:rPr>
          <w:rFonts w:ascii="Arial" w:hAnsi="Arial" w:cs="Arial"/>
          <w:i/>
          <w:color w:val="0070C0"/>
          <w:sz w:val="20"/>
          <w:szCs w:val="20"/>
        </w:rPr>
        <w:t xml:space="preserve"> </w:t>
      </w:r>
      <w:r w:rsidR="00B30F94">
        <w:rPr>
          <w:rFonts w:ascii="Arial" w:hAnsi="Arial" w:cs="Arial"/>
          <w:i/>
          <w:color w:val="0070C0"/>
          <w:sz w:val="20"/>
          <w:szCs w:val="20"/>
        </w:rPr>
        <w:t>grudnia</w:t>
      </w:r>
      <w:r w:rsidRPr="00F2475E">
        <w:rPr>
          <w:rFonts w:ascii="Arial" w:hAnsi="Arial" w:cs="Arial"/>
          <w:i/>
          <w:color w:val="0070C0"/>
          <w:sz w:val="20"/>
          <w:szCs w:val="20"/>
        </w:rPr>
        <w:t xml:space="preserve"> 2021 r. w sprawie aktualnych progów unijnych, ich równowartości w złotych, równowartości w złotych kwot wyrażonych w euro oraz średniego kursu złotego w stosunku do euro stanowiącego podstawę przeliczania wartości zamówień publicznych lub konkursów.</w:t>
      </w:r>
    </w:p>
    <w:p w:rsidR="00B30F94" w:rsidRPr="00B30F94" w:rsidRDefault="00B30F94" w:rsidP="00B30F94">
      <w:pPr>
        <w:spacing w:after="120" w:line="240" w:lineRule="exact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</w:rPr>
      </w:pPr>
      <w:hyperlink r:id="rId5" w:history="1">
        <w:r w:rsidRPr="00B30F94">
          <w:rPr>
            <w:rStyle w:val="Hipercze"/>
            <w:rFonts w:ascii="Arial" w:hAnsi="Arial" w:cs="Arial"/>
            <w:sz w:val="20"/>
            <w:szCs w:val="20"/>
          </w:rPr>
          <w:t>https://isap.sejm.gov.pl/isap.nsf/DocDetails.xsp?id=WMP20210001177</w:t>
        </w:r>
      </w:hyperlink>
    </w:p>
    <w:p w:rsidR="00C7767D" w:rsidRPr="00F2475E" w:rsidRDefault="00D5606F" w:rsidP="00B30F94">
      <w:pPr>
        <w:pStyle w:val="Akapitzlist"/>
        <w:numPr>
          <w:ilvl w:val="0"/>
          <w:numId w:val="1"/>
        </w:numPr>
        <w:spacing w:after="120" w:line="240" w:lineRule="exact"/>
        <w:contextualSpacing w:val="0"/>
        <w:jc w:val="both"/>
        <w:rPr>
          <w:rFonts w:ascii="Arial" w:hAnsi="Arial" w:cs="Arial"/>
          <w:sz w:val="20"/>
          <w:szCs w:val="20"/>
        </w:rPr>
      </w:pPr>
      <w:r w:rsidRPr="00EA00B2">
        <w:rPr>
          <w:rFonts w:ascii="Arial" w:hAnsi="Arial" w:cs="Arial"/>
          <w:b/>
          <w:sz w:val="20"/>
          <w:szCs w:val="20"/>
        </w:rPr>
        <w:t>Zamówienia podmiotów pozatransportowych</w:t>
      </w:r>
      <w:r w:rsidR="001E6134" w:rsidRPr="00EA00B2">
        <w:rPr>
          <w:rFonts w:ascii="Arial" w:hAnsi="Arial" w:cs="Arial"/>
          <w:b/>
          <w:sz w:val="20"/>
          <w:szCs w:val="20"/>
        </w:rPr>
        <w:t xml:space="preserve"> </w:t>
      </w:r>
      <w:r w:rsidRPr="00F2475E">
        <w:rPr>
          <w:rFonts w:ascii="Arial" w:hAnsi="Arial" w:cs="Arial"/>
          <w:sz w:val="20"/>
          <w:szCs w:val="20"/>
        </w:rPr>
        <w:t xml:space="preserve">- </w:t>
      </w:r>
      <w:r w:rsidR="000C3B0F" w:rsidRPr="00F2475E">
        <w:rPr>
          <w:rFonts w:ascii="Arial" w:hAnsi="Arial" w:cs="Arial"/>
          <w:sz w:val="20"/>
          <w:szCs w:val="20"/>
        </w:rPr>
        <w:t xml:space="preserve">Cześć I, </w:t>
      </w:r>
    </w:p>
    <w:p w:rsidR="00D17DD1" w:rsidRPr="001E6134" w:rsidRDefault="00D17DD1" w:rsidP="001E6134">
      <w:pPr>
        <w:spacing w:after="120" w:line="240" w:lineRule="exact"/>
        <w:ind w:left="426"/>
        <w:jc w:val="both"/>
        <w:rPr>
          <w:rFonts w:ascii="Arial" w:hAnsi="Arial" w:cs="Arial"/>
          <w:sz w:val="20"/>
          <w:szCs w:val="20"/>
        </w:rPr>
      </w:pPr>
      <w:r w:rsidRPr="001E6134">
        <w:rPr>
          <w:rFonts w:ascii="Arial" w:hAnsi="Arial" w:cs="Arial"/>
          <w:sz w:val="20"/>
          <w:szCs w:val="20"/>
        </w:rPr>
        <w:t xml:space="preserve">2) art. 4 lit. b dyrektywy 2014/24/UE, w przypadku udzielania zamówień klasycznych </w:t>
      </w:r>
      <w:r w:rsidR="001E6134">
        <w:rPr>
          <w:rFonts w:ascii="Arial" w:hAnsi="Arial" w:cs="Arial"/>
          <w:sz w:val="20"/>
          <w:szCs w:val="20"/>
        </w:rPr>
        <w:t>na dostawy i </w:t>
      </w:r>
      <w:r w:rsidRPr="001E6134">
        <w:rPr>
          <w:rFonts w:ascii="Arial" w:hAnsi="Arial" w:cs="Arial"/>
          <w:sz w:val="20"/>
          <w:szCs w:val="20"/>
        </w:rPr>
        <w:t>usługi lub organizowania konkursów przez zamawiających publicznych, o których mowa w art. 4 pkt 1 ustawy</w:t>
      </w:r>
      <w:r w:rsidR="001E6134">
        <w:rPr>
          <w:rFonts w:ascii="Arial" w:hAnsi="Arial" w:cs="Arial"/>
          <w:sz w:val="20"/>
          <w:szCs w:val="20"/>
        </w:rPr>
        <w:t xml:space="preserve"> PZP</w:t>
      </w:r>
      <w:r w:rsidRPr="001E6134">
        <w:rPr>
          <w:rFonts w:ascii="Arial" w:hAnsi="Arial" w:cs="Arial"/>
          <w:sz w:val="20"/>
          <w:szCs w:val="20"/>
        </w:rPr>
        <w:t>, będących jednostkami sektora finansów publicznych, z wyłączeniem uczelni publicznych, państwowych instytucji kultury, jednostek samorządu terytorialnego oraz ich związków, jednostek sektora finansów publicznych, dla których organem założycielskim lub nadzorującym jest jednostka samorządu terytorialnego, a także przez zamawiających publicznych, o których mowa w art. 4 pkt 2 ustawy</w:t>
      </w:r>
      <w:r w:rsidR="001E6134" w:rsidRPr="001E6134">
        <w:rPr>
          <w:rFonts w:ascii="Arial" w:hAnsi="Arial" w:cs="Arial"/>
          <w:sz w:val="20"/>
          <w:szCs w:val="20"/>
        </w:rPr>
        <w:t xml:space="preserve"> PZP</w:t>
      </w:r>
      <w:r w:rsidRPr="001E6134">
        <w:rPr>
          <w:rFonts w:ascii="Arial" w:hAnsi="Arial" w:cs="Arial"/>
          <w:sz w:val="20"/>
          <w:szCs w:val="20"/>
        </w:rPr>
        <w:t xml:space="preserve">, będących państwowymi jednostkami organizacyjnymi nieposiadającymi osobowości prawnej – wynosi </w:t>
      </w:r>
      <w:r w:rsidR="00B30F94">
        <w:rPr>
          <w:rFonts w:ascii="Arial" w:hAnsi="Arial" w:cs="Arial"/>
          <w:b/>
          <w:sz w:val="20"/>
          <w:szCs w:val="20"/>
        </w:rPr>
        <w:t>140</w:t>
      </w:r>
      <w:r w:rsidRPr="001E6134">
        <w:rPr>
          <w:rFonts w:ascii="Arial" w:hAnsi="Arial" w:cs="Arial"/>
          <w:b/>
          <w:sz w:val="20"/>
          <w:szCs w:val="20"/>
        </w:rPr>
        <w:t xml:space="preserve"> 000 euro</w:t>
      </w:r>
      <w:r w:rsidRPr="001E6134">
        <w:rPr>
          <w:rFonts w:ascii="Arial" w:hAnsi="Arial" w:cs="Arial"/>
          <w:sz w:val="20"/>
          <w:szCs w:val="20"/>
        </w:rPr>
        <w:t xml:space="preserve">, co stanowi równowartość kwoty </w:t>
      </w:r>
      <w:r w:rsidR="00B30F94">
        <w:rPr>
          <w:rFonts w:ascii="Arial" w:hAnsi="Arial" w:cs="Arial"/>
          <w:b/>
          <w:sz w:val="20"/>
          <w:szCs w:val="20"/>
        </w:rPr>
        <w:t>623</w:t>
      </w:r>
      <w:r w:rsidRPr="001E6134">
        <w:rPr>
          <w:rFonts w:ascii="Arial" w:hAnsi="Arial" w:cs="Arial"/>
          <w:b/>
          <w:sz w:val="20"/>
          <w:szCs w:val="20"/>
        </w:rPr>
        <w:t xml:space="preserve"> </w:t>
      </w:r>
      <w:r w:rsidR="00B30F94">
        <w:rPr>
          <w:rFonts w:ascii="Arial" w:hAnsi="Arial" w:cs="Arial"/>
          <w:b/>
          <w:sz w:val="20"/>
          <w:szCs w:val="20"/>
        </w:rPr>
        <w:t>504</w:t>
      </w:r>
      <w:r w:rsidRPr="001E6134">
        <w:rPr>
          <w:rFonts w:ascii="Arial" w:hAnsi="Arial" w:cs="Arial"/>
          <w:b/>
          <w:sz w:val="20"/>
          <w:szCs w:val="20"/>
        </w:rPr>
        <w:t xml:space="preserve"> zł</w:t>
      </w:r>
      <w:r w:rsidRPr="001E6134">
        <w:rPr>
          <w:rFonts w:ascii="Arial" w:hAnsi="Arial" w:cs="Arial"/>
          <w:sz w:val="20"/>
          <w:szCs w:val="20"/>
        </w:rPr>
        <w:t>;</w:t>
      </w:r>
    </w:p>
    <w:p w:rsidR="00D17DD1" w:rsidRPr="001E6134" w:rsidRDefault="00D17DD1" w:rsidP="001E6134">
      <w:pPr>
        <w:spacing w:after="120" w:line="240" w:lineRule="exact"/>
        <w:ind w:left="426"/>
        <w:jc w:val="both"/>
        <w:rPr>
          <w:rFonts w:ascii="Arial" w:hAnsi="Arial" w:cs="Arial"/>
          <w:sz w:val="20"/>
          <w:szCs w:val="20"/>
        </w:rPr>
      </w:pPr>
      <w:r w:rsidRPr="001E6134">
        <w:rPr>
          <w:rFonts w:ascii="Arial" w:hAnsi="Arial" w:cs="Arial"/>
          <w:sz w:val="20"/>
          <w:szCs w:val="20"/>
        </w:rPr>
        <w:t>3) art. 4 lit. c dyrektywy 2014/24/UE, w przypadku udzielania za</w:t>
      </w:r>
      <w:r w:rsidR="001E6134">
        <w:rPr>
          <w:rFonts w:ascii="Arial" w:hAnsi="Arial" w:cs="Arial"/>
          <w:sz w:val="20"/>
          <w:szCs w:val="20"/>
        </w:rPr>
        <w:t>mówień klasycznych na dostawy i </w:t>
      </w:r>
      <w:r w:rsidRPr="001E6134">
        <w:rPr>
          <w:rFonts w:ascii="Arial" w:hAnsi="Arial" w:cs="Arial"/>
          <w:sz w:val="20"/>
          <w:szCs w:val="20"/>
        </w:rPr>
        <w:t>usługi lub organizowania konkursów przez zamawiających publicznych, innych</w:t>
      </w:r>
      <w:r w:rsidR="00EA00B2">
        <w:rPr>
          <w:rFonts w:ascii="Arial" w:hAnsi="Arial" w:cs="Arial"/>
          <w:sz w:val="20"/>
          <w:szCs w:val="20"/>
        </w:rPr>
        <w:t xml:space="preserve"> niż określeni w </w:t>
      </w:r>
      <w:r w:rsidR="001E6134">
        <w:rPr>
          <w:rFonts w:ascii="Arial" w:hAnsi="Arial" w:cs="Arial"/>
          <w:sz w:val="20"/>
          <w:szCs w:val="20"/>
        </w:rPr>
        <w:t>pkt </w:t>
      </w:r>
      <w:r w:rsidRPr="001E6134">
        <w:rPr>
          <w:rFonts w:ascii="Arial" w:hAnsi="Arial" w:cs="Arial"/>
          <w:sz w:val="20"/>
          <w:szCs w:val="20"/>
        </w:rPr>
        <w:t xml:space="preserve">2 – wynosi </w:t>
      </w:r>
      <w:r w:rsidR="00B30F94">
        <w:rPr>
          <w:rFonts w:ascii="Arial" w:hAnsi="Arial" w:cs="Arial"/>
          <w:b/>
          <w:sz w:val="20"/>
          <w:szCs w:val="20"/>
        </w:rPr>
        <w:t>215</w:t>
      </w:r>
      <w:r w:rsidRPr="001E6134">
        <w:rPr>
          <w:rFonts w:ascii="Arial" w:hAnsi="Arial" w:cs="Arial"/>
          <w:b/>
          <w:sz w:val="20"/>
          <w:szCs w:val="20"/>
        </w:rPr>
        <w:t xml:space="preserve"> 000 euro</w:t>
      </w:r>
      <w:r w:rsidRPr="001E6134">
        <w:rPr>
          <w:rFonts w:ascii="Arial" w:hAnsi="Arial" w:cs="Arial"/>
          <w:sz w:val="20"/>
          <w:szCs w:val="20"/>
        </w:rPr>
        <w:t xml:space="preserve">, co stanowi równowartość kwoty </w:t>
      </w:r>
      <w:r w:rsidR="00B30F94">
        <w:rPr>
          <w:rFonts w:ascii="Arial" w:hAnsi="Arial" w:cs="Arial"/>
          <w:b/>
          <w:sz w:val="20"/>
          <w:szCs w:val="20"/>
        </w:rPr>
        <w:t>957</w:t>
      </w:r>
      <w:r w:rsidRPr="001E6134">
        <w:rPr>
          <w:rFonts w:ascii="Arial" w:hAnsi="Arial" w:cs="Arial"/>
          <w:b/>
          <w:sz w:val="20"/>
          <w:szCs w:val="20"/>
        </w:rPr>
        <w:t xml:space="preserve"> </w:t>
      </w:r>
      <w:r w:rsidR="00B30F94">
        <w:rPr>
          <w:rFonts w:ascii="Arial" w:hAnsi="Arial" w:cs="Arial"/>
          <w:b/>
          <w:sz w:val="20"/>
          <w:szCs w:val="20"/>
        </w:rPr>
        <w:t>524</w:t>
      </w:r>
      <w:r w:rsidRPr="001E6134">
        <w:rPr>
          <w:rFonts w:ascii="Arial" w:hAnsi="Arial" w:cs="Arial"/>
          <w:b/>
          <w:sz w:val="20"/>
          <w:szCs w:val="20"/>
        </w:rPr>
        <w:t xml:space="preserve"> zł</w:t>
      </w:r>
      <w:r w:rsidRPr="001E6134">
        <w:rPr>
          <w:rFonts w:ascii="Arial" w:hAnsi="Arial" w:cs="Arial"/>
          <w:sz w:val="20"/>
          <w:szCs w:val="20"/>
        </w:rPr>
        <w:t>;</w:t>
      </w:r>
    </w:p>
    <w:p w:rsidR="001E6134" w:rsidRPr="001E6134" w:rsidRDefault="00D5606F" w:rsidP="00D5606F">
      <w:pPr>
        <w:pStyle w:val="Akapitzlist"/>
        <w:numPr>
          <w:ilvl w:val="0"/>
          <w:numId w:val="1"/>
        </w:numPr>
        <w:spacing w:after="120" w:line="240" w:lineRule="exact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EA00B2">
        <w:rPr>
          <w:rFonts w:ascii="Arial" w:hAnsi="Arial" w:cs="Arial"/>
          <w:b/>
          <w:sz w:val="20"/>
          <w:szCs w:val="20"/>
        </w:rPr>
        <w:t>Zamówienia podmiotów transportowych</w:t>
      </w:r>
      <w:r w:rsidRPr="00F2475E">
        <w:rPr>
          <w:rFonts w:ascii="Arial" w:hAnsi="Arial" w:cs="Arial"/>
          <w:sz w:val="20"/>
          <w:szCs w:val="20"/>
        </w:rPr>
        <w:t xml:space="preserve"> - </w:t>
      </w:r>
      <w:r w:rsidR="000C3B0F" w:rsidRPr="00F2475E">
        <w:rPr>
          <w:rFonts w:ascii="Arial" w:hAnsi="Arial" w:cs="Arial"/>
          <w:sz w:val="20"/>
          <w:szCs w:val="20"/>
        </w:rPr>
        <w:t xml:space="preserve">Część III, </w:t>
      </w:r>
    </w:p>
    <w:p w:rsidR="00D17DD1" w:rsidRPr="00F2475E" w:rsidRDefault="000C3B0F" w:rsidP="001E6134">
      <w:pPr>
        <w:pStyle w:val="Akapitzlist"/>
        <w:spacing w:after="120" w:line="240" w:lineRule="exact"/>
        <w:ind w:left="426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F2475E">
        <w:rPr>
          <w:rFonts w:ascii="Arial" w:hAnsi="Arial" w:cs="Arial"/>
          <w:sz w:val="20"/>
          <w:szCs w:val="20"/>
        </w:rPr>
        <w:t xml:space="preserve">1) art. 15 lit. a dyrektywy Parlamentu Europejskiego i Rady </w:t>
      </w:r>
      <w:r w:rsidRPr="001E6134">
        <w:rPr>
          <w:rFonts w:ascii="Arial" w:hAnsi="Arial" w:cs="Arial"/>
          <w:sz w:val="20"/>
          <w:szCs w:val="20"/>
        </w:rPr>
        <w:t>2014/25/</w:t>
      </w:r>
      <w:r w:rsidR="001E6134">
        <w:rPr>
          <w:rFonts w:ascii="Arial" w:hAnsi="Arial" w:cs="Arial"/>
          <w:sz w:val="20"/>
          <w:szCs w:val="20"/>
        </w:rPr>
        <w:t>UE z dnia 26 lutego 2014 r. w </w:t>
      </w:r>
      <w:r w:rsidRPr="00F2475E">
        <w:rPr>
          <w:rFonts w:ascii="Arial" w:hAnsi="Arial" w:cs="Arial"/>
          <w:sz w:val="20"/>
          <w:szCs w:val="20"/>
        </w:rPr>
        <w:t>sprawie udzielania zamówień przez podmioty działające w sektorach gospodarki wodnej, energetyki, transportu i usług pocztowych, uchylającej dyrektywę 2004/17/WE, w przypadku udzielania zamówień sektorowych, o których mowa w art. 7 pkt 35 ustawy</w:t>
      </w:r>
      <w:r w:rsidR="001E6134">
        <w:rPr>
          <w:rFonts w:ascii="Arial" w:hAnsi="Arial" w:cs="Arial"/>
          <w:sz w:val="20"/>
          <w:szCs w:val="20"/>
        </w:rPr>
        <w:t xml:space="preserve"> PZP</w:t>
      </w:r>
      <w:r w:rsidRPr="00F2475E">
        <w:rPr>
          <w:rFonts w:ascii="Arial" w:hAnsi="Arial" w:cs="Arial"/>
          <w:sz w:val="20"/>
          <w:szCs w:val="20"/>
        </w:rPr>
        <w:t>,</w:t>
      </w:r>
      <w:r w:rsidR="001E6134">
        <w:rPr>
          <w:rFonts w:ascii="Arial" w:hAnsi="Arial" w:cs="Arial"/>
          <w:sz w:val="20"/>
          <w:szCs w:val="20"/>
        </w:rPr>
        <w:t xml:space="preserve"> </w:t>
      </w:r>
      <w:r w:rsidRPr="00F2475E">
        <w:rPr>
          <w:rFonts w:ascii="Arial" w:hAnsi="Arial" w:cs="Arial"/>
          <w:sz w:val="20"/>
          <w:szCs w:val="20"/>
        </w:rPr>
        <w:t xml:space="preserve">na dostawy i usługi lub organizowania konkursów przez zamawiających sektorowych – wynosi </w:t>
      </w:r>
      <w:r w:rsidR="00B30F94">
        <w:rPr>
          <w:rFonts w:ascii="Arial" w:hAnsi="Arial" w:cs="Arial"/>
          <w:b/>
          <w:sz w:val="20"/>
          <w:szCs w:val="20"/>
        </w:rPr>
        <w:t>431 </w:t>
      </w:r>
      <w:r w:rsidRPr="00F2475E">
        <w:rPr>
          <w:rFonts w:ascii="Arial" w:hAnsi="Arial" w:cs="Arial"/>
          <w:b/>
          <w:sz w:val="20"/>
          <w:szCs w:val="20"/>
        </w:rPr>
        <w:t>000</w:t>
      </w:r>
      <w:r w:rsidR="00B30F94">
        <w:rPr>
          <w:rFonts w:ascii="Arial" w:hAnsi="Arial" w:cs="Arial"/>
          <w:b/>
          <w:sz w:val="20"/>
          <w:szCs w:val="20"/>
        </w:rPr>
        <w:t> </w:t>
      </w:r>
      <w:r w:rsidRPr="00F2475E">
        <w:rPr>
          <w:rFonts w:ascii="Arial" w:hAnsi="Arial" w:cs="Arial"/>
          <w:b/>
          <w:sz w:val="20"/>
          <w:szCs w:val="20"/>
        </w:rPr>
        <w:t>euro</w:t>
      </w:r>
      <w:r w:rsidR="001E6134">
        <w:rPr>
          <w:rFonts w:ascii="Arial" w:hAnsi="Arial" w:cs="Arial"/>
          <w:sz w:val="20"/>
          <w:szCs w:val="20"/>
        </w:rPr>
        <w:t>, co </w:t>
      </w:r>
      <w:r w:rsidRPr="00F2475E">
        <w:rPr>
          <w:rFonts w:ascii="Arial" w:hAnsi="Arial" w:cs="Arial"/>
          <w:sz w:val="20"/>
          <w:szCs w:val="20"/>
        </w:rPr>
        <w:t xml:space="preserve">stanowi równowartość kwoty </w:t>
      </w:r>
      <w:r w:rsidRPr="00F2475E">
        <w:rPr>
          <w:rFonts w:ascii="Arial" w:hAnsi="Arial" w:cs="Arial"/>
          <w:b/>
          <w:sz w:val="20"/>
          <w:szCs w:val="20"/>
        </w:rPr>
        <w:t xml:space="preserve">1 </w:t>
      </w:r>
      <w:r w:rsidR="00B30F94">
        <w:rPr>
          <w:rFonts w:ascii="Arial" w:hAnsi="Arial" w:cs="Arial"/>
          <w:b/>
          <w:sz w:val="20"/>
          <w:szCs w:val="20"/>
        </w:rPr>
        <w:t>919</w:t>
      </w:r>
      <w:r w:rsidRPr="00F2475E">
        <w:rPr>
          <w:rFonts w:ascii="Arial" w:hAnsi="Arial" w:cs="Arial"/>
          <w:b/>
          <w:sz w:val="20"/>
          <w:szCs w:val="20"/>
        </w:rPr>
        <w:t xml:space="preserve"> </w:t>
      </w:r>
      <w:r w:rsidR="00B30F94">
        <w:rPr>
          <w:rFonts w:ascii="Arial" w:hAnsi="Arial" w:cs="Arial"/>
          <w:b/>
          <w:sz w:val="20"/>
          <w:szCs w:val="20"/>
        </w:rPr>
        <w:t>502</w:t>
      </w:r>
      <w:bookmarkStart w:id="0" w:name="_GoBack"/>
      <w:bookmarkEnd w:id="0"/>
      <w:r w:rsidRPr="00F2475E">
        <w:rPr>
          <w:rFonts w:ascii="Arial" w:hAnsi="Arial" w:cs="Arial"/>
          <w:b/>
          <w:sz w:val="20"/>
          <w:szCs w:val="20"/>
        </w:rPr>
        <w:t xml:space="preserve"> zł</w:t>
      </w:r>
      <w:r w:rsidR="00D5606F" w:rsidRPr="00F2475E">
        <w:rPr>
          <w:rFonts w:ascii="Arial" w:hAnsi="Arial" w:cs="Arial"/>
          <w:b/>
          <w:sz w:val="20"/>
          <w:szCs w:val="20"/>
        </w:rPr>
        <w:t>.</w:t>
      </w:r>
    </w:p>
    <w:p w:rsidR="00D5606F" w:rsidRPr="00F2475E" w:rsidRDefault="00D5606F" w:rsidP="00D5606F">
      <w:pPr>
        <w:spacing w:after="120" w:line="240" w:lineRule="exact"/>
        <w:jc w:val="both"/>
        <w:rPr>
          <w:rFonts w:ascii="Arial" w:hAnsi="Arial" w:cs="Arial"/>
          <w:b/>
          <w:sz w:val="20"/>
          <w:szCs w:val="20"/>
        </w:rPr>
      </w:pPr>
    </w:p>
    <w:p w:rsidR="001E6134" w:rsidRDefault="001E6134" w:rsidP="001E6134">
      <w:pPr>
        <w:spacing w:after="120" w:line="240" w:lineRule="exact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PROGI DOT. PUBLICZNEGO TRANSPORTU ZBIOROWEGO</w:t>
      </w:r>
    </w:p>
    <w:p w:rsidR="00D17DD1" w:rsidRPr="00F2475E" w:rsidRDefault="001E6134" w:rsidP="00D5606F">
      <w:pPr>
        <w:spacing w:after="120" w:line="240" w:lineRule="exact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Wymogi ustawy </w:t>
      </w:r>
      <w:r w:rsidR="00EA00B2">
        <w:rPr>
          <w:rFonts w:ascii="Arial" w:hAnsi="Arial" w:cs="Arial"/>
          <w:sz w:val="20"/>
          <w:szCs w:val="20"/>
        </w:rPr>
        <w:t>odnoszą się do</w:t>
      </w:r>
      <w:r w:rsidRPr="001E6134">
        <w:rPr>
          <w:rFonts w:ascii="Arial" w:hAnsi="Arial" w:cs="Arial"/>
          <w:sz w:val="20"/>
          <w:szCs w:val="20"/>
        </w:rPr>
        <w:t xml:space="preserve"> usług w zakresie drogowego publ</w:t>
      </w:r>
      <w:r w:rsidR="00EA00B2">
        <w:rPr>
          <w:rFonts w:ascii="Arial" w:hAnsi="Arial" w:cs="Arial"/>
          <w:sz w:val="20"/>
          <w:szCs w:val="20"/>
        </w:rPr>
        <w:t>icznego transportu zbiorowego o </w:t>
      </w:r>
      <w:r w:rsidRPr="001E6134">
        <w:rPr>
          <w:rFonts w:ascii="Arial" w:hAnsi="Arial" w:cs="Arial"/>
          <w:sz w:val="20"/>
          <w:szCs w:val="20"/>
        </w:rPr>
        <w:t xml:space="preserve">wartości przekraczającej wartość progową określoną w art. 5 ust. 4 </w:t>
      </w:r>
      <w:r w:rsidR="00D17DD1" w:rsidRPr="00EA00B2">
        <w:rPr>
          <w:rFonts w:ascii="Arial" w:hAnsi="Arial" w:cs="Arial"/>
          <w:i/>
          <w:color w:val="0070C0"/>
          <w:sz w:val="20"/>
          <w:szCs w:val="20"/>
        </w:rPr>
        <w:t>ROZPORZĄDZENIE (WE) NR 1370/2007 PARLAMENTU EUROPEJSKIEGO I RADY z dnia 23 października 2007 r. dotyczące usług publicznych w zakresie kolejowego i drogowego transportu pasażerskiego oraz uchylające rozporządzenia Rady (EWG) nr 1191/69 i (EWG) nr 1107/70</w:t>
      </w:r>
      <w:r w:rsidR="00D5606F" w:rsidRPr="00EA00B2">
        <w:rPr>
          <w:rFonts w:ascii="Arial" w:hAnsi="Arial" w:cs="Arial"/>
          <w:i/>
          <w:color w:val="0070C0"/>
          <w:sz w:val="20"/>
          <w:szCs w:val="20"/>
        </w:rPr>
        <w:t>.</w:t>
      </w:r>
    </w:p>
    <w:p w:rsidR="00D17DD1" w:rsidRPr="00F2475E" w:rsidRDefault="00D17DD1" w:rsidP="00D5606F">
      <w:pPr>
        <w:spacing w:after="120" w:line="240" w:lineRule="exact"/>
        <w:jc w:val="both"/>
        <w:rPr>
          <w:rFonts w:ascii="Arial" w:hAnsi="Arial" w:cs="Arial"/>
          <w:sz w:val="20"/>
          <w:szCs w:val="20"/>
        </w:rPr>
      </w:pPr>
      <w:r w:rsidRPr="00F2475E">
        <w:rPr>
          <w:rFonts w:ascii="Arial" w:hAnsi="Arial" w:cs="Arial"/>
          <w:sz w:val="20"/>
          <w:szCs w:val="20"/>
        </w:rPr>
        <w:t>Artykuł 5 ust. 4.</w:t>
      </w:r>
    </w:p>
    <w:p w:rsidR="00D52B6A" w:rsidRPr="00F2475E" w:rsidRDefault="00D17DD1" w:rsidP="00D52B6A">
      <w:pPr>
        <w:pStyle w:val="Akapitzlist"/>
        <w:numPr>
          <w:ilvl w:val="0"/>
          <w:numId w:val="1"/>
        </w:numPr>
        <w:spacing w:after="120" w:line="240" w:lineRule="exact"/>
        <w:contextualSpacing w:val="0"/>
        <w:jc w:val="both"/>
        <w:rPr>
          <w:rFonts w:ascii="Arial" w:hAnsi="Arial" w:cs="Arial"/>
          <w:sz w:val="20"/>
          <w:szCs w:val="20"/>
        </w:rPr>
      </w:pPr>
      <w:r w:rsidRPr="00F2475E">
        <w:rPr>
          <w:rFonts w:ascii="Arial" w:hAnsi="Arial" w:cs="Arial"/>
          <w:sz w:val="20"/>
          <w:szCs w:val="20"/>
        </w:rPr>
        <w:t xml:space="preserve">ile nie zabrania tego prawo krajowe, właściwe organy mogą podjąć decyzję o bezpośrednim udzieleniu zamówień pro wadzących do zawarcia umów o świadczenie usług publicznych, których średnia wartość roczna szacowana jest na </w:t>
      </w:r>
      <w:r w:rsidRPr="00EA00B2">
        <w:rPr>
          <w:rFonts w:ascii="Arial" w:hAnsi="Arial" w:cs="Arial"/>
          <w:sz w:val="20"/>
          <w:szCs w:val="20"/>
        </w:rPr>
        <w:t>mniej niż</w:t>
      </w:r>
      <w:r w:rsidRPr="00F2475E">
        <w:rPr>
          <w:rFonts w:ascii="Arial" w:hAnsi="Arial" w:cs="Arial"/>
          <w:b/>
          <w:sz w:val="20"/>
          <w:szCs w:val="20"/>
        </w:rPr>
        <w:t xml:space="preserve"> 1 000 000 EUR</w:t>
      </w:r>
      <w:r w:rsidRPr="00F2475E">
        <w:rPr>
          <w:rFonts w:ascii="Arial" w:hAnsi="Arial" w:cs="Arial"/>
          <w:sz w:val="20"/>
          <w:szCs w:val="20"/>
        </w:rPr>
        <w:t xml:space="preserve"> lub które dotyczą świadczenia usług publicznych w zakresie transportu pasażerskiego w wymiarze mniejszym niż 300 000 kilometrów rocznie.</w:t>
      </w:r>
    </w:p>
    <w:p w:rsidR="00D52B6A" w:rsidRPr="00F2475E" w:rsidRDefault="00D52B6A" w:rsidP="003D03C4">
      <w:pPr>
        <w:pStyle w:val="Akapitzlist"/>
        <w:numPr>
          <w:ilvl w:val="0"/>
          <w:numId w:val="1"/>
        </w:numPr>
        <w:spacing w:after="120" w:line="240" w:lineRule="exact"/>
        <w:contextualSpacing w:val="0"/>
        <w:jc w:val="both"/>
        <w:rPr>
          <w:rFonts w:ascii="Arial" w:hAnsi="Arial" w:cs="Arial"/>
          <w:sz w:val="20"/>
          <w:szCs w:val="20"/>
        </w:rPr>
      </w:pPr>
      <w:r w:rsidRPr="00F2475E">
        <w:rPr>
          <w:rFonts w:ascii="Arial" w:hAnsi="Arial" w:cs="Arial"/>
          <w:sz w:val="20"/>
          <w:szCs w:val="20"/>
        </w:rPr>
        <w:t>O ile nie zabrania tego prawo krajowe, właściwe organy mogą podjąć decyzję o bezpośrednim udzieleniu zamówień prowadzących do zawarcia umów o świadczenie usług publicznych, których średnia wartość roczna szacowana jest na mniej niż 1 000 000 EUR lub które dotyczą świadczenia usług publicznych w zakresie transportu pasażerskiego w wymiarze mniejszym niż 300 000 kilometrów rocznie. Jeżeli udzielone bezpośrednio zamówienie</w:t>
      </w:r>
      <w:r w:rsidR="00EA00B2">
        <w:rPr>
          <w:rFonts w:ascii="Arial" w:hAnsi="Arial" w:cs="Arial"/>
          <w:sz w:val="20"/>
          <w:szCs w:val="20"/>
        </w:rPr>
        <w:t xml:space="preserve"> prowadzące do zawarcia umowy o </w:t>
      </w:r>
      <w:r w:rsidRPr="00F2475E">
        <w:rPr>
          <w:rFonts w:ascii="Arial" w:hAnsi="Arial" w:cs="Arial"/>
          <w:sz w:val="20"/>
          <w:szCs w:val="20"/>
        </w:rPr>
        <w:t xml:space="preserve">świadczenie usług publicznych dotyczy małego lub średniego przedsiębiorstwa eksploatującego nie więcej niż 23 pojazdy, progi te mogą zostać podwyższone do średniej wartości rocznej szacowanej na nie więcej niż </w:t>
      </w:r>
      <w:r w:rsidRPr="00F2475E">
        <w:rPr>
          <w:rFonts w:ascii="Arial" w:hAnsi="Arial" w:cs="Arial"/>
          <w:b/>
          <w:sz w:val="20"/>
          <w:szCs w:val="20"/>
        </w:rPr>
        <w:t>2 000 000 EUR</w:t>
      </w:r>
      <w:r w:rsidRPr="00F2475E">
        <w:rPr>
          <w:rFonts w:ascii="Arial" w:hAnsi="Arial" w:cs="Arial"/>
          <w:sz w:val="20"/>
          <w:szCs w:val="20"/>
        </w:rPr>
        <w:t xml:space="preserve"> lub świadczenia usług publicznych w zakresie transportu pasażerskiego w wymiarze mniejszym niż 600 000 kilometrów rocznie.</w:t>
      </w:r>
    </w:p>
    <w:sectPr w:rsidR="00D52B6A" w:rsidRPr="00F247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A355C"/>
    <w:multiLevelType w:val="hybridMultilevel"/>
    <w:tmpl w:val="CFB028B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4049C"/>
    <w:multiLevelType w:val="hybridMultilevel"/>
    <w:tmpl w:val="F62CC1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0E07B3"/>
    <w:multiLevelType w:val="hybridMultilevel"/>
    <w:tmpl w:val="16BC7E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B926C1B"/>
    <w:multiLevelType w:val="hybridMultilevel"/>
    <w:tmpl w:val="14E0380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DD1"/>
    <w:rsid w:val="000C3B0F"/>
    <w:rsid w:val="001E6134"/>
    <w:rsid w:val="00225606"/>
    <w:rsid w:val="002C4EB8"/>
    <w:rsid w:val="003A33EF"/>
    <w:rsid w:val="006A5BF5"/>
    <w:rsid w:val="00795C17"/>
    <w:rsid w:val="007D0816"/>
    <w:rsid w:val="00A043E1"/>
    <w:rsid w:val="00A352C8"/>
    <w:rsid w:val="00A47837"/>
    <w:rsid w:val="00B30F94"/>
    <w:rsid w:val="00C7767D"/>
    <w:rsid w:val="00D17DD1"/>
    <w:rsid w:val="00D52B6A"/>
    <w:rsid w:val="00D5606F"/>
    <w:rsid w:val="00E06C12"/>
    <w:rsid w:val="00EA00B2"/>
    <w:rsid w:val="00EF77C9"/>
    <w:rsid w:val="00F24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832DDF-8135-4FFD-99B7-33B26A76B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17DD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E61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21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sap.sejm.gov.pl/isap.nsf/DocDetails.xsp?id=WMP2021000117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534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Infrastruktury i Budownictwa</Company>
  <LinksUpToDate>false</LinksUpToDate>
  <CharactersWithSpaces>3736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Siemiński Andrzej</dc:creator>
  <cp:keywords/>
  <dc:description/>
  <cp:lastModifiedBy>Wieclawska Wieslawa</cp:lastModifiedBy>
  <cp:revision>3</cp:revision>
  <dcterms:created xsi:type="dcterms:W3CDTF">2022-01-10T09:49:00Z</dcterms:created>
  <dcterms:modified xsi:type="dcterms:W3CDTF">2022-01-10T09:52:00Z</dcterms:modified>
</cp:coreProperties>
</file>