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FE19C7" w14:textId="77777777" w:rsidR="002D39BE" w:rsidRPr="00013DE7" w:rsidRDefault="002D39BE" w:rsidP="002D39BE">
      <w:pPr>
        <w:pStyle w:val="Bezodstpw"/>
        <w:jc w:val="center"/>
        <w:rPr>
          <w:b/>
          <w:bCs/>
        </w:rPr>
      </w:pPr>
      <w:r w:rsidRPr="00013DE7">
        <w:rPr>
          <w:b/>
          <w:bCs/>
        </w:rPr>
        <w:t>Opis Przedmiotu Zamówienia</w:t>
      </w:r>
    </w:p>
    <w:p w14:paraId="6C674CFA" w14:textId="77777777" w:rsidR="002D39BE" w:rsidRPr="002D39BE" w:rsidRDefault="002D39BE" w:rsidP="002D39BE">
      <w:pPr>
        <w:pStyle w:val="Bezodstpw"/>
        <w:jc w:val="center"/>
      </w:pPr>
    </w:p>
    <w:p w14:paraId="366663AD" w14:textId="77777777" w:rsidR="002D39BE" w:rsidRPr="003104F0" w:rsidRDefault="002D39BE" w:rsidP="002D39BE">
      <w:pPr>
        <w:pStyle w:val="Bezodstpw"/>
        <w:rPr>
          <w:b/>
          <w:bCs/>
        </w:rPr>
      </w:pPr>
    </w:p>
    <w:p w14:paraId="32316336" w14:textId="37A551DB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§1</w:t>
      </w:r>
    </w:p>
    <w:p w14:paraId="353E762A" w14:textId="7C67B901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Przedmiot zamówienia</w:t>
      </w:r>
    </w:p>
    <w:p w14:paraId="4C53FD99" w14:textId="63F90784" w:rsidR="002D39BE" w:rsidRPr="002D39BE" w:rsidRDefault="004819D3" w:rsidP="004819D3">
      <w:pPr>
        <w:pStyle w:val="Bezodstpw"/>
        <w:ind w:firstLine="708"/>
      </w:pPr>
      <w:r w:rsidRPr="004819D3">
        <w:t xml:space="preserve">Przeprowadzenie audytu zgodnego z wymaganiami Krajowych Ram Interoperacyjności (KRI) dla systemów teleinformatycznych oraz procesów zarządzania bezpieczeństwem informacji w Urzędzie, zgodnie z </w:t>
      </w:r>
      <w:r w:rsidR="007504CB">
        <w:t>r</w:t>
      </w:r>
      <w:r w:rsidRPr="004819D3">
        <w:t xml:space="preserve">ozporządzeniem Rady Ministrów z dnia 21 maja 2024 r. </w:t>
      </w:r>
      <w:r w:rsidR="007504CB" w:rsidRPr="007504CB">
        <w:t xml:space="preserve">w sprawie Krajowych Ram Interoperacyjności, minimalnych wymagań dla rejestrów publicznych, wymiany informacji w postaci elektronicznej oraz minimalnych wymagań dla systemów teleinformatycznych </w:t>
      </w:r>
      <w:r w:rsidR="007504CB">
        <w:t xml:space="preserve">(Dz. U. z </w:t>
      </w:r>
      <w:r w:rsidRPr="004819D3">
        <w:t>2024</w:t>
      </w:r>
      <w:r w:rsidR="007504CB">
        <w:t xml:space="preserve"> r.</w:t>
      </w:r>
      <w:r w:rsidRPr="004819D3">
        <w:t xml:space="preserve"> poz. 773</w:t>
      </w:r>
      <w:r w:rsidR="007504CB">
        <w:t>, dalej rozporządzenie KRI)</w:t>
      </w:r>
      <w:r w:rsidRPr="004819D3">
        <w:t>.</w:t>
      </w:r>
      <w:r w:rsidR="007A30E8">
        <w:t xml:space="preserve"> Wsparcie merytoryczne po audytowe w ilości 40 godzin roboczych w celu dostosowania  Urzędu do wymagań KRI.</w:t>
      </w:r>
    </w:p>
    <w:p w14:paraId="7F1CE0BC" w14:textId="77777777" w:rsidR="004819D3" w:rsidRDefault="004819D3" w:rsidP="002D39BE">
      <w:pPr>
        <w:pStyle w:val="Bezodstpw"/>
        <w:jc w:val="center"/>
      </w:pPr>
    </w:p>
    <w:p w14:paraId="456F8F71" w14:textId="28FFF9BF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§2</w:t>
      </w:r>
    </w:p>
    <w:p w14:paraId="54C5AC81" w14:textId="2BB7CE3C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Cel audytu</w:t>
      </w:r>
    </w:p>
    <w:p w14:paraId="2CC4BBFD" w14:textId="6309F1F9" w:rsidR="002D39BE" w:rsidRDefault="004819D3" w:rsidP="004819D3">
      <w:pPr>
        <w:pStyle w:val="Bezodstpw"/>
        <w:ind w:firstLine="708"/>
      </w:pPr>
      <w:r w:rsidRPr="004819D3">
        <w:t xml:space="preserve">Celem audytu jest weryfikacja zgodności systemów teleinformatycznych, procedur i procesów zarządzania bezpieczeństwem informacji w Urzędzie z obowiązującymi przepisami określonymi w </w:t>
      </w:r>
      <w:r w:rsidR="007504CB">
        <w:t>r</w:t>
      </w:r>
      <w:r w:rsidRPr="004819D3">
        <w:t xml:space="preserve">ozporządzeniu </w:t>
      </w:r>
      <w:r w:rsidR="007504CB">
        <w:t>KRI</w:t>
      </w:r>
      <w:r w:rsidRPr="004819D3">
        <w:t>.</w:t>
      </w:r>
      <w:r>
        <w:t xml:space="preserve"> </w:t>
      </w:r>
      <w:r w:rsidR="00F855A9">
        <w:t>Szczegółowym celem audytu jest:</w:t>
      </w:r>
    </w:p>
    <w:p w14:paraId="5685AA98" w14:textId="0F94BFEB" w:rsidR="00F855A9" w:rsidRDefault="00F855A9" w:rsidP="00F855A9">
      <w:pPr>
        <w:pStyle w:val="Bezodstpw"/>
        <w:numPr>
          <w:ilvl w:val="0"/>
          <w:numId w:val="12"/>
        </w:numPr>
      </w:pPr>
      <w:r>
        <w:t>Identyfikacja potencjalnych niezgodności z wymaganiami rozporządzenia KRI.</w:t>
      </w:r>
    </w:p>
    <w:p w14:paraId="05978351" w14:textId="77777777" w:rsidR="00F855A9" w:rsidRDefault="00F855A9" w:rsidP="00F855A9">
      <w:pPr>
        <w:pStyle w:val="Bezodstpw"/>
        <w:numPr>
          <w:ilvl w:val="0"/>
          <w:numId w:val="12"/>
        </w:numPr>
      </w:pPr>
      <w:r>
        <w:t>Ocena wdrożonych środków technicznych i organizacyjnych w zakresie bezpieczeństwa systemów teleinformatycznych i ochrony danych.</w:t>
      </w:r>
    </w:p>
    <w:p w14:paraId="3697EDB8" w14:textId="77777777" w:rsidR="00F855A9" w:rsidRDefault="00F855A9" w:rsidP="00F855A9">
      <w:pPr>
        <w:pStyle w:val="Bezodstpw"/>
        <w:numPr>
          <w:ilvl w:val="0"/>
          <w:numId w:val="12"/>
        </w:numPr>
      </w:pPr>
      <w:r>
        <w:t>Przegląd i ocena polityki bezpieczeństwa, analizy ryzyka oraz zarządzania incydentami i ciągłością działania.</w:t>
      </w:r>
    </w:p>
    <w:p w14:paraId="24F65F4E" w14:textId="6BA1BB36" w:rsidR="00F855A9" w:rsidRDefault="00F855A9" w:rsidP="00F855A9">
      <w:pPr>
        <w:pStyle w:val="Bezodstpw"/>
        <w:numPr>
          <w:ilvl w:val="0"/>
          <w:numId w:val="12"/>
        </w:numPr>
      </w:pPr>
      <w:r>
        <w:t>Ocena zgodności systemów Urzędu z wymogami minimalnych standardów technicznych i organizacyjnych dotyczących interoperacyjności.</w:t>
      </w:r>
    </w:p>
    <w:p w14:paraId="1AEEA007" w14:textId="77777777" w:rsidR="00F855A9" w:rsidRDefault="00F855A9" w:rsidP="002D39BE">
      <w:pPr>
        <w:pStyle w:val="Bezodstpw"/>
        <w:jc w:val="center"/>
      </w:pPr>
    </w:p>
    <w:p w14:paraId="2CEF2D1A" w14:textId="0BA02D18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§3</w:t>
      </w:r>
    </w:p>
    <w:p w14:paraId="126CA7BD" w14:textId="0D15CC96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Zakres audytu</w:t>
      </w:r>
    </w:p>
    <w:p w14:paraId="6D6BB46E" w14:textId="77777777" w:rsidR="002D39BE" w:rsidRPr="002D39BE" w:rsidRDefault="002D39BE" w:rsidP="002D39BE">
      <w:pPr>
        <w:pStyle w:val="Bezodstpw"/>
      </w:pPr>
      <w:r w:rsidRPr="002D39BE">
        <w:t>Audyt obejmuje następujące obszary:</w:t>
      </w:r>
    </w:p>
    <w:p w14:paraId="3B0A06FA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Zgodność z minimalnymi wymaganiami KRI dla systemów teleinformatycznych:</w:t>
      </w:r>
    </w:p>
    <w:p w14:paraId="33E63ED8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Sprawdzenie, czy systemy informatyczne Urzędu spełniają minimalne wymogi w zakresie bezpieczeństwa, ochrony danych oraz zarządzania dostępem.</w:t>
      </w:r>
    </w:p>
    <w:p w14:paraId="3EDE71E1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Ocena wdrożonych mechanizmów kontrolnych, takich jak zabezpieczenia przed nieautoryzowanym dostępem, ochrona danych, kontrola dostępu, szyfrowanie danych oraz monitorowanie systemów.</w:t>
      </w:r>
    </w:p>
    <w:p w14:paraId="06E20489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Zgodność z minimalnymi wymaganiami dla rejestrów publicznych i wymiany informacji:</w:t>
      </w:r>
    </w:p>
    <w:p w14:paraId="0790DCF4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Weryfikacja, czy rejestry publiczne prowadzone przez Urząd są zgodne z wymogami interoperacyjności oraz czy proces wymiany informacji jest zgodny z obowiązującymi standardami.</w:t>
      </w:r>
    </w:p>
    <w:p w14:paraId="0D4026E4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Ocena bezpieczeństwa komunikacji między systemami, w tym wykorzystywanych protokołów i metod zabezpieczających.</w:t>
      </w:r>
    </w:p>
    <w:p w14:paraId="6EAEB97D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Polityka bezpieczeństwa informacji:</w:t>
      </w:r>
    </w:p>
    <w:p w14:paraId="6FBD46A6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Ocena zgodności wdrożonej polityki bezpieczeństwa informacji z KRI.</w:t>
      </w:r>
    </w:p>
    <w:p w14:paraId="696E7297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Sprawdzenie procedur dotyczących zarządzania dostępem, ochrony danych oraz monitorowania i wykrywania incydentów.</w:t>
      </w:r>
    </w:p>
    <w:p w14:paraId="10CBE1B2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Analiza ryzyka:</w:t>
      </w:r>
    </w:p>
    <w:p w14:paraId="2907973B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Weryfikacja, czy Urząd regularnie przeprowadza analizę ryzyka dotyczącą systemów teleinformatycznych oraz bezpieczeństwa informacji.</w:t>
      </w:r>
    </w:p>
    <w:p w14:paraId="41FCDDD6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Sprawdzenie dokumentacji analizy ryzyka oraz ocena skuteczności działań zaradczych.</w:t>
      </w:r>
    </w:p>
    <w:p w14:paraId="52F317AD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Zarządzanie incydentami bezpieczeństwa:</w:t>
      </w:r>
    </w:p>
    <w:p w14:paraId="039F708E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lastRenderedPageBreak/>
        <w:t>Ocena procedur zarządzania incydentami bezpieczeństwa w Urzędzie, w tym wykrywania, zgłaszania i reagowania na incydenty.</w:t>
      </w:r>
    </w:p>
    <w:p w14:paraId="7D77FB51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Przegląd procesów eskalacji oraz raportowania incydentów do odpowiednich organów.</w:t>
      </w:r>
    </w:p>
    <w:p w14:paraId="25847206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Zarządzanie ciągłością działania:</w:t>
      </w:r>
    </w:p>
    <w:p w14:paraId="011EE0EE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Weryfikacja, czy Urząd posiada plany ciągłości działania (BCP) oraz procedury awaryjne w przypadku wystąpienia incydentów lub awarii systemów.</w:t>
      </w:r>
    </w:p>
    <w:p w14:paraId="5FB54ED1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Sprawdzenie, czy plany te są regularnie testowane oraz aktualizowane w zależności od zmian w środowisku systemów teleinformatycznych.</w:t>
      </w:r>
    </w:p>
    <w:p w14:paraId="5EBB39E7" w14:textId="77777777" w:rsidR="00013DE7" w:rsidRDefault="002D39BE" w:rsidP="002D39BE">
      <w:pPr>
        <w:pStyle w:val="Bezodstpw"/>
        <w:numPr>
          <w:ilvl w:val="0"/>
          <w:numId w:val="8"/>
        </w:numPr>
      </w:pPr>
      <w:r w:rsidRPr="002D39BE">
        <w:t>Szkolenia i świadomość pracowników:</w:t>
      </w:r>
    </w:p>
    <w:p w14:paraId="42221DA4" w14:textId="77777777" w:rsidR="00013DE7" w:rsidRDefault="002D39BE" w:rsidP="002D39BE">
      <w:pPr>
        <w:pStyle w:val="Bezodstpw"/>
        <w:numPr>
          <w:ilvl w:val="1"/>
          <w:numId w:val="8"/>
        </w:numPr>
      </w:pPr>
      <w:r w:rsidRPr="002D39BE">
        <w:t>Ocena, czy Urząd organizuje regularne szkolenia dla pracowników dotyczące bezpieczeństwa informacji oraz zasad postępowania w sytuacjach incydentów.</w:t>
      </w:r>
    </w:p>
    <w:p w14:paraId="662AF7E1" w14:textId="77777777" w:rsidR="00013DE7" w:rsidRDefault="002D39BE" w:rsidP="00013DE7">
      <w:pPr>
        <w:pStyle w:val="Bezodstpw"/>
        <w:numPr>
          <w:ilvl w:val="0"/>
          <w:numId w:val="8"/>
        </w:numPr>
      </w:pPr>
      <w:r w:rsidRPr="002D39BE">
        <w:t>Ochrona danych osobowych:</w:t>
      </w:r>
    </w:p>
    <w:p w14:paraId="03B5C846" w14:textId="18CF5CE2" w:rsidR="002D39BE" w:rsidRPr="002D39BE" w:rsidRDefault="002D39BE" w:rsidP="002D39BE">
      <w:pPr>
        <w:pStyle w:val="Bezodstpw"/>
        <w:numPr>
          <w:ilvl w:val="1"/>
          <w:numId w:val="8"/>
        </w:numPr>
      </w:pPr>
      <w:r w:rsidRPr="002D39BE">
        <w:t>Sprawdzenie zgodności z przepisami dotyczącymi ochrony danych osobowych, w tym wdrożonych środków technicznych i organizacyjnych mających na celu ochronę danych osobowych przetwarzanych w Urzędzie.</w:t>
      </w:r>
    </w:p>
    <w:p w14:paraId="6FD0CB91" w14:textId="182598BF" w:rsidR="002D39BE" w:rsidRPr="00360ED1" w:rsidRDefault="002D39BE" w:rsidP="002D39BE">
      <w:pPr>
        <w:pStyle w:val="Bezodstpw"/>
        <w:rPr>
          <w:b/>
          <w:bCs/>
        </w:rPr>
      </w:pPr>
    </w:p>
    <w:p w14:paraId="0F148248" w14:textId="023D53B3" w:rsidR="00995F91" w:rsidRPr="00360ED1" w:rsidRDefault="00995F91" w:rsidP="002D39BE">
      <w:pPr>
        <w:pStyle w:val="Bezodstpw"/>
        <w:jc w:val="center"/>
        <w:rPr>
          <w:b/>
          <w:bCs/>
        </w:rPr>
      </w:pPr>
      <w:r w:rsidRPr="00360ED1">
        <w:rPr>
          <w:b/>
          <w:bCs/>
        </w:rPr>
        <w:t>§4</w:t>
      </w:r>
    </w:p>
    <w:p w14:paraId="2FDBFECB" w14:textId="24CEA69E" w:rsidR="00995F91" w:rsidRPr="00360ED1" w:rsidRDefault="00717074" w:rsidP="002D39BE">
      <w:pPr>
        <w:pStyle w:val="Bezodstpw"/>
        <w:jc w:val="center"/>
        <w:rPr>
          <w:b/>
          <w:bCs/>
        </w:rPr>
      </w:pPr>
      <w:r w:rsidRPr="00360ED1">
        <w:rPr>
          <w:b/>
          <w:bCs/>
        </w:rPr>
        <w:t>Zakres dodatkowy do realizacji</w:t>
      </w:r>
    </w:p>
    <w:p w14:paraId="0309B5B3" w14:textId="77777777" w:rsidR="00F8410C" w:rsidRDefault="00F8410C" w:rsidP="00F8410C">
      <w:pPr>
        <w:pStyle w:val="Bezodstpw"/>
        <w:numPr>
          <w:ilvl w:val="0"/>
          <w:numId w:val="21"/>
        </w:numPr>
      </w:pPr>
      <w:r>
        <w:t>Po przeprowadzeniu audytu, Wykonawca przekaże Zamawiającemu raport z audytu, który będzie zawierał:</w:t>
      </w:r>
    </w:p>
    <w:p w14:paraId="25E24452" w14:textId="77777777" w:rsidR="00F8410C" w:rsidRDefault="00F8410C" w:rsidP="00F8410C">
      <w:pPr>
        <w:pStyle w:val="Bezodstpw"/>
        <w:numPr>
          <w:ilvl w:val="1"/>
          <w:numId w:val="21"/>
        </w:numPr>
      </w:pPr>
      <w:r>
        <w:t>Szczegółowy opis stanu bezpieczeństwa systemów informatycznych oraz ich zgodności z wymogami KRI.</w:t>
      </w:r>
    </w:p>
    <w:p w14:paraId="0AC9C193" w14:textId="77777777" w:rsidR="00F8410C" w:rsidRDefault="00F8410C" w:rsidP="00F8410C">
      <w:pPr>
        <w:pStyle w:val="Bezodstpw"/>
        <w:numPr>
          <w:ilvl w:val="1"/>
          <w:numId w:val="21"/>
        </w:numPr>
      </w:pPr>
      <w:r>
        <w:t>Wskazanie zidentyfikowanych niezgodności oraz luk w systemach bezpieczeństwa informacji.</w:t>
      </w:r>
    </w:p>
    <w:p w14:paraId="1211FD49" w14:textId="77777777" w:rsidR="00F8410C" w:rsidRDefault="00F8410C" w:rsidP="00F8410C">
      <w:pPr>
        <w:pStyle w:val="Bezodstpw"/>
        <w:numPr>
          <w:ilvl w:val="1"/>
          <w:numId w:val="21"/>
        </w:numPr>
      </w:pPr>
      <w:r>
        <w:t>Rekomendacje dotyczące działań naprawczych mających na celu dostosowanie Urzędu do wymogów KRI.</w:t>
      </w:r>
    </w:p>
    <w:p w14:paraId="633A293A" w14:textId="442D1F2E" w:rsidR="00F8410C" w:rsidRDefault="00F8410C" w:rsidP="003104F0">
      <w:pPr>
        <w:pStyle w:val="Bezodstpw"/>
        <w:numPr>
          <w:ilvl w:val="1"/>
          <w:numId w:val="21"/>
        </w:numPr>
      </w:pPr>
      <w:r>
        <w:t>Opis kroków, jakie Zamawiający powinien podjąć, aby osiągnąć pełną zgodność z KRI, w tym wskazanie niezbędnych działań technicznych i organizacyjnych</w:t>
      </w:r>
    </w:p>
    <w:p w14:paraId="7545A0BC" w14:textId="4B42B9B8" w:rsidR="00F7730A" w:rsidRDefault="00F8410C" w:rsidP="00F7730A">
      <w:pPr>
        <w:pStyle w:val="Bezodstpw"/>
        <w:numPr>
          <w:ilvl w:val="0"/>
          <w:numId w:val="13"/>
        </w:numPr>
      </w:pPr>
      <w:r>
        <w:t>W ramach godzin konsultacyjnych f</w:t>
      </w:r>
      <w:r w:rsidRPr="00360ED1">
        <w:t xml:space="preserve">irma </w:t>
      </w:r>
      <w:r>
        <w:t xml:space="preserve">zapewni wsparcie w wykonaniu </w:t>
      </w:r>
      <w:r w:rsidR="00F7730A">
        <w:t>analizy ryzyka dla systemów teleinformatycznych i procesów:</w:t>
      </w:r>
    </w:p>
    <w:p w14:paraId="71C5610D" w14:textId="2AFD8484" w:rsidR="00F7730A" w:rsidRDefault="00F7730A" w:rsidP="00F7730A">
      <w:pPr>
        <w:pStyle w:val="Bezodstpw"/>
        <w:numPr>
          <w:ilvl w:val="1"/>
          <w:numId w:val="13"/>
        </w:numPr>
      </w:pPr>
      <w:r>
        <w:t>Firma audytorska</w:t>
      </w:r>
      <w:r w:rsidR="00F8410C">
        <w:t xml:space="preserve"> zapewni wsparcie merytoryczne dla </w:t>
      </w:r>
      <w:r>
        <w:t>przeprowadz</w:t>
      </w:r>
      <w:r w:rsidR="00F8410C">
        <w:t xml:space="preserve">enia </w:t>
      </w:r>
      <w:r>
        <w:t>kompleksow</w:t>
      </w:r>
      <w:r w:rsidR="00F8410C">
        <w:t>ej</w:t>
      </w:r>
      <w:r>
        <w:t xml:space="preserve"> analiz</w:t>
      </w:r>
      <w:r w:rsidR="00F8410C">
        <w:t>y</w:t>
      </w:r>
      <w:r>
        <w:t xml:space="preserve"> ryzyka, która obejmie identyfikację zagrożeń związanych z funkcjonowaniem systemów teleinformatycznych, ochroną danych oraz zgodnością z KRI.</w:t>
      </w:r>
    </w:p>
    <w:p w14:paraId="69B1AB82" w14:textId="77777777" w:rsidR="00F7730A" w:rsidRDefault="00F7730A" w:rsidP="00F7730A">
      <w:pPr>
        <w:pStyle w:val="Bezodstpw"/>
        <w:numPr>
          <w:ilvl w:val="1"/>
          <w:numId w:val="13"/>
        </w:numPr>
      </w:pPr>
      <w:r>
        <w:t>Analiza ryzyka będzie oparta na standardach ISO 31000 oraz ISO/IEC 27005, które określają metodologie oceny ryzyka w kontekście zarządzania bezpieczeństwem informacji.</w:t>
      </w:r>
    </w:p>
    <w:p w14:paraId="050332CD" w14:textId="77777777" w:rsidR="00F7730A" w:rsidRDefault="00F7730A" w:rsidP="00F7730A">
      <w:pPr>
        <w:pStyle w:val="Bezodstpw"/>
        <w:numPr>
          <w:ilvl w:val="1"/>
          <w:numId w:val="13"/>
        </w:numPr>
      </w:pPr>
      <w:r>
        <w:t>Wyniki analizy ryzyka będą stanowiły podstawę do opracowania planu zarządzania ryzykiem, zawierającego rekomendacje dotyczące działań minimalizujących ryzyko w kluczowych obszarach.</w:t>
      </w:r>
    </w:p>
    <w:p w14:paraId="70129E57" w14:textId="77777777" w:rsidR="00F7730A" w:rsidRDefault="00F7730A" w:rsidP="00F7730A">
      <w:pPr>
        <w:pStyle w:val="Bezodstpw"/>
        <w:numPr>
          <w:ilvl w:val="1"/>
          <w:numId w:val="13"/>
        </w:numPr>
      </w:pPr>
      <w:r>
        <w:t xml:space="preserve">Zostaną ocenione możliwe skutki potencjalnych incydentów (w tym incydentów związanych z bezpieczeństwem danych) oraz prawdopodobieństwo ich wystąpienia, a także sposoby zarządzania tymi </w:t>
      </w:r>
      <w:proofErr w:type="spellStart"/>
      <w:r>
        <w:t>ryzykami</w:t>
      </w:r>
      <w:proofErr w:type="spellEnd"/>
      <w:r>
        <w:t>.</w:t>
      </w:r>
    </w:p>
    <w:p w14:paraId="05BCB89B" w14:textId="35977C7B" w:rsidR="00F7730A" w:rsidRDefault="00F8410C" w:rsidP="00F8410C">
      <w:pPr>
        <w:pStyle w:val="Bezodstpw"/>
        <w:numPr>
          <w:ilvl w:val="0"/>
          <w:numId w:val="13"/>
        </w:numPr>
      </w:pPr>
      <w:r>
        <w:t>W ramach godzin konsultacyjnych f</w:t>
      </w:r>
      <w:r w:rsidRPr="00360ED1">
        <w:t xml:space="preserve">irma </w:t>
      </w:r>
      <w:r>
        <w:t xml:space="preserve">zapewni wsparcie w wykonaniu </w:t>
      </w:r>
      <w:r w:rsidR="00F7730A">
        <w:t>Plan</w:t>
      </w:r>
      <w:r>
        <w:t>u</w:t>
      </w:r>
      <w:r w:rsidR="00F7730A">
        <w:t xml:space="preserve"> Ciągłości Działania (PCD) zgodny z normami ISO 22301, który będzie określał procedury na wypadek awarii systemów IT, incydentów związanych z bezpieczeństwem danych oraz innych zdarzeń kryzysowych, które mogą zakłócić działalność instytucji.</w:t>
      </w:r>
      <w:r>
        <w:t xml:space="preserve"> </w:t>
      </w:r>
      <w:r w:rsidR="00F7730A">
        <w:t>Plan Ciągłości Działania będzie zawierał szczegółowe instrukcje dotyczące:</w:t>
      </w:r>
    </w:p>
    <w:p w14:paraId="6B53E712" w14:textId="77777777" w:rsidR="00F7730A" w:rsidRDefault="00F7730A" w:rsidP="00F7730A">
      <w:pPr>
        <w:pStyle w:val="Bezodstpw"/>
        <w:numPr>
          <w:ilvl w:val="1"/>
          <w:numId w:val="13"/>
        </w:numPr>
      </w:pPr>
      <w:r>
        <w:t>Przywracania kluczowych funkcji systemów teleinformatycznych w sytuacjach kryzysowych.</w:t>
      </w:r>
    </w:p>
    <w:p w14:paraId="39337C1C" w14:textId="77777777" w:rsidR="00F7730A" w:rsidRDefault="00F7730A" w:rsidP="00F7730A">
      <w:pPr>
        <w:pStyle w:val="Bezodstpw"/>
        <w:numPr>
          <w:ilvl w:val="1"/>
          <w:numId w:val="13"/>
        </w:numPr>
      </w:pPr>
      <w:r>
        <w:lastRenderedPageBreak/>
        <w:t>Zapewnienia minimalnej funkcjonalności systemów informatycznych w przypadku awarii.</w:t>
      </w:r>
    </w:p>
    <w:p w14:paraId="425A51CE" w14:textId="77777777" w:rsidR="00F7730A" w:rsidRDefault="00F7730A" w:rsidP="00F7730A">
      <w:pPr>
        <w:pStyle w:val="Bezodstpw"/>
        <w:numPr>
          <w:ilvl w:val="1"/>
          <w:numId w:val="13"/>
        </w:numPr>
      </w:pPr>
      <w:r>
        <w:t>Określenia odpowiedzialności i roli poszczególnych członków zespołu ds. zarządzania kryzysowego.</w:t>
      </w:r>
    </w:p>
    <w:p w14:paraId="07C9E32E" w14:textId="0515739C" w:rsidR="00F7730A" w:rsidRDefault="00F8410C" w:rsidP="00F7730A">
      <w:pPr>
        <w:pStyle w:val="Bezodstpw"/>
        <w:numPr>
          <w:ilvl w:val="0"/>
          <w:numId w:val="13"/>
        </w:numPr>
      </w:pPr>
      <w:r>
        <w:t>W ramach godzin konsultacyjnych f</w:t>
      </w:r>
      <w:r w:rsidRPr="00360ED1">
        <w:t xml:space="preserve">irma </w:t>
      </w:r>
      <w:r>
        <w:t>zapewni wsparcie w wykonaniu o</w:t>
      </w:r>
      <w:r w:rsidR="00F7730A">
        <w:t>pracowani</w:t>
      </w:r>
      <w:r>
        <w:t>u</w:t>
      </w:r>
      <w:r w:rsidR="00F7730A">
        <w:t xml:space="preserve"> planu przywracania systemów (</w:t>
      </w:r>
      <w:proofErr w:type="spellStart"/>
      <w:r w:rsidR="00F7730A">
        <w:t>Disaster</w:t>
      </w:r>
      <w:proofErr w:type="spellEnd"/>
      <w:r w:rsidR="00F7730A">
        <w:t xml:space="preserve"> </w:t>
      </w:r>
      <w:proofErr w:type="spellStart"/>
      <w:r w:rsidR="00F7730A">
        <w:t>Recovery</w:t>
      </w:r>
      <w:proofErr w:type="spellEnd"/>
      <w:r w:rsidR="00F7730A">
        <w:t xml:space="preserve"> Plan - DRP):</w:t>
      </w:r>
    </w:p>
    <w:p w14:paraId="3837BAEE" w14:textId="745CA188" w:rsidR="00F7730A" w:rsidRDefault="00F7730A" w:rsidP="00F7730A">
      <w:pPr>
        <w:pStyle w:val="Bezodstpw"/>
        <w:numPr>
          <w:ilvl w:val="1"/>
          <w:numId w:val="13"/>
        </w:numPr>
      </w:pPr>
      <w:r>
        <w:t xml:space="preserve">Firma </w:t>
      </w:r>
      <w:r w:rsidR="00F8410C">
        <w:t xml:space="preserve">zapewni wsparcie w </w:t>
      </w:r>
      <w:r>
        <w:t>przygot</w:t>
      </w:r>
      <w:r w:rsidR="00F8410C">
        <w:t>owaniu</w:t>
      </w:r>
      <w:r>
        <w:t xml:space="preserve"> szczegółow</w:t>
      </w:r>
      <w:r w:rsidR="00F8410C">
        <w:t>ego</w:t>
      </w:r>
      <w:r>
        <w:t xml:space="preserve"> Plan</w:t>
      </w:r>
      <w:r w:rsidR="00F8410C">
        <w:t>u</w:t>
      </w:r>
      <w:r>
        <w:t xml:space="preserve"> Odtwarzania Systemów w przypadku incydentów krytycznych, który będzie obejmował techniczne aspekty przywracania działania systemów teleinformatycznych po awarii, zgodnie z najlepszymi praktykami branżowymi.</w:t>
      </w:r>
    </w:p>
    <w:p w14:paraId="48235A5E" w14:textId="77777777" w:rsidR="00F7730A" w:rsidRDefault="00F7730A" w:rsidP="00F7730A">
      <w:pPr>
        <w:pStyle w:val="Bezodstpw"/>
        <w:numPr>
          <w:ilvl w:val="1"/>
          <w:numId w:val="13"/>
        </w:numPr>
      </w:pPr>
      <w:r>
        <w:t xml:space="preserve">DRP będzie zawierał wytyczne dotyczące: </w:t>
      </w:r>
    </w:p>
    <w:p w14:paraId="69F0083A" w14:textId="77777777" w:rsidR="00F7730A" w:rsidRDefault="00F7730A" w:rsidP="00F7730A">
      <w:pPr>
        <w:pStyle w:val="Bezodstpw"/>
        <w:numPr>
          <w:ilvl w:val="2"/>
          <w:numId w:val="13"/>
        </w:numPr>
      </w:pPr>
      <w:r>
        <w:t>Zabezpieczenia i odtwarzania danych po awarii.</w:t>
      </w:r>
    </w:p>
    <w:p w14:paraId="4312ABA2" w14:textId="17F34022" w:rsidR="00F7730A" w:rsidRDefault="00F7730A" w:rsidP="00F7730A">
      <w:pPr>
        <w:pStyle w:val="Bezodstpw"/>
        <w:numPr>
          <w:ilvl w:val="2"/>
          <w:numId w:val="13"/>
        </w:numPr>
      </w:pPr>
      <w:r>
        <w:t>Testowania i regularnej aktualizacji planu, aby zapewnić jego skuteczność.</w:t>
      </w:r>
    </w:p>
    <w:p w14:paraId="7225FB20" w14:textId="20ADDB64" w:rsidR="00F7730A" w:rsidRDefault="00F8410C" w:rsidP="00F7730A">
      <w:pPr>
        <w:pStyle w:val="Bezodstpw"/>
        <w:numPr>
          <w:ilvl w:val="0"/>
          <w:numId w:val="13"/>
        </w:numPr>
      </w:pPr>
      <w:r>
        <w:t>W ramach godzin konsultacyjnych f</w:t>
      </w:r>
      <w:r w:rsidRPr="00360ED1">
        <w:t xml:space="preserve">irma </w:t>
      </w:r>
      <w:r>
        <w:t xml:space="preserve">zapewni wsparcie w wykonaniu </w:t>
      </w:r>
      <w:r w:rsidR="00F7730A">
        <w:t>procedury testowania Planów Ciągłości Działania i Odtwarzania Systemów. Regularne testy tych planów będą przeprowadzane w celu ich weryfikacji i dostosowania do zmieniających się warunków technicznych i organizacyjnych.</w:t>
      </w:r>
    </w:p>
    <w:p w14:paraId="33F85984" w14:textId="77777777" w:rsidR="00995F91" w:rsidRDefault="00995F91" w:rsidP="002D39BE">
      <w:pPr>
        <w:pStyle w:val="Bezodstpw"/>
        <w:jc w:val="center"/>
      </w:pPr>
    </w:p>
    <w:p w14:paraId="40E3F7D4" w14:textId="77777777" w:rsidR="00F8410C" w:rsidRDefault="00F8410C" w:rsidP="003104F0">
      <w:pPr>
        <w:pStyle w:val="Bezodstpw"/>
      </w:pPr>
    </w:p>
    <w:p w14:paraId="4046A3BE" w14:textId="77777777" w:rsidR="00F8410C" w:rsidRDefault="00F8410C" w:rsidP="00F8410C">
      <w:pPr>
        <w:pStyle w:val="Bezodstpw"/>
        <w:jc w:val="center"/>
        <w:rPr>
          <w:b/>
          <w:bCs/>
        </w:rPr>
      </w:pPr>
      <w:r w:rsidRPr="00F8410C">
        <w:rPr>
          <w:b/>
          <w:bCs/>
        </w:rPr>
        <w:t xml:space="preserve">§5 </w:t>
      </w:r>
    </w:p>
    <w:p w14:paraId="6C8F9925" w14:textId="54E422D3" w:rsidR="00F8410C" w:rsidRPr="00F8410C" w:rsidRDefault="00F8410C" w:rsidP="00F8410C">
      <w:pPr>
        <w:pStyle w:val="Bezodstpw"/>
        <w:jc w:val="center"/>
        <w:rPr>
          <w:b/>
          <w:bCs/>
        </w:rPr>
      </w:pPr>
      <w:r w:rsidRPr="00F8410C">
        <w:rPr>
          <w:b/>
          <w:bCs/>
        </w:rPr>
        <w:t>Wsparcie merytoryczne po audycie</w:t>
      </w:r>
      <w:r>
        <w:rPr>
          <w:b/>
          <w:bCs/>
        </w:rPr>
        <w:t xml:space="preserve"> / Godziny konsultacyjne.</w:t>
      </w:r>
    </w:p>
    <w:p w14:paraId="5CF03BA0" w14:textId="77777777" w:rsidR="00F8410C" w:rsidRDefault="00F8410C" w:rsidP="00F8410C">
      <w:pPr>
        <w:pStyle w:val="Bezodstpw"/>
        <w:numPr>
          <w:ilvl w:val="0"/>
          <w:numId w:val="23"/>
        </w:numPr>
      </w:pPr>
      <w:r w:rsidRPr="00F8410C">
        <w:t xml:space="preserve">Wykonawca zapewni </w:t>
      </w:r>
      <w:r w:rsidRPr="003104F0">
        <w:t>wsparcie merytoryczne</w:t>
      </w:r>
      <w:r w:rsidRPr="00F8410C">
        <w:t xml:space="preserve"> dla Zamawiającego przez </w:t>
      </w:r>
      <w:r w:rsidRPr="003104F0">
        <w:t>40 godzin</w:t>
      </w:r>
      <w:r w:rsidRPr="00F8410C">
        <w:t xml:space="preserve"> w okresie </w:t>
      </w:r>
      <w:r w:rsidRPr="003104F0">
        <w:t>3 miesięcy od odebrania wyników audytu</w:t>
      </w:r>
      <w:r w:rsidRPr="00F8410C">
        <w:t>. Wsparcie obejmuje:</w:t>
      </w:r>
    </w:p>
    <w:p w14:paraId="67000528" w14:textId="77777777" w:rsidR="00F8410C" w:rsidRDefault="00F8410C" w:rsidP="00F8410C">
      <w:pPr>
        <w:pStyle w:val="Bezodstpw"/>
        <w:numPr>
          <w:ilvl w:val="1"/>
          <w:numId w:val="23"/>
        </w:numPr>
      </w:pPr>
      <w:r w:rsidRPr="00F8410C">
        <w:t xml:space="preserve">Pomoc w </w:t>
      </w:r>
      <w:r w:rsidRPr="003104F0">
        <w:t>wykonaniu Analizy ryzyka</w:t>
      </w:r>
      <w:r w:rsidRPr="00F8410C">
        <w:t xml:space="preserve"> zgodnej z KRI.</w:t>
      </w:r>
    </w:p>
    <w:p w14:paraId="13AD2DF7" w14:textId="77777777" w:rsidR="00F8410C" w:rsidRDefault="00F8410C" w:rsidP="00F8410C">
      <w:pPr>
        <w:pStyle w:val="Bezodstpw"/>
        <w:numPr>
          <w:ilvl w:val="1"/>
          <w:numId w:val="23"/>
        </w:numPr>
      </w:pPr>
      <w:r w:rsidRPr="00F8410C">
        <w:t xml:space="preserve">Wsparcie w opracowaniu </w:t>
      </w:r>
      <w:r w:rsidRPr="003104F0">
        <w:t>Planu Ciągłości Działania (BCP)</w:t>
      </w:r>
      <w:r w:rsidRPr="00F8410C">
        <w:t>.</w:t>
      </w:r>
    </w:p>
    <w:p w14:paraId="554B3C08" w14:textId="5D1542B6" w:rsidR="00F8410C" w:rsidRDefault="00F8410C" w:rsidP="00F8410C">
      <w:pPr>
        <w:pStyle w:val="Bezodstpw"/>
        <w:numPr>
          <w:ilvl w:val="1"/>
          <w:numId w:val="23"/>
        </w:numPr>
      </w:pPr>
      <w:r w:rsidRPr="00F8410C">
        <w:t xml:space="preserve">Pomoc w opracowaniu </w:t>
      </w:r>
      <w:r w:rsidRPr="003104F0">
        <w:t>Planu Odtworzenia po awarii (DRP)</w:t>
      </w:r>
      <w:r w:rsidRPr="00F8410C">
        <w:t>.</w:t>
      </w:r>
    </w:p>
    <w:p w14:paraId="4E45FA08" w14:textId="77777777" w:rsidR="00F8410C" w:rsidRDefault="00F8410C" w:rsidP="00F8410C">
      <w:pPr>
        <w:pStyle w:val="Bezodstpw"/>
        <w:numPr>
          <w:ilvl w:val="1"/>
          <w:numId w:val="23"/>
        </w:numPr>
      </w:pPr>
      <w:r>
        <w:t>Dostosowanie dokumentacji Polityki Bezpieczeństwa</w:t>
      </w:r>
    </w:p>
    <w:p w14:paraId="0F98AC54" w14:textId="77777777" w:rsidR="00F8410C" w:rsidRDefault="00F8410C" w:rsidP="00F8410C">
      <w:pPr>
        <w:pStyle w:val="Bezodstpw"/>
        <w:numPr>
          <w:ilvl w:val="0"/>
          <w:numId w:val="23"/>
        </w:numPr>
      </w:pPr>
      <w:r w:rsidRPr="003104F0">
        <w:t>Stawka za roboczo-godzinę wsparcia</w:t>
      </w:r>
      <w:r w:rsidRPr="00F8410C">
        <w:t xml:space="preserve"> musi być znana i podana w ofercie. </w:t>
      </w:r>
    </w:p>
    <w:p w14:paraId="24816526" w14:textId="0A61BB5D" w:rsidR="00F8410C" w:rsidRDefault="00F8410C" w:rsidP="00F8410C">
      <w:pPr>
        <w:pStyle w:val="Bezodstpw"/>
        <w:numPr>
          <w:ilvl w:val="0"/>
          <w:numId w:val="23"/>
        </w:numPr>
      </w:pPr>
      <w:r w:rsidRPr="00F8410C">
        <w:t xml:space="preserve">Wsparcie będzie rozliczane na podstawie rzeczywistego wykorzystania roboczo-godzin. Zamawiający zgłasza zapotrzebowanie na wsparcie merytoryczne </w:t>
      </w:r>
      <w:r>
        <w:t xml:space="preserve">telefonicznie lub </w:t>
      </w:r>
      <w:r w:rsidRPr="00F8410C">
        <w:t xml:space="preserve">poprzez </w:t>
      </w:r>
      <w:r>
        <w:t>email. Wykonawca proponuje termin realizacji</w:t>
      </w:r>
      <w:r w:rsidRPr="00F8410C">
        <w:t xml:space="preserve"> </w:t>
      </w:r>
      <w:r>
        <w:t xml:space="preserve">konsultacji z maksymalnie </w:t>
      </w:r>
      <w:r w:rsidRPr="00F8410C">
        <w:t xml:space="preserve">2-dniowym </w:t>
      </w:r>
      <w:r>
        <w:t>czasem realizacji konsultacji</w:t>
      </w:r>
      <w:r w:rsidRPr="00F8410C">
        <w:t>. Wykonawca zobowiązuje się zorganizować spotkanie online</w:t>
      </w:r>
      <w:r>
        <w:t xml:space="preserve"> (</w:t>
      </w:r>
      <w:proofErr w:type="spellStart"/>
      <w:r>
        <w:t>Teams</w:t>
      </w:r>
      <w:proofErr w:type="spellEnd"/>
      <w:r>
        <w:t>)</w:t>
      </w:r>
      <w:r w:rsidRPr="00F8410C">
        <w:t xml:space="preserve"> po wcześniejszym zaakceptowaniu terminu przez Zamawiającego.</w:t>
      </w:r>
      <w:r>
        <w:t xml:space="preserve"> Dopuszczalne jest również wsparcie telefoniczne lub online tak zwane „od ręki” bez wcześniej umówionego terminu konsultacji. </w:t>
      </w:r>
    </w:p>
    <w:p w14:paraId="74922A94" w14:textId="6E425D4E" w:rsidR="00F8410C" w:rsidRDefault="00F8410C" w:rsidP="00147F6B">
      <w:pPr>
        <w:pStyle w:val="Bezodstpw"/>
        <w:numPr>
          <w:ilvl w:val="0"/>
          <w:numId w:val="23"/>
        </w:numPr>
      </w:pPr>
      <w:r w:rsidRPr="003104F0">
        <w:t>Rozliczenie wsparcia</w:t>
      </w:r>
      <w:r w:rsidRPr="00F8410C">
        <w:t xml:space="preserve"> odbywa się za pełne godziny – każda rozpoczęta godzina jest liczona jako pełna. </w:t>
      </w:r>
    </w:p>
    <w:p w14:paraId="426A6D9C" w14:textId="77777777" w:rsidR="00F8410C" w:rsidRDefault="00F8410C" w:rsidP="00F8410C">
      <w:pPr>
        <w:pStyle w:val="Bezodstpw"/>
        <w:numPr>
          <w:ilvl w:val="0"/>
          <w:numId w:val="23"/>
        </w:numPr>
      </w:pPr>
      <w:r w:rsidRPr="00F8410C">
        <w:t>Wsparcie będzie dostępne od poniedziałku do piątku, w godzinach od 08:00 do 16:00.</w:t>
      </w:r>
    </w:p>
    <w:p w14:paraId="3E4A9FF0" w14:textId="6CF5851A" w:rsidR="00F8410C" w:rsidRPr="00F8410C" w:rsidRDefault="00F8410C" w:rsidP="003104F0">
      <w:pPr>
        <w:pStyle w:val="Bezodstpw"/>
        <w:numPr>
          <w:ilvl w:val="0"/>
          <w:numId w:val="23"/>
        </w:numPr>
      </w:pPr>
      <w:r>
        <w:t>R</w:t>
      </w:r>
      <w:r w:rsidRPr="003104F0">
        <w:t>ozliczenie godzin wsparcia będzie odbywało się protokolarnie</w:t>
      </w:r>
      <w:r w:rsidRPr="00F8410C">
        <w:t xml:space="preserve"> poprzez protokół odbioru po każdej konsultacji. Na podstawie protokołu Wykonawca będzie wystawiał fakturę VAT</w:t>
      </w:r>
      <w:r>
        <w:t xml:space="preserve"> za liczbę godzin wskazan</w:t>
      </w:r>
      <w:r w:rsidR="003104F0">
        <w:t>ą</w:t>
      </w:r>
      <w:r>
        <w:t xml:space="preserve"> w protokole</w:t>
      </w:r>
      <w:r w:rsidRPr="00F8410C">
        <w:t>.</w:t>
      </w:r>
    </w:p>
    <w:p w14:paraId="63A22A76" w14:textId="77777777" w:rsidR="00995F91" w:rsidRDefault="00995F91" w:rsidP="002D39BE">
      <w:pPr>
        <w:pStyle w:val="Bezodstpw"/>
        <w:jc w:val="center"/>
      </w:pPr>
    </w:p>
    <w:p w14:paraId="034A3A29" w14:textId="77777777" w:rsidR="00F8410C" w:rsidRDefault="00F8410C" w:rsidP="002D39BE">
      <w:pPr>
        <w:pStyle w:val="Bezodstpw"/>
        <w:jc w:val="center"/>
      </w:pPr>
    </w:p>
    <w:p w14:paraId="7EB3CF34" w14:textId="48C63DE8" w:rsidR="002D39BE" w:rsidRPr="00A14763" w:rsidRDefault="002D39BE" w:rsidP="002D39BE">
      <w:pPr>
        <w:pStyle w:val="Bezodstpw"/>
        <w:jc w:val="center"/>
        <w:rPr>
          <w:b/>
          <w:bCs/>
        </w:rPr>
      </w:pPr>
      <w:r w:rsidRPr="00A14763">
        <w:rPr>
          <w:b/>
          <w:bCs/>
        </w:rPr>
        <w:t>§</w:t>
      </w:r>
      <w:r w:rsidR="00F8410C">
        <w:rPr>
          <w:b/>
          <w:bCs/>
        </w:rPr>
        <w:t>6</w:t>
      </w:r>
    </w:p>
    <w:p w14:paraId="381E64F9" w14:textId="18563BCF" w:rsidR="002D39BE" w:rsidRPr="00A14763" w:rsidRDefault="002D39BE" w:rsidP="002D39BE">
      <w:pPr>
        <w:pStyle w:val="Bezodstpw"/>
        <w:jc w:val="center"/>
        <w:rPr>
          <w:b/>
          <w:bCs/>
        </w:rPr>
      </w:pPr>
      <w:r w:rsidRPr="00A14763">
        <w:rPr>
          <w:b/>
          <w:bCs/>
        </w:rPr>
        <w:t>Wymagania wobec Wykonawcy</w:t>
      </w:r>
    </w:p>
    <w:p w14:paraId="55FB57E4" w14:textId="77777777" w:rsidR="00013DE7" w:rsidRDefault="002D39BE" w:rsidP="002D39BE">
      <w:pPr>
        <w:pStyle w:val="Bezodstpw"/>
        <w:numPr>
          <w:ilvl w:val="0"/>
          <w:numId w:val="9"/>
        </w:numPr>
      </w:pPr>
      <w:r w:rsidRPr="002D39BE">
        <w:t>Doświadczenie w przeprowadzaniu audytów zgodnych z KRI oraz normami bezpieczeństwa informacji (np. ISO/IEC 27001).</w:t>
      </w:r>
    </w:p>
    <w:p w14:paraId="31785381" w14:textId="77777777" w:rsidR="00013DE7" w:rsidRDefault="002D39BE" w:rsidP="002D39BE">
      <w:pPr>
        <w:pStyle w:val="Bezodstpw"/>
        <w:numPr>
          <w:ilvl w:val="0"/>
          <w:numId w:val="9"/>
        </w:numPr>
      </w:pPr>
      <w:r w:rsidRPr="002D39BE">
        <w:t>Znajomość przepisów dotyczących ochrony danych osobowych (RODO) oraz wymogów Krajowych Ram Interoperacyjności.</w:t>
      </w:r>
    </w:p>
    <w:p w14:paraId="4681BD3E" w14:textId="77777777" w:rsidR="00013DE7" w:rsidRDefault="002D39BE" w:rsidP="002D39BE">
      <w:pPr>
        <w:pStyle w:val="Bezodstpw"/>
        <w:numPr>
          <w:ilvl w:val="0"/>
          <w:numId w:val="9"/>
        </w:numPr>
      </w:pPr>
      <w:r w:rsidRPr="002D39BE">
        <w:t>Wykonawca musi posiadać doświadczenie w przeprowadzaniu audytów w instytucjach administracji publicznej.</w:t>
      </w:r>
    </w:p>
    <w:p w14:paraId="3F94A9F1" w14:textId="7C79B4C4" w:rsidR="002D39BE" w:rsidRPr="002D39BE" w:rsidRDefault="002D39BE" w:rsidP="002D39BE">
      <w:pPr>
        <w:pStyle w:val="Bezodstpw"/>
        <w:numPr>
          <w:ilvl w:val="0"/>
          <w:numId w:val="9"/>
        </w:numPr>
      </w:pPr>
      <w:r w:rsidRPr="002D39BE">
        <w:lastRenderedPageBreak/>
        <w:t>Certyfikacje potwierdzające kompetencje audytorów, takie jak CISA, CISSP, ISO/IEC 27001.</w:t>
      </w:r>
    </w:p>
    <w:p w14:paraId="7F5EDE21" w14:textId="77777777" w:rsidR="002D39BE" w:rsidRDefault="002D39BE" w:rsidP="002D39BE">
      <w:pPr>
        <w:pStyle w:val="Bezodstpw"/>
      </w:pPr>
    </w:p>
    <w:p w14:paraId="4548578F" w14:textId="7841B80E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§</w:t>
      </w:r>
      <w:r w:rsidR="00F8410C">
        <w:rPr>
          <w:b/>
          <w:bCs/>
        </w:rPr>
        <w:t>7</w:t>
      </w:r>
    </w:p>
    <w:p w14:paraId="0353D262" w14:textId="3F413935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Wymagania dotyczące raportu z audytu</w:t>
      </w:r>
    </w:p>
    <w:p w14:paraId="68547264" w14:textId="77777777" w:rsidR="004819D3" w:rsidRDefault="002D39BE" w:rsidP="002D39BE">
      <w:pPr>
        <w:pStyle w:val="Bezodstpw"/>
        <w:numPr>
          <w:ilvl w:val="0"/>
          <w:numId w:val="10"/>
        </w:numPr>
      </w:pPr>
      <w:r w:rsidRPr="002D39BE">
        <w:t>Raport końcowy z audytu powinien zawierać:</w:t>
      </w:r>
    </w:p>
    <w:p w14:paraId="27CEC76E" w14:textId="77777777" w:rsidR="004819D3" w:rsidRDefault="002D39BE" w:rsidP="002D39BE">
      <w:pPr>
        <w:pStyle w:val="Bezodstpw"/>
        <w:numPr>
          <w:ilvl w:val="1"/>
          <w:numId w:val="10"/>
        </w:numPr>
      </w:pPr>
      <w:r w:rsidRPr="002D39BE">
        <w:t>Szczegółowy opis stanu bezpieczeństwa systemów informatycznych oraz zgodności z wymogami KRI.</w:t>
      </w:r>
    </w:p>
    <w:p w14:paraId="6C153A1D" w14:textId="77777777" w:rsidR="004819D3" w:rsidRDefault="002D39BE" w:rsidP="002D39BE">
      <w:pPr>
        <w:pStyle w:val="Bezodstpw"/>
        <w:numPr>
          <w:ilvl w:val="1"/>
          <w:numId w:val="10"/>
        </w:numPr>
      </w:pPr>
      <w:r w:rsidRPr="002D39BE">
        <w:t>Wskazanie zidentyfikowanych niezgodności oraz luk w zakresie bezpieczeństwa.</w:t>
      </w:r>
    </w:p>
    <w:p w14:paraId="778CCAAA" w14:textId="77777777" w:rsidR="004819D3" w:rsidRDefault="002D39BE" w:rsidP="002D39BE">
      <w:pPr>
        <w:pStyle w:val="Bezodstpw"/>
        <w:numPr>
          <w:ilvl w:val="1"/>
          <w:numId w:val="10"/>
        </w:numPr>
      </w:pPr>
      <w:r w:rsidRPr="002D39BE">
        <w:t>Rekomendacje działań naprawczych mających na celu dostosowanie Urzędu do wymogów KRI.</w:t>
      </w:r>
    </w:p>
    <w:p w14:paraId="4AD301F0" w14:textId="3CB1440F" w:rsidR="002D39BE" w:rsidRPr="002D39BE" w:rsidRDefault="002D39BE" w:rsidP="002D39BE">
      <w:pPr>
        <w:pStyle w:val="Bezodstpw"/>
        <w:numPr>
          <w:ilvl w:val="1"/>
          <w:numId w:val="10"/>
        </w:numPr>
      </w:pPr>
      <w:r w:rsidRPr="002D39BE">
        <w:t>Raport z analizy ryzyka oraz ocena procedur zarządzania incydentami bezpieczeństwa.</w:t>
      </w:r>
    </w:p>
    <w:p w14:paraId="1BFE3167" w14:textId="6AC6BB0D" w:rsidR="002D39BE" w:rsidRPr="003104F0" w:rsidRDefault="002D39BE" w:rsidP="002D39BE">
      <w:pPr>
        <w:pStyle w:val="Bezodstpw"/>
        <w:rPr>
          <w:b/>
          <w:bCs/>
        </w:rPr>
      </w:pPr>
    </w:p>
    <w:p w14:paraId="77D9B46F" w14:textId="0C3EFBEE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§</w:t>
      </w:r>
      <w:r w:rsidR="00F8410C">
        <w:rPr>
          <w:b/>
          <w:bCs/>
        </w:rPr>
        <w:t>8</w:t>
      </w:r>
    </w:p>
    <w:p w14:paraId="01B9EE66" w14:textId="443C8B42" w:rsidR="002D39BE" w:rsidRPr="003104F0" w:rsidRDefault="002D39BE" w:rsidP="002D39BE">
      <w:pPr>
        <w:pStyle w:val="Bezodstpw"/>
        <w:jc w:val="center"/>
        <w:rPr>
          <w:b/>
          <w:bCs/>
        </w:rPr>
      </w:pPr>
      <w:r w:rsidRPr="003104F0">
        <w:rPr>
          <w:b/>
          <w:bCs/>
        </w:rPr>
        <w:t>Termin realizacji</w:t>
      </w:r>
    </w:p>
    <w:p w14:paraId="54FB7873" w14:textId="618FD8B6" w:rsidR="002D39BE" w:rsidRDefault="002D39BE" w:rsidP="00047A35">
      <w:pPr>
        <w:pStyle w:val="Bezodstpw"/>
        <w:numPr>
          <w:ilvl w:val="0"/>
          <w:numId w:val="20"/>
        </w:numPr>
      </w:pPr>
      <w:r w:rsidRPr="002D39BE">
        <w:t xml:space="preserve">Realizacja audytu </w:t>
      </w:r>
      <w:r w:rsidR="007A30E8">
        <w:t xml:space="preserve">wraz z przedstawieniem raportu końcowego </w:t>
      </w:r>
      <w:r w:rsidRPr="002D39BE">
        <w:t xml:space="preserve">powinna nastąpić w ciągu </w:t>
      </w:r>
      <w:r w:rsidR="00047A35">
        <w:t>30</w:t>
      </w:r>
      <w:r w:rsidRPr="002D39BE">
        <w:t xml:space="preserve"> dni roboczych od dnia podpisania umowy. </w:t>
      </w:r>
    </w:p>
    <w:p w14:paraId="4430B200" w14:textId="7D2CF683" w:rsidR="00047A35" w:rsidRPr="002D39BE" w:rsidRDefault="00047A35" w:rsidP="003104F0">
      <w:pPr>
        <w:pStyle w:val="Bezodstpw"/>
        <w:numPr>
          <w:ilvl w:val="0"/>
          <w:numId w:val="20"/>
        </w:numPr>
      </w:pPr>
      <w:r>
        <w:t xml:space="preserve">Usługa wsparcia merytorycznego w ilości 40 godzin w celu dostosowania Urzędu do KRI w </w:t>
      </w:r>
      <w:r w:rsidR="00F8410C">
        <w:t>ciągu</w:t>
      </w:r>
      <w:r>
        <w:t xml:space="preserve"> 3 miesięcy o</w:t>
      </w:r>
      <w:r w:rsidR="007A30E8">
        <w:t>d dnia realizacji umow</w:t>
      </w:r>
      <w:r w:rsidR="00F8410C">
        <w:t>y</w:t>
      </w:r>
      <w:r w:rsidR="007A30E8">
        <w:t>.</w:t>
      </w:r>
    </w:p>
    <w:p w14:paraId="4E48B2DD" w14:textId="3ABFCA75" w:rsidR="002D39BE" w:rsidRPr="003104F0" w:rsidRDefault="002D39BE" w:rsidP="002D39BE">
      <w:pPr>
        <w:pStyle w:val="Bezodstpw"/>
        <w:rPr>
          <w:b/>
          <w:bCs/>
        </w:rPr>
      </w:pPr>
    </w:p>
    <w:p w14:paraId="6651A918" w14:textId="77777777" w:rsidR="006B5358" w:rsidRDefault="006B5358" w:rsidP="002D39BE">
      <w:pPr>
        <w:pStyle w:val="Bezodstpw"/>
      </w:pPr>
    </w:p>
    <w:p w14:paraId="6B559F39" w14:textId="77777777" w:rsidR="00995F91" w:rsidRDefault="00995F91" w:rsidP="002D39BE">
      <w:pPr>
        <w:pStyle w:val="Bezodstpw"/>
      </w:pPr>
    </w:p>
    <w:sectPr w:rsidR="0099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00E96" w14:textId="77777777" w:rsidR="00E92887" w:rsidRDefault="00E92887" w:rsidP="00995F91">
      <w:pPr>
        <w:spacing w:after="0" w:line="240" w:lineRule="auto"/>
      </w:pPr>
      <w:r>
        <w:separator/>
      </w:r>
    </w:p>
  </w:endnote>
  <w:endnote w:type="continuationSeparator" w:id="0">
    <w:p w14:paraId="535D2A4D" w14:textId="77777777" w:rsidR="00E92887" w:rsidRDefault="00E92887" w:rsidP="0099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95DB4" w14:textId="77777777" w:rsidR="00E92887" w:rsidRDefault="00E92887" w:rsidP="00995F91">
      <w:pPr>
        <w:spacing w:after="0" w:line="240" w:lineRule="auto"/>
      </w:pPr>
      <w:r>
        <w:separator/>
      </w:r>
    </w:p>
  </w:footnote>
  <w:footnote w:type="continuationSeparator" w:id="0">
    <w:p w14:paraId="0A01B19F" w14:textId="77777777" w:rsidR="00E92887" w:rsidRDefault="00E92887" w:rsidP="00995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7636A"/>
    <w:multiLevelType w:val="multilevel"/>
    <w:tmpl w:val="644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6503"/>
    <w:multiLevelType w:val="multilevel"/>
    <w:tmpl w:val="FECC8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4E9F"/>
    <w:multiLevelType w:val="multilevel"/>
    <w:tmpl w:val="C6DC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259E7"/>
    <w:multiLevelType w:val="multilevel"/>
    <w:tmpl w:val="68ECB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F7B1D"/>
    <w:multiLevelType w:val="hybridMultilevel"/>
    <w:tmpl w:val="30382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C68"/>
    <w:multiLevelType w:val="multilevel"/>
    <w:tmpl w:val="91B6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A11FFD"/>
    <w:multiLevelType w:val="multilevel"/>
    <w:tmpl w:val="CE76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82AB4"/>
    <w:multiLevelType w:val="hybridMultilevel"/>
    <w:tmpl w:val="C9E84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640283"/>
    <w:multiLevelType w:val="hybridMultilevel"/>
    <w:tmpl w:val="25406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C2063"/>
    <w:multiLevelType w:val="hybridMultilevel"/>
    <w:tmpl w:val="55C4D356"/>
    <w:lvl w:ilvl="0" w:tplc="F28A29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D7C38"/>
    <w:multiLevelType w:val="hybridMultilevel"/>
    <w:tmpl w:val="A7389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36B9C"/>
    <w:multiLevelType w:val="hybridMultilevel"/>
    <w:tmpl w:val="585E8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E6198"/>
    <w:multiLevelType w:val="multilevel"/>
    <w:tmpl w:val="613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B6E3A"/>
    <w:multiLevelType w:val="multilevel"/>
    <w:tmpl w:val="9BDCEE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06747C"/>
    <w:multiLevelType w:val="hybridMultilevel"/>
    <w:tmpl w:val="177C4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669D6"/>
    <w:multiLevelType w:val="hybridMultilevel"/>
    <w:tmpl w:val="585E8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45AF1"/>
    <w:multiLevelType w:val="hybridMultilevel"/>
    <w:tmpl w:val="3240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6632A"/>
    <w:multiLevelType w:val="hybridMultilevel"/>
    <w:tmpl w:val="7B2CE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1B4423"/>
    <w:multiLevelType w:val="multilevel"/>
    <w:tmpl w:val="995CEB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52072F"/>
    <w:multiLevelType w:val="multilevel"/>
    <w:tmpl w:val="81BA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614CF7"/>
    <w:multiLevelType w:val="multilevel"/>
    <w:tmpl w:val="D51E6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F1459"/>
    <w:multiLevelType w:val="hybridMultilevel"/>
    <w:tmpl w:val="1C56622A"/>
    <w:lvl w:ilvl="0" w:tplc="D1B4A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EE08B8"/>
    <w:multiLevelType w:val="multilevel"/>
    <w:tmpl w:val="7A626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1153109">
    <w:abstractNumId w:val="6"/>
  </w:num>
  <w:num w:numId="2" w16cid:durableId="595289984">
    <w:abstractNumId w:val="13"/>
  </w:num>
  <w:num w:numId="3" w16cid:durableId="1979142140">
    <w:abstractNumId w:val="18"/>
  </w:num>
  <w:num w:numId="4" w16cid:durableId="1681732724">
    <w:abstractNumId w:val="12"/>
  </w:num>
  <w:num w:numId="5" w16cid:durableId="872887641">
    <w:abstractNumId w:val="0"/>
  </w:num>
  <w:num w:numId="6" w16cid:durableId="1289313645">
    <w:abstractNumId w:val="21"/>
  </w:num>
  <w:num w:numId="7" w16cid:durableId="707098978">
    <w:abstractNumId w:val="9"/>
  </w:num>
  <w:num w:numId="8" w16cid:durableId="1386493346">
    <w:abstractNumId w:val="16"/>
  </w:num>
  <w:num w:numId="9" w16cid:durableId="2122338323">
    <w:abstractNumId w:val="7"/>
  </w:num>
  <w:num w:numId="10" w16cid:durableId="1815368450">
    <w:abstractNumId w:val="15"/>
  </w:num>
  <w:num w:numId="11" w16cid:durableId="205262626">
    <w:abstractNumId w:val="11"/>
  </w:num>
  <w:num w:numId="12" w16cid:durableId="662315902">
    <w:abstractNumId w:val="14"/>
  </w:num>
  <w:num w:numId="13" w16cid:durableId="1686176101">
    <w:abstractNumId w:val="10"/>
  </w:num>
  <w:num w:numId="14" w16cid:durableId="742487588">
    <w:abstractNumId w:val="19"/>
  </w:num>
  <w:num w:numId="15" w16cid:durableId="444884327">
    <w:abstractNumId w:val="2"/>
  </w:num>
  <w:num w:numId="16" w16cid:durableId="1951937512">
    <w:abstractNumId w:val="22"/>
  </w:num>
  <w:num w:numId="17" w16cid:durableId="121384348">
    <w:abstractNumId w:val="1"/>
  </w:num>
  <w:num w:numId="18" w16cid:durableId="976035098">
    <w:abstractNumId w:val="20"/>
  </w:num>
  <w:num w:numId="19" w16cid:durableId="886067840">
    <w:abstractNumId w:val="5"/>
  </w:num>
  <w:num w:numId="20" w16cid:durableId="1979070047">
    <w:abstractNumId w:val="4"/>
  </w:num>
  <w:num w:numId="21" w16cid:durableId="743990602">
    <w:abstractNumId w:val="8"/>
  </w:num>
  <w:num w:numId="22" w16cid:durableId="1644576654">
    <w:abstractNumId w:val="3"/>
  </w:num>
  <w:num w:numId="23" w16cid:durableId="2043943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BE"/>
    <w:rsid w:val="00013DE7"/>
    <w:rsid w:val="00042D2B"/>
    <w:rsid w:val="00047A35"/>
    <w:rsid w:val="00147F6B"/>
    <w:rsid w:val="00164BFB"/>
    <w:rsid w:val="002C4840"/>
    <w:rsid w:val="002D39BE"/>
    <w:rsid w:val="003104F0"/>
    <w:rsid w:val="00360ED1"/>
    <w:rsid w:val="003742AA"/>
    <w:rsid w:val="004819D3"/>
    <w:rsid w:val="004B4857"/>
    <w:rsid w:val="006B5358"/>
    <w:rsid w:val="006C29ED"/>
    <w:rsid w:val="00717074"/>
    <w:rsid w:val="007504CB"/>
    <w:rsid w:val="00775FD8"/>
    <w:rsid w:val="007A30E8"/>
    <w:rsid w:val="008678A9"/>
    <w:rsid w:val="00876603"/>
    <w:rsid w:val="00956327"/>
    <w:rsid w:val="00995F91"/>
    <w:rsid w:val="00A14763"/>
    <w:rsid w:val="00A3184F"/>
    <w:rsid w:val="00B6612B"/>
    <w:rsid w:val="00C12470"/>
    <w:rsid w:val="00C816D9"/>
    <w:rsid w:val="00DA4C3E"/>
    <w:rsid w:val="00DC60CB"/>
    <w:rsid w:val="00E92887"/>
    <w:rsid w:val="00F41248"/>
    <w:rsid w:val="00F47C43"/>
    <w:rsid w:val="00F76669"/>
    <w:rsid w:val="00F7730A"/>
    <w:rsid w:val="00F8410C"/>
    <w:rsid w:val="00F8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AD00"/>
  <w15:chartTrackingRefBased/>
  <w15:docId w15:val="{AE8FDEED-7EFD-4E64-99A0-9CEFF18A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3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3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39B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3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39B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3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3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3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3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39B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3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39B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39BE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39BE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39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39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39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39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3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3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3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3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3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39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39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39BE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39B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39BE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39BE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2D39B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5F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5F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5F91"/>
    <w:rPr>
      <w:vertAlign w:val="superscript"/>
    </w:rPr>
  </w:style>
  <w:style w:type="paragraph" w:styleId="Poprawka">
    <w:name w:val="Revision"/>
    <w:hidden/>
    <w:uiPriority w:val="99"/>
    <w:semiHidden/>
    <w:rsid w:val="007504C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04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4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4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4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4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2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65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3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1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9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9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2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4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0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35c4ba-aa87-4af4-bd8a-b28bb6c3f35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208F6E2177DB4586E55FDDA0A6CF87" ma:contentTypeVersion="12" ma:contentTypeDescription="Utwórz nowy dokument." ma:contentTypeScope="" ma:versionID="43b689b09bc313984a22528ea064ea3d">
  <xsd:schema xmlns:xsd="http://www.w3.org/2001/XMLSchema" xmlns:xs="http://www.w3.org/2001/XMLSchema" xmlns:p="http://schemas.microsoft.com/office/2006/metadata/properties" xmlns:ns3="ff35c4ba-aa87-4af4-bd8a-b28bb6c3f355" xmlns:ns4="433faa5e-f48b-4595-8e6c-6c8734d0943d" targetNamespace="http://schemas.microsoft.com/office/2006/metadata/properties" ma:root="true" ma:fieldsID="62fc87ce7f6b4b834f8e0f299dfb6bb1" ns3:_="" ns4:_="">
    <xsd:import namespace="ff35c4ba-aa87-4af4-bd8a-b28bb6c3f355"/>
    <xsd:import namespace="433faa5e-f48b-4595-8e6c-6c8734d094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5c4ba-aa87-4af4-bd8a-b28bb6c3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faa5e-f48b-4595-8e6c-6c8734d09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14884A-054E-4F47-A898-63B8557AE2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2BABD-426F-4A26-9F74-B79E303A5ADD}">
  <ds:schemaRefs>
    <ds:schemaRef ds:uri="http://schemas.microsoft.com/office/2006/metadata/properties"/>
    <ds:schemaRef ds:uri="http://schemas.microsoft.com/office/infopath/2007/PartnerControls"/>
    <ds:schemaRef ds:uri="ff35c4ba-aa87-4af4-bd8a-b28bb6c3f355"/>
  </ds:schemaRefs>
</ds:datastoreItem>
</file>

<file path=customXml/itemProps3.xml><?xml version="1.0" encoding="utf-8"?>
<ds:datastoreItem xmlns:ds="http://schemas.openxmlformats.org/officeDocument/2006/customXml" ds:itemID="{B0F49E78-0C17-41D0-9268-642B297AE4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9E9649-145C-4BC9-881F-DC8977FA3E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5c4ba-aa87-4af4-bd8a-b28bb6c3f355"/>
    <ds:schemaRef ds:uri="433faa5e-f48b-4595-8e6c-6c8734d09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Opałka Paweł</dc:creator>
  <cp:keywords/>
  <dc:description/>
  <cp:lastModifiedBy>Opałka Paweł</cp:lastModifiedBy>
  <cp:revision>2</cp:revision>
  <dcterms:created xsi:type="dcterms:W3CDTF">2024-09-24T14:20:00Z</dcterms:created>
  <dcterms:modified xsi:type="dcterms:W3CDTF">2024-09-24T14:20:00Z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0x010100FE208F6E2177DB4586E55FDDA0A6CF87</vt:lpwstr>
  </property>
</Properties>
</file>