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29909D33" w:rsidR="00C90EDC" w:rsidRPr="00324C12" w:rsidRDefault="00C90EDC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4C12">
        <w:rPr>
          <w:rFonts w:ascii="Times New Roman" w:hAnsi="Times New Roman" w:cs="Times New Roman"/>
          <w:sz w:val="20"/>
          <w:szCs w:val="20"/>
        </w:rPr>
        <w:t xml:space="preserve">Załącznik nr 1 do Instrukcji ustalającej szczegółowe zasady dokonywania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ochrony, sygnalistów w </w:t>
      </w:r>
      <w:r w:rsidR="00CD2003">
        <w:rPr>
          <w:rFonts w:ascii="Times New Roman" w:hAnsi="Times New Roman" w:cs="Times New Roman"/>
          <w:sz w:val="20"/>
          <w:szCs w:val="20"/>
        </w:rPr>
        <w:t>Urzędzie Skarbowym w Sandomierzu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631FB6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631FB6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DCDE" w14:textId="77777777" w:rsidR="001438D7" w:rsidRDefault="001438D7" w:rsidP="00BF1714">
      <w:pPr>
        <w:spacing w:after="0" w:line="240" w:lineRule="auto"/>
      </w:pPr>
      <w:r>
        <w:separator/>
      </w:r>
    </w:p>
  </w:endnote>
  <w:endnote w:type="continuationSeparator" w:id="0">
    <w:p w14:paraId="2277CEC1" w14:textId="77777777" w:rsidR="001438D7" w:rsidRDefault="001438D7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36FA66E0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FB6">
          <w:rPr>
            <w:noProof/>
          </w:rPr>
          <w:t>2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A10D" w14:textId="77777777" w:rsidR="001438D7" w:rsidRDefault="001438D7" w:rsidP="00BF1714">
      <w:pPr>
        <w:spacing w:after="0" w:line="240" w:lineRule="auto"/>
      </w:pPr>
      <w:r>
        <w:separator/>
      </w:r>
    </w:p>
  </w:footnote>
  <w:footnote w:type="continuationSeparator" w:id="0">
    <w:p w14:paraId="541335A5" w14:textId="77777777" w:rsidR="001438D7" w:rsidRDefault="001438D7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393904"/>
    <w:rsid w:val="00631FB6"/>
    <w:rsid w:val="006C0F9E"/>
    <w:rsid w:val="009E63A5"/>
    <w:rsid w:val="00A5107F"/>
    <w:rsid w:val="00BF1714"/>
    <w:rsid w:val="00C90EDC"/>
    <w:rsid w:val="00CD2003"/>
    <w:rsid w:val="00D03997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dcterms:created xsi:type="dcterms:W3CDTF">2025-02-17T11:13:00Z</dcterms:created>
  <dcterms:modified xsi:type="dcterms:W3CDTF">2025-02-17T11:13:00Z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