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7C624" w14:textId="77777777" w:rsidR="00211579" w:rsidRPr="006E1EE6" w:rsidRDefault="00D51CF3" w:rsidP="0021157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1EE6">
        <w:rPr>
          <w:noProof/>
          <w:lang w:eastAsia="pl-PL"/>
        </w:rPr>
        <w:drawing>
          <wp:inline distT="0" distB="0" distL="0" distR="0" wp14:anchorId="361E28C7" wp14:editId="3E0F3DF3">
            <wp:extent cx="704850" cy="74746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16" cy="77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95920" w14:textId="77777777" w:rsidR="00211579" w:rsidRPr="006E1EE6" w:rsidRDefault="00211579" w:rsidP="00920B3E"/>
    <w:p w14:paraId="0E4CF8D2" w14:textId="77777777" w:rsidR="00920B3E" w:rsidRPr="006E1EE6" w:rsidRDefault="00920B3E" w:rsidP="00920B3E">
      <w:r w:rsidRPr="006E1EE6">
        <w:t>Zapytanie ofertowe</w:t>
      </w:r>
    </w:p>
    <w:p w14:paraId="39F23BC0" w14:textId="506D52CC" w:rsidR="00920B3E" w:rsidRPr="006E1EE6" w:rsidRDefault="00CD45A8" w:rsidP="00920B3E">
      <w:r w:rsidRPr="006E1EE6">
        <w:t xml:space="preserve">Departament </w:t>
      </w:r>
      <w:r w:rsidR="00920B3E" w:rsidRPr="006E1EE6">
        <w:t>Sektorów Kreatywnych</w:t>
      </w:r>
      <w:r w:rsidRPr="006E1EE6">
        <w:t xml:space="preserve"> i Mediów</w:t>
      </w:r>
      <w:r w:rsidR="00920B3E" w:rsidRPr="006E1EE6">
        <w:t xml:space="preserve"> Ministerstwa Kultury i Dziedzictwa Narodowego zaprasza do składania ofert zgodnie z poniższym zapytaniem ofertowym.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1579" w:rsidRPr="006E1EE6" w14:paraId="7CE13376" w14:textId="77777777" w:rsidTr="00B82714">
        <w:tc>
          <w:tcPr>
            <w:tcW w:w="9062" w:type="dxa"/>
            <w:shd w:val="clear" w:color="auto" w:fill="E7E6E6" w:themeFill="background2"/>
          </w:tcPr>
          <w:p w14:paraId="1CEAF5B7" w14:textId="77777777" w:rsidR="00211579" w:rsidRPr="006E1EE6" w:rsidRDefault="00211579" w:rsidP="00511DAE">
            <w:pPr>
              <w:rPr>
                <w:b/>
              </w:rPr>
            </w:pPr>
            <w:r w:rsidRPr="006E1EE6">
              <w:rPr>
                <w:b/>
              </w:rPr>
              <w:t>I. Zamawiający</w:t>
            </w:r>
          </w:p>
        </w:tc>
      </w:tr>
      <w:tr w:rsidR="00211579" w:rsidRPr="006E1EE6" w14:paraId="0CF8FFC1" w14:textId="77777777" w:rsidTr="00211579">
        <w:tc>
          <w:tcPr>
            <w:tcW w:w="9062" w:type="dxa"/>
          </w:tcPr>
          <w:p w14:paraId="668028BB" w14:textId="77777777" w:rsidR="00211579" w:rsidRPr="006E1EE6" w:rsidRDefault="00211579" w:rsidP="00820536">
            <w:r w:rsidRPr="006E1EE6">
              <w:t>Ministerstwo Kultury i Dziedzictwa Narodowego</w:t>
            </w:r>
            <w:r w:rsidRPr="006E1EE6">
              <w:br/>
              <w:t>ul. Krakowskie Przedmieście 15/17</w:t>
            </w:r>
            <w:r w:rsidRPr="006E1EE6">
              <w:br/>
              <w:t>00-071 Warszawa</w:t>
            </w:r>
          </w:p>
          <w:p w14:paraId="5DA7794E" w14:textId="77777777" w:rsidR="00680605" w:rsidRPr="006E1EE6" w:rsidRDefault="00680605" w:rsidP="00820536">
            <w:r w:rsidRPr="006E1EE6">
              <w:t>Osoba do kontaktu:</w:t>
            </w:r>
          </w:p>
          <w:p w14:paraId="7CE58A56" w14:textId="77777777" w:rsidR="00680605" w:rsidRPr="006E1EE6" w:rsidRDefault="000F3FD3" w:rsidP="00820536">
            <w:pPr>
              <w:rPr>
                <w:color w:val="0563C1" w:themeColor="hyperlink"/>
                <w:u w:val="single"/>
              </w:rPr>
            </w:pPr>
            <w:hyperlink r:id="rId7" w:history="1">
              <w:r w:rsidR="003053C0" w:rsidRPr="006E1EE6">
                <w:rPr>
                  <w:rStyle w:val="Hipercze"/>
                </w:rPr>
                <w:t>www.mkidn.gov.pl</w:t>
              </w:r>
            </w:hyperlink>
          </w:p>
        </w:tc>
      </w:tr>
      <w:tr w:rsidR="00211579" w:rsidRPr="006E1EE6" w14:paraId="6B886D8F" w14:textId="77777777" w:rsidTr="00ED7F72">
        <w:trPr>
          <w:trHeight w:val="320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77841FD" w14:textId="77777777" w:rsidR="00211579" w:rsidRPr="006E1EE6" w:rsidRDefault="00211579" w:rsidP="008403C0">
            <w:pPr>
              <w:rPr>
                <w:b/>
              </w:rPr>
            </w:pPr>
            <w:r w:rsidRPr="006E1EE6">
              <w:rPr>
                <w:b/>
              </w:rPr>
              <w:t>II. Tryb udzielenia zamówienia</w:t>
            </w:r>
          </w:p>
        </w:tc>
      </w:tr>
      <w:tr w:rsidR="00211579" w:rsidRPr="006E1EE6" w14:paraId="0B9EFF01" w14:textId="77777777" w:rsidTr="00211579">
        <w:tc>
          <w:tcPr>
            <w:tcW w:w="9062" w:type="dxa"/>
            <w:tcBorders>
              <w:bottom w:val="nil"/>
            </w:tcBorders>
          </w:tcPr>
          <w:p w14:paraId="6BE0014E" w14:textId="7702D624" w:rsidR="00211579" w:rsidRPr="006E1EE6" w:rsidRDefault="00211579" w:rsidP="00CA320F">
            <w:r w:rsidRPr="006E1EE6">
              <w:rPr>
                <w:b/>
                <w:bCs/>
              </w:rPr>
              <w:t>1. </w:t>
            </w:r>
            <w:r w:rsidRPr="006E1EE6">
              <w:t xml:space="preserve">Niniejsze postępowanie prowadzone jest w trybie rozeznania rynku – z wyłączeniem stosowania ustawy z dnia 11 września  2019 r. - Prawo zamówień publicznych (Dz. U. z 2021 r.  poz. 1129) - art. 2 ust. 1 pkt 1 ustawy na podstawie Kodeksu cywilnego oraz </w:t>
            </w:r>
            <w:r w:rsidR="00CD45A8" w:rsidRPr="006E1EE6">
              <w:t>Zarządzenia Nr 3/2026</w:t>
            </w:r>
            <w:r w:rsidRPr="006E1EE6">
              <w:t xml:space="preserve"> Dyrektora Generalnego Ministerstwa Kultury,</w:t>
            </w:r>
            <w:r w:rsidR="00CD45A8" w:rsidRPr="006E1EE6">
              <w:t xml:space="preserve"> Dziedzictwa Narodowego z dnia 21 kwietnia 2026</w:t>
            </w:r>
            <w:r w:rsidRPr="006E1EE6">
              <w:t xml:space="preserve"> r. w sprawie wprowadzenia procedury udzielania zamówień publicznych w Ministerstwie Kultury,</w:t>
            </w:r>
            <w:r w:rsidR="00CD45A8" w:rsidRPr="006E1EE6">
              <w:t xml:space="preserve"> Dziedzictwa Narodowego</w:t>
            </w:r>
            <w:r w:rsidRPr="006E1EE6">
              <w:t>.</w:t>
            </w:r>
          </w:p>
        </w:tc>
      </w:tr>
      <w:tr w:rsidR="00211579" w:rsidRPr="006E1EE6" w14:paraId="620BF1D9" w14:textId="77777777" w:rsidTr="00211579">
        <w:tc>
          <w:tcPr>
            <w:tcW w:w="9062" w:type="dxa"/>
            <w:tcBorders>
              <w:top w:val="nil"/>
              <w:bottom w:val="nil"/>
            </w:tcBorders>
          </w:tcPr>
          <w:p w14:paraId="6DA991F7" w14:textId="35BEC555" w:rsidR="00DE6AC9" w:rsidRPr="006E1EE6" w:rsidRDefault="00211579" w:rsidP="006B39B3">
            <w:r w:rsidRPr="006E1EE6">
              <w:rPr>
                <w:b/>
                <w:bCs/>
              </w:rPr>
              <w:t>2. </w:t>
            </w:r>
            <w:r w:rsidRPr="006E1EE6">
              <w:t xml:space="preserve">Zgodnie z wymogami Ustawy prawo zamówień publicznych (Dz. U. z 2019 r. poz. 1843) art. 22 ust. 2 i art. 29 ust. 3a wskazującymi na wymogi w zakresie zastosowania aspektów i klauzul społecznych, dodatkowo zgodnie z wytycznymi sformułowanymi w § 20 ust. 4 </w:t>
            </w:r>
            <w:r w:rsidR="00A33131" w:rsidRPr="006E1EE6">
              <w:t>Zarządzenia Nr 3</w:t>
            </w:r>
            <w:r w:rsidR="00567C88" w:rsidRPr="006E1EE6">
              <w:t>/2026</w:t>
            </w:r>
            <w:r w:rsidRPr="006E1EE6">
              <w:t xml:space="preserve"> Dyrektora Generalnego Ministerstwa Kultury,</w:t>
            </w:r>
            <w:r w:rsidR="00567C88" w:rsidRPr="006E1EE6">
              <w:t xml:space="preserve"> Dziedzictwa Narodowego z dnia 21 kwietnia 2026</w:t>
            </w:r>
            <w:r w:rsidRPr="006E1EE6">
              <w:t xml:space="preserve"> r. w sprawie wprowadzenia procedury udzielania zamówień publicznych w Ministerstwie Kultury,</w:t>
            </w:r>
            <w:r w:rsidR="00567C88" w:rsidRPr="006E1EE6">
              <w:t xml:space="preserve"> Dziedzictwa Narodowego</w:t>
            </w:r>
            <w:r w:rsidRPr="006E1EE6">
              <w:t>, odstępuje się od zastosowania aspektów i klauzul społecznych w zapytaniu ofertowym ze względu na specyfikę przedmiotu zamówienia, w tym wymóg posiadania unikalnych kompetencji merytorycznych, doświadczeń w obszarze</w:t>
            </w:r>
            <w:r w:rsidR="001C6080" w:rsidRPr="006E1EE6">
              <w:t xml:space="preserve"> będącym przedmiotem zamówieni</w:t>
            </w:r>
            <w:r w:rsidR="00567C88" w:rsidRPr="006E1EE6">
              <w:t>a</w:t>
            </w:r>
            <w:r w:rsidR="001C6080" w:rsidRPr="006E1EE6">
              <w:t>, posiadania zasobów kadrowych, przedstawienia wstępnego opisu narzędzia oraz propozycje poszerzenia zakresu badania.</w:t>
            </w:r>
          </w:p>
          <w:p w14:paraId="1D51B14F" w14:textId="77777777" w:rsidR="00211579" w:rsidRPr="006E1EE6" w:rsidRDefault="00211579" w:rsidP="006B39B3">
            <w:r w:rsidRPr="006E1EE6">
              <w:t>Wskazane kompetencje wymagają kierowania zapytania ofertowego do tych podmiotów, które spełniają warunki udziału w postępowaniu specyficznym podmiotów, a zarazem posiadają merytoryczne możliwości do zrealizowania przedmiotu zamówienia.</w:t>
            </w:r>
          </w:p>
        </w:tc>
      </w:tr>
      <w:tr w:rsidR="00211579" w:rsidRPr="006E1EE6" w14:paraId="0CBA1FBE" w14:textId="77777777" w:rsidTr="00211579">
        <w:tc>
          <w:tcPr>
            <w:tcW w:w="9062" w:type="dxa"/>
            <w:tcBorders>
              <w:top w:val="nil"/>
            </w:tcBorders>
          </w:tcPr>
          <w:p w14:paraId="7F49FCFA" w14:textId="77777777" w:rsidR="00211579" w:rsidRPr="006E1EE6" w:rsidRDefault="00211579" w:rsidP="00CA320F">
            <w:r w:rsidRPr="006E1EE6">
              <w:rPr>
                <w:b/>
                <w:bCs/>
              </w:rPr>
              <w:t>3.</w:t>
            </w:r>
            <w:r w:rsidRPr="006E1EE6">
              <w:t> Zamawiający może, w oparciu o przekazane oferty, dokonać wyboru Wykonawcy. Niniejsze zaproszenie do składania ofert nie stanowi jednak zobowiązania Zamawiającego do udzielenia zamówienia.</w:t>
            </w:r>
          </w:p>
          <w:p w14:paraId="3768E48B" w14:textId="513E7228" w:rsidR="006C5D9D" w:rsidRPr="006E1EE6" w:rsidRDefault="00301775" w:rsidP="00CA320F">
            <w:r w:rsidRPr="006E1EE6">
              <w:t xml:space="preserve">4. </w:t>
            </w:r>
            <w:r w:rsidR="006C5D9D" w:rsidRPr="006E1EE6">
              <w:t>Zamawiający zastrzega sobie możliwość nierozstrzygnięcia zapytania ofertowego oraz niewybrania żadnej oferty, bez podania przyczyny. Zamawiający zastrzega sobie również prawo do podjęcia negocjacji ceny z oferentem, który złoży najkorzystniejszą ofertę.</w:t>
            </w:r>
          </w:p>
          <w:p w14:paraId="547AF948" w14:textId="63430573" w:rsidR="006C5D9D" w:rsidRPr="006E1EE6" w:rsidRDefault="006C5D9D" w:rsidP="00CA320F">
            <w:r w:rsidRPr="006E1EE6">
              <w:t xml:space="preserve">5. </w:t>
            </w:r>
            <w:r w:rsidR="00301775" w:rsidRPr="006E1EE6">
              <w:t>Zamawiający zastrzega sobie prawo do unieważnienia przedmiotowego postępowania na każdym etapie bez podania przyczyny unieważnienia.</w:t>
            </w:r>
          </w:p>
        </w:tc>
      </w:tr>
      <w:tr w:rsidR="00211579" w:rsidRPr="006E1EE6" w14:paraId="1E68AA40" w14:textId="77777777" w:rsidTr="00B82714"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B6074AB" w14:textId="77777777" w:rsidR="00211579" w:rsidRPr="006E1EE6" w:rsidRDefault="00211579" w:rsidP="0019283F">
            <w:pPr>
              <w:rPr>
                <w:b/>
              </w:rPr>
            </w:pPr>
            <w:r w:rsidRPr="006E1EE6">
              <w:rPr>
                <w:b/>
              </w:rPr>
              <w:t>III. Przedmiot zamówienia</w:t>
            </w:r>
          </w:p>
        </w:tc>
      </w:tr>
      <w:tr w:rsidR="00211579" w:rsidRPr="006E1EE6" w14:paraId="7E4796A3" w14:textId="77777777" w:rsidTr="00211579">
        <w:tc>
          <w:tcPr>
            <w:tcW w:w="9062" w:type="dxa"/>
            <w:tcBorders>
              <w:bottom w:val="nil"/>
            </w:tcBorders>
          </w:tcPr>
          <w:p w14:paraId="305822D5" w14:textId="77777777" w:rsidR="008112B8" w:rsidRPr="006E1EE6" w:rsidRDefault="008112B8" w:rsidP="008112B8">
            <w:pPr>
              <w:pStyle w:val="Akapitzlist"/>
              <w:rPr>
                <w:b/>
                <w:bCs/>
              </w:rPr>
            </w:pPr>
          </w:p>
          <w:p w14:paraId="403D0717" w14:textId="5A22E5AA" w:rsidR="0082673A" w:rsidRPr="006E1EE6" w:rsidRDefault="00211579" w:rsidP="003053C0">
            <w:pPr>
              <w:pStyle w:val="Akapitzlist"/>
              <w:numPr>
                <w:ilvl w:val="0"/>
                <w:numId w:val="7"/>
              </w:numPr>
              <w:rPr>
                <w:b/>
                <w:bCs/>
              </w:rPr>
            </w:pPr>
            <w:r w:rsidRPr="006E1EE6">
              <w:rPr>
                <w:b/>
                <w:bCs/>
              </w:rPr>
              <w:t xml:space="preserve">Przedmiotem umowy jest </w:t>
            </w:r>
            <w:bookmarkStart w:id="0" w:name="_Hlk212456858"/>
            <w:r w:rsidR="0084429D" w:rsidRPr="006E1EE6">
              <w:rPr>
                <w:b/>
                <w:bCs/>
              </w:rPr>
              <w:t>p</w:t>
            </w:r>
            <w:r w:rsidR="00C6154F" w:rsidRPr="006E1EE6">
              <w:rPr>
                <w:b/>
                <w:bCs/>
              </w:rPr>
              <w:t xml:space="preserve">rzeprowadzenie cyklicznego monitoringu i analizy </w:t>
            </w:r>
            <w:r w:rsidR="00CF48D4" w:rsidRPr="006E1EE6">
              <w:rPr>
                <w:b/>
                <w:bCs/>
              </w:rPr>
              <w:t>dyskursów</w:t>
            </w:r>
            <w:r w:rsidR="00C6154F" w:rsidRPr="006E1EE6">
              <w:rPr>
                <w:b/>
                <w:bCs/>
              </w:rPr>
              <w:t xml:space="preserve"> społecznych </w:t>
            </w:r>
            <w:r w:rsidR="00CF48D4" w:rsidRPr="006E1EE6">
              <w:rPr>
                <w:b/>
                <w:bCs/>
              </w:rPr>
              <w:t>w</w:t>
            </w:r>
            <w:r w:rsidR="00C6154F" w:rsidRPr="006E1EE6">
              <w:rPr>
                <w:b/>
                <w:bCs/>
              </w:rPr>
              <w:t xml:space="preserve"> deba</w:t>
            </w:r>
            <w:r w:rsidR="00CF48D4" w:rsidRPr="006E1EE6">
              <w:rPr>
                <w:b/>
                <w:bCs/>
              </w:rPr>
              <w:t>cie</w:t>
            </w:r>
            <w:r w:rsidR="00C6154F" w:rsidRPr="006E1EE6">
              <w:rPr>
                <w:b/>
                <w:bCs/>
              </w:rPr>
              <w:t xml:space="preserve"> publicznej dotyczącej aktualnych zagadnień z zakresu</w:t>
            </w:r>
            <w:r w:rsidR="00CF48D4" w:rsidRPr="006E1EE6">
              <w:rPr>
                <w:b/>
                <w:bCs/>
              </w:rPr>
              <w:t xml:space="preserve"> aktualnej i projektowanej </w:t>
            </w:r>
            <w:r w:rsidR="00C6154F" w:rsidRPr="006E1EE6">
              <w:rPr>
                <w:b/>
                <w:bCs/>
              </w:rPr>
              <w:t xml:space="preserve"> polityki kulturalnej kraju oraz działalności Ministerstwa Kultury i Dziedzictwa Narodowego.</w:t>
            </w:r>
          </w:p>
          <w:bookmarkEnd w:id="0"/>
          <w:p w14:paraId="0045E2AA" w14:textId="77777777" w:rsidR="00CB7622" w:rsidRPr="006E1EE6" w:rsidRDefault="00CB7622" w:rsidP="00CB7622">
            <w:pPr>
              <w:pStyle w:val="Akapitzlist"/>
              <w:rPr>
                <w:b/>
                <w:bCs/>
              </w:rPr>
            </w:pPr>
          </w:p>
          <w:p w14:paraId="1415370D" w14:textId="1C33C8D7" w:rsidR="003053C0" w:rsidRPr="006E1EE6" w:rsidRDefault="00301775" w:rsidP="00CB7622">
            <w:pPr>
              <w:pStyle w:val="Akapitzlist"/>
              <w:numPr>
                <w:ilvl w:val="0"/>
                <w:numId w:val="7"/>
              </w:numPr>
              <w:rPr>
                <w:b/>
                <w:bCs/>
              </w:rPr>
            </w:pPr>
            <w:r w:rsidRPr="006E1EE6">
              <w:rPr>
                <w:b/>
                <w:bCs/>
              </w:rPr>
              <w:t xml:space="preserve">Celem </w:t>
            </w:r>
            <w:r w:rsidR="0067646A" w:rsidRPr="006E1EE6">
              <w:rPr>
                <w:b/>
                <w:bCs/>
              </w:rPr>
              <w:t>przeprowadzanego monitoringu i analizy</w:t>
            </w:r>
            <w:r w:rsidRPr="006E1EE6">
              <w:rPr>
                <w:b/>
                <w:bCs/>
              </w:rPr>
              <w:t xml:space="preserve"> jest uzyskanie wiedzy </w:t>
            </w:r>
            <w:r w:rsidR="00CF48D4" w:rsidRPr="006E1EE6">
              <w:rPr>
                <w:b/>
                <w:bCs/>
              </w:rPr>
              <w:t>z zakresu</w:t>
            </w:r>
            <w:r w:rsidR="00594779" w:rsidRPr="006E1EE6">
              <w:rPr>
                <w:b/>
                <w:bCs/>
              </w:rPr>
              <w:t xml:space="preserve"> </w:t>
            </w:r>
            <w:r w:rsidR="00CF48D4" w:rsidRPr="006E1EE6">
              <w:rPr>
                <w:b/>
                <w:bCs/>
              </w:rPr>
              <w:t>trendów, potrzeb i nastrojów opinii</w:t>
            </w:r>
            <w:r w:rsidR="0067646A" w:rsidRPr="006E1EE6">
              <w:rPr>
                <w:b/>
                <w:bCs/>
              </w:rPr>
              <w:t xml:space="preserve"> </w:t>
            </w:r>
            <w:r w:rsidR="00CF48D4" w:rsidRPr="006E1EE6">
              <w:rPr>
                <w:b/>
                <w:bCs/>
              </w:rPr>
              <w:t xml:space="preserve">społecznej </w:t>
            </w:r>
            <w:r w:rsidR="0067646A" w:rsidRPr="006E1EE6">
              <w:rPr>
                <w:b/>
                <w:bCs/>
              </w:rPr>
              <w:t xml:space="preserve">dotyczących działań </w:t>
            </w:r>
            <w:r w:rsidR="00CF48D4" w:rsidRPr="006E1EE6">
              <w:rPr>
                <w:b/>
                <w:bCs/>
              </w:rPr>
              <w:t xml:space="preserve">planowanych i </w:t>
            </w:r>
            <w:r w:rsidR="0067646A" w:rsidRPr="006E1EE6">
              <w:rPr>
                <w:b/>
                <w:bCs/>
              </w:rPr>
              <w:t>podejmowanych przez Ministerstwo Kultury i Dziedzictwa Narodowego.</w:t>
            </w:r>
          </w:p>
          <w:p w14:paraId="0CEDB668" w14:textId="77777777" w:rsidR="0082673A" w:rsidRPr="006E1EE6" w:rsidRDefault="0082673A" w:rsidP="003053C0">
            <w:pPr>
              <w:rPr>
                <w:b/>
                <w:bCs/>
              </w:rPr>
            </w:pPr>
          </w:p>
          <w:p w14:paraId="167B7CF8" w14:textId="340FB5F4" w:rsidR="0082673A" w:rsidRPr="006E1EE6" w:rsidRDefault="00211579" w:rsidP="0082673A">
            <w:pPr>
              <w:pStyle w:val="Akapitzlist"/>
              <w:numPr>
                <w:ilvl w:val="0"/>
                <w:numId w:val="7"/>
              </w:numPr>
            </w:pPr>
            <w:r w:rsidRPr="006E1EE6">
              <w:t xml:space="preserve">Zakres zamówienia obejmuje </w:t>
            </w:r>
            <w:r w:rsidR="00301775" w:rsidRPr="006E1EE6">
              <w:t>zrealizowanie całego procesu</w:t>
            </w:r>
            <w:r w:rsidR="00CB7622" w:rsidRPr="006E1EE6">
              <w:t xml:space="preserve"> </w:t>
            </w:r>
            <w:r w:rsidR="008F588E" w:rsidRPr="006E1EE6">
              <w:t>badani</w:t>
            </w:r>
            <w:r w:rsidR="00B620BD" w:rsidRPr="006E1EE6">
              <w:t>a</w:t>
            </w:r>
            <w:r w:rsidR="008F588E" w:rsidRPr="006E1EE6">
              <w:t xml:space="preserve"> nastrojów społecznych</w:t>
            </w:r>
            <w:r w:rsidR="000C1B69" w:rsidRPr="006E1EE6">
              <w:t xml:space="preserve"> z wykorzystaniem metody </w:t>
            </w:r>
            <w:proofErr w:type="spellStart"/>
            <w:r w:rsidR="000C1B69" w:rsidRPr="006E1EE6">
              <w:t>social</w:t>
            </w:r>
            <w:proofErr w:type="spellEnd"/>
            <w:r w:rsidR="000C1B69" w:rsidRPr="006E1EE6">
              <w:t xml:space="preserve"> </w:t>
            </w:r>
            <w:proofErr w:type="spellStart"/>
            <w:r w:rsidR="000C1B69" w:rsidRPr="006E1EE6">
              <w:t>listening</w:t>
            </w:r>
            <w:proofErr w:type="spellEnd"/>
            <w:r w:rsidR="008F588E" w:rsidRPr="006E1EE6">
              <w:t xml:space="preserve"> </w:t>
            </w:r>
            <w:r w:rsidR="000C1B69" w:rsidRPr="006E1EE6">
              <w:t>w zakresie</w:t>
            </w:r>
            <w:r w:rsidR="0085412C" w:rsidRPr="006E1EE6">
              <w:t xml:space="preserve"> aktualnej</w:t>
            </w:r>
            <w:r w:rsidR="000C1B69" w:rsidRPr="006E1EE6">
              <w:t xml:space="preserve"> i planowanej</w:t>
            </w:r>
            <w:r w:rsidR="0085412C" w:rsidRPr="006E1EE6">
              <w:t xml:space="preserve"> działalności Ministerstwa Kultury i Dziedzictwa Narodowego w okresie</w:t>
            </w:r>
            <w:r w:rsidRPr="006E1EE6">
              <w:t> </w:t>
            </w:r>
            <w:r w:rsidR="00BE00A5" w:rsidRPr="006E1EE6">
              <w:rPr>
                <w:b/>
                <w:bCs/>
              </w:rPr>
              <w:t>o</w:t>
            </w:r>
            <w:r w:rsidR="00E75883" w:rsidRPr="006E1EE6">
              <w:rPr>
                <w:b/>
                <w:bCs/>
              </w:rPr>
              <w:t xml:space="preserve">d </w:t>
            </w:r>
            <w:r w:rsidR="00567C88" w:rsidRPr="006E1EE6">
              <w:rPr>
                <w:b/>
                <w:bCs/>
              </w:rPr>
              <w:t xml:space="preserve">dnia </w:t>
            </w:r>
            <w:r w:rsidR="00BE182D" w:rsidRPr="006E1EE6">
              <w:rPr>
                <w:b/>
                <w:bCs/>
              </w:rPr>
              <w:t>zawarcia Umowy</w:t>
            </w:r>
            <w:r w:rsidR="00567C88" w:rsidRPr="006E1EE6">
              <w:rPr>
                <w:b/>
                <w:bCs/>
              </w:rPr>
              <w:t xml:space="preserve"> do 31 grudnia</w:t>
            </w:r>
            <w:r w:rsidR="0082673A" w:rsidRPr="006E1EE6">
              <w:rPr>
                <w:b/>
                <w:bCs/>
              </w:rPr>
              <w:t xml:space="preserve"> 2026r.</w:t>
            </w:r>
            <w:r w:rsidR="0082673A" w:rsidRPr="006E1EE6">
              <w:t xml:space="preserve">, w ramach </w:t>
            </w:r>
            <w:r w:rsidR="00BE182D" w:rsidRPr="006E1EE6">
              <w:t>siedmiu</w:t>
            </w:r>
            <w:r w:rsidR="0085412C" w:rsidRPr="006E1EE6">
              <w:t xml:space="preserve"> miesięcznych </w:t>
            </w:r>
            <w:r w:rsidR="00BE182D" w:rsidRPr="006E1EE6">
              <w:t>faz</w:t>
            </w:r>
            <w:r w:rsidR="0085412C" w:rsidRPr="006E1EE6">
              <w:t>, w których przeprowadzone zostaną po dwa badania, każde zakończone raportem podsumowującym.</w:t>
            </w:r>
          </w:p>
          <w:p w14:paraId="3C64B384" w14:textId="312E203C" w:rsidR="0082673A" w:rsidRPr="006E1EE6" w:rsidRDefault="0082673A" w:rsidP="0082673A"/>
        </w:tc>
      </w:tr>
      <w:tr w:rsidR="00211579" w:rsidRPr="006E1EE6" w14:paraId="2CD202E6" w14:textId="77777777" w:rsidTr="00211579">
        <w:tc>
          <w:tcPr>
            <w:tcW w:w="9062" w:type="dxa"/>
            <w:tcBorders>
              <w:top w:val="nil"/>
            </w:tcBorders>
          </w:tcPr>
          <w:p w14:paraId="1B6AECC5" w14:textId="634D465C" w:rsidR="00211579" w:rsidRPr="006E1EE6" w:rsidRDefault="00211579" w:rsidP="00027A27">
            <w:pPr>
              <w:pStyle w:val="Akapitzlist"/>
              <w:numPr>
                <w:ilvl w:val="0"/>
                <w:numId w:val="7"/>
              </w:numPr>
            </w:pPr>
            <w:r w:rsidRPr="006E1EE6">
              <w:lastRenderedPageBreak/>
              <w:t>Umowa będzie realizowana na</w:t>
            </w:r>
            <w:r w:rsidR="00301775" w:rsidRPr="006E1EE6">
              <w:t xml:space="preserve"> </w:t>
            </w:r>
            <w:r w:rsidRPr="006E1EE6">
              <w:t xml:space="preserve">potrzeby </w:t>
            </w:r>
            <w:r w:rsidR="00126EE2" w:rsidRPr="006E1EE6">
              <w:t>prac Ministerstwa Kultury i Dziedzictwa Narodowego w zakresie realizacji zadań związanych z budową strategii kultury kraju</w:t>
            </w:r>
            <w:r w:rsidR="006061BA" w:rsidRPr="006E1EE6">
              <w:t xml:space="preserve"> oraz poszerzenia zakresu opinii branych pod uwagę w ramach prowadzonych przez resort konsultacji publicznych</w:t>
            </w:r>
            <w:r w:rsidR="00EA2281" w:rsidRPr="006E1EE6">
              <w:t xml:space="preserve"> </w:t>
            </w:r>
            <w:r w:rsidR="00126EE2" w:rsidRPr="006E1EE6">
              <w:t>.</w:t>
            </w:r>
          </w:p>
          <w:p w14:paraId="7009F74A" w14:textId="77777777" w:rsidR="00027A27" w:rsidRPr="006E1EE6" w:rsidRDefault="00027A27" w:rsidP="00027A27">
            <w:pPr>
              <w:pStyle w:val="Akapitzlist"/>
            </w:pPr>
          </w:p>
          <w:p w14:paraId="4960B4CA" w14:textId="4AEFAFAD" w:rsidR="00027A27" w:rsidRPr="006E1EE6" w:rsidRDefault="00027A27" w:rsidP="00027A27">
            <w:pPr>
              <w:pStyle w:val="Akapitzlist"/>
              <w:numPr>
                <w:ilvl w:val="0"/>
                <w:numId w:val="7"/>
              </w:numPr>
              <w:jc w:val="both"/>
            </w:pPr>
            <w:r w:rsidRPr="006E1EE6">
              <w:t xml:space="preserve">Oferent przedstawiając ofertę, a następnie wybrany Wykonawca na każdym etapie </w:t>
            </w:r>
            <w:r w:rsidR="00BE182D" w:rsidRPr="006E1EE6">
              <w:t xml:space="preserve">wykonania Umowy, </w:t>
            </w:r>
            <w:r w:rsidRPr="006E1EE6">
              <w:t>od przygotowania narzędzia, przez zbieranie danych, po analizę i prezentację wyników – zawsze powinien kierować się standardami badawczymi</w:t>
            </w:r>
            <w:r w:rsidR="00126EE2" w:rsidRPr="006E1EE6">
              <w:t>.</w:t>
            </w:r>
          </w:p>
          <w:p w14:paraId="1E047A3C" w14:textId="77777777" w:rsidR="00CB7622" w:rsidRPr="006E1EE6" w:rsidRDefault="00CB7622" w:rsidP="00CB7622">
            <w:pPr>
              <w:pStyle w:val="Akapitzlist"/>
            </w:pPr>
          </w:p>
        </w:tc>
      </w:tr>
      <w:tr w:rsidR="00211579" w:rsidRPr="006E1EE6" w14:paraId="3AFDBB62" w14:textId="77777777" w:rsidTr="00B82714"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FC606C0" w14:textId="77777777" w:rsidR="00211579" w:rsidRPr="006E1EE6" w:rsidRDefault="00211579" w:rsidP="00C76750">
            <w:pPr>
              <w:rPr>
                <w:b/>
              </w:rPr>
            </w:pPr>
            <w:r w:rsidRPr="006E1EE6">
              <w:rPr>
                <w:b/>
              </w:rPr>
              <w:t>IV. Cel i szczegółowy opis przedmiotu zamówienia</w:t>
            </w:r>
          </w:p>
        </w:tc>
      </w:tr>
      <w:tr w:rsidR="00211579" w:rsidRPr="006E1EE6" w14:paraId="2564EE45" w14:textId="77777777" w:rsidTr="00211579">
        <w:tc>
          <w:tcPr>
            <w:tcW w:w="9062" w:type="dxa"/>
            <w:tcBorders>
              <w:bottom w:val="nil"/>
            </w:tcBorders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211579" w:rsidRPr="006E1EE6" w14:paraId="31241638" w14:textId="77777777" w:rsidTr="008512BE">
              <w:tc>
                <w:tcPr>
                  <w:tcW w:w="88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8FAB9" w14:textId="6777C95E" w:rsidR="000C1B69" w:rsidRPr="006E1EE6" w:rsidRDefault="001B7398" w:rsidP="00ED7F72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</w:pPr>
                  <w:r w:rsidRPr="006E1EE6">
                    <w:t xml:space="preserve">Celem badania jest uzyskanie informacji na temat </w:t>
                  </w:r>
                  <w:r w:rsidR="000C1B69" w:rsidRPr="006E1EE6">
                    <w:t xml:space="preserve">potrzeb i opinii </w:t>
                  </w:r>
                  <w:r w:rsidR="00A013EE" w:rsidRPr="006E1EE6">
                    <w:t>społeczn</w:t>
                  </w:r>
                  <w:r w:rsidR="000C1B69" w:rsidRPr="006E1EE6">
                    <w:t>ej</w:t>
                  </w:r>
                  <w:r w:rsidR="00A013EE" w:rsidRPr="006E1EE6">
                    <w:t xml:space="preserve"> dotyczących aktualnych </w:t>
                  </w:r>
                  <w:r w:rsidR="00DA665A" w:rsidRPr="006E1EE6">
                    <w:t xml:space="preserve">i planowanych </w:t>
                  </w:r>
                  <w:r w:rsidR="00A013EE" w:rsidRPr="006E1EE6">
                    <w:t>działań podejmowanych przez Ministerstwo Kultury i Dziedzictwa Narodowego</w:t>
                  </w:r>
                  <w:r w:rsidRPr="006E1EE6">
                    <w:t xml:space="preserve">, w celu stworzenia przez Ministerstwo </w:t>
                  </w:r>
                  <w:r w:rsidR="000C1B69" w:rsidRPr="006E1EE6">
                    <w:t>założeń długofalowej polityki kulturalnej państwa, tak, aby uwzględniała możliwie jak najszersze spektrum potrzeb i opinii różnych grup społecznych, zawodowych, wiekowych itp.</w:t>
                  </w:r>
                </w:p>
                <w:p w14:paraId="1C40FFC2" w14:textId="04A08488" w:rsidR="000C1B69" w:rsidRPr="006E1EE6" w:rsidRDefault="000C1B69" w:rsidP="000C1B69">
                  <w:pPr>
                    <w:pStyle w:val="Akapitzlist"/>
                    <w:jc w:val="both"/>
                  </w:pPr>
                  <w:r w:rsidRPr="006E1EE6">
                    <w:t xml:space="preserve"> </w:t>
                  </w:r>
                </w:p>
                <w:p w14:paraId="3E3352F0" w14:textId="2B431B9A" w:rsidR="00DA665A" w:rsidRPr="006E1EE6" w:rsidRDefault="000C1B69" w:rsidP="00DA665A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</w:pPr>
                  <w:r w:rsidRPr="006E1EE6">
                    <w:t xml:space="preserve">Dodatkowym celem jest </w:t>
                  </w:r>
                  <w:r w:rsidR="009A6083" w:rsidRPr="006E1EE6">
                    <w:t>wzmacniani</w:t>
                  </w:r>
                  <w:r w:rsidR="006061BA" w:rsidRPr="006E1EE6">
                    <w:t>e</w:t>
                  </w:r>
                  <w:r w:rsidRPr="006E1EE6">
                    <w:t xml:space="preserve"> zbierania uwag w procesach </w:t>
                  </w:r>
                  <w:r w:rsidR="009A6083" w:rsidRPr="006E1EE6">
                    <w:t>konsultacji społecznych działań podejmowanych przez Ministerstwo.</w:t>
                  </w:r>
                </w:p>
                <w:p w14:paraId="52018E23" w14:textId="77777777" w:rsidR="00DA665A" w:rsidRPr="006E1EE6" w:rsidRDefault="00DA665A" w:rsidP="00DA665A">
                  <w:pPr>
                    <w:pStyle w:val="Akapitzlist"/>
                  </w:pPr>
                </w:p>
                <w:p w14:paraId="31B5F001" w14:textId="3D032F1D" w:rsidR="00CB7622" w:rsidRPr="006E1EE6" w:rsidRDefault="00C7595C" w:rsidP="00DA665A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</w:pPr>
                  <w:r w:rsidRPr="006E1EE6">
                    <w:t xml:space="preserve">Dla tych celów niezbędne jest </w:t>
                  </w:r>
                  <w:r w:rsidR="004D5432" w:rsidRPr="006E1EE6">
                    <w:t>aktualizacja</w:t>
                  </w:r>
                  <w:r w:rsidRPr="006E1EE6">
                    <w:t xml:space="preserve"> wiedzy z zakresu </w:t>
                  </w:r>
                  <w:r w:rsidR="000C1B69" w:rsidRPr="006E1EE6">
                    <w:t xml:space="preserve">potrzeb i </w:t>
                  </w:r>
                  <w:r w:rsidR="00A013EE" w:rsidRPr="006E1EE6">
                    <w:t>nastrojów społecznych dotyczących aktualnych działań podejmowanych przez Ministerstwo Kultury i Dziedzictwa Narodowego</w:t>
                  </w:r>
                  <w:r w:rsidR="000C1B69" w:rsidRPr="006E1EE6">
                    <w:t>, które będą przedmiotem dalszych analiz i prac na rzecz weryfikacji i tworzenia założeń dokumentów projektowych.</w:t>
                  </w:r>
                </w:p>
                <w:p w14:paraId="2865B8E7" w14:textId="77777777" w:rsidR="000C1B69" w:rsidRPr="006E1EE6" w:rsidRDefault="000C1B69" w:rsidP="00CB7622">
                  <w:pPr>
                    <w:pStyle w:val="Akapitzlist"/>
                    <w:jc w:val="both"/>
                  </w:pPr>
                </w:p>
                <w:p w14:paraId="1E7D5EAB" w14:textId="69B19DF2" w:rsidR="00A013EE" w:rsidRPr="006E1EE6" w:rsidRDefault="00FB16BF" w:rsidP="009A6083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</w:pPr>
                  <w:r w:rsidRPr="006E1EE6">
                    <w:t xml:space="preserve">Badanie powinno zostać przeprowadzone metodą badawczą </w:t>
                  </w:r>
                  <w:proofErr w:type="spellStart"/>
                  <w:r w:rsidRPr="006E1EE6">
                    <w:t>social</w:t>
                  </w:r>
                  <w:proofErr w:type="spellEnd"/>
                  <w:r w:rsidRPr="006E1EE6">
                    <w:t xml:space="preserve"> </w:t>
                  </w:r>
                  <w:proofErr w:type="spellStart"/>
                  <w:r w:rsidRPr="006E1EE6">
                    <w:t>listening</w:t>
                  </w:r>
                  <w:proofErr w:type="spellEnd"/>
                  <w:r w:rsidR="00C1550F" w:rsidRPr="006E1EE6">
                    <w:t xml:space="preserve"> w Internecie</w:t>
                  </w:r>
                  <w:r w:rsidR="008C193B" w:rsidRPr="006E1EE6">
                    <w:t xml:space="preserve"> na forach internetowych, portalach informacyjnych, platformach społecznościowych m.in. Facebook, Instagram, X, </w:t>
                  </w:r>
                  <w:proofErr w:type="spellStart"/>
                  <w:r w:rsidR="008C193B" w:rsidRPr="006E1EE6">
                    <w:t>TikTok</w:t>
                  </w:r>
                  <w:proofErr w:type="spellEnd"/>
                  <w:r w:rsidR="009A6083" w:rsidRPr="006E1EE6">
                    <w:t xml:space="preserve"> i inne</w:t>
                  </w:r>
                  <w:r w:rsidRPr="006E1EE6">
                    <w:t xml:space="preserve">. </w:t>
                  </w:r>
                </w:p>
                <w:p w14:paraId="3BE2A679" w14:textId="77777777" w:rsidR="00DA665A" w:rsidRPr="006E1EE6" w:rsidRDefault="00DA665A" w:rsidP="00B620BD">
                  <w:pPr>
                    <w:jc w:val="both"/>
                  </w:pPr>
                </w:p>
                <w:p w14:paraId="53BA6791" w14:textId="6AE549C5" w:rsidR="00680605" w:rsidRPr="006E1EE6" w:rsidRDefault="00FB16BF" w:rsidP="008512BE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</w:pPr>
                  <w:r w:rsidRPr="006E1EE6">
                    <w:t xml:space="preserve">W ramach badania Wykonawca przeprowadzi miesięcznie dwa badania zakończone raportami podsumowującymi. Każdorazowo </w:t>
                  </w:r>
                  <w:r w:rsidR="00EA2281" w:rsidRPr="006E1EE6">
                    <w:t xml:space="preserve">badanie będzie podzielone na </w:t>
                  </w:r>
                  <w:r w:rsidR="009D2065" w:rsidRPr="006E1EE6">
                    <w:t>trzy etapy</w:t>
                  </w:r>
                  <w:r w:rsidR="00EA2281" w:rsidRPr="006E1EE6">
                    <w:t xml:space="preserve"> części</w:t>
                  </w:r>
                  <w:r w:rsidR="008512BE" w:rsidRPr="006E1EE6">
                    <w:t>:</w:t>
                  </w:r>
                  <w:r w:rsidR="00EA2281" w:rsidRPr="006E1EE6">
                    <w:t xml:space="preserve"> </w:t>
                  </w:r>
                </w:p>
              </w:tc>
            </w:tr>
          </w:tbl>
          <w:p w14:paraId="1C9F469E" w14:textId="77777777" w:rsidR="00C40F29" w:rsidRPr="006E1EE6" w:rsidRDefault="00C40F29" w:rsidP="00843C5E">
            <w:pPr>
              <w:ind w:left="360"/>
            </w:pPr>
          </w:p>
        </w:tc>
      </w:tr>
      <w:tr w:rsidR="00211579" w:rsidRPr="006E1EE6" w14:paraId="1EF74EFF" w14:textId="77777777" w:rsidTr="00211579">
        <w:tc>
          <w:tcPr>
            <w:tcW w:w="9062" w:type="dxa"/>
            <w:tcBorders>
              <w:top w:val="nil"/>
              <w:bottom w:val="nil"/>
            </w:tcBorders>
          </w:tcPr>
          <w:p w14:paraId="1ACD00AB" w14:textId="3CEE9AF1" w:rsidR="009D2065" w:rsidRPr="006E1EE6" w:rsidRDefault="00CB7622" w:rsidP="008512BE">
            <w:pPr>
              <w:pStyle w:val="Akapitzlist"/>
              <w:numPr>
                <w:ilvl w:val="0"/>
                <w:numId w:val="26"/>
              </w:numPr>
            </w:pPr>
            <w:r w:rsidRPr="006E1EE6">
              <w:rPr>
                <w:b/>
                <w:bCs/>
              </w:rPr>
              <w:t>Etap I</w:t>
            </w:r>
            <w:r w:rsidR="006C5D9D" w:rsidRPr="006E1EE6">
              <w:t xml:space="preserve"> </w:t>
            </w:r>
            <w:r w:rsidRPr="006E1EE6">
              <w:t>obejm</w:t>
            </w:r>
            <w:r w:rsidR="00EA2281" w:rsidRPr="006E1EE6">
              <w:t xml:space="preserve">ować będzie określenie wraz z Zamawiającym zagadnień, tematów oraz kluczowych fraz, które będą monitorowane i </w:t>
            </w:r>
            <w:r w:rsidR="00A70E5D" w:rsidRPr="006E1EE6">
              <w:t>anglizowane</w:t>
            </w:r>
            <w:r w:rsidR="00EA2281" w:rsidRPr="006E1EE6">
              <w:t xml:space="preserve"> w ramach badania.</w:t>
            </w:r>
            <w:r w:rsidRPr="006E1EE6">
              <w:t xml:space="preserve"> </w:t>
            </w:r>
          </w:p>
          <w:p w14:paraId="069E38DE" w14:textId="1E426012" w:rsidR="00AF78AD" w:rsidRPr="006E1EE6" w:rsidRDefault="009D2065" w:rsidP="008512BE">
            <w:pPr>
              <w:pStyle w:val="Akapitzlist"/>
              <w:numPr>
                <w:ilvl w:val="0"/>
                <w:numId w:val="26"/>
              </w:numPr>
            </w:pPr>
            <w:r w:rsidRPr="006E1EE6">
              <w:rPr>
                <w:b/>
                <w:bCs/>
              </w:rPr>
              <w:t>Etap II</w:t>
            </w:r>
            <w:r w:rsidRPr="006E1EE6">
              <w:t xml:space="preserve"> obejmować będzie właściwe badanie </w:t>
            </w:r>
            <w:r w:rsidR="00AF78AD" w:rsidRPr="006E1EE6">
              <w:t>nastrojów społecznych monitorowanych zagadnień</w:t>
            </w:r>
            <w:r w:rsidR="00A70E5D" w:rsidRPr="006E1EE6">
              <w:t xml:space="preserve"> określonych w Etapie I</w:t>
            </w:r>
            <w:r w:rsidR="00AF78AD" w:rsidRPr="006E1EE6">
              <w:t>.</w:t>
            </w:r>
            <w:r w:rsidR="00A70E5D" w:rsidRPr="006E1EE6">
              <w:t xml:space="preserve"> </w:t>
            </w:r>
            <w:r w:rsidR="00D37E96" w:rsidRPr="006E1EE6">
              <w:t xml:space="preserve">Zakres grupy badawczej obejmować powinien </w:t>
            </w:r>
            <w:r w:rsidR="00B620BD" w:rsidRPr="006E1EE6">
              <w:t>szerokie spektrum zmiennych demograficznych, zawodowych, społecznych i terytorialnych</w:t>
            </w:r>
            <w:r w:rsidR="00D37E96" w:rsidRPr="006E1EE6">
              <w:t xml:space="preserve">. </w:t>
            </w:r>
            <w:r w:rsidR="00A70E5D" w:rsidRPr="006E1EE6">
              <w:t>Zamawiający zastrzega sobie możliwość doprecyzowania monitorowanych zagadnień w czasie trwania Etapu II.</w:t>
            </w:r>
          </w:p>
          <w:p w14:paraId="619EAA47" w14:textId="09A694A4" w:rsidR="008112B8" w:rsidRPr="006E1EE6" w:rsidRDefault="00AF78AD" w:rsidP="008512BE">
            <w:pPr>
              <w:pStyle w:val="Akapitzlist"/>
              <w:numPr>
                <w:ilvl w:val="0"/>
                <w:numId w:val="26"/>
              </w:numPr>
              <w:rPr>
                <w:b/>
                <w:bCs/>
              </w:rPr>
            </w:pPr>
            <w:r w:rsidRPr="006E1EE6">
              <w:rPr>
                <w:b/>
                <w:bCs/>
              </w:rPr>
              <w:t>Etap III</w:t>
            </w:r>
            <w:r w:rsidRPr="006E1EE6">
              <w:t xml:space="preserve"> będzie polegał na opracowaniu wyników i przygotowaniu raportu z badania wraz z interpretacją wyników. </w:t>
            </w:r>
          </w:p>
        </w:tc>
      </w:tr>
      <w:tr w:rsidR="00211579" w:rsidRPr="006E1EE6" w14:paraId="2230E8A8" w14:textId="77777777" w:rsidTr="00211579">
        <w:tc>
          <w:tcPr>
            <w:tcW w:w="9062" w:type="dxa"/>
            <w:tcBorders>
              <w:top w:val="nil"/>
              <w:bottom w:val="nil"/>
            </w:tcBorders>
          </w:tcPr>
          <w:p w14:paraId="60788049" w14:textId="77777777" w:rsidR="00DA665A" w:rsidRPr="006E1EE6" w:rsidRDefault="00A70E5D" w:rsidP="008512BE">
            <w:pPr>
              <w:pStyle w:val="Akapitzlist"/>
              <w:numPr>
                <w:ilvl w:val="0"/>
                <w:numId w:val="12"/>
              </w:numPr>
              <w:jc w:val="both"/>
            </w:pPr>
            <w:r w:rsidRPr="006E1EE6">
              <w:lastRenderedPageBreak/>
              <w:t>Każdy r</w:t>
            </w:r>
            <w:r w:rsidR="008112B8" w:rsidRPr="006E1EE6">
              <w:t xml:space="preserve">aport </w:t>
            </w:r>
            <w:r w:rsidRPr="006E1EE6">
              <w:t>podsumowujący</w:t>
            </w:r>
            <w:r w:rsidR="008112B8" w:rsidRPr="006E1EE6">
              <w:t xml:space="preserve"> zawiera</w:t>
            </w:r>
            <w:r w:rsidRPr="006E1EE6">
              <w:t>ć</w:t>
            </w:r>
            <w:r w:rsidR="008112B8" w:rsidRPr="006E1EE6">
              <w:t xml:space="preserve"> </w:t>
            </w:r>
            <w:r w:rsidR="008512BE" w:rsidRPr="006E1EE6">
              <w:t xml:space="preserve">powinien </w:t>
            </w:r>
            <w:r w:rsidR="008112B8" w:rsidRPr="006E1EE6">
              <w:t>analizę rozkładów uzyskanych danych</w:t>
            </w:r>
            <w:r w:rsidR="00D37E96" w:rsidRPr="006E1EE6">
              <w:t xml:space="preserve"> w podziale na </w:t>
            </w:r>
          </w:p>
          <w:p w14:paraId="7F53E42B" w14:textId="77777777" w:rsidR="00DA665A" w:rsidRPr="006E1EE6" w:rsidRDefault="00D37E96" w:rsidP="00DA665A">
            <w:pPr>
              <w:pStyle w:val="Akapitzlist"/>
              <w:numPr>
                <w:ilvl w:val="0"/>
                <w:numId w:val="27"/>
              </w:numPr>
              <w:jc w:val="both"/>
            </w:pPr>
            <w:r w:rsidRPr="006E1EE6">
              <w:t>różne kryteria (demografia, geografia, płeć, itp.)</w:t>
            </w:r>
            <w:r w:rsidR="008112B8" w:rsidRPr="006E1EE6">
              <w:t xml:space="preserve">, </w:t>
            </w:r>
            <w:r w:rsidR="008512BE" w:rsidRPr="006E1EE6">
              <w:t xml:space="preserve">ich </w:t>
            </w:r>
            <w:r w:rsidR="008112B8" w:rsidRPr="006E1EE6">
              <w:t>interpretację</w:t>
            </w:r>
            <w:r w:rsidR="008512BE" w:rsidRPr="006E1EE6">
              <w:t xml:space="preserve">, </w:t>
            </w:r>
          </w:p>
          <w:p w14:paraId="58BB9B65" w14:textId="02F1F0EF" w:rsidR="00DA665A" w:rsidRPr="006E1EE6" w:rsidRDefault="00DA665A" w:rsidP="00DA665A">
            <w:pPr>
              <w:pStyle w:val="Akapitzlist"/>
              <w:numPr>
                <w:ilvl w:val="0"/>
                <w:numId w:val="27"/>
              </w:numPr>
              <w:jc w:val="both"/>
            </w:pPr>
            <w:r w:rsidRPr="006E1EE6">
              <w:t>identyfikację profili demograficznych</w:t>
            </w:r>
            <w:r w:rsidR="00B620BD" w:rsidRPr="006E1EE6">
              <w:t>, zawodowych i społecznych</w:t>
            </w:r>
            <w:r w:rsidRPr="006E1EE6">
              <w:t xml:space="preserve">, </w:t>
            </w:r>
            <w:r w:rsidR="008512BE" w:rsidRPr="006E1EE6">
              <w:t>w tym również</w:t>
            </w:r>
            <w:r w:rsidR="008112B8" w:rsidRPr="006E1EE6">
              <w:t xml:space="preserve"> przestrzenną (graficzną) wyników, </w:t>
            </w:r>
          </w:p>
          <w:p w14:paraId="6F2CFE08" w14:textId="77777777" w:rsidR="00DA665A" w:rsidRPr="006E1EE6" w:rsidRDefault="008112B8" w:rsidP="00DA665A">
            <w:pPr>
              <w:pStyle w:val="Akapitzlist"/>
              <w:numPr>
                <w:ilvl w:val="0"/>
                <w:numId w:val="27"/>
              </w:numPr>
              <w:jc w:val="both"/>
            </w:pPr>
            <w:r w:rsidRPr="006E1EE6">
              <w:t xml:space="preserve">główne wyniki, komentarz ekspercki do wyników oraz rekomendacje. </w:t>
            </w:r>
          </w:p>
          <w:p w14:paraId="109E4104" w14:textId="083F1856" w:rsidR="00211579" w:rsidRPr="006E1EE6" w:rsidRDefault="008112B8" w:rsidP="00DA665A">
            <w:pPr>
              <w:jc w:val="both"/>
            </w:pPr>
            <w:r w:rsidRPr="006E1EE6">
              <w:t xml:space="preserve">Załącznikiem do raportu będą bazy wynikowe badania przygotowane w formacie xls, wraz z statystykami częstości </w:t>
            </w:r>
            <w:r w:rsidR="008512BE" w:rsidRPr="006E1EE6">
              <w:t>pojawiających się nastrojów społecznych</w:t>
            </w:r>
            <w:r w:rsidR="00DA665A" w:rsidRPr="006E1EE6">
              <w:t xml:space="preserve"> oraz raportem zawierającym komentarz i interpretację tych wyników</w:t>
            </w:r>
            <w:r w:rsidRPr="006E1EE6">
              <w:t>.</w:t>
            </w:r>
          </w:p>
        </w:tc>
      </w:tr>
      <w:tr w:rsidR="00211579" w:rsidRPr="006E1EE6" w14:paraId="26D5E69A" w14:textId="77777777" w:rsidTr="00211579">
        <w:tc>
          <w:tcPr>
            <w:tcW w:w="9062" w:type="dxa"/>
            <w:tcBorders>
              <w:top w:val="nil"/>
              <w:bottom w:val="nil"/>
            </w:tcBorders>
          </w:tcPr>
          <w:p w14:paraId="495A4355" w14:textId="77777777" w:rsidR="00211579" w:rsidRPr="006E1EE6" w:rsidRDefault="00211579" w:rsidP="00BD3ADC"/>
        </w:tc>
      </w:tr>
      <w:tr w:rsidR="00211579" w:rsidRPr="006E1EE6" w14:paraId="4C73BEBB" w14:textId="77777777" w:rsidTr="00211579">
        <w:tc>
          <w:tcPr>
            <w:tcW w:w="9062" w:type="dxa"/>
            <w:tcBorders>
              <w:top w:val="nil"/>
            </w:tcBorders>
          </w:tcPr>
          <w:p w14:paraId="2BC0D34E" w14:textId="674F9592" w:rsidR="00211579" w:rsidRPr="006E1EE6" w:rsidRDefault="00211579" w:rsidP="00B620BD">
            <w:pPr>
              <w:pStyle w:val="Akapitzlist"/>
              <w:numPr>
                <w:ilvl w:val="0"/>
                <w:numId w:val="12"/>
              </w:numPr>
              <w:rPr>
                <w:rStyle w:val="Hipercze"/>
                <w:b/>
                <w:bCs/>
              </w:rPr>
            </w:pPr>
            <w:r w:rsidRPr="006E1EE6">
              <w:rPr>
                <w:b/>
                <w:bCs/>
              </w:rPr>
              <w:t xml:space="preserve">. Dokumenty o których mowa w pkt. </w:t>
            </w:r>
            <w:r w:rsidR="008512BE" w:rsidRPr="006E1EE6">
              <w:rPr>
                <w:b/>
                <w:bCs/>
              </w:rPr>
              <w:t>4</w:t>
            </w:r>
            <w:r w:rsidRPr="006E1EE6">
              <w:rPr>
                <w:b/>
                <w:bCs/>
              </w:rPr>
              <w:t xml:space="preserve"> będzie należało dostarczyć w wersji edytowalnej oraz pliku PDF w terminach określonych w rozdziale III na adres: </w:t>
            </w:r>
            <w:hyperlink r:id="rId8" w:history="1">
              <w:r w:rsidR="000F3FD3" w:rsidRPr="000F3FD3">
                <w:rPr>
                  <w:rStyle w:val="Hipercze"/>
                  <w:b/>
                  <w:bCs/>
                </w:rPr>
                <w:t>dskm@kultura.gov.pl</w:t>
              </w:r>
            </w:hyperlink>
          </w:p>
          <w:p w14:paraId="76FC69CC" w14:textId="66E8B843" w:rsidR="00B620BD" w:rsidRPr="006E1EE6" w:rsidRDefault="00B620BD" w:rsidP="00895596">
            <w:bookmarkStart w:id="1" w:name="_GoBack"/>
            <w:bookmarkEnd w:id="1"/>
          </w:p>
        </w:tc>
      </w:tr>
      <w:tr w:rsidR="00211579" w:rsidRPr="006E1EE6" w14:paraId="44F63D9A" w14:textId="77777777" w:rsidTr="00B82714"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F68DD16" w14:textId="77777777" w:rsidR="00211579" w:rsidRPr="006E1EE6" w:rsidRDefault="00211579" w:rsidP="0017143A">
            <w:pPr>
              <w:rPr>
                <w:b/>
              </w:rPr>
            </w:pPr>
            <w:r w:rsidRPr="006E1EE6">
              <w:rPr>
                <w:b/>
              </w:rPr>
              <w:t>V. Informacje dodatkowe</w:t>
            </w:r>
          </w:p>
        </w:tc>
      </w:tr>
      <w:tr w:rsidR="00211579" w:rsidRPr="006E1EE6" w14:paraId="425A10F2" w14:textId="77777777" w:rsidTr="00211579">
        <w:tc>
          <w:tcPr>
            <w:tcW w:w="9062" w:type="dxa"/>
            <w:tcBorders>
              <w:bottom w:val="nil"/>
            </w:tcBorders>
          </w:tcPr>
          <w:p w14:paraId="35A62805" w14:textId="2EC22FF0" w:rsidR="00211579" w:rsidRPr="006E1EE6" w:rsidRDefault="00211579" w:rsidP="0017143A">
            <w:r w:rsidRPr="006E1EE6">
              <w:rPr>
                <w:b/>
                <w:bCs/>
              </w:rPr>
              <w:t>1. </w:t>
            </w:r>
            <w:r w:rsidRPr="006E1EE6">
              <w:t>Wykonawca przed rozpoczęciem realizacji zamówienia ustali z Zamawiającym szczegółowy plan pracy podczas spotkania roboczego, które odbędzie się w siedzibie Zamawiającego.</w:t>
            </w:r>
          </w:p>
        </w:tc>
      </w:tr>
      <w:tr w:rsidR="00211579" w:rsidRPr="006E1EE6" w14:paraId="4E73C429" w14:textId="77777777" w:rsidTr="00211579">
        <w:tc>
          <w:tcPr>
            <w:tcW w:w="9062" w:type="dxa"/>
            <w:tcBorders>
              <w:top w:val="nil"/>
              <w:bottom w:val="nil"/>
            </w:tcBorders>
          </w:tcPr>
          <w:p w14:paraId="1448F88C" w14:textId="77777777" w:rsidR="00211579" w:rsidRPr="006E1EE6" w:rsidRDefault="00211579" w:rsidP="0017143A">
            <w:r w:rsidRPr="006E1EE6">
              <w:rPr>
                <w:b/>
                <w:bCs/>
              </w:rPr>
              <w:t>2.</w:t>
            </w:r>
            <w:r w:rsidRPr="006E1EE6">
              <w:t> Szczegółowe warunki realizacji Zamówienia określono w Umowie, która stanowi załącznik nr 1 do niniejszego zapytania.</w:t>
            </w:r>
          </w:p>
        </w:tc>
      </w:tr>
      <w:tr w:rsidR="00211579" w:rsidRPr="006E1EE6" w14:paraId="1258C592" w14:textId="77777777" w:rsidTr="00211579">
        <w:tc>
          <w:tcPr>
            <w:tcW w:w="9062" w:type="dxa"/>
            <w:tcBorders>
              <w:top w:val="nil"/>
              <w:bottom w:val="nil"/>
            </w:tcBorders>
          </w:tcPr>
          <w:p w14:paraId="4A3946AA" w14:textId="77777777" w:rsidR="00211579" w:rsidRPr="006E1EE6" w:rsidRDefault="00211579" w:rsidP="0017143A">
            <w:r w:rsidRPr="006E1EE6">
              <w:rPr>
                <w:b/>
                <w:bCs/>
              </w:rPr>
              <w:t>3. </w:t>
            </w:r>
            <w:r w:rsidRPr="006E1EE6">
              <w:t>Wykonawca, wykonując powierzone zadania, pracuje jako osob</w:t>
            </w:r>
            <w:r w:rsidR="008112B8" w:rsidRPr="006E1EE6">
              <w:t>a</w:t>
            </w:r>
            <w:r w:rsidRPr="006E1EE6">
              <w:t xml:space="preserve"> niezależna, nie reprezentująca interesów jakiejkolwiek instytucji czy organizacji. Ponadto zobowiązany jest do przestrzegania poufności informacji uzyskanej podczas realizacji niniejszego zamówienia oraz po jego zakończeniu. Zamawiający wymaga również rzetelnej, bezstronnej i terminowej realizacji zleconych zadań.</w:t>
            </w:r>
          </w:p>
        </w:tc>
      </w:tr>
      <w:tr w:rsidR="00211579" w:rsidRPr="006E1EE6" w14:paraId="07A141E9" w14:textId="77777777" w:rsidTr="00211579">
        <w:tc>
          <w:tcPr>
            <w:tcW w:w="9062" w:type="dxa"/>
            <w:tcBorders>
              <w:top w:val="nil"/>
              <w:bottom w:val="nil"/>
            </w:tcBorders>
          </w:tcPr>
          <w:p w14:paraId="7510267B" w14:textId="08EE8925" w:rsidR="00211579" w:rsidRPr="006E1EE6" w:rsidRDefault="00A800D6" w:rsidP="0017143A">
            <w:r w:rsidRPr="006E1EE6">
              <w:rPr>
                <w:b/>
                <w:bCs/>
              </w:rPr>
              <w:t>4</w:t>
            </w:r>
            <w:r w:rsidR="00211579" w:rsidRPr="006E1EE6">
              <w:rPr>
                <w:b/>
                <w:bCs/>
              </w:rPr>
              <w:t>.</w:t>
            </w:r>
            <w:r w:rsidR="00211579" w:rsidRPr="006E1EE6">
              <w:t> Wykonawca przeniesie na Zamawiającego autorskie prawa majątkowe do przygotowanych materiałów, bez ograniczeń terytorialnych i czasowych, na polach eksploatacji określonych w art. 50 Prawa autorskiego, w tym również na polach, które zostaną dookreślone w Umowie wykonania przedmiotu zamówienia.</w:t>
            </w:r>
          </w:p>
        </w:tc>
      </w:tr>
      <w:tr w:rsidR="00211579" w:rsidRPr="006E1EE6" w14:paraId="16316886" w14:textId="77777777" w:rsidTr="00211579">
        <w:tc>
          <w:tcPr>
            <w:tcW w:w="9062" w:type="dxa"/>
            <w:tcBorders>
              <w:top w:val="nil"/>
            </w:tcBorders>
          </w:tcPr>
          <w:p w14:paraId="57878821" w14:textId="4DE59F2D" w:rsidR="00B620BD" w:rsidRPr="006E1EE6" w:rsidRDefault="00211579" w:rsidP="00B620BD">
            <w:pPr>
              <w:pStyle w:val="Akapitzlist"/>
              <w:numPr>
                <w:ilvl w:val="0"/>
                <w:numId w:val="28"/>
              </w:numPr>
              <w:ind w:left="306"/>
            </w:pPr>
            <w:r w:rsidRPr="006E1EE6">
              <w:t>Informacji dodatkowych nt. realiz</w:t>
            </w:r>
            <w:r w:rsidR="00951289" w:rsidRPr="006E1EE6">
              <w:t xml:space="preserve">acji zamówienia udziela </w:t>
            </w:r>
            <w:r w:rsidR="008112B8" w:rsidRPr="006E1EE6">
              <w:t xml:space="preserve">Magdalena Paluch-Wojtas, </w:t>
            </w:r>
            <w:hyperlink r:id="rId9" w:history="1">
              <w:r w:rsidR="008112B8" w:rsidRPr="006E1EE6">
                <w:rPr>
                  <w:rStyle w:val="Hipercze"/>
                </w:rPr>
                <w:t>mpaluch@kultura.gov.pl</w:t>
              </w:r>
            </w:hyperlink>
            <w:r w:rsidR="008112B8" w:rsidRPr="006E1EE6">
              <w:t xml:space="preserve">, </w:t>
            </w:r>
            <w:proofErr w:type="spellStart"/>
            <w:r w:rsidR="008112B8" w:rsidRPr="006E1EE6">
              <w:t>tel</w:t>
            </w:r>
            <w:proofErr w:type="spellEnd"/>
            <w:r w:rsidR="008112B8" w:rsidRPr="006E1EE6">
              <w:t>: 22 8293316</w:t>
            </w:r>
            <w:r w:rsidRPr="006E1EE6">
              <w:t>.</w:t>
            </w:r>
          </w:p>
          <w:p w14:paraId="506A399F" w14:textId="7B982E0C" w:rsidR="00B620BD" w:rsidRPr="006E1EE6" w:rsidRDefault="00B620BD" w:rsidP="00B620BD">
            <w:pPr>
              <w:pStyle w:val="Akapitzlist"/>
            </w:pPr>
          </w:p>
        </w:tc>
      </w:tr>
      <w:tr w:rsidR="00211579" w:rsidRPr="006E1EE6" w14:paraId="53075726" w14:textId="77777777" w:rsidTr="00B339A3"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839568" w14:textId="77777777" w:rsidR="00211579" w:rsidRPr="006E1EE6" w:rsidRDefault="00211579" w:rsidP="0017143A">
            <w:pPr>
              <w:rPr>
                <w:b/>
              </w:rPr>
            </w:pPr>
            <w:r w:rsidRPr="006E1EE6">
              <w:rPr>
                <w:b/>
              </w:rPr>
              <w:t>VI. Wiedza i doświadczenie</w:t>
            </w:r>
          </w:p>
        </w:tc>
      </w:tr>
      <w:tr w:rsidR="00211579" w:rsidRPr="006E1EE6" w14:paraId="3934460A" w14:textId="77777777" w:rsidTr="00B339A3">
        <w:tc>
          <w:tcPr>
            <w:tcW w:w="9062" w:type="dxa"/>
            <w:tcBorders>
              <w:bottom w:val="nil"/>
            </w:tcBorders>
          </w:tcPr>
          <w:p w14:paraId="5BA738A0" w14:textId="38182403" w:rsidR="00211579" w:rsidRPr="006E1EE6" w:rsidRDefault="00211579" w:rsidP="00F45A57">
            <w:pPr>
              <w:pStyle w:val="Akapitzlist"/>
              <w:numPr>
                <w:ilvl w:val="0"/>
                <w:numId w:val="15"/>
              </w:numPr>
            </w:pPr>
            <w:r w:rsidRPr="006E1EE6">
              <w:t>Wykonawca musi wykazać, że posiada niezbędną wiedzę</w:t>
            </w:r>
            <w:r w:rsidR="00B45163" w:rsidRPr="006E1EE6">
              <w:t xml:space="preserve"> i doświadczenie w obszarze</w:t>
            </w:r>
            <w:r w:rsidR="00BD3ADC" w:rsidRPr="006E1EE6">
              <w:t xml:space="preserve"> </w:t>
            </w:r>
            <w:r w:rsidR="00A800D6" w:rsidRPr="006E1EE6">
              <w:t xml:space="preserve">prowadzenia badań metodą </w:t>
            </w:r>
            <w:proofErr w:type="spellStart"/>
            <w:r w:rsidR="00A800D6" w:rsidRPr="006E1EE6">
              <w:t>social</w:t>
            </w:r>
            <w:proofErr w:type="spellEnd"/>
            <w:r w:rsidR="00A800D6" w:rsidRPr="006E1EE6">
              <w:t xml:space="preserve"> </w:t>
            </w:r>
            <w:proofErr w:type="spellStart"/>
            <w:r w:rsidR="00A800D6" w:rsidRPr="006E1EE6">
              <w:t>listening</w:t>
            </w:r>
            <w:proofErr w:type="spellEnd"/>
            <w:r w:rsidR="00546D89" w:rsidRPr="006E1EE6">
              <w:t>,</w:t>
            </w:r>
            <w:r w:rsidRPr="006E1EE6">
              <w:t xml:space="preserve"> w tym:</w:t>
            </w:r>
          </w:p>
        </w:tc>
      </w:tr>
      <w:tr w:rsidR="00211579" w:rsidRPr="006E1EE6" w14:paraId="2929E82E" w14:textId="77777777" w:rsidTr="00B339A3">
        <w:tc>
          <w:tcPr>
            <w:tcW w:w="9062" w:type="dxa"/>
            <w:tcBorders>
              <w:top w:val="nil"/>
              <w:bottom w:val="nil"/>
            </w:tcBorders>
          </w:tcPr>
          <w:p w14:paraId="256FC766" w14:textId="77777777" w:rsidR="00211579" w:rsidRPr="006E1EE6" w:rsidRDefault="00211579" w:rsidP="00F45A57">
            <w:pPr>
              <w:pStyle w:val="Akapitzlist"/>
              <w:numPr>
                <w:ilvl w:val="1"/>
                <w:numId w:val="15"/>
              </w:numPr>
            </w:pPr>
            <w:r w:rsidRPr="006E1EE6">
              <w:t xml:space="preserve">posiada co najmniej 3-letnie </w:t>
            </w:r>
            <w:bookmarkStart w:id="2" w:name="_Hlk212451866"/>
            <w:r w:rsidRPr="006E1EE6">
              <w:t xml:space="preserve">doświadczenie w pracy </w:t>
            </w:r>
            <w:r w:rsidR="00BD3ADC" w:rsidRPr="006E1EE6">
              <w:t>w podmiocie zajmującym</w:t>
            </w:r>
            <w:r w:rsidRPr="006E1EE6">
              <w:t xml:space="preserve"> się realizacją zadań w wyżej wymienionym obszarze</w:t>
            </w:r>
            <w:bookmarkEnd w:id="2"/>
            <w:r w:rsidR="00BD3ADC" w:rsidRPr="006E1EE6">
              <w:t>;</w:t>
            </w:r>
          </w:p>
          <w:p w14:paraId="4C415EC2" w14:textId="0B794D7E" w:rsidR="008112B8" w:rsidRPr="006E1EE6" w:rsidRDefault="008112B8" w:rsidP="008112B8">
            <w:pPr>
              <w:ind w:left="720"/>
            </w:pPr>
            <w:r w:rsidRPr="006E1EE6">
              <w:t xml:space="preserve">W okresie ostatnich 3 lat przed upływem terminu składania ofert wykonał należycie co najmniej </w:t>
            </w:r>
            <w:r w:rsidR="00820E1F" w:rsidRPr="006E1EE6">
              <w:t xml:space="preserve">10 </w:t>
            </w:r>
            <w:r w:rsidRPr="006E1EE6">
              <w:t>usług polegając</w:t>
            </w:r>
            <w:r w:rsidR="00A800D6" w:rsidRPr="006E1EE6">
              <w:t>ych</w:t>
            </w:r>
            <w:r w:rsidRPr="006E1EE6">
              <w:t xml:space="preserve"> na realizacji badania</w:t>
            </w:r>
            <w:r w:rsidR="00A800D6" w:rsidRPr="006E1EE6">
              <w:t xml:space="preserve"> metodą</w:t>
            </w:r>
            <w:r w:rsidRPr="006E1EE6">
              <w:t xml:space="preserve"> </w:t>
            </w:r>
            <w:proofErr w:type="spellStart"/>
            <w:r w:rsidR="0085412C" w:rsidRPr="006E1EE6">
              <w:t>social</w:t>
            </w:r>
            <w:proofErr w:type="spellEnd"/>
            <w:r w:rsidR="0085412C" w:rsidRPr="006E1EE6">
              <w:t xml:space="preserve"> </w:t>
            </w:r>
            <w:proofErr w:type="spellStart"/>
            <w:r w:rsidR="0085412C" w:rsidRPr="006E1EE6">
              <w:t>listening</w:t>
            </w:r>
            <w:proofErr w:type="spellEnd"/>
            <w:r w:rsidRPr="006E1EE6">
              <w:t>.</w:t>
            </w:r>
          </w:p>
          <w:p w14:paraId="02DD15FE" w14:textId="4CEC5FB4" w:rsidR="008112B8" w:rsidRPr="006E1EE6" w:rsidRDefault="00610028" w:rsidP="00610028">
            <w:pPr>
              <w:rPr>
                <w:i/>
              </w:rPr>
            </w:pPr>
            <w:r w:rsidRPr="006E1EE6">
              <w:rPr>
                <w:i/>
              </w:rPr>
              <w:t>Sposób oceny spełnienia warunku: Na potwierdzenie spełnienia powyższego warunku do oferty należy przedstawić wykaz usług/przedsięwzięć badawczych formularzu zapytania ofertowego wraz z załączonymi do formularza oferty dokumentami potwierdzającymi należyte wykonanie (np. referencje, raport końcowy z badania, publikacj</w:t>
            </w:r>
            <w:r w:rsidR="00A800D6" w:rsidRPr="006E1EE6">
              <w:rPr>
                <w:i/>
              </w:rPr>
              <w:t>ę</w:t>
            </w:r>
            <w:r w:rsidRPr="006E1EE6">
              <w:rPr>
                <w:i/>
              </w:rPr>
              <w:t xml:space="preserve"> powstał</w:t>
            </w:r>
            <w:r w:rsidR="00A800D6" w:rsidRPr="006E1EE6">
              <w:rPr>
                <w:i/>
              </w:rPr>
              <w:t>ą</w:t>
            </w:r>
            <w:r w:rsidRPr="006E1EE6">
              <w:rPr>
                <w:i/>
              </w:rPr>
              <w:t xml:space="preserve"> na bazie usługi badawczej itp.)</w:t>
            </w:r>
          </w:p>
          <w:p w14:paraId="76A158C2" w14:textId="77777777" w:rsidR="00775CDB" w:rsidRPr="006E1EE6" w:rsidRDefault="00775CDB" w:rsidP="00610028"/>
          <w:p w14:paraId="26D7001E" w14:textId="3867D585" w:rsidR="00F45A57" w:rsidRPr="006E1EE6" w:rsidRDefault="00610028" w:rsidP="00F45A57">
            <w:pPr>
              <w:pStyle w:val="Akapitzlist"/>
              <w:numPr>
                <w:ilvl w:val="1"/>
                <w:numId w:val="15"/>
              </w:numPr>
            </w:pPr>
            <w:r w:rsidRPr="006E1EE6">
              <w:t>Posiada zasób kadrowy zdolny do wykonania zamówienia</w:t>
            </w:r>
            <w:r w:rsidR="0085412C" w:rsidRPr="006E1EE6">
              <w:t>.</w:t>
            </w:r>
            <w:r w:rsidRPr="006E1EE6">
              <w:t xml:space="preserve"> Zatrudnia personel w skład którego wchodzą minimum dwie osoby mogące wykazać udział w realizacji badania</w:t>
            </w:r>
            <w:r w:rsidR="0085412C" w:rsidRPr="006E1EE6">
              <w:t xml:space="preserve"> </w:t>
            </w:r>
            <w:proofErr w:type="spellStart"/>
            <w:r w:rsidR="0085412C" w:rsidRPr="006E1EE6">
              <w:t>social</w:t>
            </w:r>
            <w:proofErr w:type="spellEnd"/>
            <w:r w:rsidR="0085412C" w:rsidRPr="006E1EE6">
              <w:t xml:space="preserve"> </w:t>
            </w:r>
            <w:proofErr w:type="spellStart"/>
            <w:r w:rsidR="0085412C" w:rsidRPr="006E1EE6">
              <w:t>listening</w:t>
            </w:r>
            <w:proofErr w:type="spellEnd"/>
            <w:r w:rsidRPr="006E1EE6">
              <w:t>.</w:t>
            </w:r>
          </w:p>
          <w:p w14:paraId="212C5033" w14:textId="77777777" w:rsidR="00F45A57" w:rsidRPr="006E1EE6" w:rsidRDefault="00F45A57" w:rsidP="00775CDB">
            <w:pPr>
              <w:rPr>
                <w:i/>
              </w:rPr>
            </w:pPr>
            <w:r w:rsidRPr="006E1EE6">
              <w:rPr>
                <w:i/>
              </w:rPr>
              <w:t>Sposób oceny spełnienia warunku: Na potwierdzenie spełnienia powyższego warunku do oferty należy załączyć wykaz członków zespołu wraz z listą przedsięwzięć badawczych według wzoru stanowiącego załącznik nr 3 do zapytania ofertowego oraz oświadczenie danej osoby o gotowości podjęcia pracy przy badaniu</w:t>
            </w:r>
          </w:p>
          <w:p w14:paraId="3C0D6B13" w14:textId="786CB35A" w:rsidR="00F45A57" w:rsidRPr="006E1EE6" w:rsidRDefault="00610028" w:rsidP="00F45A57">
            <w:pPr>
              <w:pStyle w:val="Akapitzlist"/>
              <w:numPr>
                <w:ilvl w:val="1"/>
                <w:numId w:val="15"/>
              </w:numPr>
            </w:pPr>
            <w:r w:rsidRPr="006E1EE6">
              <w:t xml:space="preserve"> </w:t>
            </w:r>
            <w:r w:rsidR="00F45A57" w:rsidRPr="006E1EE6">
              <w:t xml:space="preserve">Przedstawił opis procesu realizacji całego zamówienia, propozycje poszerzenia zakresu badania aby adekwatnie zrealizować jego cel - w tym w szczególności: </w:t>
            </w:r>
            <w:r w:rsidR="00815476" w:rsidRPr="006E1EE6">
              <w:t xml:space="preserve">szczegółowy </w:t>
            </w:r>
            <w:r w:rsidR="00F45A57" w:rsidRPr="006E1EE6">
              <w:t xml:space="preserve">opis </w:t>
            </w:r>
            <w:r w:rsidR="00F45A57" w:rsidRPr="006E1EE6">
              <w:lastRenderedPageBreak/>
              <w:t xml:space="preserve">poszczególnych etapów realizacji, </w:t>
            </w:r>
            <w:r w:rsidR="001424EA" w:rsidRPr="006E1EE6">
              <w:t xml:space="preserve">opis wstępnej propozycji metodologii i </w:t>
            </w:r>
            <w:r w:rsidR="002B44DD" w:rsidRPr="006E1EE6">
              <w:t>opis</w:t>
            </w:r>
            <w:r w:rsidR="00F45A57" w:rsidRPr="006E1EE6">
              <w:t xml:space="preserve"> narzędzia</w:t>
            </w:r>
            <w:r w:rsidR="001424EA" w:rsidRPr="006E1EE6">
              <w:t xml:space="preserve"> badawczego</w:t>
            </w:r>
            <w:r w:rsidR="00F45A57" w:rsidRPr="006E1EE6">
              <w:t>, propozycje rozszerzenia</w:t>
            </w:r>
            <w:r w:rsidR="00815476" w:rsidRPr="006E1EE6">
              <w:t xml:space="preserve"> modelu</w:t>
            </w:r>
            <w:r w:rsidR="00F45A57" w:rsidRPr="006E1EE6">
              <w:t xml:space="preserve"> </w:t>
            </w:r>
            <w:r w:rsidR="007211B7" w:rsidRPr="006E1EE6">
              <w:t xml:space="preserve">badania </w:t>
            </w:r>
            <w:r w:rsidR="00F45A57" w:rsidRPr="006E1EE6">
              <w:t>zawartego w ofercie, inne informacje ważne z punktu widzenia Oferenta</w:t>
            </w:r>
          </w:p>
          <w:p w14:paraId="38CC36E5" w14:textId="2DFAA2F7" w:rsidR="00B620BD" w:rsidRPr="006E1EE6" w:rsidRDefault="00B620BD" w:rsidP="00B620BD">
            <w:pPr>
              <w:pStyle w:val="Akapitzlist"/>
              <w:numPr>
                <w:ilvl w:val="1"/>
                <w:numId w:val="15"/>
              </w:numPr>
            </w:pPr>
            <w:r w:rsidRPr="006E1EE6">
              <w:t xml:space="preserve">Przedstawił przykładowy raport z realizacji badania z wykorzystaniem metody </w:t>
            </w:r>
            <w:proofErr w:type="spellStart"/>
            <w:r w:rsidRPr="006E1EE6">
              <w:t>social</w:t>
            </w:r>
            <w:proofErr w:type="spellEnd"/>
            <w:r w:rsidRPr="006E1EE6">
              <w:t xml:space="preserve"> </w:t>
            </w:r>
            <w:proofErr w:type="spellStart"/>
            <w:r w:rsidRPr="006E1EE6">
              <w:t>listening</w:t>
            </w:r>
            <w:proofErr w:type="spellEnd"/>
            <w:r w:rsidRPr="006E1EE6">
              <w:t>.</w:t>
            </w:r>
          </w:p>
          <w:p w14:paraId="0684C15C" w14:textId="77777777" w:rsidR="00B620BD" w:rsidRPr="006E1EE6" w:rsidRDefault="00B620BD" w:rsidP="00B620BD">
            <w:pPr>
              <w:pStyle w:val="Akapitzlist"/>
            </w:pPr>
          </w:p>
          <w:p w14:paraId="69D19ABB" w14:textId="77777777" w:rsidR="00BD3ADC" w:rsidRPr="006E1EE6" w:rsidRDefault="00775CDB" w:rsidP="00907051">
            <w:r w:rsidRPr="006E1EE6">
              <w:rPr>
                <w:i/>
              </w:rPr>
              <w:t xml:space="preserve">Sposób oceny spełnienia warunku: Na potwierdzenie spełnienia powyższego warunku do oferty należy przedstawić </w:t>
            </w:r>
            <w:r w:rsidR="00907051" w:rsidRPr="006E1EE6">
              <w:rPr>
                <w:i/>
              </w:rPr>
              <w:t>opis procesu i propozycje poszerzenia zakresu badania.</w:t>
            </w:r>
          </w:p>
        </w:tc>
      </w:tr>
      <w:tr w:rsidR="00211579" w:rsidRPr="006E1EE6" w14:paraId="34811CA5" w14:textId="77777777" w:rsidTr="00907051">
        <w:trPr>
          <w:trHeight w:val="109"/>
        </w:trPr>
        <w:tc>
          <w:tcPr>
            <w:tcW w:w="9062" w:type="dxa"/>
            <w:tcBorders>
              <w:top w:val="nil"/>
              <w:bottom w:val="nil"/>
            </w:tcBorders>
          </w:tcPr>
          <w:p w14:paraId="47BCE3EF" w14:textId="77777777" w:rsidR="00211579" w:rsidRPr="006E1EE6" w:rsidRDefault="00211579" w:rsidP="00BD3ADC"/>
        </w:tc>
      </w:tr>
      <w:tr w:rsidR="00211579" w:rsidRPr="006E1EE6" w14:paraId="787AC6AC" w14:textId="77777777" w:rsidTr="00B82714"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834B118" w14:textId="77777777" w:rsidR="00211579" w:rsidRPr="006E1EE6" w:rsidRDefault="00211579" w:rsidP="0017143A">
            <w:pPr>
              <w:rPr>
                <w:b/>
              </w:rPr>
            </w:pPr>
            <w:r w:rsidRPr="006E1EE6">
              <w:rPr>
                <w:b/>
              </w:rPr>
              <w:t>VII. Opis sposobu przygotowania i złożenia ofert</w:t>
            </w:r>
          </w:p>
        </w:tc>
      </w:tr>
      <w:tr w:rsidR="00211579" w:rsidRPr="006E1EE6" w14:paraId="3073D2D7" w14:textId="77777777" w:rsidTr="00211579">
        <w:tc>
          <w:tcPr>
            <w:tcW w:w="9062" w:type="dxa"/>
            <w:tcBorders>
              <w:bottom w:val="nil"/>
            </w:tcBorders>
          </w:tcPr>
          <w:p w14:paraId="1F786EB5" w14:textId="77777777" w:rsidR="00B620BD" w:rsidRPr="006E1EE6" w:rsidRDefault="00211579" w:rsidP="00B620BD">
            <w:pPr>
              <w:pStyle w:val="Akapitzlist"/>
              <w:numPr>
                <w:ilvl w:val="0"/>
                <w:numId w:val="14"/>
              </w:numPr>
              <w:rPr>
                <w:b/>
                <w:bCs/>
              </w:rPr>
            </w:pPr>
            <w:r w:rsidRPr="006E1EE6">
              <w:t>Wycenę</w:t>
            </w:r>
            <w:r w:rsidR="00F45A57" w:rsidRPr="006E1EE6">
              <w:t xml:space="preserve"> i opis</w:t>
            </w:r>
            <w:r w:rsidRPr="006E1EE6">
              <w:t xml:space="preserve"> zadania wraz z propozycją realizacji należy złożyć według wzoru stanowiącego załącznik nr 1 do niniejszego zapytania poprzez przesłanie na adres mailowy: </w:t>
            </w:r>
            <w:hyperlink r:id="rId10" w:history="1">
              <w:r w:rsidR="002B44DD" w:rsidRPr="006E1EE6">
                <w:rPr>
                  <w:rStyle w:val="Hipercze"/>
                  <w:b/>
                  <w:bCs/>
                </w:rPr>
                <w:t>dskm@kultura.gov.pl</w:t>
              </w:r>
            </w:hyperlink>
            <w:r w:rsidRPr="006E1EE6">
              <w:rPr>
                <w:b/>
                <w:bCs/>
              </w:rPr>
              <w:t> </w:t>
            </w:r>
            <w:r w:rsidR="00B45163" w:rsidRPr="006E1EE6">
              <w:t>do dn.</w:t>
            </w:r>
            <w:r w:rsidR="00907051" w:rsidRPr="006E1EE6">
              <w:t xml:space="preserve"> </w:t>
            </w:r>
            <w:r w:rsidR="002B44DD" w:rsidRPr="006E1EE6">
              <w:rPr>
                <w:b/>
                <w:bCs/>
              </w:rPr>
              <w:t>16</w:t>
            </w:r>
            <w:r w:rsidR="00907051" w:rsidRPr="006E1EE6">
              <w:rPr>
                <w:b/>
                <w:bCs/>
              </w:rPr>
              <w:t xml:space="preserve"> </w:t>
            </w:r>
            <w:r w:rsidR="002B44DD" w:rsidRPr="006E1EE6">
              <w:rPr>
                <w:b/>
              </w:rPr>
              <w:t>czerwca</w:t>
            </w:r>
            <w:r w:rsidR="00907051" w:rsidRPr="006E1EE6">
              <w:rPr>
                <w:b/>
              </w:rPr>
              <w:t xml:space="preserve"> 202</w:t>
            </w:r>
            <w:r w:rsidR="002B44DD" w:rsidRPr="006E1EE6">
              <w:rPr>
                <w:b/>
              </w:rPr>
              <w:t>6</w:t>
            </w:r>
            <w:r w:rsidR="00907051" w:rsidRPr="006E1EE6">
              <w:rPr>
                <w:b/>
              </w:rPr>
              <w:t>r.</w:t>
            </w:r>
            <w:r w:rsidR="00B45163" w:rsidRPr="006E1EE6">
              <w:t xml:space="preserve"> </w:t>
            </w:r>
            <w:r w:rsidRPr="006E1EE6">
              <w:t> wedle wzoru z </w:t>
            </w:r>
            <w:r w:rsidRPr="006E1EE6">
              <w:rPr>
                <w:b/>
                <w:bCs/>
              </w:rPr>
              <w:t xml:space="preserve">Zał. 2 – </w:t>
            </w:r>
          </w:p>
          <w:p w14:paraId="15BA2A8B" w14:textId="77777777" w:rsidR="00B620BD" w:rsidRPr="006E1EE6" w:rsidRDefault="00B620BD" w:rsidP="00B620BD">
            <w:pPr>
              <w:pStyle w:val="Akapitzlist"/>
              <w:rPr>
                <w:b/>
                <w:bCs/>
              </w:rPr>
            </w:pPr>
          </w:p>
          <w:p w14:paraId="4EC1CB32" w14:textId="6A3BDDD5" w:rsidR="0084429D" w:rsidRPr="006E1EE6" w:rsidRDefault="00211579" w:rsidP="00B620BD">
            <w:pPr>
              <w:pStyle w:val="Akapitzlist"/>
              <w:rPr>
                <w:b/>
                <w:bCs/>
              </w:rPr>
            </w:pPr>
            <w:r w:rsidRPr="006E1EE6">
              <w:rPr>
                <w:b/>
                <w:bCs/>
              </w:rPr>
              <w:t>Formularz oferty</w:t>
            </w:r>
            <w:r w:rsidR="00803EA2" w:rsidRPr="006E1EE6">
              <w:rPr>
                <w:b/>
                <w:bCs/>
              </w:rPr>
              <w:t xml:space="preserve">, w </w:t>
            </w:r>
            <w:r w:rsidR="0084429D" w:rsidRPr="006E1EE6">
              <w:t>którym Oferent powinien wykazać:</w:t>
            </w:r>
          </w:p>
          <w:p w14:paraId="74F6B8D4" w14:textId="2F5395A4" w:rsidR="0084429D" w:rsidRPr="006E1EE6" w:rsidRDefault="00803EA2" w:rsidP="00B620BD">
            <w:pPr>
              <w:pStyle w:val="Akapitzlist"/>
              <w:numPr>
                <w:ilvl w:val="0"/>
                <w:numId w:val="30"/>
              </w:numPr>
              <w:ind w:left="1156"/>
            </w:pPr>
            <w:r w:rsidRPr="006E1EE6">
              <w:t xml:space="preserve">dotychczasowe </w:t>
            </w:r>
            <w:r w:rsidR="0084429D" w:rsidRPr="006E1EE6">
              <w:t>usługi/przedsięwzięci</w:t>
            </w:r>
            <w:r w:rsidR="002B44DD" w:rsidRPr="006E1EE6">
              <w:t>a</w:t>
            </w:r>
            <w:r w:rsidR="0084429D" w:rsidRPr="006E1EE6">
              <w:t xml:space="preserve"> badawcze</w:t>
            </w:r>
            <w:r w:rsidR="002B44DD" w:rsidRPr="006E1EE6">
              <w:t>,</w:t>
            </w:r>
          </w:p>
          <w:p w14:paraId="6E2D21F6" w14:textId="7AC10A84" w:rsidR="0084429D" w:rsidRPr="006E1EE6" w:rsidRDefault="0084429D" w:rsidP="00B620BD">
            <w:pPr>
              <w:pStyle w:val="Akapitzlist"/>
              <w:numPr>
                <w:ilvl w:val="0"/>
                <w:numId w:val="30"/>
              </w:numPr>
              <w:ind w:left="1156"/>
            </w:pPr>
            <w:r w:rsidRPr="006E1EE6">
              <w:t>członków zespołu wraz z listą przedsięwzięć badawczych</w:t>
            </w:r>
            <w:r w:rsidR="002B44DD" w:rsidRPr="006E1EE6">
              <w:t>,</w:t>
            </w:r>
          </w:p>
          <w:p w14:paraId="6812AFF3" w14:textId="46B96023" w:rsidR="0084429D" w:rsidRPr="006E1EE6" w:rsidRDefault="0084429D" w:rsidP="00B620BD">
            <w:pPr>
              <w:pStyle w:val="Akapitzlist"/>
              <w:numPr>
                <w:ilvl w:val="0"/>
                <w:numId w:val="30"/>
              </w:numPr>
              <w:ind w:left="1156"/>
            </w:pPr>
            <w:r w:rsidRPr="006E1EE6">
              <w:t>opis proponowanej koncepcji badania</w:t>
            </w:r>
            <w:r w:rsidR="00B620BD" w:rsidRPr="006E1EE6">
              <w:t xml:space="preserve"> na wybranym temacie z zakresu kultury</w:t>
            </w:r>
            <w:r w:rsidRPr="006E1EE6">
              <w:t>,</w:t>
            </w:r>
          </w:p>
          <w:p w14:paraId="6F03BAE3" w14:textId="192BAAE0" w:rsidR="0084429D" w:rsidRPr="006E1EE6" w:rsidRDefault="0084429D" w:rsidP="00B620BD">
            <w:pPr>
              <w:pStyle w:val="Akapitzlist"/>
              <w:numPr>
                <w:ilvl w:val="0"/>
                <w:numId w:val="30"/>
              </w:numPr>
              <w:ind w:left="1156"/>
            </w:pPr>
            <w:r w:rsidRPr="006E1EE6">
              <w:t>opis propozycji metodologii i koncepcji narzędzia badawczego,</w:t>
            </w:r>
          </w:p>
          <w:p w14:paraId="5C30E786" w14:textId="77777777" w:rsidR="00B620BD" w:rsidRPr="006E1EE6" w:rsidRDefault="0084429D" w:rsidP="00B620BD">
            <w:pPr>
              <w:pStyle w:val="Akapitzlist"/>
              <w:numPr>
                <w:ilvl w:val="0"/>
                <w:numId w:val="30"/>
              </w:numPr>
              <w:ind w:left="1156"/>
            </w:pPr>
            <w:r w:rsidRPr="006E1EE6">
              <w:t>opis procesu realizacji badania</w:t>
            </w:r>
            <w:r w:rsidR="002B44DD" w:rsidRPr="006E1EE6">
              <w:t>.</w:t>
            </w:r>
          </w:p>
          <w:p w14:paraId="337D6EE9" w14:textId="5B2EEE33" w:rsidR="00B620BD" w:rsidRPr="006E1EE6" w:rsidRDefault="00B620BD" w:rsidP="00B620BD">
            <w:pPr>
              <w:pStyle w:val="Akapitzlist"/>
              <w:numPr>
                <w:ilvl w:val="0"/>
                <w:numId w:val="30"/>
              </w:numPr>
              <w:ind w:left="1156"/>
            </w:pPr>
            <w:r w:rsidRPr="006E1EE6">
              <w:t xml:space="preserve">przykładowy raport z realizacji badania z wykorzystaniem metody </w:t>
            </w:r>
            <w:proofErr w:type="spellStart"/>
            <w:r w:rsidRPr="006E1EE6">
              <w:t>social</w:t>
            </w:r>
            <w:proofErr w:type="spellEnd"/>
            <w:r w:rsidRPr="006E1EE6">
              <w:t xml:space="preserve"> </w:t>
            </w:r>
            <w:proofErr w:type="spellStart"/>
            <w:r w:rsidRPr="006E1EE6">
              <w:t>listening</w:t>
            </w:r>
            <w:proofErr w:type="spellEnd"/>
            <w:r w:rsidRPr="006E1EE6">
              <w:t>.</w:t>
            </w:r>
          </w:p>
          <w:p w14:paraId="1924B656" w14:textId="1F098E44" w:rsidR="00B620BD" w:rsidRPr="006E1EE6" w:rsidRDefault="00B620BD" w:rsidP="00B620BD">
            <w:pPr>
              <w:pStyle w:val="Akapitzlist"/>
            </w:pPr>
          </w:p>
        </w:tc>
      </w:tr>
      <w:tr w:rsidR="00211579" w:rsidRPr="006E1EE6" w14:paraId="64F39163" w14:textId="77777777" w:rsidTr="00211579">
        <w:tc>
          <w:tcPr>
            <w:tcW w:w="9062" w:type="dxa"/>
            <w:tcBorders>
              <w:top w:val="nil"/>
              <w:bottom w:val="nil"/>
            </w:tcBorders>
          </w:tcPr>
          <w:p w14:paraId="44B2E695" w14:textId="79F77161" w:rsidR="00803EA2" w:rsidRPr="006E1EE6" w:rsidRDefault="00211579" w:rsidP="00803EA2">
            <w:r w:rsidRPr="006E1EE6">
              <w:rPr>
                <w:b/>
                <w:bCs/>
              </w:rPr>
              <w:t>2.</w:t>
            </w:r>
            <w:r w:rsidR="00B620BD" w:rsidRPr="006E1EE6">
              <w:rPr>
                <w:b/>
                <w:bCs/>
              </w:rPr>
              <w:t xml:space="preserve"> </w:t>
            </w:r>
            <w:r w:rsidR="00803EA2" w:rsidRPr="006E1EE6">
              <w:t xml:space="preserve">Każdy Wykonawca może złożyć jedną ofertę. </w:t>
            </w:r>
          </w:p>
          <w:p w14:paraId="666C5486" w14:textId="2290F158" w:rsidR="00211579" w:rsidRPr="006E1EE6" w:rsidRDefault="00803EA2" w:rsidP="0017143A">
            <w:r w:rsidRPr="006E1EE6">
              <w:t xml:space="preserve">3. </w:t>
            </w:r>
            <w:r w:rsidR="00211579" w:rsidRPr="006E1EE6">
              <w:t xml:space="preserve">Wykonawca określi cenę za wykonanie </w:t>
            </w:r>
            <w:r w:rsidR="00B339A3" w:rsidRPr="006E1EE6">
              <w:t>całego zamówienia</w:t>
            </w:r>
            <w:r w:rsidR="00211579" w:rsidRPr="006E1EE6">
              <w:t xml:space="preserve">. Cena ma charakter ryczałtowy i musi uwzględniać wszelkie koszty opłaty i podatki niezbędne do wykonania zamówienia w tym </w:t>
            </w:r>
            <w:r w:rsidR="00B339A3" w:rsidRPr="006E1EE6">
              <w:t xml:space="preserve">koszty </w:t>
            </w:r>
            <w:r w:rsidR="00211579" w:rsidRPr="006E1EE6">
              <w:t>dojazdów do siedziby Zamawiającego. Tak określona cena stanowić będzie podstawę do dokonania szacowania wartości zamówienia, oceny oferty oraz stanowić będzie podstawę określenia wysokości wynagrodzenia należnego Wykonawcy.</w:t>
            </w:r>
          </w:p>
        </w:tc>
      </w:tr>
      <w:tr w:rsidR="00211579" w:rsidRPr="006E1EE6" w14:paraId="58131340" w14:textId="77777777" w:rsidTr="00211579">
        <w:tc>
          <w:tcPr>
            <w:tcW w:w="9062" w:type="dxa"/>
            <w:tcBorders>
              <w:top w:val="nil"/>
            </w:tcBorders>
          </w:tcPr>
          <w:p w14:paraId="6F1D74B4" w14:textId="35085B32" w:rsidR="00211579" w:rsidRPr="006E1EE6" w:rsidRDefault="00211579" w:rsidP="00B620BD">
            <w:pPr>
              <w:pStyle w:val="Akapitzlist"/>
              <w:numPr>
                <w:ilvl w:val="0"/>
                <w:numId w:val="29"/>
              </w:numPr>
            </w:pPr>
            <w:r w:rsidRPr="006E1EE6">
              <w:t>Powyższa cena będzie ceną brutto w złotych polskich.</w:t>
            </w:r>
          </w:p>
        </w:tc>
      </w:tr>
      <w:tr w:rsidR="00211579" w:rsidRPr="006E1EE6" w14:paraId="3425CC2E" w14:textId="77777777" w:rsidTr="00B82714"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ED673CF" w14:textId="77777777" w:rsidR="00211579" w:rsidRPr="006E1EE6" w:rsidRDefault="00211579" w:rsidP="0017143A">
            <w:pPr>
              <w:rPr>
                <w:b/>
              </w:rPr>
            </w:pPr>
            <w:r w:rsidRPr="006E1EE6">
              <w:rPr>
                <w:b/>
              </w:rPr>
              <w:t>VIII. Kryteria oceny ofert i wyboru oferty najkorzystniejszej</w:t>
            </w:r>
          </w:p>
        </w:tc>
      </w:tr>
      <w:tr w:rsidR="00211579" w:rsidRPr="006E1EE6" w14:paraId="1C6EB417" w14:textId="77777777" w:rsidTr="00211579">
        <w:tc>
          <w:tcPr>
            <w:tcW w:w="9062" w:type="dxa"/>
            <w:tcBorders>
              <w:bottom w:val="nil"/>
            </w:tcBorders>
          </w:tcPr>
          <w:p w14:paraId="2916BD7B" w14:textId="3933AD66" w:rsidR="00082AAA" w:rsidRPr="006E1EE6" w:rsidRDefault="00211579" w:rsidP="00B2003E">
            <w:pPr>
              <w:pStyle w:val="Akapitzlist"/>
              <w:numPr>
                <w:ilvl w:val="0"/>
                <w:numId w:val="23"/>
              </w:numPr>
              <w:ind w:left="306"/>
            </w:pPr>
            <w:r w:rsidRPr="006E1EE6">
              <w:t>Przy dokonaniu wyboru najkorzystniejszej oferty Zamawiający stosować będzie kryteri</w:t>
            </w:r>
            <w:r w:rsidR="003053C0" w:rsidRPr="006E1EE6">
              <w:t>a</w:t>
            </w:r>
            <w:r w:rsidRPr="006E1EE6">
              <w:t xml:space="preserve">: </w:t>
            </w:r>
          </w:p>
          <w:p w14:paraId="686FD712" w14:textId="132ADE2F" w:rsidR="00082AAA" w:rsidRPr="006E1EE6" w:rsidRDefault="00211579" w:rsidP="00B2003E">
            <w:pPr>
              <w:pStyle w:val="Akapitzlist"/>
              <w:ind w:left="306"/>
            </w:pPr>
            <w:r w:rsidRPr="006E1EE6">
              <w:t xml:space="preserve">cena – </w:t>
            </w:r>
            <w:r w:rsidR="00907051" w:rsidRPr="006E1EE6">
              <w:t xml:space="preserve">waga kryterium: </w:t>
            </w:r>
            <w:r w:rsidR="006061BA" w:rsidRPr="006E1EE6">
              <w:t>6</w:t>
            </w:r>
            <w:r w:rsidR="003053C0" w:rsidRPr="006E1EE6">
              <w:t>0</w:t>
            </w:r>
            <w:r w:rsidRPr="006E1EE6">
              <w:t>%</w:t>
            </w:r>
            <w:r w:rsidR="003053C0" w:rsidRPr="006E1EE6">
              <w:t xml:space="preserve">, </w:t>
            </w:r>
          </w:p>
          <w:p w14:paraId="75AC7D94" w14:textId="77319204" w:rsidR="00820E1F" w:rsidRPr="006E1EE6" w:rsidRDefault="003053C0" w:rsidP="00820E1F">
            <w:pPr>
              <w:pStyle w:val="Akapitzlist"/>
              <w:ind w:left="306"/>
            </w:pPr>
            <w:r w:rsidRPr="006E1EE6">
              <w:t>doświadczenie</w:t>
            </w:r>
            <w:r w:rsidR="00907051" w:rsidRPr="006E1EE6">
              <w:t xml:space="preserve"> – waga kryterium: 20% </w:t>
            </w:r>
          </w:p>
          <w:p w14:paraId="3CEB19AE" w14:textId="77777777" w:rsidR="00907051" w:rsidRPr="006E1EE6" w:rsidRDefault="00907051" w:rsidP="00B2003E">
            <w:pPr>
              <w:pStyle w:val="Akapitzlist"/>
              <w:ind w:left="306"/>
            </w:pPr>
            <w:r w:rsidRPr="006E1EE6">
              <w:t>zasób kadrowy – waga kryterium: 10%</w:t>
            </w:r>
          </w:p>
          <w:p w14:paraId="20B52ACC" w14:textId="74C745DA" w:rsidR="00820E1F" w:rsidRPr="006E1EE6" w:rsidRDefault="003053C0" w:rsidP="00820E1F">
            <w:pPr>
              <w:pStyle w:val="Akapitzlist"/>
              <w:ind w:left="306"/>
            </w:pPr>
            <w:r w:rsidRPr="006E1EE6">
              <w:t>opis procesu realizacji</w:t>
            </w:r>
            <w:r w:rsidR="00082AAA" w:rsidRPr="006E1EE6">
              <w:t xml:space="preserve"> całego</w:t>
            </w:r>
            <w:r w:rsidRPr="006E1EE6">
              <w:t xml:space="preserve"> zamówienia</w:t>
            </w:r>
            <w:r w:rsidR="0080434B" w:rsidRPr="006E1EE6">
              <w:t xml:space="preserve"> </w:t>
            </w:r>
            <w:r w:rsidR="00907051" w:rsidRPr="006E1EE6">
              <w:t xml:space="preserve">– waga kryterium: </w:t>
            </w:r>
            <w:r w:rsidR="00820E1F" w:rsidRPr="006E1EE6">
              <w:t>1</w:t>
            </w:r>
            <w:r w:rsidR="006061BA" w:rsidRPr="006E1EE6">
              <w:t>0</w:t>
            </w:r>
            <w:r w:rsidR="00907051" w:rsidRPr="006E1EE6">
              <w:t>%</w:t>
            </w:r>
          </w:p>
          <w:p w14:paraId="4DDC6DD7" w14:textId="0D7A18B3" w:rsidR="00820E1F" w:rsidRPr="006E1EE6" w:rsidRDefault="00820E1F" w:rsidP="006061BA">
            <w:pPr>
              <w:pStyle w:val="Akapitzlist"/>
              <w:ind w:left="306"/>
            </w:pPr>
          </w:p>
        </w:tc>
      </w:tr>
      <w:tr w:rsidR="00211579" w:rsidRPr="006E1EE6" w14:paraId="52D5AAD3" w14:textId="77777777" w:rsidTr="00BC5560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5DFF87CF" w14:textId="77777777" w:rsidR="00907051" w:rsidRPr="006E1EE6" w:rsidRDefault="00211579" w:rsidP="0017143A">
            <w:r w:rsidRPr="006E1EE6">
              <w:rPr>
                <w:b/>
                <w:bCs/>
              </w:rPr>
              <w:t>2. </w:t>
            </w:r>
            <w:r w:rsidR="00907051" w:rsidRPr="006E1EE6">
              <w:t xml:space="preserve">Opis sposobu przyznawania punktów: </w:t>
            </w:r>
          </w:p>
          <w:p w14:paraId="2F09E58B" w14:textId="77777777" w:rsidR="00907051" w:rsidRPr="006E1EE6" w:rsidRDefault="00907051" w:rsidP="0017143A">
            <w:r w:rsidRPr="006E1EE6">
              <w:t xml:space="preserve">1) Punkty za kryterium „Cena” zostaną obliczone według wzoru: </w:t>
            </w:r>
          </w:p>
          <w:p w14:paraId="29B7DB11" w14:textId="1E8A4F37" w:rsidR="00907051" w:rsidRPr="006E1EE6" w:rsidRDefault="00907051" w:rsidP="0017143A">
            <w:r w:rsidRPr="006E1EE6">
              <w:t xml:space="preserve">(Cena oferty najtańszej / Cena oferty badanej) x </w:t>
            </w:r>
            <w:r w:rsidR="006061BA" w:rsidRPr="006E1EE6">
              <w:t xml:space="preserve">60 </w:t>
            </w:r>
            <w:r w:rsidRPr="006E1EE6">
              <w:t xml:space="preserve">= liczba punktów Końcowy wynik powyższego działania zostanie zaokrąglony do dwóch miejsc po przecinku. </w:t>
            </w:r>
          </w:p>
          <w:p w14:paraId="0D5BDF4A" w14:textId="38800932" w:rsidR="00907051" w:rsidRPr="006E1EE6" w:rsidRDefault="00907051" w:rsidP="0017143A">
            <w:r w:rsidRPr="006E1EE6">
              <w:t xml:space="preserve">2) Punkty za kryterium „doświadczenie” zostaną przyznane w skali punktowej od 0 do 20 punktów za: </w:t>
            </w:r>
          </w:p>
          <w:p w14:paraId="1891D1A2" w14:textId="77777777" w:rsidR="00907051" w:rsidRPr="006E1EE6" w:rsidRDefault="00907051" w:rsidP="0017143A">
            <w:r w:rsidRPr="006E1EE6">
              <w:t xml:space="preserve">a. przeprowadzenie przez Wykonawcę w ciągu 3 lat przed upływem terminu składania ofert badania społecznego na zlecenie instytucji publicznej o wartości powyżej 100 000 zł brutto – 10 pkt. </w:t>
            </w:r>
          </w:p>
          <w:p w14:paraId="2D23ECB9" w14:textId="5F620AE5" w:rsidR="00907051" w:rsidRPr="006E1EE6" w:rsidRDefault="00907051" w:rsidP="0017143A">
            <w:r w:rsidRPr="006E1EE6">
              <w:t xml:space="preserve">b. przeprowadzenie przez Wykonawcę w ciągu 3 lat przed upływem terminu składania ofert badania </w:t>
            </w:r>
            <w:r w:rsidR="001424EA" w:rsidRPr="006E1EE6">
              <w:t xml:space="preserve">metodą </w:t>
            </w:r>
            <w:proofErr w:type="spellStart"/>
            <w:r w:rsidR="001424EA" w:rsidRPr="006E1EE6">
              <w:t>social</w:t>
            </w:r>
            <w:proofErr w:type="spellEnd"/>
            <w:r w:rsidR="001424EA" w:rsidRPr="006E1EE6">
              <w:t xml:space="preserve"> </w:t>
            </w:r>
            <w:proofErr w:type="spellStart"/>
            <w:r w:rsidR="001424EA" w:rsidRPr="006E1EE6">
              <w:t>listening</w:t>
            </w:r>
            <w:proofErr w:type="spellEnd"/>
            <w:r w:rsidRPr="006E1EE6">
              <w:t xml:space="preserve"> i/lub analizy i/lub opracowanie ekspertyzy, w których głównym lub jednym z obszarów by</w:t>
            </w:r>
            <w:r w:rsidR="001424EA" w:rsidRPr="006E1EE6">
              <w:t>ło badanie nastrojów społecznych</w:t>
            </w:r>
            <w:r w:rsidRPr="006E1EE6">
              <w:t xml:space="preserve"> – 10 pkt. </w:t>
            </w:r>
          </w:p>
          <w:p w14:paraId="0847F9F5" w14:textId="5BFC80FF" w:rsidR="00907051" w:rsidRPr="006E1EE6" w:rsidRDefault="00907051" w:rsidP="0017143A">
            <w:r w:rsidRPr="006E1EE6">
              <w:t xml:space="preserve">Stopień spełniania kryterium „Doświadczenie” zostanie oceniony poprzez porównanie wykazów usług/przedsięwzięć badawczych według wzoru stanowiącego załącznik nr 2 do zapytania </w:t>
            </w:r>
            <w:r w:rsidRPr="006E1EE6">
              <w:lastRenderedPageBreak/>
              <w:t>ofertowego oraz dokumentów potwierdzających należyte wykonanie badań (np. referencje, raport końcowy z badania, publikacja powstała na bazie usługi badawczej itp.).</w:t>
            </w:r>
          </w:p>
          <w:p w14:paraId="4C4CEED7" w14:textId="77777777" w:rsidR="00907051" w:rsidRPr="006E1EE6" w:rsidRDefault="00907051" w:rsidP="0017143A">
            <w:r w:rsidRPr="006E1EE6">
              <w:t xml:space="preserve">3) Punkty za kryterium „Zespół badawczy”, zostaną przyznane w skali punktowej od 0 do 10 punktów za: </w:t>
            </w:r>
          </w:p>
          <w:p w14:paraId="3E7388D8" w14:textId="283CCB5E" w:rsidR="00907051" w:rsidRPr="006E1EE6" w:rsidRDefault="00907051" w:rsidP="0017143A">
            <w:r w:rsidRPr="006E1EE6">
              <w:t xml:space="preserve">a. Wykazanie w zasobie kadrowym przewidzianym do realizacji zadania osoby posiadającej stopień naukowy/tytuł naukowy uzyskany w dyscyplinie nauk socjologicznych (socjologii) i mogącej wykazać w dorobku kierowanie projektem badawczym finansowanym ze źródeł publicznych ze źródeł publicznych – 5 pkt; </w:t>
            </w:r>
          </w:p>
          <w:p w14:paraId="7CC2EA91" w14:textId="49D547F2" w:rsidR="0080434B" w:rsidRPr="006E1EE6" w:rsidRDefault="00907051" w:rsidP="0017143A">
            <w:r w:rsidRPr="006E1EE6">
              <w:t xml:space="preserve">b. Wykazanie w zasobie kadrowym przewidzianym do realizacji zadania </w:t>
            </w:r>
            <w:r w:rsidR="0080434B" w:rsidRPr="006E1EE6">
              <w:t>osób mających doświadczenie w realizacji bad</w:t>
            </w:r>
            <w:r w:rsidR="007211B7" w:rsidRPr="006E1EE6">
              <w:t xml:space="preserve">ań metodą </w:t>
            </w:r>
            <w:proofErr w:type="spellStart"/>
            <w:r w:rsidR="007211B7" w:rsidRPr="006E1EE6">
              <w:t>social</w:t>
            </w:r>
            <w:proofErr w:type="spellEnd"/>
            <w:r w:rsidR="007211B7" w:rsidRPr="006E1EE6">
              <w:t xml:space="preserve"> </w:t>
            </w:r>
            <w:proofErr w:type="spellStart"/>
            <w:r w:rsidR="007211B7" w:rsidRPr="006E1EE6">
              <w:t>listening</w:t>
            </w:r>
            <w:proofErr w:type="spellEnd"/>
            <w:r w:rsidR="0080434B" w:rsidRPr="006E1EE6">
              <w:t xml:space="preserve"> </w:t>
            </w:r>
            <w:r w:rsidRPr="006E1EE6">
              <w:t>– 5 pkt.</w:t>
            </w:r>
          </w:p>
          <w:p w14:paraId="3C1198F6" w14:textId="194985D5" w:rsidR="00B2003E" w:rsidRPr="006E1EE6" w:rsidRDefault="00B2003E" w:rsidP="00B2003E">
            <w:r w:rsidRPr="006E1EE6">
              <w:t xml:space="preserve">4) opis procesu realizacji całego zamówienia i propozycje zostaną przyznane w skali punktowej od 0 do </w:t>
            </w:r>
            <w:r w:rsidR="006061BA" w:rsidRPr="006E1EE6">
              <w:t>15</w:t>
            </w:r>
            <w:r w:rsidRPr="006E1EE6">
              <w:t xml:space="preserve"> punktów za: </w:t>
            </w:r>
          </w:p>
          <w:p w14:paraId="0A25F8FD" w14:textId="77777777" w:rsidR="00B2003E" w:rsidRPr="006E1EE6" w:rsidRDefault="00B2003E" w:rsidP="00B2003E">
            <w:r w:rsidRPr="006E1EE6">
              <w:t>a) Przedstawienie opisu procesu realizacji całego zamówienia – są adekwatne do celów badania.</w:t>
            </w:r>
          </w:p>
          <w:p w14:paraId="6DCDB502" w14:textId="5E9EF570" w:rsidR="00B2003E" w:rsidRPr="006E1EE6" w:rsidRDefault="00B2003E" w:rsidP="00B2003E">
            <w:r w:rsidRPr="006E1EE6">
              <w:t xml:space="preserve">b) Przedstawienie opisu wstępnej propozycji metodologii i </w:t>
            </w:r>
            <w:r w:rsidR="007211B7" w:rsidRPr="006E1EE6">
              <w:t xml:space="preserve">opisu </w:t>
            </w:r>
            <w:r w:rsidRPr="006E1EE6">
              <w:t>narzędzia badawczego.</w:t>
            </w:r>
          </w:p>
          <w:p w14:paraId="7C426E90" w14:textId="68A7C085" w:rsidR="0080434B" w:rsidRPr="006E1EE6" w:rsidRDefault="00B2003E" w:rsidP="00B2003E">
            <w:r w:rsidRPr="006E1EE6">
              <w:t>c) Przedstawienie propozycji poszerzenia zakresu badania aby adekwatnie zrealizować jego cel, opis poszczególnych etapów realizacji,</w:t>
            </w:r>
            <w:r w:rsidR="001424EA" w:rsidRPr="006E1EE6">
              <w:t xml:space="preserve"> wstępnej propozycji metodologii i</w:t>
            </w:r>
            <w:r w:rsidRPr="006E1EE6">
              <w:t xml:space="preserve"> </w:t>
            </w:r>
            <w:r w:rsidR="007211B7" w:rsidRPr="006E1EE6">
              <w:t>opis</w:t>
            </w:r>
            <w:r w:rsidRPr="006E1EE6">
              <w:t xml:space="preserve"> narzędzia</w:t>
            </w:r>
            <w:r w:rsidR="001424EA" w:rsidRPr="006E1EE6">
              <w:t xml:space="preserve"> badawczego</w:t>
            </w:r>
            <w:r w:rsidRPr="006E1EE6">
              <w:t xml:space="preserve">, propozycje </w:t>
            </w:r>
            <w:r w:rsidR="007211B7" w:rsidRPr="006E1EE6">
              <w:t>rozszerzenia modelu badania zawartego w ofercie</w:t>
            </w:r>
            <w:r w:rsidRPr="006E1EE6">
              <w:t>, inne informacje ważne z punktu widzenia Oferenta – są, w opinii Zamawiającego adekwatne do celów badania.</w:t>
            </w:r>
          </w:p>
          <w:p w14:paraId="31B6F4AF" w14:textId="349FED15" w:rsidR="00B2003E" w:rsidRPr="006E1EE6" w:rsidRDefault="00B2003E" w:rsidP="00B2003E"/>
        </w:tc>
      </w:tr>
      <w:tr w:rsidR="00211579" w:rsidRPr="006E1EE6" w14:paraId="33EB5378" w14:textId="77777777" w:rsidTr="00BC5560">
        <w:tc>
          <w:tcPr>
            <w:tcW w:w="9062" w:type="dxa"/>
            <w:tcBorders>
              <w:top w:val="single" w:sz="4" w:space="0" w:color="auto"/>
              <w:bottom w:val="nil"/>
            </w:tcBorders>
          </w:tcPr>
          <w:p w14:paraId="6A0744E7" w14:textId="77777777" w:rsidR="00211579" w:rsidRPr="006E1EE6" w:rsidRDefault="00211579" w:rsidP="0017143A">
            <w:r w:rsidRPr="006E1EE6">
              <w:rPr>
                <w:b/>
                <w:bCs/>
              </w:rPr>
              <w:lastRenderedPageBreak/>
              <w:t>3.</w:t>
            </w:r>
            <w:r w:rsidRPr="006E1EE6">
              <w:t xml:space="preserve"> W przypadku gdy dwie lub </w:t>
            </w:r>
            <w:r w:rsidR="00B824C1" w:rsidRPr="006E1EE6">
              <w:t>więcej ofert</w:t>
            </w:r>
            <w:r w:rsidRPr="006E1EE6">
              <w:t xml:space="preserve"> otrzymało najwyższą ilość punktów</w:t>
            </w:r>
            <w:r w:rsidR="00B339A3" w:rsidRPr="006E1EE6">
              <w:t>,</w:t>
            </w:r>
            <w:r w:rsidRPr="006E1EE6">
              <w:t xml:space="preserve"> Zamawiający wzywa Wykonawców, którzy złożyli te oferty, do złożenia w terminie określonym przez Zamawiającego ofert dodatkowych w zakresie ceny. Wykonawcy, składając oferty dodatkowe, nie mogą zaoferować cen wyższych niż zaoferowane w złożonych ofertach. Zostanie wybrana oferta, która wykazała niższą cenę.</w:t>
            </w:r>
          </w:p>
        </w:tc>
      </w:tr>
      <w:tr w:rsidR="00211579" w:rsidRPr="006E1EE6" w14:paraId="764D5C3E" w14:textId="77777777" w:rsidTr="00211579">
        <w:tc>
          <w:tcPr>
            <w:tcW w:w="9062" w:type="dxa"/>
            <w:tcBorders>
              <w:top w:val="nil"/>
              <w:bottom w:val="nil"/>
            </w:tcBorders>
          </w:tcPr>
          <w:p w14:paraId="65EDFE9B" w14:textId="77777777" w:rsidR="00211579" w:rsidRPr="006E1EE6" w:rsidRDefault="00211579" w:rsidP="0017143A">
            <w:r w:rsidRPr="006E1EE6">
              <w:rPr>
                <w:b/>
                <w:bCs/>
              </w:rPr>
              <w:t>4.</w:t>
            </w:r>
            <w:r w:rsidRPr="006E1EE6">
              <w:t> Niniejsze zapytanie ofertowe nie stanowi zobowiązania Zamawiającego do udzielenia zamówienia.</w:t>
            </w:r>
          </w:p>
        </w:tc>
      </w:tr>
      <w:tr w:rsidR="00211579" w:rsidRPr="006E1EE6" w14:paraId="642BF7CC" w14:textId="77777777" w:rsidTr="00211579">
        <w:tc>
          <w:tcPr>
            <w:tcW w:w="9062" w:type="dxa"/>
            <w:tcBorders>
              <w:top w:val="nil"/>
              <w:bottom w:val="nil"/>
            </w:tcBorders>
          </w:tcPr>
          <w:p w14:paraId="10D8B1DC" w14:textId="77777777" w:rsidR="00211579" w:rsidRPr="006E1EE6" w:rsidRDefault="00211579" w:rsidP="0017143A">
            <w:r w:rsidRPr="006E1EE6">
              <w:rPr>
                <w:b/>
                <w:bCs/>
              </w:rPr>
              <w:t>5. </w:t>
            </w:r>
            <w:r w:rsidRPr="006E1EE6">
              <w:t>Niniejsze zapytanie ofertowe nie stanowi oferty w myśl art. 66 i art. 661 Kodeksu Cywilnego, jak również nie jest ogłoszeniem w rozumieniu ustawy Prawo zamówień publicznych.</w:t>
            </w:r>
          </w:p>
        </w:tc>
      </w:tr>
      <w:tr w:rsidR="00211579" w:rsidRPr="006E1EE6" w14:paraId="52A493D5" w14:textId="77777777" w:rsidTr="00211579">
        <w:tc>
          <w:tcPr>
            <w:tcW w:w="9062" w:type="dxa"/>
            <w:tcBorders>
              <w:top w:val="nil"/>
              <w:bottom w:val="nil"/>
            </w:tcBorders>
          </w:tcPr>
          <w:p w14:paraId="05CE33C4" w14:textId="77777777" w:rsidR="00211579" w:rsidRPr="006E1EE6" w:rsidRDefault="00211579" w:rsidP="0017143A">
            <w:r w:rsidRPr="006E1EE6">
              <w:rPr>
                <w:b/>
                <w:bCs/>
              </w:rPr>
              <w:t>6.</w:t>
            </w:r>
            <w:r w:rsidRPr="006E1EE6">
              <w:t> Zamawiający zastrzega sobie prawo unieważnienia postępowania na każdym jego etapie bez podania przyczyny.</w:t>
            </w:r>
          </w:p>
        </w:tc>
      </w:tr>
      <w:tr w:rsidR="00211579" w:rsidRPr="006E1EE6" w14:paraId="33E46905" w14:textId="77777777" w:rsidTr="00211579">
        <w:tc>
          <w:tcPr>
            <w:tcW w:w="9062" w:type="dxa"/>
            <w:tcBorders>
              <w:top w:val="nil"/>
            </w:tcBorders>
          </w:tcPr>
          <w:p w14:paraId="0EC843F9" w14:textId="77777777" w:rsidR="00211579" w:rsidRPr="006E1EE6" w:rsidRDefault="00211579" w:rsidP="0017143A">
            <w:r w:rsidRPr="006E1EE6">
              <w:rPr>
                <w:b/>
                <w:bCs/>
              </w:rPr>
              <w:t>7.</w:t>
            </w:r>
            <w:r w:rsidRPr="006E1EE6">
              <w:t> W celu zapewnienia porównywalności wszystkich ofert, Zamawiający zastrzega sobie prawo do skontaktowania się z Wykonawcami w celu wyjaśnienia lub doprecyzowania ofert.</w:t>
            </w:r>
          </w:p>
        </w:tc>
      </w:tr>
      <w:tr w:rsidR="00211579" w:rsidRPr="006E1EE6" w14:paraId="2A4928F9" w14:textId="77777777" w:rsidTr="00B82714"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C9DBC2E" w14:textId="77777777" w:rsidR="00211579" w:rsidRPr="006E1EE6" w:rsidRDefault="00211579" w:rsidP="0017143A">
            <w:pPr>
              <w:rPr>
                <w:b/>
              </w:rPr>
            </w:pPr>
            <w:r w:rsidRPr="006E1EE6">
              <w:rPr>
                <w:b/>
              </w:rPr>
              <w:t>IX. Klauzula informacyjna</w:t>
            </w:r>
          </w:p>
        </w:tc>
      </w:tr>
      <w:tr w:rsidR="00211579" w:rsidRPr="006E1EE6" w14:paraId="79D6DE30" w14:textId="77777777" w:rsidTr="00B82714">
        <w:tc>
          <w:tcPr>
            <w:tcW w:w="9062" w:type="dxa"/>
            <w:tcBorders>
              <w:bottom w:val="nil"/>
            </w:tcBorders>
          </w:tcPr>
          <w:p w14:paraId="53B5A063" w14:textId="77777777" w:rsidR="00211579" w:rsidRPr="006E1EE6" w:rsidRDefault="00211579" w:rsidP="0017143A">
            <w:r w:rsidRPr="006E1EE6">
              <w:t>Klauzula informacyjna dot. przetwarzania danych osobowych</w:t>
            </w:r>
          </w:p>
        </w:tc>
      </w:tr>
      <w:tr w:rsidR="00211579" w:rsidRPr="006E1EE6" w14:paraId="5C6A36C6" w14:textId="77777777" w:rsidTr="00BC5560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4316CAAD" w14:textId="77777777" w:rsidR="00211579" w:rsidRPr="006E1EE6" w:rsidRDefault="00211579" w:rsidP="0017143A">
            <w:r w:rsidRPr="006E1EE6">
              <w:t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      </w:r>
          </w:p>
        </w:tc>
      </w:tr>
      <w:tr w:rsidR="00211579" w:rsidRPr="006E1EE6" w14:paraId="0C3E3282" w14:textId="77777777" w:rsidTr="00BC5560">
        <w:tc>
          <w:tcPr>
            <w:tcW w:w="9062" w:type="dxa"/>
            <w:tcBorders>
              <w:top w:val="single" w:sz="4" w:space="0" w:color="auto"/>
              <w:bottom w:val="nil"/>
            </w:tcBorders>
          </w:tcPr>
          <w:p w14:paraId="71C4214B" w14:textId="77777777" w:rsidR="00211579" w:rsidRPr="006E1EE6" w:rsidRDefault="00211579" w:rsidP="0017143A">
            <w:r w:rsidRPr="006E1EE6">
              <w:t>1) administratorem Pani/Pana danych osobowych jest: Minister Kultury i Dziedzictwa Narodowego ul. Krakowskie Przedmieście 15/17, 00-071 Warszawa;</w:t>
            </w:r>
            <w:r w:rsidRPr="006E1EE6">
              <w:br/>
              <w:t xml:space="preserve">2) w sprawach związanych z Pani/Pana danymi proszę kontaktować się z Inspektorem Ochrony Danych Osobowych w Ministerstwie Kultury i Dziedzictwa Narodowego za pomocą poczty tradycyjnej na adres Ministerstwo Kultury i Dziedzictwa Narodowego, ul. Krakowskie Przedmieście 15/17, 00-071 Warszawa, pocztą elektroniczną na adres: </w:t>
            </w:r>
            <w:proofErr w:type="spellStart"/>
            <w:r w:rsidRPr="006E1EE6">
              <w:t>iod@kultura</w:t>
            </w:r>
            <w:proofErr w:type="spellEnd"/>
            <w:r w:rsidRPr="006E1EE6">
              <w:t>(</w:t>
            </w:r>
            <w:proofErr w:type="spellStart"/>
            <w:r w:rsidRPr="006E1EE6">
              <w:t>dot</w:t>
            </w:r>
            <w:proofErr w:type="spellEnd"/>
            <w:r w:rsidRPr="006E1EE6">
              <w:t>)</w:t>
            </w:r>
            <w:proofErr w:type="spellStart"/>
            <w:r w:rsidRPr="006E1EE6">
              <w:t>gov</w:t>
            </w:r>
            <w:proofErr w:type="spellEnd"/>
            <w:r w:rsidRPr="006E1EE6">
              <w:t>(</w:t>
            </w:r>
            <w:proofErr w:type="spellStart"/>
            <w:r w:rsidRPr="006E1EE6">
              <w:t>dot</w:t>
            </w:r>
            <w:proofErr w:type="spellEnd"/>
            <w:r w:rsidRPr="006E1EE6">
              <w:t>)</w:t>
            </w:r>
            <w:proofErr w:type="spellStart"/>
            <w:r w:rsidRPr="006E1EE6">
              <w:t>pl</w:t>
            </w:r>
            <w:proofErr w:type="spellEnd"/>
            <w:r w:rsidRPr="006E1EE6">
              <w:t>;</w:t>
            </w:r>
            <w:r w:rsidRPr="006E1EE6">
              <w:br/>
              <w:t>3) Pani/Pana dane osobowe przetwarzane będą na podstawie art. 6 ust. 1 lit. c RODO w celu związanym z prowadzeniem niniejszego postępowania o udzielenie zamówienia publicznego oraz zawarcia umowy, a podstawą prawną ich przetwarzania jest obowiązek prawny stosowania sformalizowanych procedur udzielania zamówień publicznych spoczywający na Zamawiającym;</w:t>
            </w:r>
            <w:r w:rsidRPr="006E1EE6">
              <w:br/>
              <w:t xml:space="preserve">4) odbiorcami Pani/Pana danych osobowych będą osoby lub podmioty, którym udostępniona zostanie dokumentacja postępowania w oparciu o art. 18 oraz art. 74 ustawy Prawo zamówień </w:t>
            </w:r>
            <w:r w:rsidRPr="006E1EE6">
              <w:lastRenderedPageBreak/>
              <w:t>publicznych;</w:t>
            </w:r>
            <w:r w:rsidRPr="006E1EE6">
              <w:br/>
              <w:t>5) Pani/Pana dane osobowe będą przetwarzane, zgodnie z art. 78 ust. 1 ustawy Prawo zamówień publicznych, przez okres 4 lat od dnia zakończenia postępowania o udzielenie zamówienia, a jeżeli czas trwania umowy przekracza 4 lata, okres przetwarzania obejmuje cały czas trwania umowy a w przypadku postępowań finansowanych ze środków pozabudżetowych - okres przetwarzania danych jest zgodny z kategorią archiwalną dokumentacji postępowania;</w:t>
            </w:r>
            <w:r w:rsidRPr="006E1EE6">
              <w:br/>
              <w:t xml:space="preserve">6) obowiązek podania przez Panią/Pana danych osobowych bezpośrednio Pani/Pana dotyczących jest wymogiem ustawowym określonym w przepisach ustawy </w:t>
            </w:r>
            <w:proofErr w:type="spellStart"/>
            <w:r w:rsidRPr="006E1EE6">
              <w:t>Pzp</w:t>
            </w:r>
            <w:proofErr w:type="spellEnd"/>
            <w:r w:rsidRPr="006E1EE6">
              <w:t xml:space="preserve">, związanym z udziałem w postępowaniu o udzielenie zamówienia publicznego; konsekwencje niepodania określonych danych wynikają z ustawy </w:t>
            </w:r>
            <w:proofErr w:type="spellStart"/>
            <w:r w:rsidRPr="006E1EE6">
              <w:t>Pzp</w:t>
            </w:r>
            <w:proofErr w:type="spellEnd"/>
            <w:r w:rsidRPr="006E1EE6">
              <w:t>;</w:t>
            </w:r>
            <w:r w:rsidRPr="006E1EE6">
              <w:br/>
              <w:t>7) w odniesieniu do Pani/Pana danych osobowych decyzje nie będą podejmowane w sposób zautomatyzowany, stosowanie do art. 22 RODO;</w:t>
            </w:r>
            <w:r w:rsidRPr="006E1EE6">
              <w:br/>
              <w:t>8) każda osoba fizyczna, której dane osobowe przekazano Zamawiającemu w ofercie lub innych dokumentach składanych przez Wykonawcę w postępowaniu o udzielenie zamówienia publicznego posiada:</w:t>
            </w:r>
            <w:r w:rsidRPr="006E1EE6">
              <w:br/>
              <w:t>a) na podstawie art. 15 RODO prawo dostępu do danych osobowych Pani/Pana dotyczących,</w:t>
            </w:r>
            <w:r w:rsidRPr="006E1EE6">
              <w:br/>
              <w:t xml:space="preserve">b) na podstawie art. 16 RODO prawo do sprostowania Pani/Pana danych osobowych przy czym skorzystanie z prawa do sprostowania nie może skutkować zmianą wyniku postępowania o udzielenie zamówienia publicznego ani zmianą postanowień umowy w zakresie niezgodnym z ustawą </w:t>
            </w:r>
            <w:proofErr w:type="spellStart"/>
            <w:r w:rsidRPr="006E1EE6">
              <w:t>Pzp</w:t>
            </w:r>
            <w:proofErr w:type="spellEnd"/>
            <w:r w:rsidRPr="006E1EE6">
              <w:t xml:space="preserve"> oraz nie może naruszać integralności protokołu oraz jego załączników,</w:t>
            </w:r>
            <w:r w:rsidRPr="006E1EE6">
              <w:br/>
              <w:t>c) na podstawie art. 18 RODO prawo żądania od administratora ograniczenia przetwarzania danych osobowych z zastrzeżeniem przypadków, o których mowa w art. 18 ust. 2 RODO przy czym prawo do ograniczenia przetwarzania nie ma zastosowania w odniesieniu* do przechowywania, w celu zapewnienia korzystania ze środków ochrony prawnej lub w celu ochrony praw innej osoby fizycznej lub prawnej, lub z uwagi na ważne względy interesu publicznego Unii Europejskiej lub państwa członkowskiego,</w:t>
            </w:r>
            <w:r w:rsidRPr="006E1EE6">
              <w:br/>
              <w:t>d) prawo do wniesienia skargi do Prezesa Urzędu Ochrony Danych Osobowych, gdy uzna Pani/Pan, że przetwarzanie danych osobowych Pani/Pana dotyczących narusza przepisy RODO;</w:t>
            </w:r>
            <w:r w:rsidRPr="006E1EE6">
              <w:br/>
              <w:t>9) nie przysługuje Pani/Panu:</w:t>
            </w:r>
            <w:r w:rsidRPr="006E1EE6">
              <w:br/>
              <w:t>a) w związku z art. 17 ust. 3 lit. b, d lub e RODO prawo do usunięcia danych osobowych,</w:t>
            </w:r>
            <w:r w:rsidRPr="006E1EE6">
              <w:br/>
              <w:t>b) prawo do przenoszenia danych osobowych, o którym mowa w art. 20 RODO,</w:t>
            </w:r>
            <w:r w:rsidRPr="006E1EE6">
              <w:br/>
              <w:t>c) na podstawie art. 21 RODO prawo sprzeciwu, wobec przetwarzania danych osobowych, gdyż podstawą prawną przetwarzania Pani/Pana danych osobowych jest art. 6 ust. 1 lit. c RODO.</w:t>
            </w:r>
          </w:p>
        </w:tc>
      </w:tr>
      <w:tr w:rsidR="00211579" w:rsidRPr="006E1EE6" w14:paraId="157F5FA1" w14:textId="77777777" w:rsidTr="00BC5560">
        <w:tc>
          <w:tcPr>
            <w:tcW w:w="9062" w:type="dxa"/>
            <w:tcBorders>
              <w:top w:val="nil"/>
              <w:bottom w:val="nil"/>
            </w:tcBorders>
          </w:tcPr>
          <w:p w14:paraId="49246D3B" w14:textId="77777777" w:rsidR="00211579" w:rsidRPr="006E1EE6" w:rsidRDefault="00211579" w:rsidP="0017143A">
            <w:r w:rsidRPr="006E1EE6">
              <w:lastRenderedPageBreak/>
              <w:t>*Prawo ograniczenia przetwarzania nie ma zastosowania w odniesieniu do przechowywania, w celu zapewnienia korzystania ze środków ochrony prawnej lub w celu ochrony prawnej innej osoby fizycznej lub prawnej, lub z uwagi na ważne względy interesu publicznego UE lub państwa członkowskiego.</w:t>
            </w:r>
          </w:p>
        </w:tc>
      </w:tr>
      <w:tr w:rsidR="00211579" w:rsidRPr="006E1EE6" w14:paraId="3D396EAD" w14:textId="77777777" w:rsidTr="00BC5560">
        <w:tc>
          <w:tcPr>
            <w:tcW w:w="9062" w:type="dxa"/>
            <w:tcBorders>
              <w:top w:val="nil"/>
              <w:bottom w:val="nil"/>
            </w:tcBorders>
          </w:tcPr>
          <w:p w14:paraId="52846C3E" w14:textId="77777777" w:rsidR="00211579" w:rsidRPr="006E1EE6" w:rsidRDefault="00211579" w:rsidP="0017143A">
            <w:r w:rsidRPr="006E1EE6">
              <w:t xml:space="preserve">2. Jednocześnie Zamawiający przypomina o ciążącym na Pani/Panu obowiązku informacyjnym wynikającym z art. 14 RODO względem osób fizycznych, których dane zostaną przekazane Zamawiającemu w związku z prowadzonym postępowaniem i które Zamawiający bezpośrednio pozyska od Wykonawcy biorącego udział w postępowaniu, chyba że ma zastosowanie co najmniej jedno z </w:t>
            </w:r>
            <w:proofErr w:type="spellStart"/>
            <w:r w:rsidRPr="006E1EE6">
              <w:t>wyłączeń</w:t>
            </w:r>
            <w:proofErr w:type="spellEnd"/>
            <w:r w:rsidRPr="006E1EE6">
              <w:t>, o których mowa w art. 14 ust. 5 RODO.</w:t>
            </w:r>
          </w:p>
        </w:tc>
      </w:tr>
      <w:tr w:rsidR="00211579" w:rsidRPr="006E1EE6" w14:paraId="40F1E003" w14:textId="77777777" w:rsidTr="00BC5560">
        <w:tc>
          <w:tcPr>
            <w:tcW w:w="9062" w:type="dxa"/>
            <w:tcBorders>
              <w:top w:val="nil"/>
              <w:bottom w:val="nil"/>
            </w:tcBorders>
          </w:tcPr>
          <w:p w14:paraId="5F57A8C1" w14:textId="77777777" w:rsidR="00211579" w:rsidRPr="006E1EE6" w:rsidRDefault="00211579" w:rsidP="0017143A">
            <w:r w:rsidRPr="006E1EE6">
              <w:t>3. Wykonawca poprzez fakt złożenia oferty oświadcza, że posiada prawo do przetwarzania i udostępnienia MKIDN danych osobowych osób, których dane zamieścił w dokumentach składanych przy ubieganiu się oraz przy realizacji niniejszego zamówienia publicznego, zgodnie z przepisami o ochronie danych osobowych.</w:t>
            </w:r>
          </w:p>
        </w:tc>
      </w:tr>
      <w:tr w:rsidR="00211579" w:rsidRPr="006E1EE6" w14:paraId="1612151B" w14:textId="77777777" w:rsidTr="00B82714">
        <w:tc>
          <w:tcPr>
            <w:tcW w:w="9062" w:type="dxa"/>
            <w:tcBorders>
              <w:top w:val="nil"/>
              <w:bottom w:val="nil"/>
            </w:tcBorders>
          </w:tcPr>
          <w:p w14:paraId="1A2B9C26" w14:textId="77777777" w:rsidR="00211579" w:rsidRPr="006E1EE6" w:rsidRDefault="00211579" w:rsidP="0017143A">
            <w:r w:rsidRPr="006E1EE6">
              <w:t>4. Dane osobowe nie będą objęte procesem zautomatyzowanego podejmowania decyzji, w tym profilowania.</w:t>
            </w:r>
          </w:p>
        </w:tc>
      </w:tr>
      <w:tr w:rsidR="00211579" w:rsidRPr="006E1EE6" w14:paraId="45855ED4" w14:textId="77777777" w:rsidTr="00A31545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4EC0623B" w14:textId="77777777" w:rsidR="00A31545" w:rsidRPr="006E1EE6" w:rsidRDefault="00211579" w:rsidP="0017143A">
            <w:r w:rsidRPr="006E1EE6">
              <w:t>5. Informacja dotycząca zasad przetwarzania danych osobowych przez Administratora oraz praw osób, których dane są przetwarzane została zamieszczona na stronie http://bip.mkidn.gov.pl w zakładce ochrona danych osobowych.</w:t>
            </w:r>
          </w:p>
        </w:tc>
      </w:tr>
      <w:tr w:rsidR="00211579" w:rsidRPr="006E1EE6" w14:paraId="5CE04364" w14:textId="77777777" w:rsidTr="00A31545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3CC59" w14:textId="77777777" w:rsidR="00A31545" w:rsidRPr="006E1EE6" w:rsidRDefault="00A31545" w:rsidP="0017143A">
            <w:pPr>
              <w:rPr>
                <w:b/>
                <w:bCs/>
              </w:rPr>
            </w:pPr>
          </w:p>
          <w:p w14:paraId="49134A4C" w14:textId="77777777" w:rsidR="00A31545" w:rsidRPr="006E1EE6" w:rsidRDefault="00A31545" w:rsidP="0017143A">
            <w:pPr>
              <w:rPr>
                <w:b/>
                <w:bCs/>
              </w:rPr>
            </w:pPr>
          </w:p>
          <w:p w14:paraId="041628E5" w14:textId="77777777" w:rsidR="00A31545" w:rsidRPr="006E1EE6" w:rsidRDefault="00A31545" w:rsidP="0017143A">
            <w:pPr>
              <w:rPr>
                <w:b/>
                <w:bCs/>
              </w:rPr>
            </w:pPr>
          </w:p>
          <w:p w14:paraId="612B8027" w14:textId="77777777" w:rsidR="00211579" w:rsidRPr="006E1EE6" w:rsidRDefault="00211579" w:rsidP="0017143A">
            <w:r w:rsidRPr="006E1EE6">
              <w:rPr>
                <w:b/>
                <w:bCs/>
              </w:rPr>
              <w:t>Informujemy, iż niniejsze zapytanie ofertowe nie stanowi oferty w myśl art. 66 Kodeksu Cywilnego, ani zaproszenia w rozumieniu ustawy Prawo zamówień publicznych.</w:t>
            </w:r>
          </w:p>
        </w:tc>
      </w:tr>
      <w:tr w:rsidR="00211579" w:rsidRPr="006E1EE6" w14:paraId="10154115" w14:textId="77777777" w:rsidTr="00A3154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2862A66" w14:textId="77777777" w:rsidR="00211579" w:rsidRPr="006E1EE6" w:rsidRDefault="00211579" w:rsidP="0017143A">
            <w:r w:rsidRPr="006E1EE6">
              <w:lastRenderedPageBreak/>
              <w:t>Załączniki:</w:t>
            </w:r>
          </w:p>
        </w:tc>
      </w:tr>
      <w:tr w:rsidR="00211579" w:rsidRPr="006E1EE6" w14:paraId="1A7F1DF1" w14:textId="77777777" w:rsidTr="00A3154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1A6E74AF" w14:textId="77777777" w:rsidR="00211579" w:rsidRPr="006E1EE6" w:rsidRDefault="000F3FD3" w:rsidP="0017143A">
            <w:pPr>
              <w:numPr>
                <w:ilvl w:val="0"/>
                <w:numId w:val="4"/>
              </w:numPr>
            </w:pPr>
            <w:hyperlink r:id="rId11" w:history="1">
              <w:r w:rsidR="00211579" w:rsidRPr="006E1EE6">
                <w:rPr>
                  <w:rStyle w:val="Hipercze"/>
                </w:rPr>
                <w:t>Załącznik nr 1 – Wzór umowy</w:t>
              </w:r>
            </w:hyperlink>
          </w:p>
        </w:tc>
      </w:tr>
      <w:tr w:rsidR="00211579" w:rsidRPr="00211579" w14:paraId="0431AE47" w14:textId="77777777" w:rsidTr="00A3154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19AC5B27" w14:textId="77777777" w:rsidR="00211579" w:rsidRPr="006E1EE6" w:rsidRDefault="000F3FD3" w:rsidP="0017143A">
            <w:pPr>
              <w:numPr>
                <w:ilvl w:val="0"/>
                <w:numId w:val="4"/>
              </w:numPr>
            </w:pPr>
            <w:hyperlink r:id="rId12" w:history="1">
              <w:r w:rsidR="00211579" w:rsidRPr="006E1EE6">
                <w:rPr>
                  <w:rStyle w:val="Hipercze"/>
                </w:rPr>
                <w:t>Załącznik nr 2 – Formularz ofertowy</w:t>
              </w:r>
            </w:hyperlink>
          </w:p>
        </w:tc>
      </w:tr>
    </w:tbl>
    <w:p w14:paraId="00F79BBC" w14:textId="77777777" w:rsidR="00BA2876" w:rsidRDefault="00BA2876" w:rsidP="00211579"/>
    <w:sectPr w:rsidR="00BA2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6A5F"/>
    <w:multiLevelType w:val="multilevel"/>
    <w:tmpl w:val="083A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F40FE"/>
    <w:multiLevelType w:val="hybridMultilevel"/>
    <w:tmpl w:val="6700F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74E88"/>
    <w:multiLevelType w:val="hybridMultilevel"/>
    <w:tmpl w:val="12326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E6403"/>
    <w:multiLevelType w:val="multilevel"/>
    <w:tmpl w:val="0B121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2A54A1"/>
    <w:multiLevelType w:val="hybridMultilevel"/>
    <w:tmpl w:val="36523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71245"/>
    <w:multiLevelType w:val="hybridMultilevel"/>
    <w:tmpl w:val="DB329D26"/>
    <w:lvl w:ilvl="0" w:tplc="24F8C03A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06EDF"/>
    <w:multiLevelType w:val="hybridMultilevel"/>
    <w:tmpl w:val="C0E00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85564"/>
    <w:multiLevelType w:val="hybridMultilevel"/>
    <w:tmpl w:val="77CE7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4178B"/>
    <w:multiLevelType w:val="hybridMultilevel"/>
    <w:tmpl w:val="B38A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438F0"/>
    <w:multiLevelType w:val="hybridMultilevel"/>
    <w:tmpl w:val="11DA3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52DE1"/>
    <w:multiLevelType w:val="hybridMultilevel"/>
    <w:tmpl w:val="7EC4BE6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0E2243"/>
    <w:multiLevelType w:val="hybridMultilevel"/>
    <w:tmpl w:val="F9E42854"/>
    <w:lvl w:ilvl="0" w:tplc="6CDCAC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07BBF"/>
    <w:multiLevelType w:val="hybridMultilevel"/>
    <w:tmpl w:val="AB986AE4"/>
    <w:lvl w:ilvl="0" w:tplc="72B4E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A86248"/>
    <w:multiLevelType w:val="hybridMultilevel"/>
    <w:tmpl w:val="725CCA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E4B4D"/>
    <w:multiLevelType w:val="hybridMultilevel"/>
    <w:tmpl w:val="973AF7BE"/>
    <w:lvl w:ilvl="0" w:tplc="F4CCF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1951DB"/>
    <w:multiLevelType w:val="hybridMultilevel"/>
    <w:tmpl w:val="01CC58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3E1D6F"/>
    <w:multiLevelType w:val="hybridMultilevel"/>
    <w:tmpl w:val="4636E25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868B1"/>
    <w:multiLevelType w:val="hybridMultilevel"/>
    <w:tmpl w:val="1292B2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4B7A89"/>
    <w:multiLevelType w:val="multilevel"/>
    <w:tmpl w:val="50BA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E1509"/>
    <w:multiLevelType w:val="hybridMultilevel"/>
    <w:tmpl w:val="B13CE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A270A"/>
    <w:multiLevelType w:val="hybridMultilevel"/>
    <w:tmpl w:val="EF64544A"/>
    <w:lvl w:ilvl="0" w:tplc="D31C6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60AEE"/>
    <w:multiLevelType w:val="multilevel"/>
    <w:tmpl w:val="AC76D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CC00B8E"/>
    <w:multiLevelType w:val="hybridMultilevel"/>
    <w:tmpl w:val="14324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F4E79"/>
    <w:multiLevelType w:val="hybridMultilevel"/>
    <w:tmpl w:val="CB10AB12"/>
    <w:lvl w:ilvl="0" w:tplc="65C25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A2847"/>
    <w:multiLevelType w:val="multilevel"/>
    <w:tmpl w:val="C374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0519A0"/>
    <w:multiLevelType w:val="hybridMultilevel"/>
    <w:tmpl w:val="6952F07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C35EA"/>
    <w:multiLevelType w:val="multilevel"/>
    <w:tmpl w:val="AC76D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3ED2663"/>
    <w:multiLevelType w:val="multilevel"/>
    <w:tmpl w:val="C8FC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7E7F2A"/>
    <w:multiLevelType w:val="hybridMultilevel"/>
    <w:tmpl w:val="011A8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111E7"/>
    <w:multiLevelType w:val="hybridMultilevel"/>
    <w:tmpl w:val="2AD8F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7"/>
  </w:num>
  <w:num w:numId="4">
    <w:abstractNumId w:val="18"/>
  </w:num>
  <w:num w:numId="5">
    <w:abstractNumId w:val="20"/>
  </w:num>
  <w:num w:numId="6">
    <w:abstractNumId w:val="12"/>
  </w:num>
  <w:num w:numId="7">
    <w:abstractNumId w:val="22"/>
  </w:num>
  <w:num w:numId="8">
    <w:abstractNumId w:val="19"/>
  </w:num>
  <w:num w:numId="9">
    <w:abstractNumId w:val="2"/>
  </w:num>
  <w:num w:numId="10">
    <w:abstractNumId w:val="4"/>
  </w:num>
  <w:num w:numId="11">
    <w:abstractNumId w:val="23"/>
  </w:num>
  <w:num w:numId="12">
    <w:abstractNumId w:val="3"/>
  </w:num>
  <w:num w:numId="13">
    <w:abstractNumId w:val="6"/>
  </w:num>
  <w:num w:numId="14">
    <w:abstractNumId w:val="11"/>
  </w:num>
  <w:num w:numId="15">
    <w:abstractNumId w:val="21"/>
  </w:num>
  <w:num w:numId="16">
    <w:abstractNumId w:val="26"/>
  </w:num>
  <w:num w:numId="17">
    <w:abstractNumId w:val="7"/>
  </w:num>
  <w:num w:numId="18">
    <w:abstractNumId w:val="13"/>
  </w:num>
  <w:num w:numId="19">
    <w:abstractNumId w:val="14"/>
  </w:num>
  <w:num w:numId="20">
    <w:abstractNumId w:val="5"/>
  </w:num>
  <w:num w:numId="21">
    <w:abstractNumId w:val="29"/>
  </w:num>
  <w:num w:numId="22">
    <w:abstractNumId w:val="8"/>
  </w:num>
  <w:num w:numId="23">
    <w:abstractNumId w:val="1"/>
  </w:num>
  <w:num w:numId="24">
    <w:abstractNumId w:val="17"/>
  </w:num>
  <w:num w:numId="25">
    <w:abstractNumId w:val="10"/>
  </w:num>
  <w:num w:numId="26">
    <w:abstractNumId w:val="9"/>
  </w:num>
  <w:num w:numId="27">
    <w:abstractNumId w:val="15"/>
  </w:num>
  <w:num w:numId="28">
    <w:abstractNumId w:val="16"/>
  </w:num>
  <w:num w:numId="29">
    <w:abstractNumId w:val="25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3E"/>
    <w:rsid w:val="00000DB2"/>
    <w:rsid w:val="00027A27"/>
    <w:rsid w:val="00030C29"/>
    <w:rsid w:val="00057BD7"/>
    <w:rsid w:val="000820F3"/>
    <w:rsid w:val="00082AAA"/>
    <w:rsid w:val="000C1B69"/>
    <w:rsid w:val="000F3C68"/>
    <w:rsid w:val="000F3FD3"/>
    <w:rsid w:val="00113E34"/>
    <w:rsid w:val="00126EE2"/>
    <w:rsid w:val="00137A02"/>
    <w:rsid w:val="001424EA"/>
    <w:rsid w:val="0015457F"/>
    <w:rsid w:val="00163A45"/>
    <w:rsid w:val="00185878"/>
    <w:rsid w:val="001A5A9E"/>
    <w:rsid w:val="001A6143"/>
    <w:rsid w:val="001B7398"/>
    <w:rsid w:val="001C6080"/>
    <w:rsid w:val="00211579"/>
    <w:rsid w:val="002341FF"/>
    <w:rsid w:val="00257B9F"/>
    <w:rsid w:val="002B44DD"/>
    <w:rsid w:val="002E36E6"/>
    <w:rsid w:val="002F7EBD"/>
    <w:rsid w:val="00301775"/>
    <w:rsid w:val="003053C0"/>
    <w:rsid w:val="0036258D"/>
    <w:rsid w:val="00377784"/>
    <w:rsid w:val="0042698A"/>
    <w:rsid w:val="0048767B"/>
    <w:rsid w:val="0049598B"/>
    <w:rsid w:val="004C2C40"/>
    <w:rsid w:val="004D5432"/>
    <w:rsid w:val="004E53DD"/>
    <w:rsid w:val="00520D39"/>
    <w:rsid w:val="00534694"/>
    <w:rsid w:val="00546D89"/>
    <w:rsid w:val="00567C88"/>
    <w:rsid w:val="00594779"/>
    <w:rsid w:val="005C35FB"/>
    <w:rsid w:val="006061BA"/>
    <w:rsid w:val="00610028"/>
    <w:rsid w:val="00615132"/>
    <w:rsid w:val="00652DF4"/>
    <w:rsid w:val="00665673"/>
    <w:rsid w:val="0067646A"/>
    <w:rsid w:val="00680605"/>
    <w:rsid w:val="006B39B3"/>
    <w:rsid w:val="006C5D9D"/>
    <w:rsid w:val="006E1EE6"/>
    <w:rsid w:val="00710AFB"/>
    <w:rsid w:val="00711DAE"/>
    <w:rsid w:val="007211B7"/>
    <w:rsid w:val="007276C5"/>
    <w:rsid w:val="00775CDB"/>
    <w:rsid w:val="007A3005"/>
    <w:rsid w:val="007B2175"/>
    <w:rsid w:val="007B71D7"/>
    <w:rsid w:val="00803EA2"/>
    <w:rsid w:val="0080434B"/>
    <w:rsid w:val="008112B8"/>
    <w:rsid w:val="00815476"/>
    <w:rsid w:val="00820E1F"/>
    <w:rsid w:val="0082673A"/>
    <w:rsid w:val="00843C5E"/>
    <w:rsid w:val="0084429D"/>
    <w:rsid w:val="008512BE"/>
    <w:rsid w:val="0085412C"/>
    <w:rsid w:val="008A4E7E"/>
    <w:rsid w:val="008C193B"/>
    <w:rsid w:val="008D08CC"/>
    <w:rsid w:val="008F588E"/>
    <w:rsid w:val="009001A1"/>
    <w:rsid w:val="00907051"/>
    <w:rsid w:val="00913A95"/>
    <w:rsid w:val="00920B3E"/>
    <w:rsid w:val="009331CB"/>
    <w:rsid w:val="00951289"/>
    <w:rsid w:val="00985D62"/>
    <w:rsid w:val="009A6083"/>
    <w:rsid w:val="009D2065"/>
    <w:rsid w:val="00A013EE"/>
    <w:rsid w:val="00A0293B"/>
    <w:rsid w:val="00A04EA2"/>
    <w:rsid w:val="00A31545"/>
    <w:rsid w:val="00A33131"/>
    <w:rsid w:val="00A603F4"/>
    <w:rsid w:val="00A67AE7"/>
    <w:rsid w:val="00A70E5D"/>
    <w:rsid w:val="00A800D6"/>
    <w:rsid w:val="00AF5652"/>
    <w:rsid w:val="00AF78AD"/>
    <w:rsid w:val="00B05E8D"/>
    <w:rsid w:val="00B2003E"/>
    <w:rsid w:val="00B23BC8"/>
    <w:rsid w:val="00B339A3"/>
    <w:rsid w:val="00B45163"/>
    <w:rsid w:val="00B620BD"/>
    <w:rsid w:val="00B824C1"/>
    <w:rsid w:val="00B82714"/>
    <w:rsid w:val="00BA2876"/>
    <w:rsid w:val="00BC5560"/>
    <w:rsid w:val="00BD3ADC"/>
    <w:rsid w:val="00BE00A5"/>
    <w:rsid w:val="00BE182D"/>
    <w:rsid w:val="00C13CD8"/>
    <w:rsid w:val="00C1550F"/>
    <w:rsid w:val="00C23259"/>
    <w:rsid w:val="00C40F29"/>
    <w:rsid w:val="00C6154F"/>
    <w:rsid w:val="00C7595C"/>
    <w:rsid w:val="00C97965"/>
    <w:rsid w:val="00CB7622"/>
    <w:rsid w:val="00CD0AD1"/>
    <w:rsid w:val="00CD2CF6"/>
    <w:rsid w:val="00CD45A8"/>
    <w:rsid w:val="00CF48D4"/>
    <w:rsid w:val="00D37E96"/>
    <w:rsid w:val="00D51CF3"/>
    <w:rsid w:val="00DA0B01"/>
    <w:rsid w:val="00DA665A"/>
    <w:rsid w:val="00DC6182"/>
    <w:rsid w:val="00DE461E"/>
    <w:rsid w:val="00DE6AC9"/>
    <w:rsid w:val="00DF4C6A"/>
    <w:rsid w:val="00E36162"/>
    <w:rsid w:val="00E75883"/>
    <w:rsid w:val="00E92FC2"/>
    <w:rsid w:val="00EA2281"/>
    <w:rsid w:val="00ED7F72"/>
    <w:rsid w:val="00F456EF"/>
    <w:rsid w:val="00F45A57"/>
    <w:rsid w:val="00F5715B"/>
    <w:rsid w:val="00FB16BF"/>
    <w:rsid w:val="00FE0291"/>
    <w:rsid w:val="00F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2C5A"/>
  <w15:chartTrackingRefBased/>
  <w15:docId w15:val="{E17F6AF9-1BED-4BB5-A256-1A7706FB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0B3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F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2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2D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2D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DF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1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1,Dot pt,F5 List Paragraph,List Paragraph1,Recommendation,List Paragraph11,List Paragraph,Numerowanie,Kolorowa lista — akcent 11,Akapit z listą1,Akapit z listą11,Numbered Para 1,No Spacing1,List Paragraph Char Char Char,Bullet1,3,L1"/>
    <w:basedOn w:val="Normalny"/>
    <w:link w:val="AkapitzlistZnak"/>
    <w:uiPriority w:val="34"/>
    <w:qFormat/>
    <w:rsid w:val="00985D6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53C0"/>
    <w:rPr>
      <w:color w:val="605E5C"/>
      <w:shd w:val="clear" w:color="auto" w:fill="E1DFDD"/>
    </w:rPr>
  </w:style>
  <w:style w:type="character" w:customStyle="1" w:styleId="AkapitzlistZnak">
    <w:name w:val="Akapit z listą Znak"/>
    <w:aliases w:val="Styl 1 Znak,Dot pt Znak,F5 List Paragraph Znak,List Paragraph1 Znak,Recommendation Znak,List Paragraph11 Znak,List Paragraph Znak,Numerowanie Znak,Kolorowa lista — akcent 11 Znak,Akapit z listą1 Znak,Akapit z listą11 Znak,3 Znak"/>
    <w:link w:val="Akapitzlist"/>
    <w:uiPriority w:val="34"/>
    <w:qFormat/>
    <w:locked/>
    <w:rsid w:val="00082AA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44D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061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km@kultu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kidn.gov.pl" TargetMode="External"/><Relationship Id="rId12" Type="http://schemas.openxmlformats.org/officeDocument/2006/relationships/hyperlink" Target="https://bip.mkidn.gov.pl/media/docs/2024_pliki/zapytania_ofertowe/20240819_digitalizacja/Zalacznik_nr_2_-_Formularz_ofertowy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bip.mkidn.gov.pl/media/docs/2024_pliki/zapytania_ofertowe/20240819_digitalizacja/Zalacznik_nr_1_do_Zapytania_ofertowego_-_Wzor_Umowy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km@kul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aluch@kul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96DBF-6A1B-45CB-A138-D3E2BF0D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2932</Words>
  <Characters>17594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Brynda</dc:creator>
  <cp:keywords/>
  <dc:description/>
  <cp:lastModifiedBy>Weronika Brynda</cp:lastModifiedBy>
  <cp:revision>5</cp:revision>
  <dcterms:created xsi:type="dcterms:W3CDTF">2026-06-10T06:45:00Z</dcterms:created>
  <dcterms:modified xsi:type="dcterms:W3CDTF">2026-06-10T07:19:00Z</dcterms:modified>
</cp:coreProperties>
</file>