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DLŁ-WNO.053.6.2026.AP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4346433.18190362.14676088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both"/>
      </w:pPr>
      <w:r>
        <w:rPr>
          <w:rStyle w:val="CharStyle8"/>
        </w:rPr>
        <w:t>Warszawa, 26-06-2026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40" w:line="264" w:lineRule="auto"/>
        <w:ind w:left="0" w:right="0" w:firstLine="0"/>
        <w:jc w:val="both"/>
      </w:pPr>
      <w:r>
        <w:rPr>
          <w:rStyle w:val="CharStyle8"/>
          <w:b/>
          <w:bCs/>
        </w:rPr>
        <w:t xml:space="preserve">Dotyczy: </w:t>
      </w:r>
      <w:r>
        <w:rPr>
          <w:rStyle w:val="CharStyle8"/>
        </w:rPr>
        <w:t xml:space="preserve">Zawiadomienie o sposobie załatwienia petycji w sprawie zmiany art. 29 ustawy z dnia 28 września 1991 r. </w:t>
      </w:r>
      <w:r>
        <w:rPr>
          <w:rStyle w:val="CharStyle8"/>
          <w:i/>
          <w:iCs/>
        </w:rPr>
        <w:t>o lasach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 (dalej: ustawy </w:t>
      </w:r>
      <w:r>
        <w:rPr>
          <w:rStyle w:val="CharStyle8"/>
          <w:i/>
          <w:iCs/>
        </w:rPr>
        <w:t>o lasach</w:t>
      </w:r>
      <w:r>
        <w:rPr>
          <w:rStyle w:val="CharStyle8"/>
        </w:rPr>
        <w:t>) poprzez rozszerzenie katalogu podmiotów uprawnionych do wjazdu pojazdami silnikowymi do lasu o członków Stowarzyszenia składającego petycję.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300" w:line="240" w:lineRule="auto"/>
        <w:ind w:left="0" w:right="0" w:firstLine="0"/>
        <w:jc w:val="both"/>
      </w:pPr>
      <w:bookmarkStart w:id="0" w:name="bookmark0"/>
      <w:r>
        <w:rPr>
          <w:rStyle w:val="CharStyle12"/>
          <w:b/>
          <w:bCs/>
        </w:rPr>
        <w:t>Pan</w:t>
      </w:r>
      <w:bookmarkEnd w:id="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Szanowny Panie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po przeanalizowaniu petycji</w:t>
      </w:r>
      <w:r>
        <w:rPr>
          <w:rStyle w:val="CharStyle8"/>
          <w:vertAlign w:val="superscript"/>
        </w:rPr>
        <w:t>2</w:t>
      </w:r>
      <w:r>
        <w:rPr>
          <w:rStyle w:val="CharStyle8"/>
        </w:rPr>
        <w:t xml:space="preserve"> przesłanej przez Stowarzyszenie informuję, że </w:t>
      </w:r>
      <w:r>
        <w:rPr>
          <w:rStyle w:val="CharStyle8"/>
          <w:b/>
          <w:bCs/>
        </w:rPr>
        <w:t>nie została ona uwzględniona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Stowarzyszenie wniosło petycję w sprawie zmiany art. 29 ustawy </w:t>
      </w:r>
      <w:r>
        <w:rPr>
          <w:rStyle w:val="CharStyle8"/>
          <w:i/>
          <w:iCs/>
        </w:rPr>
        <w:t>o lasach</w:t>
      </w:r>
      <w:r>
        <w:rPr>
          <w:rStyle w:val="CharStyle8"/>
        </w:rPr>
        <w:t>, polegającej na rozszerzeniu katalogu podmiotów uprawnionych do wjazdu pojazdami silnikowymi do lasu o członków tego Stowarzyszenia w związku z realizacją celów statutowych, obejmujących m.in. organizowanie społecznych patroli kontrolujących przestrzeganie zasad ochrony przyrody.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Na wstępie należy wskazać, że obecnie zadania związane ze zwalczaniem szkodnictwa leśnego realizowane są przez wyspecjalizowane i odpowiednio umocowane służby. W szczególności działania w tym zakresie prowadzi Straż Leśna, powołana na podstawie art. 47 ustawy </w:t>
      </w:r>
      <w:r>
        <w:rPr>
          <w:rStyle w:val="CharStyle8"/>
          <w:i/>
          <w:iCs/>
        </w:rPr>
        <w:t>o lasach</w:t>
      </w:r>
      <w:r>
        <w:rPr>
          <w:rStyle w:val="CharStyle8"/>
        </w:rPr>
        <w:t>, a także inni pracownicy Służby Leśnej dysponujący właściwymi uprawnieniami i środkami. Zapewnia to wykonywanie powierzonych zadań, przy jednoczesnym zachowaniu odpowiedniego poziomu bezpieczeństwa osobistego i systemowego. Należy podkreślić, że realizacja czynności takich, jak przeciwdziałanie kłusownictwu czy innym naruszeniom prawa w środowisku leśnym wiąże się z istotnym ryzykiem, którego ograniczenie wymaga profesjonalnego przygotowania oraz stosownego wyposażenia.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40"/>
        <w:ind w:left="0" w:right="0" w:firstLine="0"/>
        <w:jc w:val="both"/>
      </w:pPr>
      <w:r>
        <w:rPr>
          <w:rStyle w:val="CharStyle8"/>
        </w:rPr>
        <w:t>Odnosząc się do postulatu przyznania szczególnych uprawnień członkom jednego stowarzyszenia, należy wskazać na konstytucyjną zasadę równości wobec prawa, wyrażoną w art. 32 Konstytucji Rzeczypospolitej Polskiej z dnia 2 kwietnia 1997 r.</w:t>
      </w:r>
      <w:r>
        <w:rPr>
          <w:rStyle w:val="CharStyle8"/>
          <w:vertAlign w:val="superscript"/>
        </w:rPr>
        <w:t>3</w:t>
      </w:r>
      <w:r>
        <w:rPr>
          <w:rStyle w:val="CharStyle8"/>
        </w:rPr>
        <w:t xml:space="preserve"> W świetle tej zasady przyznanie uprzywilejowanego dostępu do lasów wyłącznie jednej organizacji społecznej nie znajduje uzasadnienia. Ewentualne wprowadzenie takiego rozwiązania musiałoby objąć również inne podmioty o zbliżonym charakterze i celach statutowych – zarówno istniejące, jak i powstające w przyszłości. W konsekwencji prowadziłoby to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1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Dz. U. z 2026 r. poz. 663.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Z 16 kwietnia 2026 r., wpływ do tut. organu: 27 kwietnia 2026 r.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23" w:val="left"/>
        </w:tabs>
        <w:bidi w:val="0"/>
        <w:spacing w:before="0" w:after="500" w:line="240" w:lineRule="auto"/>
        <w:ind w:left="0" w:right="0" w:firstLine="0"/>
        <w:jc w:val="both"/>
      </w:pPr>
      <w:r>
        <w:rPr>
          <w:rStyle w:val="CharStyle3"/>
        </w:rPr>
        <w:t>Dz. U. z 1997 r., nr 78 poz. 483, z późn. zm.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both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8"/>
        </w:rPr>
        <w:t>do znaczących trudności w zakresie weryfikacji osób uprawnionych do korzystania z tego rodzaju przywilejów, a w praktyce mogłoby skutkować nadużyciami.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8"/>
        </w:rPr>
        <w:t>Nie można bowiem wykluczyć sytuacji, w których członkostwo w stowarzyszeniu miałoby charakter wyłącznie formalny i byłoby wykorzystywane instrumentalnie – w celu uzyskania dostępu do uprawnień umożliwiających wjazd do lasu, jednak bez rzeczywistego zaangażowania w realizację celów statutowych danej organizacji. Podobne ryzyko dotyczy także możliwości tworzenia nowych podmiotów wyłącznie w celu uzyskania takich uprawnień. W praktyce mogłoby to prowadzić do obchodzenia obowiązujących ograniczeń, wykorzystywania wjazdu do lasu w celach niezwiązanych z ochroną przyrody, a w konsekwencji do osłabienia skuteczności obowiązującego systemu ochrony terenów leśnych.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8"/>
        </w:rPr>
        <w:t>Mając na uwadze powyższe, należy stwierdzić, że postulowana zmiana nie znajduje uzasadnienia w świetle obowiązujących zasad konstytucyjnych. W szczególności brak jest podstaw do przyznania szczególnych uprawnień wyłącznie członkom jednego stowarzyszenia, przy jednoczesnym pominięciu innych podmiotów prowadzących działalność o zbliżonym charakterze. Natomiast ewentualne rozszerzenie takich uprawnień na większą liczbę stowarzyszeń rodziłoby istotne trudności systemowe w zakresie zapewnienia skutecznej kontroli ich wykorzystania zgodnie z założonymi celami. W konsekwencji mogłoby to prowadzić do osłabienia systemu ochrony lasów, zamiast jego wzmocnienia.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rStyle w:val="CharStyle8"/>
        </w:rPr>
        <w:t>W związku z powyższym postulat zawarty w petycji nie może zostać uwzględniony, a podejmowanie działań legislacyjnych zmierzających do wprowadzenia proponowanych zmian w przepisach nie znajduje uzasadnienia.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both"/>
      </w:pPr>
      <w:bookmarkStart w:id="2" w:name="bookmark2"/>
      <w:r>
        <w:rPr>
          <w:rStyle w:val="CharStyle12"/>
          <w:b/>
          <w:bCs/>
        </w:rPr>
        <w:t>Podstawa prawna:</w:t>
      </w:r>
      <w:bookmarkEnd w:id="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both"/>
      </w:pPr>
      <w:r>
        <w:rPr>
          <w:rStyle w:val="CharStyle8"/>
        </w:rPr>
        <w:t>Art. 12 i 13 ustawy z dnia 11 lipca 2014 r. o petycjach.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both"/>
      </w:pPr>
      <w:bookmarkStart w:id="4" w:name="bookmark4"/>
      <w:r>
        <w:rPr>
          <w:rStyle w:val="CharStyle12"/>
          <w:b/>
          <w:bCs/>
        </w:rPr>
        <w:t>Pouczenie:</w:t>
      </w:r>
      <w:bookmarkEnd w:id="4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80" w:line="317" w:lineRule="auto"/>
        <w:ind w:left="0" w:right="0" w:firstLine="0"/>
        <w:jc w:val="both"/>
      </w:pPr>
      <w:r>
        <w:rPr>
          <w:rStyle w:val="CharStyle8"/>
        </w:rPr>
        <w:t>Informuję, że na sposób załatwienia petycji nie służy Państwu prawo wniesienia skargi w trybie określonym w Rozdziale 2 Działu VIII Kodeksu postępowania administracyjnego. 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</w:rPr>
        <w:t>Dyrektor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</w:rPr>
        <w:t>Departament Leśnictwa i Łowiectwa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</w:rPr>
        <w:t>Ministerstwo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r>
        <w:rPr>
          <w:rStyle w:val="CharStyle8"/>
        </w:rPr>
        <w:t>/ – podpisany cyfrowo/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6" w:name="bookmark6"/>
      <w:r>
        <w:rPr>
          <w:rStyle w:val="CharStyle12"/>
          <w:b/>
          <w:bCs/>
          <w:u w:val="single"/>
        </w:rPr>
        <w:t>Do wiadomości:</w:t>
      </w:r>
      <w:bookmarkEnd w:id="6"/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Departament Ochrony Przyrody;</w:t>
      </w:r>
    </w:p>
    <w:p>
      <w:pPr>
        <w:pStyle w:val="Style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0" w:val="left"/>
        </w:tabs>
        <w:bidi w:val="0"/>
        <w:spacing w:before="0" w:after="820" w:line="240" w:lineRule="auto"/>
        <w:ind w:left="0" w:right="0" w:firstLine="0"/>
        <w:jc w:val="left"/>
      </w:pPr>
      <w:r>
        <w:rPr>
          <w:rStyle w:val="CharStyle8"/>
        </w:rPr>
        <w:t>Biuro Kontroli i Audytu w Ministerstwie Klimatu i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r>
        <w:rPr>
          <w:rStyle w:val="CharStyle3"/>
          <w:b/>
          <w:bCs/>
        </w:rPr>
        <w:t>Klauzula informacyjna</w:t>
        <w:br/>
        <w:t>dotycząca przetwarzania danych osobowych osób wnoszących petycję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Tożsamość administratora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160"/>
        <w:ind w:left="0" w:right="0" w:firstLine="380"/>
        <w:jc w:val="left"/>
      </w:pPr>
      <w:r>
        <w:rPr>
          <w:rStyle w:val="CharStyle3"/>
        </w:rPr>
        <w:t>telefonicznie: 22 36 92 900.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Dane kontaktowe inspektora ochrony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160"/>
        <w:ind w:left="0" w:right="0" w:firstLine="380"/>
        <w:jc w:val="left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Cele przetwarzania danych osobowych i podstawa prawna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Odbiorcy danych osobowych lub kategorie odbiorców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Okres przechowywania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Przysługujące uprawnienia związane z przetwarzaniem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160"/>
        <w:ind w:left="0" w:right="0" w:firstLine="38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prawo do wniesienia skargi do Prezesa Urzędu Ochrony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760" w:right="0" w:firstLine="0"/>
        <w:jc w:val="left"/>
      </w:pPr>
      <w:r>
        <w:rPr>
          <w:rStyle w:val="CharStyle3"/>
        </w:rPr>
        <w:t>(ul. Moniuszki 1A, 00-014 Warszawa), jeśli uzna Pani/Pan, że przetwarzamy Pani/Pana dane osobowe niezgodnie z prawem.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Informacja o przekazywaniu danych osobowych do państw trzecich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Informacja o profilowaniu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b/>
          <w:bCs/>
        </w:rPr>
        <w:t>Informacja o dowolności lub obowiązku podania danych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094" w:right="1970" w:bottom="1952" w:left="1932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4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4.60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4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2">
    <w:name w:val="Heading #1_"/>
    <w:basedOn w:val="DefaultParagraphFont"/>
    <w:link w:val="Style1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Header or footer (2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7">
    <w:name w:val="Body text"/>
    <w:basedOn w:val="Normal"/>
    <w:link w:val="CharStyle8"/>
    <w:qFormat/>
    <w:pPr>
      <w:widowControl w:val="0"/>
      <w:shd w:val="clear" w:color="auto" w:fill="auto"/>
      <w:spacing w:after="80" w:line="290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1">
    <w:name w:val="Heading #1"/>
    <w:basedOn w:val="Normal"/>
    <w:link w:val="CharStyle12"/>
    <w:pPr>
      <w:widowControl w:val="0"/>
      <w:shd w:val="clear" w:color="auto" w:fill="auto"/>
      <w:spacing w:after="8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Header or footer (2)"/>
    <w:basedOn w:val="Normal"/>
    <w:link w:val="CharStyle1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