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AE" w:rsidRPr="00CF6FA2" w:rsidRDefault="00FA2713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25B89">
        <w:rPr>
          <w:sz w:val="22"/>
          <w:szCs w:val="22"/>
        </w:rPr>
        <w:t>ał. nr 3</w:t>
      </w:r>
      <w:r>
        <w:rPr>
          <w:sz w:val="22"/>
          <w:szCs w:val="22"/>
        </w:rPr>
        <w:t>, dot. 1001-10.233.6.2023</w:t>
      </w:r>
      <w:bookmarkStart w:id="0" w:name="_GoBack"/>
      <w:bookmarkEnd w:id="0"/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656B20"/>
    <w:rsid w:val="007A6E87"/>
    <w:rsid w:val="008375EC"/>
    <w:rsid w:val="00A05344"/>
    <w:rsid w:val="00A552AE"/>
    <w:rsid w:val="00AB6667"/>
    <w:rsid w:val="00AF7BB1"/>
    <w:rsid w:val="00B25B89"/>
    <w:rsid w:val="00CA147D"/>
    <w:rsid w:val="00E17B97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09D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Katarzyna Jabłońska (PK BAF)</cp:lastModifiedBy>
  <cp:revision>18</cp:revision>
  <dcterms:created xsi:type="dcterms:W3CDTF">2018-11-13T09:21:00Z</dcterms:created>
  <dcterms:modified xsi:type="dcterms:W3CDTF">2023-03-13T13:50:00Z</dcterms:modified>
</cp:coreProperties>
</file>