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20" w:rsidRPr="00A13394" w:rsidRDefault="00DE576D">
      <w:pPr>
        <w:ind w:left="4876"/>
        <w:rPr>
          <w:rFonts w:ascii="Arial" w:hAnsi="Arial" w:cs="Arial"/>
        </w:rPr>
      </w:pPr>
      <w:bookmarkStart w:id="0" w:name="_GoBack"/>
      <w:bookmarkEnd w:id="0"/>
      <w:r w:rsidRPr="00A13394">
        <w:rPr>
          <w:rFonts w:ascii="Arial" w:eastAsia="Times New Roman" w:hAnsi="Arial" w:cs="Arial"/>
          <w:sz w:val="20"/>
          <w:szCs w:val="20"/>
          <w:lang w:eastAsia="ar-SA"/>
        </w:rPr>
        <w:t>Załącznik do Zarządzenia</w:t>
      </w:r>
      <w:bookmarkStart w:id="1" w:name="ezdPracownikAtrybut3"/>
      <w:r w:rsidRPr="00A13394">
        <w:rPr>
          <w:rFonts w:ascii="Arial" w:eastAsia="Times New Roman" w:hAnsi="Arial" w:cs="Arial"/>
          <w:sz w:val="20"/>
          <w:szCs w:val="20"/>
          <w:lang w:eastAsia="ar-SA"/>
        </w:rPr>
        <w:br/>
        <w:t>Dyrektora Generalnego Łódzkiego Urzędu Wojewódzkiego w Łodzi</w:t>
      </w:r>
      <w:bookmarkEnd w:id="1"/>
      <w:r w:rsidRPr="00A13394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z dnia </w:t>
      </w:r>
      <w:bookmarkStart w:id="2" w:name="ezdDataPodpisu"/>
      <w:r w:rsidRPr="00A13394">
        <w:rPr>
          <w:rFonts w:ascii="Arial" w:eastAsia="Times New Roman" w:hAnsi="Arial" w:cs="Arial"/>
          <w:sz w:val="20"/>
          <w:szCs w:val="20"/>
          <w:lang w:eastAsia="ar-SA"/>
        </w:rPr>
        <w:t>2 czerwca 2025</w:t>
      </w:r>
      <w:bookmarkEnd w:id="2"/>
      <w:r w:rsidRPr="00A13394">
        <w:rPr>
          <w:rFonts w:ascii="Arial" w:eastAsia="Times New Roman" w:hAnsi="Arial" w:cs="Arial"/>
          <w:sz w:val="20"/>
          <w:szCs w:val="20"/>
          <w:lang w:eastAsia="ar-SA"/>
        </w:rPr>
        <w:t xml:space="preserve"> r.</w:t>
      </w:r>
    </w:p>
    <w:p w:rsidR="00C04420" w:rsidRPr="00A13394" w:rsidRDefault="00DE576D">
      <w:pPr>
        <w:jc w:val="center"/>
        <w:rPr>
          <w:rFonts w:ascii="Arial" w:hAnsi="Arial" w:cs="Arial"/>
          <w:sz w:val="24"/>
          <w:szCs w:val="24"/>
        </w:rPr>
      </w:pPr>
    </w:p>
    <w:p w:rsidR="00A13394" w:rsidRPr="00A13394" w:rsidRDefault="00DE576D" w:rsidP="008A5403">
      <w:pPr>
        <w:spacing w:before="1080" w:after="16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PROCEDURA PRZYJMOWANIA ZEWNĘTRZNYCH ZGŁOSZEŃ O NARUSZENIACH PRAWA I PODEJMOWANIA DZIAŁAŃ NASTĘPCZYCH W ŁÓDZKIM URZĘDZIE WOJEWÓDZKIM W ŁODZI</w:t>
      </w:r>
    </w:p>
    <w:p w:rsidR="00A13394" w:rsidRPr="00A13394" w:rsidRDefault="00DE576D" w:rsidP="004964DC">
      <w:pPr>
        <w:spacing w:before="6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</w:t>
      </w:r>
    </w:p>
    <w:p w:rsidR="00A13394" w:rsidRPr="00A13394" w:rsidRDefault="00DE576D" w:rsidP="004964D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CEL PROCEDURY</w:t>
      </w:r>
    </w:p>
    <w:p w:rsidR="00A13394" w:rsidRPr="00A13394" w:rsidRDefault="00DE576D" w:rsidP="00A13394">
      <w:pPr>
        <w:numPr>
          <w:ilvl w:val="0"/>
          <w:numId w:val="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Niniejsza </w:t>
      </w:r>
      <w:r w:rsidRPr="00A13394">
        <w:rPr>
          <w:rFonts w:ascii="Arial" w:eastAsia="Calibri" w:hAnsi="Arial" w:cs="Arial"/>
          <w:i/>
          <w:sz w:val="24"/>
          <w:szCs w:val="24"/>
        </w:rPr>
        <w:t>Procedura</w:t>
      </w:r>
      <w:r w:rsidRPr="00A13394">
        <w:rPr>
          <w:rFonts w:ascii="Arial" w:eastAsia="Calibri" w:hAnsi="Arial" w:cs="Arial"/>
          <w:sz w:val="24"/>
          <w:szCs w:val="24"/>
        </w:rPr>
        <w:t xml:space="preserve"> zgłoszeń zewnętrznych oraz podejmowania działań następczych stanowi wypełnienie obowiązków wynikających z ustawy z dnia 14 czerwca 2024 roku o ochronie sygnalistów.</w:t>
      </w:r>
    </w:p>
    <w:p w:rsidR="00A13394" w:rsidRPr="00A13394" w:rsidRDefault="00DE576D" w:rsidP="00A13394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Przyjmowanie zewnętrznych zgłoszeń naruszeń prawa jest e</w:t>
      </w:r>
      <w:r w:rsidRPr="00A13394">
        <w:rPr>
          <w:rFonts w:ascii="Arial" w:eastAsia="Calibri" w:hAnsi="Arial" w:cs="Arial"/>
          <w:sz w:val="24"/>
          <w:szCs w:val="24"/>
        </w:rPr>
        <w:t>lementem prawidłowego i bezpiecznego zarządzania w Łódzkim Urzędzie Wojewódzkim w Łodzi i służy zwiększeniu efektywności wykrywania nieprawidłowości i podejmowania działań w celu ich eliminowania oraz ograniczenia ryzyka na wszystkich poziomach organizacyj</w:t>
      </w:r>
      <w:r w:rsidRPr="00A13394">
        <w:rPr>
          <w:rFonts w:ascii="Arial" w:eastAsia="Calibri" w:hAnsi="Arial" w:cs="Arial"/>
          <w:sz w:val="24"/>
          <w:szCs w:val="24"/>
        </w:rPr>
        <w:t xml:space="preserve">nych w Łódzkim Urzędzie Wojewódzkim w Łodzi. </w:t>
      </w:r>
    </w:p>
    <w:p w:rsidR="00A13394" w:rsidRPr="00A13394" w:rsidRDefault="00DE576D" w:rsidP="00A13394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Wdrożony system przyjmowania zgłoszeń umożliwia zgłaszanie nieprawidłowości, zapewnia poufność danych oraz rzetelne i obiektywne rozpoznanie zgłoszenia oraz w sposób zapewniający ochronę przed działaniami o cha</w:t>
      </w:r>
      <w:r w:rsidRPr="00A13394">
        <w:rPr>
          <w:rFonts w:ascii="Arial" w:eastAsia="Calibri" w:hAnsi="Arial" w:cs="Arial"/>
          <w:sz w:val="24"/>
          <w:szCs w:val="24"/>
        </w:rPr>
        <w:t>rakterze odwetowym, represyjnym, dyskryminacyjnym lub innym rodzajem niesprawiedliwego traktowania w związku z dokonanym zgłoszeniem Zgłaszającego, osób pomagających w dokonaniu zgłoszenia oraz osób, których zgłoszenie dotyczy w zakresie i obszarze określo</w:t>
      </w:r>
      <w:r w:rsidRPr="00A13394">
        <w:rPr>
          <w:rFonts w:ascii="Arial" w:eastAsia="Calibri" w:hAnsi="Arial" w:cs="Arial"/>
          <w:sz w:val="24"/>
          <w:szCs w:val="24"/>
        </w:rPr>
        <w:t>nym w ustawie z dnia 24 czerwca 2024 r. o ochronie sygnalistów.</w:t>
      </w:r>
    </w:p>
    <w:p w:rsidR="00A13394" w:rsidRPr="00A13394" w:rsidRDefault="00DE576D" w:rsidP="00A13394">
      <w:pPr>
        <w:numPr>
          <w:ilvl w:val="0"/>
          <w:numId w:val="1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Każda z osób zatrudnionych w Łódzkim Urzędzie Wojewódzkim w Łodzi zobowiązana jest do zapoznania z treścią procedury zgłoszeń zewnętrznych.</w:t>
      </w:r>
    </w:p>
    <w:p w:rsidR="00A13394" w:rsidRPr="00A13394" w:rsidRDefault="00DE576D" w:rsidP="008A5403">
      <w:pPr>
        <w:spacing w:before="8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lastRenderedPageBreak/>
        <w:t>§ 2</w:t>
      </w:r>
    </w:p>
    <w:p w:rsidR="00A13394" w:rsidRPr="00A13394" w:rsidRDefault="00DE576D" w:rsidP="004964D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DEFINICJE</w:t>
      </w:r>
    </w:p>
    <w:p w:rsidR="00A13394" w:rsidRPr="00A13394" w:rsidRDefault="00DE576D" w:rsidP="00A13394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Ilekroć w Procedurze jest mowa o: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Procedurze – rozumie się przez to procedurę zgłoszeń zewnętrznych i podejmowania działań następczych, obowiązującą w Łódzkim Urzędzie Wojewódzkim w Łodzi;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Organie publicznym – rozumie się przez to Łódzki Urząd Wojewódzki w Łodzi;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Sygnaliście (zamiennie naz</w:t>
      </w:r>
      <w:r w:rsidRPr="00A13394">
        <w:rPr>
          <w:rFonts w:ascii="Arial" w:eastAsia="Calibri" w:hAnsi="Arial" w:cs="Arial"/>
          <w:sz w:val="24"/>
          <w:szCs w:val="24"/>
        </w:rPr>
        <w:t>ywany Zgłaszającym) – rozumie się przez to osobę, która informuje o nieprawidłowościach w organizacji. Może to być pracownik, współpracownik lub osoba z zewnątrz, która posiada informacje o naruszeniu norm prawnych;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Komisji ds. Naruszeń - rozumie się przez</w:t>
      </w:r>
      <w:r w:rsidRPr="00A13394">
        <w:rPr>
          <w:rFonts w:ascii="Arial" w:eastAsia="Calibri" w:hAnsi="Arial" w:cs="Arial"/>
          <w:sz w:val="24"/>
          <w:szCs w:val="24"/>
        </w:rPr>
        <w:t xml:space="preserve"> to komisję odpowiedzialną za prowadzenie postępowania wyjaśniającego w zakresie zgłoszenia oraz stosowną w tym zakresie dokumentację;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zgłoszeniu zewnętrznym – rozumie się przez to ustne lub pisemne przekazanie Rzecznikowi Praw Obywatelskich albo organowi </w:t>
      </w:r>
      <w:r w:rsidRPr="00A13394">
        <w:rPr>
          <w:rFonts w:ascii="Arial" w:eastAsia="Calibri" w:hAnsi="Arial" w:cs="Arial"/>
          <w:sz w:val="24"/>
          <w:szCs w:val="24"/>
        </w:rPr>
        <w:t>publicznemu informacji o naruszeniu prawa;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naruszeniu prawa – rozumie się przez to działanie lub zaniechanie niezgodne z prawem mające na celu obejście prawa, dotyczące korupcji, zamówień publicznych, usług, produktów i rynków finansowych, przeciwdziałania</w:t>
      </w:r>
      <w:r w:rsidRPr="00A13394">
        <w:rPr>
          <w:rFonts w:ascii="Arial" w:eastAsia="Calibri" w:hAnsi="Arial" w:cs="Arial"/>
          <w:sz w:val="24"/>
          <w:szCs w:val="24"/>
        </w:rPr>
        <w:t xml:space="preserve"> praniu pieniędzy oraz finansowaniu terroryzmu, bezpieczeństwa produktów i ich zgodności z wymogami, bezpieczeństwa transportu, ochrony środowiska, ochrony radiologicznej i bezpieczeństwa jądrowego, bezpieczeństwa żywności i pasz, zdrowia i dobrostanu zwie</w:t>
      </w:r>
      <w:r w:rsidRPr="00A13394">
        <w:rPr>
          <w:rFonts w:ascii="Arial" w:eastAsia="Calibri" w:hAnsi="Arial" w:cs="Arial"/>
          <w:sz w:val="24"/>
          <w:szCs w:val="24"/>
        </w:rPr>
        <w:t>rząt, zdrowia publicznego, ochrony konsumentów, ochrony prywatności i danych osobowych, bezpieczeństwa sieci i systemów teleinformatycznych, interesów finansowych Skarbu Państwa Rzeczypospolitej Polskiej, jednostki samorządu terytorialnego oraz Unii Europe</w:t>
      </w:r>
      <w:r w:rsidRPr="00A13394">
        <w:rPr>
          <w:rFonts w:ascii="Arial" w:eastAsia="Calibri" w:hAnsi="Arial" w:cs="Arial"/>
          <w:sz w:val="24"/>
          <w:szCs w:val="24"/>
        </w:rPr>
        <w:t>jskiej, rynku wewnętrznego Unii Europejskiej, w tym publicznoprawnych zasad konkurencji i pomocy państwa oraz opodatkowania osób prawnych, konstytucyjnych wolności i praw człowieka i obywatela – występujących w stosunkach jednostki z organami władzy public</w:t>
      </w:r>
      <w:r w:rsidRPr="00A13394">
        <w:rPr>
          <w:rFonts w:ascii="Arial" w:eastAsia="Calibri" w:hAnsi="Arial" w:cs="Arial"/>
          <w:sz w:val="24"/>
          <w:szCs w:val="24"/>
        </w:rPr>
        <w:t>znej i niezwiązanych z innymi, wymienionymi dziedzinami;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działaniu następczym – należy przez to rozumieć działanie podjęte przez organ publiczny w celu oceny prawdziwości informacji zawartych w zgłoszeniu oraz w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celu przeciwdziałania naruszeniu prawa będąc</w:t>
      </w:r>
      <w:r w:rsidRPr="00A13394">
        <w:rPr>
          <w:rFonts w:ascii="Arial" w:eastAsia="Calibri" w:hAnsi="Arial" w:cs="Arial"/>
          <w:sz w:val="24"/>
          <w:szCs w:val="24"/>
        </w:rPr>
        <w:t>emu przedmiotem zgłoszenia, w szczególności przez postępowanie wyjaśniające, wszczęcie kontroli lub postępowania administracyjnego, wniesienie oskarżenia, działanie podjęte w celu odzyskania środków finansowych lub zamknięcie procedury realizowanej w ramac</w:t>
      </w:r>
      <w:r w:rsidRPr="00A13394">
        <w:rPr>
          <w:rFonts w:ascii="Arial" w:eastAsia="Calibri" w:hAnsi="Arial" w:cs="Arial"/>
          <w:sz w:val="24"/>
          <w:szCs w:val="24"/>
        </w:rPr>
        <w:t>h zewnętrznej procedury dokonywania zgłoszeń naruszeń prawa i podejmowania działań następczych;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działaniu odwetowym – należy przez to rozumieć bezpośrednie lub pośrednie działanie lub zaniechanie w kontekście związanym z pracą, które jest spowodowane zgłos</w:t>
      </w:r>
      <w:r w:rsidRPr="00A13394">
        <w:rPr>
          <w:rFonts w:ascii="Arial" w:eastAsia="Calibri" w:hAnsi="Arial" w:cs="Arial"/>
          <w:sz w:val="24"/>
          <w:szCs w:val="24"/>
        </w:rPr>
        <w:t>zeniem lub ujawnieniem publicznym i które narusza lub może naruszyć prawa sygnalisty lub wyrządza lub może wyrządzić nieuzasadnioną szkodę̨ sygnaliście, w tym bezpodstawne inicjowanie postępowań przeciwko sygnaliście;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informacji o naruszeniu prawa – należy</w:t>
      </w:r>
      <w:r w:rsidRPr="00A13394">
        <w:rPr>
          <w:rFonts w:ascii="Arial" w:eastAsia="Calibri" w:hAnsi="Arial" w:cs="Arial"/>
          <w:sz w:val="24"/>
          <w:szCs w:val="24"/>
        </w:rPr>
        <w:t xml:space="preserve"> przez to rozumieć informację, w tym uzasadnione podejrzenie dotyczące zaistniałego lub potencjalnego naruszenia prawa, do którego doszło lub prawdopodobnie dojdzie w podmiocie prawnym, w którym sygnalista uczestniczył w procesie rekrutacji lub innych nego</w:t>
      </w:r>
      <w:r w:rsidRPr="00A13394">
        <w:rPr>
          <w:rFonts w:ascii="Arial" w:eastAsia="Calibri" w:hAnsi="Arial" w:cs="Arial"/>
          <w:sz w:val="24"/>
          <w:szCs w:val="24"/>
        </w:rPr>
        <w:t>cjacji poprzedzających zawarcie umowy, pracuje lub pracował, lub w innym podmiocie prawnym, z którym sygnalista utrzymuje lub utrzymywał kontakt w kontekście związanym z pracą, lub informację dotyczącą prośby ukrycia takiego naruszenia prawa;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informacji zw</w:t>
      </w:r>
      <w:r w:rsidRPr="00A13394">
        <w:rPr>
          <w:rFonts w:ascii="Arial" w:eastAsia="Calibri" w:hAnsi="Arial" w:cs="Arial"/>
          <w:sz w:val="24"/>
          <w:szCs w:val="24"/>
        </w:rPr>
        <w:t>rotnej – należy przez to rozumieć przekazaną sygnaliście informację na temat planowanych lub podjętych działań następczych i powodów takich działań;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48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kontekście związanym z pracą – należy przez to rozumieć przeszłe, obecne lub przyszłe działania związane z </w:t>
      </w:r>
      <w:r w:rsidRPr="00A13394">
        <w:rPr>
          <w:rFonts w:ascii="Arial" w:eastAsia="Calibri" w:hAnsi="Arial" w:cs="Arial"/>
          <w:sz w:val="24"/>
          <w:szCs w:val="24"/>
        </w:rPr>
        <w:t>wykonywaniem pracy na podstawie stosunku pracy lub innego stosunku prawnego stanowiącego podstawę świadczenia pracy lub usług lub pełnienia funkcji w podmiocie prawnym lub na rzecz tego podmiotu, lub pełnienia służby w podmiocie prawnym, w ramach których u</w:t>
      </w:r>
      <w:r w:rsidRPr="00A13394">
        <w:rPr>
          <w:rFonts w:ascii="Arial" w:eastAsia="Calibri" w:hAnsi="Arial" w:cs="Arial"/>
          <w:sz w:val="24"/>
          <w:szCs w:val="24"/>
        </w:rPr>
        <w:t>zyskano informację o naruszeniu prawa oraz istnieje możliwość doświadczenia działań odwetowych;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osobie, której dotyczy zgłoszenie – należy przez to rozumieć osobę fizyczną, osobę prawną lub jednostkę organizacyjną nieposiadającą osobowości prawnej, której </w:t>
      </w:r>
      <w:r w:rsidRPr="00A13394">
        <w:rPr>
          <w:rFonts w:ascii="Arial" w:eastAsia="Calibri" w:hAnsi="Arial" w:cs="Arial"/>
          <w:sz w:val="24"/>
          <w:szCs w:val="24"/>
        </w:rPr>
        <w:t>ustawa przyznaje zdolność prawną, wskazaną w zgłoszeniu lub ujawnieniu publicznym jako osoba, która dopuściła się̨ naruszenia prawa, lub jako osoba, z którą osoba, która dopuściła się̨ naruszenia prawa, jest powiązana;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osobie pomagającej w dokonaniu zgłosz</w:t>
      </w:r>
      <w:r w:rsidRPr="00A13394">
        <w:rPr>
          <w:rFonts w:ascii="Arial" w:eastAsia="Calibri" w:hAnsi="Arial" w:cs="Arial"/>
          <w:sz w:val="24"/>
          <w:szCs w:val="24"/>
        </w:rPr>
        <w:t>enia – należy przez to rozumieć osobę fizyczną, która pomaga sygnaliście w zgłoszeniu lub ujawnieniu publicznym w kontekście związanym z pracą i której pomoc nie powinna zostać ujawniona;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osobie powiązanej z Sygnalistą – należy przez to rozumieć osobę fizy</w:t>
      </w:r>
      <w:r w:rsidRPr="00A13394">
        <w:rPr>
          <w:rFonts w:ascii="Arial" w:eastAsia="Calibri" w:hAnsi="Arial" w:cs="Arial"/>
          <w:sz w:val="24"/>
          <w:szCs w:val="24"/>
        </w:rPr>
        <w:t>czną, która może doświadczyć działań odwetowych, w tym współpracownika lub osobę najbliższą sygnalisty w rozumieniu art. 115 § 11 ustawy z dnia 6 czerwca 1997 r. – Kodeks karny;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osobie upoważnionej – należy przez to rozumieć osobę uprawnioną do przyjmowani</w:t>
      </w:r>
      <w:r w:rsidRPr="00A13394">
        <w:rPr>
          <w:rFonts w:ascii="Arial" w:eastAsia="Calibri" w:hAnsi="Arial" w:cs="Arial"/>
          <w:sz w:val="24"/>
          <w:szCs w:val="24"/>
        </w:rPr>
        <w:t>a zgłoszeń zewnętrznych, dokonywania ich wstępnej weryfikacji, podejmowania działań następczych oraz związanego z tym przetwarzaniem danych osobowych, kontaktu z sygnalistą w celu przekazywania informacji zwrotnych i – w razie potrzeby – zwracania się o wy</w:t>
      </w:r>
      <w:r w:rsidRPr="00A13394">
        <w:rPr>
          <w:rFonts w:ascii="Arial" w:eastAsia="Calibri" w:hAnsi="Arial" w:cs="Arial"/>
          <w:sz w:val="24"/>
          <w:szCs w:val="24"/>
        </w:rPr>
        <w:t>jaśnienia lub dodatkowe informacje w zakresie przekazanych danych, jakie mogą być w jego posiadaniu oraz przekazywania zainteresowanym osobom informacji na temat procedury zgłoszeń zewnętrznych;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postępowaniu prawnym – należy przez to rozumieć postępowanie </w:t>
      </w:r>
      <w:r w:rsidRPr="00A13394">
        <w:rPr>
          <w:rFonts w:ascii="Arial" w:eastAsia="Calibri" w:hAnsi="Arial" w:cs="Arial"/>
          <w:sz w:val="24"/>
          <w:szCs w:val="24"/>
        </w:rPr>
        <w:t>toczące się na podstawie przepisów prawa powszechnie obowiązującego, w szczególności postępowanie karne, cywilne, administracyjne, dyscyplinarne lub o naruszenie dyscypliny finansów publicznych, albo postępowanie toczące się na podstawie regulacji wewnętrz</w:t>
      </w:r>
      <w:r w:rsidRPr="00A13394">
        <w:rPr>
          <w:rFonts w:ascii="Arial" w:eastAsia="Calibri" w:hAnsi="Arial" w:cs="Arial"/>
          <w:sz w:val="24"/>
          <w:szCs w:val="24"/>
        </w:rPr>
        <w:t>nych wydanych w celu wykonania przepisów prawa powszechnie obowiązującego, w szczególności antymobbingowych;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ujawnieniu publicznym – należy przez to rozumieć podanie informacji o naruszeniu prawa do wiadomości publicznej;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postępowaniu wyjaśniającym – rozum</w:t>
      </w:r>
      <w:r w:rsidRPr="00A13394">
        <w:rPr>
          <w:rFonts w:ascii="Arial" w:eastAsia="Calibri" w:hAnsi="Arial" w:cs="Arial"/>
          <w:sz w:val="24"/>
          <w:szCs w:val="24"/>
        </w:rPr>
        <w:t>ie się przez to postępowanie prowadzone w związku ze złożonym zgłoszeniem, mające na celu badanie wiarygodności oraz ocenę prawdziwości zarzutów zawartych w zgłoszeniu;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kanale zgłaszania – rozumie się przez to techniczne (w tym teleinformatyczne) i organiz</w:t>
      </w:r>
      <w:r w:rsidRPr="00A13394">
        <w:rPr>
          <w:rFonts w:ascii="Arial" w:eastAsia="Calibri" w:hAnsi="Arial" w:cs="Arial"/>
          <w:sz w:val="24"/>
          <w:szCs w:val="24"/>
        </w:rPr>
        <w:t>acyjne rozwiązania umożliwiające dokonywanie zgłoszenia;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Anonimie – rozumie się przez to zgłoszenie dokonane przez osobę, co do której nie jest możliwa identyfikacja tożsamości;</w:t>
      </w:r>
    </w:p>
    <w:p w:rsidR="00A13394" w:rsidRPr="00A13394" w:rsidRDefault="00DE576D" w:rsidP="00A13394">
      <w:pPr>
        <w:numPr>
          <w:ilvl w:val="0"/>
          <w:numId w:val="2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ustawie – należy przez to rozumieć ustawę z dnia 14  czerwca 2024 roku o </w:t>
      </w:r>
      <w:r w:rsidRPr="00A13394">
        <w:rPr>
          <w:rFonts w:ascii="Arial" w:eastAsia="Calibri" w:hAnsi="Arial" w:cs="Arial"/>
          <w:sz w:val="24"/>
          <w:szCs w:val="24"/>
        </w:rPr>
        <w:t>ochronie sygnalistów.</w:t>
      </w:r>
    </w:p>
    <w:p w:rsidR="00A13394" w:rsidRPr="00A13394" w:rsidRDefault="00DE576D" w:rsidP="004964DC">
      <w:pPr>
        <w:spacing w:before="6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3</w:t>
      </w:r>
    </w:p>
    <w:p w:rsidR="00A13394" w:rsidRPr="00A13394" w:rsidRDefault="00DE576D" w:rsidP="004964D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OCHRONA SYGNALISTY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Sygnalista podlega ochronie określonej w ustawie od chwili dokonania zgłoszenia lub ujawnienia publicznego, pod warunkiem że miał uzasadnione podstawy sądzić, że informacja będąca przedmiotem zgłoszenia lub ujaw</w:t>
      </w:r>
      <w:r w:rsidRPr="00A13394">
        <w:rPr>
          <w:rFonts w:ascii="Arial" w:eastAsia="Calibri" w:hAnsi="Arial" w:cs="Arial"/>
          <w:sz w:val="24"/>
          <w:szCs w:val="24"/>
        </w:rPr>
        <w:t>nienia publicznego jest prawdziwa w momencie dokonywania zgłoszenia lub ujawnienia publicznego i że stanowi informację o naruszeniu prawa.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Niniejsza procedura zapewnia Sygnaliście ochronę w szczególności poprzez:</w:t>
      </w:r>
    </w:p>
    <w:p w:rsidR="00A13394" w:rsidRPr="00A13394" w:rsidRDefault="00DE576D" w:rsidP="00A13394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ochronę tożsamości, z wyjątkiem sytuacji w </w:t>
      </w:r>
      <w:r w:rsidRPr="00A13394">
        <w:rPr>
          <w:rFonts w:ascii="Arial" w:eastAsia="Calibri" w:hAnsi="Arial" w:cs="Arial"/>
          <w:sz w:val="24"/>
          <w:szCs w:val="24"/>
        </w:rPr>
        <w:t>której Sygnalista wyrazi zgodę na ujawnienie danych,</w:t>
      </w:r>
    </w:p>
    <w:p w:rsidR="00A13394" w:rsidRPr="00A13394" w:rsidRDefault="00DE576D" w:rsidP="00A13394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ochronę osób, które pomagały w dokonaniu zgłoszenia,</w:t>
      </w:r>
    </w:p>
    <w:p w:rsidR="00A13394" w:rsidRPr="00A13394" w:rsidRDefault="00DE576D" w:rsidP="00A13394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ochronę przed działaniami odwetowymi,</w:t>
      </w:r>
    </w:p>
    <w:p w:rsidR="00A13394" w:rsidRPr="00A13394" w:rsidRDefault="00DE576D" w:rsidP="00A13394">
      <w:pPr>
        <w:numPr>
          <w:ilvl w:val="0"/>
          <w:numId w:val="4"/>
        </w:numPr>
        <w:suppressAutoHyphens w:val="0"/>
        <w:spacing w:before="120" w:after="16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powierzenie zadań związanych z przyjęciem i procedowaniem zgłoszeń zewnętrznych osobom bezstronnym, odpowiednio </w:t>
      </w:r>
      <w:r w:rsidRPr="00A13394">
        <w:rPr>
          <w:rFonts w:ascii="Arial" w:eastAsia="Calibri" w:hAnsi="Arial" w:cs="Arial"/>
          <w:sz w:val="24"/>
          <w:szCs w:val="24"/>
        </w:rPr>
        <w:t>przeszkolonym, posiadającym upoważnienie do wykonywania tych czynności oraz zobowiązanym do zachowania poufności.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Zapisu ust. 1 i 2 nie stosuje się w przypadku, gdy ujawnienie jest koniecznym i proporcjonalnym obowiązkiem wynikającym z przepisów prawa w zw</w:t>
      </w:r>
      <w:r w:rsidRPr="00A13394">
        <w:rPr>
          <w:rFonts w:ascii="Arial" w:eastAsia="Calibri" w:hAnsi="Arial" w:cs="Arial"/>
          <w:sz w:val="24"/>
          <w:szCs w:val="24"/>
        </w:rPr>
        <w:t>iązku z postępowaniami wyjaśniającymi prowadzonymi przez organy publiczne lub postępowaniami przygotowawczymi lub sądowymi prowadzonymi przez sądy, w tym w celu zagwarantowania prawa do obrony przysługującego osobie, której dotyczy zgłoszenie. Przed dokona</w:t>
      </w:r>
      <w:r w:rsidRPr="00A13394">
        <w:rPr>
          <w:rFonts w:ascii="Arial" w:eastAsia="Calibri" w:hAnsi="Arial" w:cs="Arial"/>
          <w:sz w:val="24"/>
          <w:szCs w:val="24"/>
        </w:rPr>
        <w:t xml:space="preserve">niem ujawnienia, o którym mowa powyżej, Organ publiczny powiadamia o tym Sygnalistę, przesyłając w postaci papierowej lub elektronicznej wyjaśnienie powodów ujawnienia jego danych osobowych, chyba że takie powiadomienie zagrozi postępowaniu wyjaśniającemu </w:t>
      </w:r>
      <w:r w:rsidRPr="00A13394">
        <w:rPr>
          <w:rFonts w:ascii="Arial" w:eastAsia="Calibri" w:hAnsi="Arial" w:cs="Arial"/>
          <w:sz w:val="24"/>
          <w:szCs w:val="24"/>
        </w:rPr>
        <w:t>lub postępowaniu przygotowawczemu lub sądowemu.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Nie korzysta z ochrony wynikającej z niniejszej Procedury osoba, która dokonuje zgłoszenia lub ujawnienia publicznego, wiedząc, że do naruszenia prawa nie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doszło. Osoba taka może natomiast na podstawie art. 5</w:t>
      </w:r>
      <w:r w:rsidRPr="00A13394">
        <w:rPr>
          <w:rFonts w:ascii="Arial" w:eastAsia="Calibri" w:hAnsi="Arial" w:cs="Arial"/>
          <w:sz w:val="24"/>
          <w:szCs w:val="24"/>
        </w:rPr>
        <w:t>7 ustawy podlegać grzywnie, kar ze ograniczenia wolności lub pozbawienia wolności do lat 2.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Organ publiczny po otrzymaniu zgłoszenia przetwarza dane osobowe w zakresie niezbędnym do przyjęcia zgłoszenia lub podjęcia ewentualnego działania następczego. Dane</w:t>
      </w:r>
      <w:r w:rsidRPr="00A13394">
        <w:rPr>
          <w:rFonts w:ascii="Arial" w:eastAsia="Calibri" w:hAnsi="Arial" w:cs="Arial"/>
          <w:sz w:val="24"/>
          <w:szCs w:val="24"/>
        </w:rPr>
        <w:t xml:space="preserve"> osobowe, które nie mają znaczenia dla rozpatrywania zgłoszenia, nie są zbierane, a w razie przypadkowego zebrania są niezwłocznie usuwane.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Dane osobowe przetwarzane w związku z przyjęciem zgłoszenia lub podjęciem działań następczych oraz dokumenty </w:t>
      </w:r>
      <w:r w:rsidRPr="00A13394">
        <w:rPr>
          <w:rFonts w:ascii="Arial" w:eastAsia="Calibri" w:hAnsi="Arial" w:cs="Arial"/>
          <w:sz w:val="24"/>
          <w:szCs w:val="24"/>
        </w:rPr>
        <w:t>związane z tym zgłoszeniem są̨ przechowywane przez pracodawcę przez okres 3 lat po zakończeniu roku kalendarzowego, w którym przekazano zgłoszenie zewnętrzne do organu publicznego właściwego do podjęcia działań następczych lub zakończono działania następcz</w:t>
      </w:r>
      <w:r w:rsidRPr="00A13394">
        <w:rPr>
          <w:rFonts w:ascii="Arial" w:eastAsia="Calibri" w:hAnsi="Arial" w:cs="Arial"/>
          <w:sz w:val="24"/>
          <w:szCs w:val="24"/>
        </w:rPr>
        <w:t>e, lub po zakończeniu postępowań zainicjowanych tymi działaniami.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usuwa dane osobowe oraz niszczy dokumenty związane ze zgłoszeniem po upływie okresu przechowywania.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Przepisu ust. 7 nie stosuje się w przypadku, gdy dokumenty związane ze zgł</w:t>
      </w:r>
      <w:r w:rsidRPr="00A13394">
        <w:rPr>
          <w:rFonts w:ascii="Arial" w:eastAsia="Calibri" w:hAnsi="Arial" w:cs="Arial"/>
          <w:sz w:val="24"/>
          <w:szCs w:val="24"/>
        </w:rPr>
        <w:t>oszeniem stanowią cześć akt postępowań przygotowawczych lub spraw sądowych lub sądowo-administracyjnych.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Wszyscy, których dotyczy lub może dotyczyć zgłoszenie zobowiązani są od powstrzymania się od jakichkolwiek działań związanych z zamiarem odkrycia tożsa</w:t>
      </w:r>
      <w:r w:rsidRPr="00A13394">
        <w:rPr>
          <w:rFonts w:ascii="Arial" w:eastAsia="Calibri" w:hAnsi="Arial" w:cs="Arial"/>
          <w:sz w:val="24"/>
          <w:szCs w:val="24"/>
        </w:rPr>
        <w:t>mości Zgłaszającego oraz stosowania działań odwetowych względem Zgłaszającego. Za działania odwetowe z powodu dokonania zgłoszenia lub ujawnienia publicznego uważa się także próbę lub groźbę działań odwetowych. Zakaz działań odwetowych stosuje się odpowied</w:t>
      </w:r>
      <w:r w:rsidRPr="00A13394">
        <w:rPr>
          <w:rFonts w:ascii="Arial" w:eastAsia="Calibri" w:hAnsi="Arial" w:cs="Arial"/>
          <w:sz w:val="24"/>
          <w:szCs w:val="24"/>
        </w:rPr>
        <w:t>nio do osoby pomagającej w dokonaniu zgłoszenia oraz osoby powiązanej z Sygnalistą, jak również odpowiednio do osoby prawnej lub innej jednostki organizacyjnej pomagającej sygnaliście lub z nim powiązanej, w szczególności stanowiącej własność sygnalisty lu</w:t>
      </w:r>
      <w:r w:rsidRPr="00A13394">
        <w:rPr>
          <w:rFonts w:ascii="Arial" w:eastAsia="Calibri" w:hAnsi="Arial" w:cs="Arial"/>
          <w:sz w:val="24"/>
          <w:szCs w:val="24"/>
        </w:rPr>
        <w:t>b go zatrudniającej.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Informacje dotyczące danych (w tym danych pozwalających na identyfikację tożsamości) Zgłaszających nadaje się klauzulę poufności, przy czym nie stanowią one informacji niejawnej, lecz są prawnie, fizycznie i organizacyjnie chronione, p</w:t>
      </w:r>
      <w:r w:rsidRPr="00A13394">
        <w:rPr>
          <w:rFonts w:ascii="Arial" w:eastAsia="Calibri" w:hAnsi="Arial" w:cs="Arial"/>
          <w:sz w:val="24"/>
          <w:szCs w:val="24"/>
        </w:rPr>
        <w:t xml:space="preserve">rzez osoby mające uprawniony dostęp do Zgłoszenia. Informacje w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tym zakresie pozostają do wyłącznej wiadomości członków Komisji ds. Naruszeń, wybranych pracowników służbowo zaangażowanych w proces merytorycznego wyjaśnienia zgłoszonych spraw z zakresu naru</w:t>
      </w:r>
      <w:r w:rsidRPr="00A13394">
        <w:rPr>
          <w:rFonts w:ascii="Arial" w:eastAsia="Calibri" w:hAnsi="Arial" w:cs="Arial"/>
          <w:sz w:val="24"/>
          <w:szCs w:val="24"/>
        </w:rPr>
        <w:t>szeń, o ile przekazanie danych dotyczących Zgłaszającego byłoby konieczne dla wyjaśnienia sprawy – a zgodę na takie działanie uzyskano od Zgłaszającego.</w:t>
      </w:r>
    </w:p>
    <w:p w:rsidR="00A13394" w:rsidRPr="00A13394" w:rsidRDefault="00DE576D" w:rsidP="00A13394">
      <w:pPr>
        <w:numPr>
          <w:ilvl w:val="0"/>
          <w:numId w:val="3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Zachowanie poufności ma na celu zagwarantowanie poczucia bezpieczeństwa Zgłaszającemu oraz minimalizacj</w:t>
      </w:r>
      <w:r w:rsidRPr="00A13394">
        <w:rPr>
          <w:rFonts w:ascii="Arial" w:eastAsia="Calibri" w:hAnsi="Arial" w:cs="Arial"/>
          <w:sz w:val="24"/>
          <w:szCs w:val="24"/>
        </w:rPr>
        <w:t>ę ryzyka wystąpienia działań odwetowych lub represyjnych. Zgłaszający, który dokonał zgłoszenia, a którego dane osobowe zostały w sposób nieuprawniony ujawnione, powinien niezwłocznie o zaistniałej sytuacji powiadomić Komisję ds. Naruszeń i Inspektora Ochr</w:t>
      </w:r>
      <w:r w:rsidRPr="00A13394">
        <w:rPr>
          <w:rFonts w:ascii="Arial" w:eastAsia="Calibri" w:hAnsi="Arial" w:cs="Arial"/>
          <w:sz w:val="24"/>
          <w:szCs w:val="24"/>
        </w:rPr>
        <w:t>ony Danych w Łódzkim Urzędzie Wojewódzkim w Łodzi. Komisja zobowiązana jest podjąć działania mające na celu ochronę Zgłaszającego.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4</w:t>
      </w:r>
    </w:p>
    <w:p w:rsidR="00A13394" w:rsidRPr="00A13394" w:rsidRDefault="00DE576D" w:rsidP="004964DC">
      <w:pPr>
        <w:spacing w:line="360" w:lineRule="auto"/>
        <w:ind w:left="425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 xml:space="preserve">SPOSÓB PRZEKAZYWANIA I PRZYJMOWANIA </w:t>
      </w:r>
      <w:r>
        <w:rPr>
          <w:rFonts w:ascii="Arial" w:eastAsia="Calibri" w:hAnsi="Arial" w:cs="Arial"/>
          <w:b/>
          <w:sz w:val="24"/>
          <w:szCs w:val="24"/>
        </w:rPr>
        <w:br/>
      </w:r>
      <w:r w:rsidRPr="00A13394">
        <w:rPr>
          <w:rFonts w:ascii="Arial" w:eastAsia="Calibri" w:hAnsi="Arial" w:cs="Arial"/>
          <w:b/>
          <w:sz w:val="24"/>
          <w:szCs w:val="24"/>
        </w:rPr>
        <w:t>ZGŁOSZEŃ ZEWNĘTRZNYCH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Zgłoszenie naruszenia może być przekazane pisemnie za </w:t>
      </w:r>
      <w:r w:rsidRPr="00A13394">
        <w:rPr>
          <w:rFonts w:ascii="Arial" w:eastAsia="Calibri" w:hAnsi="Arial" w:cs="Arial"/>
          <w:sz w:val="24"/>
          <w:szCs w:val="24"/>
        </w:rPr>
        <w:t>pośrednictwem następującego kanału kontaktu, tj. dedykowanej skrzynki e-mailowej obsługiwanej przez członków Komisji ds. Naruszeń lub ustnie podczas bezpośredniego spotkania. Zgłaszający może dokonać zgłoszenia zewnętrznego bez uprzedniego zgłoszenia wewnę</w:t>
      </w:r>
      <w:r w:rsidRPr="00A13394">
        <w:rPr>
          <w:rFonts w:ascii="Arial" w:eastAsia="Calibri" w:hAnsi="Arial" w:cs="Arial"/>
          <w:sz w:val="24"/>
          <w:szCs w:val="24"/>
        </w:rPr>
        <w:t>trznego.</w:t>
      </w:r>
    </w:p>
    <w:p w:rsidR="00A13394" w:rsidRPr="00A13394" w:rsidRDefault="00DE576D" w:rsidP="00A13394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Zgłoszenie ustne może być dokonane za pośrednictwem środków komunikacji elektronicznej w rozumieniu art. 2 pkt 5 ustawy z dnia 18 lipca 2002 r. o świadczeniu usług drogą elektroniczną.</w:t>
      </w:r>
    </w:p>
    <w:p w:rsidR="00A13394" w:rsidRPr="00A13394" w:rsidRDefault="00DE576D" w:rsidP="00A13394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Na wniosek sygnalisty zgłoszenie ustne może być dokonane podcz</w:t>
      </w:r>
      <w:r w:rsidRPr="00A13394">
        <w:rPr>
          <w:rFonts w:ascii="Arial" w:eastAsia="Calibri" w:hAnsi="Arial" w:cs="Arial"/>
          <w:sz w:val="24"/>
          <w:szCs w:val="24"/>
        </w:rPr>
        <w:t>as bezpośredniego spotkania zorganizowanego w terminie 14 dni od dnia otrzymania takiego wniosku. W takim przypadku za zgodą sygnalisty zgłoszenie jest dokumentowane w formie:</w:t>
      </w:r>
    </w:p>
    <w:p w:rsidR="00A13394" w:rsidRPr="00A13394" w:rsidRDefault="00DE576D" w:rsidP="00A13394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 nagrania rozmowy, umożliwiającego jej wyszukanie, lub</w:t>
      </w:r>
    </w:p>
    <w:p w:rsidR="00A13394" w:rsidRPr="00A13394" w:rsidRDefault="00DE576D" w:rsidP="00A13394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 protokołu spotkania,</w:t>
      </w:r>
      <w:r w:rsidRPr="00A13394">
        <w:rPr>
          <w:rFonts w:ascii="Arial" w:eastAsia="Calibri" w:hAnsi="Arial" w:cs="Arial"/>
          <w:sz w:val="24"/>
          <w:szCs w:val="24"/>
        </w:rPr>
        <w:t xml:space="preserve"> odtwarzającego jego dokładny przebieg.</w:t>
      </w:r>
    </w:p>
    <w:p w:rsidR="00A13394" w:rsidRPr="00A13394" w:rsidRDefault="00DE576D" w:rsidP="00A13394">
      <w:pPr>
        <w:numPr>
          <w:ilvl w:val="0"/>
          <w:numId w:val="5"/>
        </w:numPr>
        <w:tabs>
          <w:tab w:val="left" w:pos="426"/>
        </w:tabs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W przypadku, o którym mowa w ust. 5 pkt  1 i 2 sygnalista może dokonać sprawdzenia, poprawienia i zatwierdzenia protokołu spotkania przez jego podpisanie. Sygnalista może zażądać dokonania powyższych czynności nie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później niż 2 dni po zakończeniu składania zgłoszenia na spotkaniu i otrzymaniu protokołu do weryfikacji. O odmowie podpisania protokołu, sporządzający protokół zamieszcza wzmiankę w protokole.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Do rozpatrzenia spraw z zakresu naruszeń, Dyrektor Generalny U</w:t>
      </w:r>
      <w:r w:rsidRPr="00A13394">
        <w:rPr>
          <w:rFonts w:ascii="Arial" w:eastAsia="Calibri" w:hAnsi="Arial" w:cs="Arial"/>
          <w:sz w:val="24"/>
          <w:szCs w:val="24"/>
        </w:rPr>
        <w:t>rzędu  powołuje w drodze odrębnego zarządzenia Komisję ds. Naruszeń, na czas nieokreślony. Komisja składa się z czterech członków stałych, z których do rozpatrywania danego naruszenia niezbędna jest obecność co najmniej trzech członków Komisji.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 prawidło</w:t>
      </w:r>
      <w:r w:rsidRPr="00A13394">
        <w:rPr>
          <w:rFonts w:ascii="Arial" w:eastAsia="Calibri" w:hAnsi="Arial" w:cs="Arial"/>
          <w:sz w:val="24"/>
          <w:szCs w:val="24"/>
        </w:rPr>
        <w:t>wość działania Komisji ds. Naruszeń, przestrzeganie przepisów Procedury, poprawność, integralność, poufność dokumentów wytworzonych na skutek zgłoszenia naruszenia odpowiada przewodniczący tej komisji.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Osobami odpowiedzialnymi za przyjmowanie zgłoszeń o na</w:t>
      </w:r>
      <w:r w:rsidRPr="00A13394">
        <w:rPr>
          <w:rFonts w:ascii="Arial" w:eastAsia="Calibri" w:hAnsi="Arial" w:cs="Arial"/>
          <w:sz w:val="24"/>
          <w:szCs w:val="24"/>
        </w:rPr>
        <w:t xml:space="preserve">ruszeniu są wskazani przez przewodniczącego Komisji ds. Naruszeń- członkowie Komisji. Osoby te obsługują skrzynkę e-mail: </w:t>
      </w:r>
      <w:hyperlink r:id="rId8" w:history="1">
        <w:r w:rsidRPr="00A13394">
          <w:rPr>
            <w:rFonts w:ascii="Arial" w:eastAsia="Calibri" w:hAnsi="Arial" w:cs="Arial"/>
            <w:b/>
            <w:color w:val="FF0000"/>
            <w:sz w:val="28"/>
            <w:szCs w:val="28"/>
            <w:u w:val="single"/>
          </w:rPr>
          <w:t>sygnal@lodz.uw.gov.pl</w:t>
        </w:r>
      </w:hyperlink>
      <w:r w:rsidRPr="00A13394">
        <w:rPr>
          <w:rFonts w:ascii="Arial" w:eastAsia="Calibri" w:hAnsi="Arial" w:cs="Arial"/>
          <w:b/>
          <w:color w:val="FF0000"/>
          <w:sz w:val="28"/>
          <w:szCs w:val="28"/>
        </w:rPr>
        <w:t xml:space="preserve"> </w:t>
      </w:r>
      <w:r w:rsidRPr="00A13394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A13394">
        <w:rPr>
          <w:rFonts w:ascii="Arial" w:eastAsia="Calibri" w:hAnsi="Arial" w:cs="Arial"/>
          <w:sz w:val="24"/>
          <w:szCs w:val="24"/>
        </w:rPr>
        <w:t>i przyjmują zgłoszenia zewnętrzne.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Zgłoszeń można również dokonywa</w:t>
      </w:r>
      <w:r w:rsidRPr="00A13394">
        <w:rPr>
          <w:rFonts w:ascii="Arial" w:eastAsia="Calibri" w:hAnsi="Arial" w:cs="Arial"/>
          <w:sz w:val="24"/>
          <w:szCs w:val="24"/>
        </w:rPr>
        <w:t xml:space="preserve">ć bezpośrednio do Rzecznika Praw Obywatelskich pisemnie na adres: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Biuro Rzecznika Praw Obywatelskich al. Solidarności 77, 00-090 Warszawa </w:t>
      </w:r>
      <w:r w:rsidRPr="00A13394">
        <w:rPr>
          <w:rFonts w:ascii="Arial" w:eastAsia="Calibri" w:hAnsi="Arial" w:cs="Arial"/>
          <w:sz w:val="24"/>
          <w:szCs w:val="24"/>
        </w:rPr>
        <w:t xml:space="preserve">oraz mailowo na skrzynkę e-mail:  </w:t>
      </w:r>
      <w:r w:rsidRPr="00A13394">
        <w:rPr>
          <w:rFonts w:ascii="Arial" w:eastAsia="Calibri" w:hAnsi="Arial" w:cs="Arial"/>
          <w:b/>
          <w:sz w:val="24"/>
          <w:szCs w:val="24"/>
        </w:rPr>
        <w:t>biurorzecznika@brpo.gov.pl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Zgłoszenia rozpatrywane są zgodnie z kolejnością wpływu.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Komisja ds. Naruszeń podejmuje, weryfikuje i potwierdza zgłoszenia, zaleca wdrożenie działań następczych i je nadzoruje, a także przetwarza dane osobowe Zgłaszających na podstawie pisemnego upoważnienia do przetwarzania danych osobowych.</w:t>
      </w:r>
    </w:p>
    <w:p w:rsidR="00A13394" w:rsidRPr="00A13394" w:rsidRDefault="00DE576D" w:rsidP="00A13394">
      <w:pPr>
        <w:numPr>
          <w:ilvl w:val="0"/>
          <w:numId w:val="5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W przypadku gdy zg</w:t>
      </w:r>
      <w:r w:rsidRPr="00A13394">
        <w:rPr>
          <w:rFonts w:ascii="Arial" w:eastAsia="Calibri" w:hAnsi="Arial" w:cs="Arial"/>
          <w:sz w:val="24"/>
          <w:szCs w:val="24"/>
        </w:rPr>
        <w:t xml:space="preserve">łoszenie dotyczy pracownika wchodzącego w skład Komisji ds. Naruszeń, pracownik taki podlega wyłączeniu z prac tej komisji, do czasu zakończenia postępowania wyjaśniającego w sprawie, a na wniosek przewodniczącego można poszerzyć skład komisji o dodatkową </w:t>
      </w:r>
      <w:r w:rsidRPr="00A13394">
        <w:rPr>
          <w:rFonts w:ascii="Arial" w:eastAsia="Calibri" w:hAnsi="Arial" w:cs="Arial"/>
          <w:sz w:val="24"/>
          <w:szCs w:val="24"/>
        </w:rPr>
        <w:t>osobę.</w:t>
      </w:r>
    </w:p>
    <w:p w:rsidR="00A13394" w:rsidRPr="00A13394" w:rsidRDefault="00DE576D" w:rsidP="004964DC">
      <w:pPr>
        <w:spacing w:before="60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5</w:t>
      </w:r>
    </w:p>
    <w:p w:rsidR="00A13394" w:rsidRPr="00A13394" w:rsidRDefault="00DE576D" w:rsidP="004964DC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TREŚĆ ZGŁOSZENIA</w:t>
      </w:r>
    </w:p>
    <w:p w:rsidR="00A13394" w:rsidRPr="00A13394" w:rsidRDefault="00DE576D" w:rsidP="00A13394">
      <w:pPr>
        <w:numPr>
          <w:ilvl w:val="0"/>
          <w:numId w:val="6"/>
        </w:numPr>
        <w:suppressAutoHyphens w:val="0"/>
        <w:spacing w:after="12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Zgłoszenie zewnętrzne powinno zawierać przejrzyste i pełne wyjaśnienie przedmiotu zgłoszenia oraz powinno zawierać co najmniej następujące dane:</w:t>
      </w:r>
    </w:p>
    <w:p w:rsidR="00A13394" w:rsidRPr="00A13394" w:rsidRDefault="00DE576D" w:rsidP="00A13394">
      <w:pPr>
        <w:spacing w:before="120" w:line="360" w:lineRule="auto"/>
        <w:ind w:left="709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a) datę oraz miejsce zaistnienia naruszenia prawa lub datę i miejsce pozyskania </w:t>
      </w:r>
      <w:r w:rsidRPr="00A13394">
        <w:rPr>
          <w:rFonts w:ascii="Arial" w:eastAsia="Calibri" w:hAnsi="Arial" w:cs="Arial"/>
          <w:sz w:val="24"/>
          <w:szCs w:val="24"/>
        </w:rPr>
        <w:t>informacji o naruszeniu,</w:t>
      </w:r>
    </w:p>
    <w:p w:rsidR="00A13394" w:rsidRPr="00A13394" w:rsidRDefault="00DE576D" w:rsidP="00A13394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b) opis sprawy ze wskazaniem istotnych faktów mających znaczenie dla sprawy,</w:t>
      </w:r>
    </w:p>
    <w:p w:rsidR="00A13394" w:rsidRPr="00A13394" w:rsidRDefault="00DE576D" w:rsidP="00A13394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c) wskazanie osoby lub komórki organizacyjnej, której dotyczy zgłoszenie,</w:t>
      </w:r>
    </w:p>
    <w:p w:rsidR="00A13394" w:rsidRPr="00A13394" w:rsidRDefault="00DE576D" w:rsidP="00A13394">
      <w:pPr>
        <w:spacing w:after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d) wskazanie ewentualnych świadków naruszenia prawa,</w:t>
      </w:r>
    </w:p>
    <w:p w:rsidR="00A13394" w:rsidRPr="00A13394" w:rsidRDefault="00DE576D" w:rsidP="00A13394">
      <w:pPr>
        <w:spacing w:after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e) wskazanie wszystkich dow</w:t>
      </w:r>
      <w:r w:rsidRPr="00A13394">
        <w:rPr>
          <w:rFonts w:ascii="Arial" w:eastAsia="Calibri" w:hAnsi="Arial" w:cs="Arial"/>
          <w:sz w:val="24"/>
          <w:szCs w:val="24"/>
        </w:rPr>
        <w:t>odów i informacji jakimi dysponuje Zgłaszający, które mogą być pomocne w procesie rozpatrywania zgłoszenia,</w:t>
      </w:r>
    </w:p>
    <w:p w:rsidR="00A13394" w:rsidRPr="00A13394" w:rsidRDefault="00DE576D" w:rsidP="00A13394">
      <w:pPr>
        <w:spacing w:after="240" w:line="360" w:lineRule="auto"/>
        <w:ind w:left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f) wskazanie preferowanego sposobu kontaktu ze Zgłaszającym tj. adres korespondencyjny lub adres poczty elektronicznej.</w:t>
      </w:r>
    </w:p>
    <w:p w:rsidR="00A13394" w:rsidRPr="00A13394" w:rsidRDefault="00DE576D" w:rsidP="00A13394">
      <w:pPr>
        <w:numPr>
          <w:ilvl w:val="0"/>
          <w:numId w:val="6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Jeżeli w zgłoszeniu zewnętrz</w:t>
      </w:r>
      <w:r w:rsidRPr="00A13394">
        <w:rPr>
          <w:rFonts w:ascii="Arial" w:eastAsia="Calibri" w:hAnsi="Arial" w:cs="Arial"/>
          <w:sz w:val="24"/>
          <w:szCs w:val="24"/>
        </w:rPr>
        <w:t>nym nie podano adresu do kontaktu ani nie jest możliwe ustalenie tego adresu na podstawie posiadanych danych Organ publiczny nie realizuje obowiązku:</w:t>
      </w:r>
    </w:p>
    <w:p w:rsidR="00A13394" w:rsidRPr="00A13394" w:rsidRDefault="00DE576D" w:rsidP="00A13394">
      <w:pPr>
        <w:spacing w:before="120"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a) poinformowania Zgłaszającego o odstąpieniu przekazania zgłoszenia zewnętrznego,</w:t>
      </w:r>
    </w:p>
    <w:p w:rsidR="00A13394" w:rsidRPr="00A13394" w:rsidRDefault="00DE576D" w:rsidP="00A13394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b) przesłania Zgłaszają</w:t>
      </w:r>
      <w:r w:rsidRPr="00A13394">
        <w:rPr>
          <w:rFonts w:ascii="Arial" w:eastAsia="Calibri" w:hAnsi="Arial" w:cs="Arial"/>
          <w:sz w:val="24"/>
          <w:szCs w:val="24"/>
        </w:rPr>
        <w:t>cemu potwierdzenia przyjęcia zgłoszenia zewnętrznego,</w:t>
      </w:r>
    </w:p>
    <w:p w:rsidR="00A13394" w:rsidRPr="00A13394" w:rsidRDefault="00DE576D" w:rsidP="00A13394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c) wydania zaświadczenia potwierdzającego ochronę przysługującą Zgłaszającemu,</w:t>
      </w:r>
    </w:p>
    <w:p w:rsidR="00A13394" w:rsidRPr="00A13394" w:rsidRDefault="00DE576D" w:rsidP="00A13394">
      <w:pPr>
        <w:spacing w:line="360" w:lineRule="auto"/>
        <w:ind w:left="709" w:hanging="284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d) poinformowania Zgłaszającego o niepodjęciu działań następczych, gdy w zgłoszeniu zewnętrznym dotyczącym sprawy będącej </w:t>
      </w:r>
      <w:r w:rsidRPr="00A13394">
        <w:rPr>
          <w:rFonts w:ascii="Arial" w:eastAsia="Calibri" w:hAnsi="Arial" w:cs="Arial"/>
          <w:sz w:val="24"/>
          <w:szCs w:val="24"/>
        </w:rPr>
        <w:t>już przedmiotem wcześniejszego zgłoszenia przez tego samego lub innego Zgłaszającego nie zawarto istotnych nowych informacji na temat naruszeń prawa w porównaniu z wcześniejszym zgłoszeniem,</w:t>
      </w:r>
    </w:p>
    <w:p w:rsidR="00A13394" w:rsidRPr="00A13394" w:rsidRDefault="00DE576D" w:rsidP="00A13394">
      <w:pPr>
        <w:spacing w:line="360" w:lineRule="auto"/>
        <w:ind w:left="425"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e) przesłanie informacji zwrotnej Zgłaszającemu.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6</w:t>
      </w:r>
    </w:p>
    <w:p w:rsidR="00A13394" w:rsidRPr="00A13394" w:rsidRDefault="00DE576D" w:rsidP="004964DC">
      <w:pPr>
        <w:spacing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PRZECHOWYWAN</w:t>
      </w:r>
      <w:r w:rsidRPr="00A13394">
        <w:rPr>
          <w:rFonts w:ascii="Arial" w:eastAsia="Calibri" w:hAnsi="Arial" w:cs="Arial"/>
          <w:b/>
          <w:sz w:val="24"/>
          <w:szCs w:val="24"/>
        </w:rPr>
        <w:t>IE , ŚRODKI BEZPIECZEŃSTWA FIZYCZNEGO W CELU OCHRONY MATERIAŁÓW KOMISJI DS. NARUSZEŃ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Osobami odpowiedzialnymi za przechowywanie i zabezpieczenie fizyczne dokumentów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 są poszczególni członkowie tej komisji</w:t>
      </w:r>
      <w:r w:rsidRPr="00A13394">
        <w:rPr>
          <w:rFonts w:ascii="Arial" w:eastAsia="Calibri" w:hAnsi="Arial" w:cs="Arial"/>
          <w:sz w:val="24"/>
          <w:szCs w:val="24"/>
        </w:rPr>
        <w:t>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Zezwala się na przechowywanie </w:t>
      </w:r>
      <w:r w:rsidRPr="00A13394">
        <w:rPr>
          <w:rFonts w:ascii="Arial" w:eastAsia="Calibri" w:hAnsi="Arial" w:cs="Arial"/>
          <w:sz w:val="24"/>
          <w:szCs w:val="24"/>
        </w:rPr>
        <w:t xml:space="preserve">dokumentów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razem </w:t>
      </w:r>
      <w:r>
        <w:rPr>
          <w:rFonts w:ascii="Arial" w:eastAsia="Calibri" w:hAnsi="Arial" w:cs="Arial"/>
          <w:sz w:val="24"/>
          <w:szCs w:val="24"/>
        </w:rPr>
        <w:br/>
      </w:r>
      <w:r w:rsidRPr="00A13394">
        <w:rPr>
          <w:rFonts w:ascii="Arial" w:eastAsia="Calibri" w:hAnsi="Arial" w:cs="Arial"/>
          <w:sz w:val="24"/>
          <w:szCs w:val="24"/>
        </w:rPr>
        <w:t xml:space="preserve">z innymi dokumentami w przypadku, gdy ich treść łączy się bezpośrednio </w:t>
      </w:r>
      <w:r>
        <w:rPr>
          <w:rFonts w:ascii="Arial" w:eastAsia="Calibri" w:hAnsi="Arial" w:cs="Arial"/>
          <w:sz w:val="24"/>
          <w:szCs w:val="24"/>
        </w:rPr>
        <w:br/>
      </w:r>
      <w:r w:rsidRPr="00A13394">
        <w:rPr>
          <w:rFonts w:ascii="Arial" w:eastAsia="Calibri" w:hAnsi="Arial" w:cs="Arial"/>
          <w:sz w:val="24"/>
          <w:szCs w:val="24"/>
        </w:rPr>
        <w:t>z określoną sprawą.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 xml:space="preserve">Dokumenty </w:t>
      </w:r>
      <w:r w:rsidRPr="00A13394">
        <w:rPr>
          <w:rFonts w:ascii="Arial" w:eastAsia="Calibri" w:hAnsi="Arial" w:cs="Arial"/>
          <w:b/>
          <w:sz w:val="24"/>
          <w:szCs w:val="24"/>
        </w:rPr>
        <w:t xml:space="preserve">Komisji ds. Naruszeń w szczególnych przypadkach mogą być </w:t>
      </w:r>
      <w:r w:rsidRPr="00A13394">
        <w:rPr>
          <w:rFonts w:ascii="Arial" w:eastAsia="Calibri" w:hAnsi="Arial" w:cs="Arial"/>
          <w:sz w:val="24"/>
          <w:szCs w:val="24"/>
        </w:rPr>
        <w:t>przechowane w pomieszczeniach służbowych członków Komisji,</w:t>
      </w:r>
      <w:r w:rsidRPr="00A13394">
        <w:rPr>
          <w:rFonts w:ascii="Arial" w:eastAsia="Calibri" w:hAnsi="Arial" w:cs="Arial"/>
          <w:sz w:val="24"/>
          <w:szCs w:val="24"/>
        </w:rPr>
        <w:t xml:space="preserve"> w sposób uniemożliwiający do nich dostępu lub ich zabór przez osoby postronne, poprzez umieszczenie ich w zamykanych meblach biurowych lub szafie metalowej, zwanych dalej Szafą.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Członek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odpowiada za właściwe zabezpieczenie posiadanych</w:t>
      </w:r>
      <w:r w:rsidRPr="00A13394">
        <w:rPr>
          <w:rFonts w:ascii="Arial" w:eastAsia="Calibri" w:hAnsi="Arial" w:cs="Arial"/>
          <w:sz w:val="24"/>
          <w:szCs w:val="24"/>
        </w:rPr>
        <w:t xml:space="preserve"> u siebie dokumentów. Każdego dnia, po zakończeniu pracy, członek Komisji ds. Naruszeń ma obowiązek zabezpieczenia posiadanych dokumentów (w tym innych niż dokument – materiałów).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Zabrania się pozostawiania na biurkach, po zakończeniu pracy, jakichkolwiek dokumentów Komisji ds. Naruszeń. Obowiązuje zasada tzw. „czystego biurka”. Po zakończeniu pracy pomieszczenie służbowe, w których są przechowywane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 mu</w:t>
      </w:r>
      <w:r w:rsidRPr="00A13394">
        <w:rPr>
          <w:rFonts w:ascii="Arial" w:eastAsia="Calibri" w:hAnsi="Arial" w:cs="Arial"/>
          <w:b/>
          <w:sz w:val="24"/>
          <w:szCs w:val="24"/>
        </w:rPr>
        <w:t>si pozostać zabezpieczone /zamknięte</w:t>
      </w:r>
      <w:r w:rsidRPr="00A13394">
        <w:rPr>
          <w:rFonts w:ascii="Arial" w:eastAsia="Calibri" w:hAnsi="Arial" w:cs="Arial"/>
          <w:sz w:val="24"/>
          <w:szCs w:val="24"/>
        </w:rPr>
        <w:t>, chyba, że stanowi ono miejsce pracy członka ww. komisji.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Zabrania się:</w:t>
      </w:r>
    </w:p>
    <w:p w:rsidR="00A13394" w:rsidRPr="00A13394" w:rsidRDefault="00DE576D" w:rsidP="00A13394">
      <w:pPr>
        <w:spacing w:before="240" w:line="360" w:lineRule="auto"/>
        <w:ind w:left="426" w:hanging="1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a) pozostawiać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bez nadzoru,</w:t>
      </w:r>
    </w:p>
    <w:p w:rsidR="00A13394" w:rsidRPr="00A13394" w:rsidRDefault="00DE576D" w:rsidP="00A13394">
      <w:pPr>
        <w:spacing w:before="240" w:line="360" w:lineRule="auto"/>
        <w:ind w:left="709" w:hanging="283"/>
        <w:contextualSpacing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b) przekazywać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osobom postronnym i nieuprawnionym,</w:t>
      </w:r>
    </w:p>
    <w:p w:rsidR="00A13394" w:rsidRPr="00A13394" w:rsidRDefault="00DE576D" w:rsidP="00A13394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c) wynosić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poza siedzibę Łódzkiego Urzędu Wojewódzkiego w Łodzi – chyba, że jest to niezbędne z perspektywy prowadzenia postępowania wyjaśniającego lub wynika z wdrożonych działań następczych (wówczas dokumenty powinny być od</w:t>
      </w:r>
      <w:r w:rsidRPr="00A13394">
        <w:rPr>
          <w:rFonts w:ascii="Arial" w:eastAsia="Calibri" w:hAnsi="Arial" w:cs="Arial"/>
          <w:sz w:val="24"/>
          <w:szCs w:val="24"/>
        </w:rPr>
        <w:t>powiednio zabezpieczone i chronione).</w:t>
      </w:r>
    </w:p>
    <w:p w:rsidR="00A13394" w:rsidRPr="00A13394" w:rsidRDefault="00DE576D" w:rsidP="00A13394">
      <w:pPr>
        <w:numPr>
          <w:ilvl w:val="0"/>
          <w:numId w:val="7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Szafę, w której przechowywane są dokumenty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</w:t>
      </w:r>
      <w:r w:rsidRPr="00A13394">
        <w:rPr>
          <w:rFonts w:ascii="Arial" w:eastAsia="Calibri" w:hAnsi="Arial" w:cs="Arial"/>
          <w:sz w:val="24"/>
          <w:szCs w:val="24"/>
        </w:rPr>
        <w:t xml:space="preserve"> mogą otworzyć wyłącznie członkowie komisji – co najmniej dwie osoby będące jednocześnie w pomieszczeniu.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7</w:t>
      </w:r>
    </w:p>
    <w:p w:rsidR="00A13394" w:rsidRPr="00A13394" w:rsidRDefault="00DE576D" w:rsidP="004964DC">
      <w:pPr>
        <w:spacing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DZIAŁANIA NASTĘPCZE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w pierwsz</w:t>
      </w:r>
      <w:r w:rsidRPr="00A13394">
        <w:rPr>
          <w:rFonts w:ascii="Arial" w:eastAsia="Calibri" w:hAnsi="Arial" w:cs="Arial"/>
          <w:sz w:val="24"/>
          <w:szCs w:val="24"/>
        </w:rPr>
        <w:t>ej kolejności:</w:t>
      </w:r>
    </w:p>
    <w:p w:rsidR="00A13394" w:rsidRPr="00A13394" w:rsidRDefault="00DE576D" w:rsidP="00A13394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przyjmuje zgłoszenie zewnętrzne;</w:t>
      </w:r>
    </w:p>
    <w:p w:rsidR="00A13394" w:rsidRPr="00A13394" w:rsidRDefault="00DE576D" w:rsidP="00A13394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przesyła Sygnaliście niezwłocznie, nie później jednak niż w terminie 7 dni od dnia przyjęcia zgłoszenia, potwierdzenie jego przyjęcia, chyba że Sygnalista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wystąpił wyraźnie z odmiennym wnioskiem w tym zakresi</w:t>
      </w:r>
      <w:r w:rsidRPr="00A13394">
        <w:rPr>
          <w:rFonts w:ascii="Arial" w:eastAsia="Calibri" w:hAnsi="Arial" w:cs="Arial"/>
          <w:sz w:val="24"/>
          <w:szCs w:val="24"/>
        </w:rPr>
        <w:t>e lub organ publiczny ma uzasadnione podstawy sądzić, że potwierdzenie przyjęcia zgłoszenia zagroziłoby ochronie poufności tożsamości Sygnalisty;</w:t>
      </w:r>
    </w:p>
    <w:p w:rsidR="00A13394" w:rsidRPr="00A13394" w:rsidRDefault="00DE576D" w:rsidP="00A13394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dokonuje wstępnej weryfikacji zgłoszenia zewnętrznego, polegającej na ustaleniu, czy zgłoszenie dotyczy narusz</w:t>
      </w:r>
      <w:r w:rsidRPr="00A13394">
        <w:rPr>
          <w:rFonts w:ascii="Arial" w:eastAsia="Calibri" w:hAnsi="Arial" w:cs="Arial"/>
          <w:sz w:val="24"/>
          <w:szCs w:val="24"/>
        </w:rPr>
        <w:t>eń prawa w dziedzinie należącej do zakresu działania tego organu, a jeżeli nie należy – na ustaleniu organu publicznego właściwego do podjęcia działań następczych;</w:t>
      </w:r>
    </w:p>
    <w:p w:rsidR="00A13394" w:rsidRPr="00A13394" w:rsidRDefault="00DE576D" w:rsidP="00A13394">
      <w:pPr>
        <w:numPr>
          <w:ilvl w:val="1"/>
          <w:numId w:val="8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przekazuje zgłoszenie zewnętrzne niezwłocznie, nie później jednak niż w terminie 14 dni od d</w:t>
      </w:r>
      <w:r w:rsidRPr="00A13394">
        <w:rPr>
          <w:rFonts w:ascii="Arial" w:eastAsia="Calibri" w:hAnsi="Arial" w:cs="Arial"/>
          <w:sz w:val="24"/>
          <w:szCs w:val="24"/>
        </w:rPr>
        <w:t>nia dokonania zgłoszenia, a w uzasadnionych przypadkach – nie później w terminie 30 dni, do organu publicznego właściwego do podjęcia działań następczych – w przypadku gdy zgłoszenie dotyczy naruszeń prawa nienależącej do zakresu działania tego organu – or</w:t>
      </w:r>
      <w:r w:rsidRPr="00A13394">
        <w:rPr>
          <w:rFonts w:ascii="Arial" w:eastAsia="Calibri" w:hAnsi="Arial" w:cs="Arial"/>
          <w:sz w:val="24"/>
          <w:szCs w:val="24"/>
        </w:rPr>
        <w:t>az informuje o tym sygnalistę.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w przypadku gdy zgłoszenie dotyczy naruszeń prawa w dziedzinie należącej do zakresu działania tego organu:</w:t>
      </w:r>
    </w:p>
    <w:p w:rsidR="00A13394" w:rsidRPr="00A13394" w:rsidRDefault="00DE576D" w:rsidP="00A13394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rozpatruje zgłoszenie zewnętrzne i przeprowadza postępowanie wyjaśniające. Postępowanie wyjaśniające </w:t>
      </w:r>
      <w:r w:rsidRPr="00A13394">
        <w:rPr>
          <w:rFonts w:ascii="Arial" w:eastAsia="Calibri" w:hAnsi="Arial" w:cs="Arial"/>
          <w:sz w:val="24"/>
          <w:szCs w:val="24"/>
        </w:rPr>
        <w:t>trwa nie dłużej niż 30 dni od dnia otrzymania zgłoszenia zewnętrznego, a w sprawach szczególnie skomplikowanych, termin ten może ulec przedłużeniu o kolejne 30 dni. W trakcie postępowania osoby upoważnione podejmują działania z zachowaniem należytej staran</w:t>
      </w:r>
      <w:r w:rsidRPr="00A13394">
        <w:rPr>
          <w:rFonts w:ascii="Arial" w:eastAsia="Calibri" w:hAnsi="Arial" w:cs="Arial"/>
          <w:sz w:val="24"/>
          <w:szCs w:val="24"/>
        </w:rPr>
        <w:t>ności;</w:t>
      </w:r>
    </w:p>
    <w:p w:rsidR="00A13394" w:rsidRPr="00A13394" w:rsidRDefault="00DE576D" w:rsidP="00A13394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występuje do Sygnalisty o wyjaśnienia lub dodatkowe informacje dotyczące zgłoszenia (jeżeli jest organem właściwym, a wystąpiła taka potrzeba);</w:t>
      </w:r>
    </w:p>
    <w:p w:rsidR="00A13394" w:rsidRPr="00A13394" w:rsidRDefault="00DE576D" w:rsidP="00A13394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przekazuje Sygnaliście informację zwrotną;</w:t>
      </w:r>
    </w:p>
    <w:p w:rsidR="00A13394" w:rsidRPr="00A13394" w:rsidRDefault="00DE576D" w:rsidP="00A13394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na żądanie Sygnalisty przekazuje mu zaświadczenie potwierdzają</w:t>
      </w:r>
      <w:r w:rsidRPr="00A13394">
        <w:rPr>
          <w:rFonts w:ascii="Arial" w:eastAsia="Calibri" w:hAnsi="Arial" w:cs="Arial"/>
          <w:sz w:val="24"/>
          <w:szCs w:val="24"/>
        </w:rPr>
        <w:t>ce przysługującą mu ochronę nie później niż w terminie miesiąca od dnia otrzymania żądania ;</w:t>
      </w:r>
    </w:p>
    <w:p w:rsidR="00A13394" w:rsidRPr="00A13394" w:rsidRDefault="00DE576D" w:rsidP="00A13394">
      <w:pPr>
        <w:numPr>
          <w:ilvl w:val="0"/>
          <w:numId w:val="9"/>
        </w:numPr>
        <w:suppressAutoHyphens w:val="0"/>
        <w:spacing w:after="16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informuje Sygnalistę o ostatecznym wyniku postępowania wyjaśniającego, wszczętego na skutek zgłoszenia zewnętrznego.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Prośbę do Sygnalisty o wyjaśnienia lub dodatko</w:t>
      </w:r>
      <w:r w:rsidRPr="00A13394">
        <w:rPr>
          <w:rFonts w:ascii="Arial" w:eastAsia="Calibri" w:hAnsi="Arial" w:cs="Arial"/>
          <w:sz w:val="24"/>
          <w:szCs w:val="24"/>
        </w:rPr>
        <w:t>we informacje dotyczące zgłoszenia, o którym mowa w ust. 2 pkt 2) organ publiczny wystosuje na piśmie. Sygnalista winien udzielić informacji w terminie 7 dni licząc od daty otrzymania pisma. Jeżeli Sygnalista sprzeciwia się przesłaniu żądanych wyjaśnień lu</w:t>
      </w:r>
      <w:r w:rsidRPr="00A13394">
        <w:rPr>
          <w:rFonts w:ascii="Arial" w:eastAsia="Calibri" w:hAnsi="Arial" w:cs="Arial"/>
          <w:sz w:val="24"/>
          <w:szCs w:val="24"/>
        </w:rPr>
        <w:t xml:space="preserve">b </w:t>
      </w:r>
      <w:r w:rsidRPr="00A13394">
        <w:rPr>
          <w:rFonts w:ascii="Arial" w:eastAsia="Calibri" w:hAnsi="Arial" w:cs="Arial"/>
          <w:sz w:val="24"/>
          <w:szCs w:val="24"/>
        </w:rPr>
        <w:lastRenderedPageBreak/>
        <w:t>dodatkowych informacji lub ich przesłanie może zagrozić ochronie poufności jego tożsamości, Organ publiczny odstępuje od żądania wyjaśnień lub dodatkowych informacji.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Informacja zwrotna, o której mowa w ust. 2 pkt 3) zawierać będzie informację na temat p</w:t>
      </w:r>
      <w:r w:rsidRPr="00A13394">
        <w:rPr>
          <w:rFonts w:ascii="Arial" w:eastAsia="Calibri" w:hAnsi="Arial" w:cs="Arial"/>
          <w:sz w:val="24"/>
          <w:szCs w:val="24"/>
        </w:rPr>
        <w:t>lanowanych lub podjętych działań. Organ przekaże informację zwrotną na piśmie w terminie nieprzekraczającym 3 miesięcy od dnia przyjęcia zgłoszenia zewnętrznego, a w uzasadnionych przypadkach, po wcześniejszym poinformowaniu Sygnalisty w terminie nieprzekr</w:t>
      </w:r>
      <w:r w:rsidRPr="00A13394">
        <w:rPr>
          <w:rFonts w:ascii="Arial" w:eastAsia="Calibri" w:hAnsi="Arial" w:cs="Arial"/>
          <w:sz w:val="24"/>
          <w:szCs w:val="24"/>
        </w:rPr>
        <w:t>aczalnym 6 miesięcy od dnia przyjęcia zgłoszenia zewnętrznego.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Zgłoszenie zewnętrzne naruszeń prawa są weryfikowane przez upoważnione osoby w zakresie wiarygodności zgłoszenia oraz odpowiedzialności za jego rozpatrzenie zgodnie z niniejszą procedurą i prze</w:t>
      </w:r>
      <w:r w:rsidRPr="00A13394">
        <w:rPr>
          <w:rFonts w:ascii="Arial" w:eastAsia="Calibri" w:hAnsi="Arial" w:cs="Arial"/>
          <w:sz w:val="24"/>
          <w:szCs w:val="24"/>
        </w:rPr>
        <w:t>pisami prawa.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Jeżeli po przeprowadzeniu przez Organ publiczny postępowania wyjaśniającego zgłoszenie zostanie uznane za uzasadnione i dotyczy naruszenia prawa ( w dziedzinie należącej do zakresu działania Organu publicznego), podejmie on dalsze czynności m</w:t>
      </w:r>
      <w:r w:rsidRPr="00A13394">
        <w:rPr>
          <w:rFonts w:ascii="Arial" w:eastAsia="Calibri" w:hAnsi="Arial" w:cs="Arial"/>
          <w:sz w:val="24"/>
          <w:szCs w:val="24"/>
        </w:rPr>
        <w:t>ające na celu naprawienie naruszenia prawa, w szczególności wszczyna postępowanie administracyjne, wnosi oskarżenia, podejmuje działania w celu odzyskania środków finansowych lub zamyka procedurę przyjmowania zgłoszeń zewnętrznych i podejmowania działań na</w:t>
      </w:r>
      <w:r w:rsidRPr="00A13394">
        <w:rPr>
          <w:rFonts w:ascii="Arial" w:eastAsia="Calibri" w:hAnsi="Arial" w:cs="Arial"/>
          <w:sz w:val="24"/>
          <w:szCs w:val="24"/>
        </w:rPr>
        <w:t xml:space="preserve">stępczych. </w:t>
      </w:r>
    </w:p>
    <w:p w:rsidR="00A13394" w:rsidRPr="00A13394" w:rsidRDefault="00DE576D" w:rsidP="00A13394">
      <w:pPr>
        <w:numPr>
          <w:ilvl w:val="0"/>
          <w:numId w:val="8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może nie podjąć działań następczych w przypadku, gdy Sygnalista w zgłoszeniu, dotyczącym sprawy będącej już przedmiotem wcześniejszego zgłoszenia lub zgłoszenia od innego Sygnalisty, nie zawarto istotnych nowych informacji na te</w:t>
      </w:r>
      <w:r w:rsidRPr="00A13394">
        <w:rPr>
          <w:rFonts w:ascii="Arial" w:eastAsia="Calibri" w:hAnsi="Arial" w:cs="Arial"/>
          <w:sz w:val="24"/>
          <w:szCs w:val="24"/>
        </w:rPr>
        <w:t>mat naruszenia prawa w porównaniu z wcześniejszym zgłoszeniem tego naruszenia. Organ publiczny poinformuje Sygnalistę o odstąpieniu, a w razie kolejnego zgłoszenia pozostawi je bez rozpoznania oraz informacji zwrotnej.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8</w:t>
      </w:r>
    </w:p>
    <w:p w:rsidR="00A13394" w:rsidRPr="00A13394" w:rsidRDefault="00DE576D" w:rsidP="004964DC">
      <w:pPr>
        <w:spacing w:line="360" w:lineRule="auto"/>
        <w:ind w:left="426"/>
        <w:contextualSpacing/>
        <w:jc w:val="center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REJESTR ZGŁOSZEŃ ZEWNĘTRZNYCH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Zgł</w:t>
      </w:r>
      <w:r w:rsidRPr="00A13394">
        <w:rPr>
          <w:rFonts w:ascii="Arial" w:eastAsia="Calibri" w:hAnsi="Arial" w:cs="Arial"/>
          <w:sz w:val="24"/>
          <w:szCs w:val="24"/>
        </w:rPr>
        <w:t xml:space="preserve">oszenia zewnętrzne są odnotowywane w tzw. „Rejestrze Zgłoszeń Zewnętrznych”. 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Za prowadzenie „Rejestru Zgłoszeń Zewnętrznych” odpowiada wyznaczony przez przewodniczącego Komisji ds. Naruszeń w formie papierowej – członek tej komisji.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„Rejestr Zgłoszeń </w:t>
      </w:r>
      <w:r w:rsidRPr="00A13394">
        <w:rPr>
          <w:rFonts w:ascii="Arial" w:eastAsia="Calibri" w:hAnsi="Arial" w:cs="Arial"/>
          <w:sz w:val="24"/>
          <w:szCs w:val="24"/>
        </w:rPr>
        <w:t>Zewnętrznych” prowadzony jest z zachowaniem zasady poufności, a dokumenty i informacje zebrane w toku analizy oraz informacji dotyczących rozpatrzenia zgłoszenia przechowywane są przez okres co najmniej 5 lat od czasu zakończenia postępowania wyjaśniająceg</w:t>
      </w:r>
      <w:r w:rsidRPr="00A13394">
        <w:rPr>
          <w:rFonts w:ascii="Arial" w:eastAsia="Calibri" w:hAnsi="Arial" w:cs="Arial"/>
          <w:sz w:val="24"/>
          <w:szCs w:val="24"/>
        </w:rPr>
        <w:t>o.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„Rejestr Zgłoszeń Zewnętrznych” zawiera: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</w:t>
      </w:r>
      <w:r w:rsidRPr="00A13394">
        <w:rPr>
          <w:rFonts w:ascii="Arial" w:eastAsia="Calibri" w:hAnsi="Arial" w:cs="Arial"/>
          <w:sz w:val="24"/>
          <w:szCs w:val="24"/>
        </w:rPr>
        <w:tab/>
        <w:t>numer zgłoszenia;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</w:t>
      </w:r>
      <w:r w:rsidRPr="00A13394">
        <w:rPr>
          <w:rFonts w:ascii="Arial" w:eastAsia="Calibri" w:hAnsi="Arial" w:cs="Arial"/>
          <w:sz w:val="24"/>
          <w:szCs w:val="24"/>
        </w:rPr>
        <w:tab/>
        <w:t>przedmiot naruszenia prawa;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3)</w:t>
      </w:r>
      <w:r w:rsidRPr="00A13394">
        <w:rPr>
          <w:rFonts w:ascii="Arial" w:eastAsia="Calibri" w:hAnsi="Arial" w:cs="Arial"/>
          <w:sz w:val="24"/>
          <w:szCs w:val="24"/>
        </w:rPr>
        <w:tab/>
        <w:t>dane osobowe sygnalisty oraz osoby, której dotyczy zgłoszenie, niezbędne do identyfikacji tych osób;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4)</w:t>
      </w:r>
      <w:r w:rsidRPr="00A13394">
        <w:rPr>
          <w:rFonts w:ascii="Arial" w:eastAsia="Calibri" w:hAnsi="Arial" w:cs="Arial"/>
          <w:sz w:val="24"/>
          <w:szCs w:val="24"/>
        </w:rPr>
        <w:tab/>
        <w:t>datę dokonania zgłoszenia;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5)</w:t>
      </w:r>
      <w:r w:rsidRPr="00A13394">
        <w:rPr>
          <w:rFonts w:ascii="Arial" w:eastAsia="Calibri" w:hAnsi="Arial" w:cs="Arial"/>
          <w:sz w:val="24"/>
          <w:szCs w:val="24"/>
        </w:rPr>
        <w:tab/>
        <w:t xml:space="preserve">informację o podjętych </w:t>
      </w:r>
      <w:r w:rsidRPr="00A13394">
        <w:rPr>
          <w:rFonts w:ascii="Arial" w:eastAsia="Calibri" w:hAnsi="Arial" w:cs="Arial"/>
          <w:sz w:val="24"/>
          <w:szCs w:val="24"/>
        </w:rPr>
        <w:t>działaniach następczych;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6)</w:t>
      </w:r>
      <w:r w:rsidRPr="00A13394">
        <w:rPr>
          <w:rFonts w:ascii="Arial" w:eastAsia="Calibri" w:hAnsi="Arial" w:cs="Arial"/>
          <w:sz w:val="24"/>
          <w:szCs w:val="24"/>
        </w:rPr>
        <w:tab/>
        <w:t>informację o wydaniu zaświadczenia, o którym mowa w art. 38;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7)</w:t>
      </w:r>
      <w:r w:rsidRPr="00A13394">
        <w:rPr>
          <w:rFonts w:ascii="Arial" w:eastAsia="Calibri" w:hAnsi="Arial" w:cs="Arial"/>
          <w:sz w:val="24"/>
          <w:szCs w:val="24"/>
        </w:rPr>
        <w:tab/>
        <w:t>datę zakończenia sprawy;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8)</w:t>
      </w:r>
      <w:r w:rsidRPr="00A13394">
        <w:rPr>
          <w:rFonts w:ascii="Arial" w:eastAsia="Calibri" w:hAnsi="Arial" w:cs="Arial"/>
          <w:sz w:val="24"/>
          <w:szCs w:val="24"/>
        </w:rPr>
        <w:tab/>
        <w:t>informacje o niepodejmowaniu dalszych działań w przypadku, gdy sprawa jest już przedmiotem wcześniejszego zgłoszenia zewnętrznego albo p</w:t>
      </w:r>
      <w:r w:rsidRPr="00A13394">
        <w:rPr>
          <w:rFonts w:ascii="Arial" w:eastAsia="Calibri" w:hAnsi="Arial" w:cs="Arial"/>
          <w:sz w:val="24"/>
          <w:szCs w:val="24"/>
        </w:rPr>
        <w:t>rzez tego samego lub innego sygnalistę nie zawarto istotnych nowych informacji na temat naruszeń prawa w porównaniu z wcześniejszym zgłoszeniem zewnętrznym. Organ publiczny informuje sygnalistę o niepodjęciu działań następczych, podając uzasadnienie, a w r</w:t>
      </w:r>
      <w:r w:rsidRPr="00A13394">
        <w:rPr>
          <w:rFonts w:ascii="Arial" w:eastAsia="Calibri" w:hAnsi="Arial" w:cs="Arial"/>
          <w:sz w:val="24"/>
          <w:szCs w:val="24"/>
        </w:rPr>
        <w:t xml:space="preserve">azie kolejnego zgłoszenia - pozostawia je bez rozpoznania i nie informuje o tym sygnalisty. </w:t>
      </w:r>
    </w:p>
    <w:p w:rsidR="00A13394" w:rsidRPr="00A13394" w:rsidRDefault="00DE576D" w:rsidP="00A13394">
      <w:pPr>
        <w:spacing w:before="240" w:line="360" w:lineRule="auto"/>
        <w:ind w:left="851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9)</w:t>
      </w:r>
      <w:r w:rsidRPr="00A13394">
        <w:rPr>
          <w:rFonts w:ascii="Arial" w:eastAsia="Calibri" w:hAnsi="Arial" w:cs="Arial"/>
          <w:sz w:val="24"/>
          <w:szCs w:val="24"/>
        </w:rPr>
        <w:tab/>
        <w:t>szacunkową szkodę majątkową, jeżeli została stwierdzona, oraz kwoty odzyskane w wyniku postępowań dotyczących naruszeń prawa będących przedmiotem zgłoszenia - o</w:t>
      </w:r>
      <w:r w:rsidRPr="00A13394">
        <w:rPr>
          <w:rFonts w:ascii="Arial" w:eastAsia="Calibri" w:hAnsi="Arial" w:cs="Arial"/>
          <w:sz w:val="24"/>
          <w:szCs w:val="24"/>
        </w:rPr>
        <w:t xml:space="preserve"> ile organ publiczny posiada te dane.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Dostęp do „Rejestru Zgłoszeń Zewnętrznych” przysługuje wyłącznie:</w:t>
      </w:r>
    </w:p>
    <w:p w:rsidR="00A13394" w:rsidRPr="00A13394" w:rsidRDefault="00DE576D" w:rsidP="00A13394">
      <w:pPr>
        <w:spacing w:before="240" w:line="360" w:lineRule="auto"/>
        <w:ind w:left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a) członkom Komisji ds. Naruszeń,</w:t>
      </w:r>
    </w:p>
    <w:p w:rsidR="00A13394" w:rsidRPr="00A13394" w:rsidRDefault="00DE576D" w:rsidP="00A13394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b) innym zobowiązanym do zachowania poufności pracownikom służbowo zaangażowanym w proces merytorycznego wyjaśniania s</w:t>
      </w:r>
      <w:r w:rsidRPr="00A13394">
        <w:rPr>
          <w:rFonts w:ascii="Arial" w:eastAsia="Calibri" w:hAnsi="Arial" w:cs="Arial"/>
          <w:sz w:val="24"/>
          <w:szCs w:val="24"/>
        </w:rPr>
        <w:t>praw z zakresu naruszeń – ale wyłącznie w zakresie spraw, w których brali udział,</w:t>
      </w:r>
    </w:p>
    <w:p w:rsidR="00A13394" w:rsidRPr="00A13394" w:rsidRDefault="00DE576D" w:rsidP="00A13394">
      <w:pPr>
        <w:spacing w:before="240" w:line="360" w:lineRule="auto"/>
        <w:ind w:left="709" w:hanging="283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c) organom ścigania, w związku z przeprowadzanymi czynnościami wynikającymi z przepisów prawa powszechnie obowiązującego.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Dane osobowe oraz pozostałe informacje zawarte w rej</w:t>
      </w:r>
      <w:r w:rsidRPr="00A13394">
        <w:rPr>
          <w:rFonts w:ascii="Arial" w:eastAsia="Calibri" w:hAnsi="Arial" w:cs="Arial"/>
          <w:sz w:val="24"/>
          <w:szCs w:val="24"/>
        </w:rPr>
        <w:t xml:space="preserve">estrze zgłoszeń zewnętrznych są przechowywane przez okres 3 lat po zakończeniu roku kalendarzowego, w którym zakończono działania następcze lub po zakończeniu postępowań zainicjowanych tymi działaniami. 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Łódzki Urząd Wojewódzki w Łodzi za każdy rok kalenda</w:t>
      </w:r>
      <w:r w:rsidRPr="00A13394">
        <w:rPr>
          <w:rFonts w:ascii="Arial" w:eastAsia="Calibri" w:hAnsi="Arial" w:cs="Arial"/>
          <w:sz w:val="24"/>
          <w:szCs w:val="24"/>
        </w:rPr>
        <w:t>rzowy sporządza sprawozdanie zawierające dane statystyczne dotyczące zgłoszeń zewnętrznych, obejmujące:</w:t>
      </w:r>
    </w:p>
    <w:p w:rsidR="00A13394" w:rsidRPr="00A13394" w:rsidRDefault="00DE576D" w:rsidP="00A13394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1)</w:t>
      </w:r>
      <w:r w:rsidRPr="00A13394">
        <w:rPr>
          <w:rFonts w:ascii="Arial" w:eastAsia="Calibri" w:hAnsi="Arial" w:cs="Arial"/>
          <w:sz w:val="24"/>
          <w:szCs w:val="24"/>
        </w:rPr>
        <w:tab/>
        <w:t>liczbę przyjętych zgłoszeń zewnętrznych;</w:t>
      </w:r>
    </w:p>
    <w:p w:rsidR="00A13394" w:rsidRPr="00A13394" w:rsidRDefault="00DE576D" w:rsidP="00A13394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2)</w:t>
      </w:r>
      <w:r w:rsidRPr="00A13394">
        <w:rPr>
          <w:rFonts w:ascii="Arial" w:eastAsia="Calibri" w:hAnsi="Arial" w:cs="Arial"/>
          <w:sz w:val="24"/>
          <w:szCs w:val="24"/>
        </w:rPr>
        <w:tab/>
        <w:t xml:space="preserve">liczbę postępowań wyjaśniających i postępowań wszczętych w wyniku przyjętych zgłoszeń zewnętrznych oraz </w:t>
      </w:r>
      <w:r w:rsidRPr="00A13394">
        <w:rPr>
          <w:rFonts w:ascii="Arial" w:eastAsia="Calibri" w:hAnsi="Arial" w:cs="Arial"/>
          <w:sz w:val="24"/>
          <w:szCs w:val="24"/>
        </w:rPr>
        <w:t>informacje na temat wyniku tych postępowań;</w:t>
      </w:r>
    </w:p>
    <w:p w:rsidR="00A13394" w:rsidRPr="00A13394" w:rsidRDefault="00DE576D" w:rsidP="00A13394">
      <w:pPr>
        <w:spacing w:before="240" w:line="360" w:lineRule="auto"/>
        <w:ind w:left="851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3)</w:t>
      </w:r>
      <w:r w:rsidRPr="00A13394">
        <w:rPr>
          <w:rFonts w:ascii="Arial" w:eastAsia="Calibri" w:hAnsi="Arial" w:cs="Arial"/>
          <w:sz w:val="24"/>
          <w:szCs w:val="24"/>
        </w:rPr>
        <w:tab/>
        <w:t>szacunkową szkodę majątkową, jeżeli została stwierdzona, oraz kwoty odzyskane w   wyniku postępowań dotyczących naruszeń prawa będących przedmiotem zgłoszenia zewnętrznego - o ile organ publiczny posiada te da</w:t>
      </w:r>
      <w:r w:rsidRPr="00A13394">
        <w:rPr>
          <w:rFonts w:ascii="Arial" w:eastAsia="Calibri" w:hAnsi="Arial" w:cs="Arial"/>
          <w:sz w:val="24"/>
          <w:szCs w:val="24"/>
        </w:rPr>
        <w:t>ne.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Dane statystyczne, o których mowa w ust. 1, nie obejmują danych osobowych ani informacji stanowiących tajemnicę przedsiębiorstwa.</w:t>
      </w:r>
    </w:p>
    <w:p w:rsidR="00A13394" w:rsidRPr="00A13394" w:rsidRDefault="00DE576D" w:rsidP="00A13394">
      <w:pPr>
        <w:numPr>
          <w:ilvl w:val="0"/>
          <w:numId w:val="10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Sprawozdanie, o którym mowa w ust. 7, organ publiczny przekazuje Rzecznikowi Praw Obywatelskich w terminie do dnia 31 marc</w:t>
      </w:r>
      <w:r w:rsidRPr="00A13394">
        <w:rPr>
          <w:rFonts w:ascii="Arial" w:eastAsia="Calibri" w:hAnsi="Arial" w:cs="Arial"/>
          <w:sz w:val="24"/>
          <w:szCs w:val="24"/>
        </w:rPr>
        <w:t>a roku następującego po roku, za jaki sprawozdanie jest sporządzane, począwszy od roku 2026.</w:t>
      </w:r>
    </w:p>
    <w:p w:rsidR="00A13394" w:rsidRPr="00A13394" w:rsidRDefault="00DE576D" w:rsidP="004964DC">
      <w:pPr>
        <w:spacing w:before="600" w:line="360" w:lineRule="auto"/>
        <w:ind w:left="709" w:hanging="272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9</w:t>
      </w:r>
    </w:p>
    <w:p w:rsidR="00A13394" w:rsidRPr="00A13394" w:rsidRDefault="00DE576D" w:rsidP="004964DC">
      <w:pPr>
        <w:spacing w:line="360" w:lineRule="auto"/>
        <w:ind w:left="709" w:hanging="272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ZGŁOSZENIA ANONIMOWE</w:t>
      </w:r>
    </w:p>
    <w:p w:rsidR="00A13394" w:rsidRPr="00A13394" w:rsidRDefault="00DE576D" w:rsidP="00A13394">
      <w:pPr>
        <w:numPr>
          <w:ilvl w:val="3"/>
          <w:numId w:val="10"/>
        </w:numPr>
        <w:suppressAutoHyphens w:val="0"/>
        <w:spacing w:after="160" w:line="360" w:lineRule="auto"/>
        <w:ind w:left="426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t>Organ publiczny nie przewiduje możliwości przyjmowania anonimowych zgłoszeń zewnętrznych.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10</w:t>
      </w:r>
    </w:p>
    <w:p w:rsidR="00A13394" w:rsidRPr="00A13394" w:rsidRDefault="00DE576D" w:rsidP="004964DC">
      <w:pPr>
        <w:spacing w:line="360" w:lineRule="auto"/>
        <w:ind w:left="426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KANAŁY KOMUNIKACJI</w:t>
      </w:r>
    </w:p>
    <w:p w:rsidR="00A13394" w:rsidRPr="00A13394" w:rsidRDefault="00DE576D" w:rsidP="00A13394">
      <w:pPr>
        <w:numPr>
          <w:ilvl w:val="0"/>
          <w:numId w:val="1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Kanały komunikacji przyjęte przez organ publiczny na potrzeby przyjmowania zgłoszeń zewnętrznych: </w:t>
      </w:r>
    </w:p>
    <w:p w:rsidR="00A13394" w:rsidRPr="00A13394" w:rsidRDefault="00DE576D" w:rsidP="00A13394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są niezależne od kanałów komunikacji wykorzystywanych w ramach zwykłej działalności tych organów,</w:t>
      </w:r>
    </w:p>
    <w:p w:rsidR="00A13394" w:rsidRPr="00A13394" w:rsidRDefault="00DE576D" w:rsidP="00A13394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zapewniają kompletność, poufność i integralność danych, w t</w:t>
      </w:r>
      <w:r w:rsidRPr="00A13394">
        <w:rPr>
          <w:rFonts w:ascii="Arial" w:eastAsia="Calibri" w:hAnsi="Arial" w:cs="Arial"/>
          <w:sz w:val="24"/>
          <w:szCs w:val="24"/>
        </w:rPr>
        <w:t>ym ich zabezpieczenie przed dostępem osób upoważnionych,</w:t>
      </w:r>
    </w:p>
    <w:p w:rsidR="00A13394" w:rsidRPr="00A13394" w:rsidRDefault="00DE576D" w:rsidP="00A13394">
      <w:pPr>
        <w:numPr>
          <w:ilvl w:val="0"/>
          <w:numId w:val="12"/>
        </w:numPr>
        <w:suppressAutoHyphens w:val="0"/>
        <w:spacing w:after="160" w:line="360" w:lineRule="auto"/>
        <w:ind w:left="850" w:hanging="425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pozwalając na przechowywanie informacji w sposób trwały w celu umożliwienia prowadzenia dalszego postępowania wyjaśniającego.</w:t>
      </w:r>
    </w:p>
    <w:p w:rsidR="00A13394" w:rsidRPr="00A13394" w:rsidRDefault="00DE576D" w:rsidP="00A13394">
      <w:pPr>
        <w:numPr>
          <w:ilvl w:val="0"/>
          <w:numId w:val="11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Kanały komunikacji wykorzystywane przez organ publiczny do innych celów n</w:t>
      </w:r>
      <w:r w:rsidRPr="00A13394">
        <w:rPr>
          <w:rFonts w:ascii="Arial" w:eastAsia="Calibri" w:hAnsi="Arial" w:cs="Arial"/>
          <w:sz w:val="24"/>
          <w:szCs w:val="24"/>
        </w:rPr>
        <w:t xml:space="preserve">iż przyjmowanie zgłoszeń zewnętrznych mogą zostać wykorzystane także na potrzeby przyjmowania takich zgłoszeń, o ile spełniają warunki określone w ust. 1. 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11</w:t>
      </w:r>
    </w:p>
    <w:p w:rsidR="00A13394" w:rsidRPr="00A13394" w:rsidRDefault="00DE576D" w:rsidP="004964DC">
      <w:pPr>
        <w:spacing w:line="360" w:lineRule="auto"/>
        <w:ind w:left="425"/>
        <w:contextualSpacing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DANE OSOBOWE</w:t>
      </w:r>
    </w:p>
    <w:p w:rsidR="00A13394" w:rsidRPr="00A13394" w:rsidRDefault="00DE576D" w:rsidP="00A13394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Organ publiczny jest administratorem danych osobowych przetwarzanych w związku </w:t>
      </w:r>
      <w:r w:rsidRPr="00A13394">
        <w:rPr>
          <w:rFonts w:ascii="Arial" w:eastAsia="Calibri" w:hAnsi="Arial" w:cs="Arial"/>
          <w:sz w:val="24"/>
          <w:szCs w:val="24"/>
        </w:rPr>
        <w:t>z przyjęciem zgłoszenia, a także w związku z prowadzeniem działań następczych oraz prowadzeniem „Rejestru Zgłoszeń Zewnętrznych”.</w:t>
      </w:r>
    </w:p>
    <w:p w:rsidR="00A13394" w:rsidRPr="00A13394" w:rsidRDefault="00DE576D" w:rsidP="00A13394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Do przetwarzania danych osobowych uprawnieni są członkowie </w:t>
      </w:r>
      <w:r w:rsidRPr="00A13394">
        <w:rPr>
          <w:rFonts w:ascii="Arial" w:eastAsia="Calibri" w:hAnsi="Arial" w:cs="Arial"/>
          <w:b/>
          <w:sz w:val="24"/>
          <w:szCs w:val="24"/>
        </w:rPr>
        <w:t>Komisji ds. Naruszeń.</w:t>
      </w:r>
    </w:p>
    <w:p w:rsidR="00A13394" w:rsidRPr="00A13394" w:rsidRDefault="00DE576D" w:rsidP="00A13394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Organ publiczny przetwarza dane osobowe w zak</w:t>
      </w:r>
      <w:r w:rsidRPr="00A13394">
        <w:rPr>
          <w:rFonts w:ascii="Arial" w:eastAsia="Calibri" w:hAnsi="Arial" w:cs="Arial"/>
          <w:sz w:val="24"/>
          <w:szCs w:val="24"/>
        </w:rPr>
        <w:t>resie niezbędnym do przyjęcia zgłoszenia oraz podjęcia działań następczych. Dane osobowe, które nie mają znaczenia dla rozpoznania zgłoszenia są zbierane, a w przypadku zebrania usuwane. Usunięcie tych danych osobowych następuje w terminie 14 dni od chwili</w:t>
      </w:r>
      <w:r w:rsidRPr="00A13394">
        <w:rPr>
          <w:rFonts w:ascii="Arial" w:eastAsia="Calibri" w:hAnsi="Arial" w:cs="Arial"/>
          <w:sz w:val="24"/>
          <w:szCs w:val="24"/>
        </w:rPr>
        <w:t xml:space="preserve"> ustalenia, że nie mają one znaczenia dla sprawy.</w:t>
      </w:r>
    </w:p>
    <w:p w:rsidR="00A13394" w:rsidRPr="00A13394" w:rsidRDefault="00DE576D" w:rsidP="00A13394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Dane osobowe Zgłaszającego, pozwalające na ustalenie jego tożsamości, nie podlegają ujawnieniu nieupoważnionym osobom, chyba ze za wyraźną zgodą Zgłaszającego.</w:t>
      </w:r>
    </w:p>
    <w:p w:rsidR="00A13394" w:rsidRPr="00A13394" w:rsidRDefault="00DE576D" w:rsidP="00A13394">
      <w:pPr>
        <w:numPr>
          <w:ilvl w:val="0"/>
          <w:numId w:val="13"/>
        </w:numPr>
        <w:suppressAutoHyphens w:val="0"/>
        <w:spacing w:before="240" w:after="160" w:line="360" w:lineRule="auto"/>
        <w:ind w:left="426" w:hanging="437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Na zasadach przewidzianych w ustawie może dojś</w:t>
      </w:r>
      <w:r w:rsidRPr="00A13394">
        <w:rPr>
          <w:rFonts w:ascii="Arial" w:eastAsia="Calibri" w:hAnsi="Arial" w:cs="Arial"/>
          <w:sz w:val="24"/>
          <w:szCs w:val="24"/>
        </w:rPr>
        <w:t>ć do konieczności ujawnienia danych osobowych Sygnalisty przez organ publiczny, o czym, Sygnalista zostanie poinformowany.</w:t>
      </w:r>
    </w:p>
    <w:p w:rsidR="00A13394" w:rsidRPr="00A13394" w:rsidRDefault="00DE576D" w:rsidP="004964DC">
      <w:pPr>
        <w:spacing w:before="600" w:line="360" w:lineRule="auto"/>
        <w:ind w:left="425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§ 12</w:t>
      </w:r>
    </w:p>
    <w:p w:rsidR="00A13394" w:rsidRPr="00A13394" w:rsidRDefault="00DE576D" w:rsidP="004964DC">
      <w:pPr>
        <w:spacing w:line="360" w:lineRule="auto"/>
        <w:ind w:left="426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POSTANOWIENIA KOŃCOWE</w:t>
      </w:r>
    </w:p>
    <w:p w:rsidR="00A13394" w:rsidRPr="00A13394" w:rsidRDefault="00DE576D" w:rsidP="00A13394">
      <w:pPr>
        <w:numPr>
          <w:ilvl w:val="0"/>
          <w:numId w:val="14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>Przepisy niniejszej Procedury podlegają przeglądowi nie rzadziej niż raz na trzy lata.</w:t>
      </w:r>
    </w:p>
    <w:p w:rsidR="00A13394" w:rsidRPr="004964DC" w:rsidRDefault="00DE576D" w:rsidP="00A13394">
      <w:pPr>
        <w:numPr>
          <w:ilvl w:val="0"/>
          <w:numId w:val="14"/>
        </w:numPr>
        <w:suppressAutoHyphens w:val="0"/>
        <w:spacing w:before="240" w:after="160" w:line="360" w:lineRule="auto"/>
        <w:ind w:left="426" w:hanging="426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A13394">
        <w:rPr>
          <w:rFonts w:ascii="Arial" w:eastAsia="Calibri" w:hAnsi="Arial" w:cs="Arial"/>
          <w:sz w:val="24"/>
          <w:szCs w:val="24"/>
        </w:rPr>
        <w:t xml:space="preserve">Procedura wchodzi w życie z dniem </w:t>
      </w:r>
      <w:r w:rsidRPr="004964DC">
        <w:rPr>
          <w:rFonts w:ascii="Arial" w:eastAsia="Calibri" w:hAnsi="Arial" w:cs="Arial"/>
          <w:b/>
          <w:sz w:val="24"/>
          <w:szCs w:val="24"/>
        </w:rPr>
        <w:t>25 grudnia 2024 r.</w:t>
      </w:r>
    </w:p>
    <w:p w:rsidR="00A13394" w:rsidRPr="00A13394" w:rsidRDefault="00DE576D" w:rsidP="00A13394">
      <w:pPr>
        <w:numPr>
          <w:ilvl w:val="0"/>
          <w:numId w:val="14"/>
        </w:numPr>
        <w:suppressAutoHyphens w:val="0"/>
        <w:spacing w:before="240" w:after="160" w:line="360" w:lineRule="auto"/>
        <w:ind w:left="425" w:hanging="425"/>
        <w:contextualSpacing/>
        <w:jc w:val="both"/>
        <w:rPr>
          <w:rFonts w:ascii="Arial" w:eastAsia="Calibri" w:hAnsi="Arial" w:cs="Arial"/>
        </w:rPr>
      </w:pPr>
      <w:r w:rsidRPr="00A13394">
        <w:rPr>
          <w:rFonts w:ascii="Arial" w:eastAsia="Calibri" w:hAnsi="Arial" w:cs="Arial"/>
          <w:sz w:val="24"/>
          <w:szCs w:val="24"/>
        </w:rPr>
        <w:lastRenderedPageBreak/>
        <w:t>W sprawach nieuregulowanych niniejszą procedurą zastosowanie mają odpowiednie przepisy ustawy z dnia 24 czerwca 2024 r. o ochronie sygnalistów,  działów VII i VIII  Kodeks postępowania administracyjnego,</w:t>
      </w:r>
      <w:r w:rsidRPr="00A13394">
        <w:rPr>
          <w:rFonts w:ascii="Arial" w:eastAsia="Calibri" w:hAnsi="Arial" w:cs="Arial"/>
          <w:sz w:val="24"/>
          <w:szCs w:val="24"/>
        </w:rPr>
        <w:t xml:space="preserve"> Kodeksu pracy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A13394">
        <w:rPr>
          <w:rFonts w:ascii="Arial" w:eastAsia="Calibri" w:hAnsi="Arial" w:cs="Arial"/>
          <w:sz w:val="24"/>
          <w:szCs w:val="24"/>
        </w:rPr>
        <w:t>, Kodeksu postępowania karnego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A13394">
        <w:rPr>
          <w:rFonts w:ascii="Arial" w:eastAsia="Calibri" w:hAnsi="Arial" w:cs="Arial"/>
          <w:sz w:val="24"/>
          <w:szCs w:val="24"/>
        </w:rPr>
        <w:t xml:space="preserve"> i Kodeksu karnego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</w:p>
    <w:p w:rsidR="00A13394" w:rsidRPr="00A13394" w:rsidRDefault="00DE576D" w:rsidP="00A13394">
      <w:pPr>
        <w:spacing w:before="24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A13394" w:rsidRPr="00A13394" w:rsidRDefault="00DE576D" w:rsidP="00A13394">
      <w:pPr>
        <w:spacing w:before="240" w:line="360" w:lineRule="auto"/>
        <w:ind w:left="4678"/>
        <w:jc w:val="center"/>
        <w:rPr>
          <w:rFonts w:ascii="Arial" w:eastAsia="Calibri" w:hAnsi="Arial" w:cs="Arial"/>
          <w:b/>
          <w:sz w:val="24"/>
          <w:szCs w:val="24"/>
        </w:rPr>
      </w:pPr>
      <w:r w:rsidRPr="00A13394">
        <w:rPr>
          <w:rFonts w:ascii="Arial" w:eastAsia="Calibri" w:hAnsi="Arial" w:cs="Arial"/>
          <w:b/>
          <w:sz w:val="24"/>
          <w:szCs w:val="24"/>
        </w:rPr>
        <w:t>DYREKTOR GENERALNY URZĘDU</w:t>
      </w:r>
    </w:p>
    <w:p w:rsidR="00A13394" w:rsidRPr="00A13394" w:rsidRDefault="00DE576D" w:rsidP="00A13394">
      <w:pPr>
        <w:spacing w:before="240" w:line="360" w:lineRule="auto"/>
        <w:ind w:left="4820"/>
        <w:jc w:val="center"/>
        <w:rPr>
          <w:rFonts w:ascii="Arial" w:eastAsia="Calibri" w:hAnsi="Arial" w:cs="Arial"/>
          <w:b/>
          <w:i/>
          <w:sz w:val="24"/>
          <w:szCs w:val="24"/>
        </w:rPr>
      </w:pPr>
      <w:r w:rsidRPr="00A13394">
        <w:rPr>
          <w:rFonts w:ascii="Arial" w:eastAsia="Calibri" w:hAnsi="Arial" w:cs="Arial"/>
          <w:b/>
          <w:i/>
          <w:sz w:val="24"/>
          <w:szCs w:val="24"/>
        </w:rPr>
        <w:t>Aleksandra Sowińska-Banaszkiewicz</w:t>
      </w:r>
    </w:p>
    <w:p w:rsidR="00A13394" w:rsidRPr="00A13394" w:rsidRDefault="00DE576D" w:rsidP="00A13394">
      <w:pPr>
        <w:spacing w:before="60" w:line="360" w:lineRule="auto"/>
        <w:ind w:left="4820"/>
        <w:jc w:val="center"/>
        <w:rPr>
          <w:rFonts w:ascii="Arial" w:eastAsia="Calibri" w:hAnsi="Arial" w:cs="Arial"/>
          <w:sz w:val="20"/>
          <w:szCs w:val="20"/>
        </w:rPr>
      </w:pPr>
      <w:r w:rsidRPr="00A13394">
        <w:rPr>
          <w:rFonts w:ascii="Arial" w:eastAsia="Calibri" w:hAnsi="Arial" w:cs="Arial"/>
          <w:sz w:val="20"/>
          <w:szCs w:val="20"/>
        </w:rPr>
        <w:t>(podpisano elektronicznie)</w:t>
      </w:r>
    </w:p>
    <w:p w:rsidR="00A13394" w:rsidRPr="00A13394" w:rsidRDefault="00DE576D" w:rsidP="00A13394">
      <w:pPr>
        <w:tabs>
          <w:tab w:val="center" w:pos="1418"/>
        </w:tabs>
        <w:snapToGrid w:val="0"/>
        <w:spacing w:after="160" w:line="259" w:lineRule="auto"/>
        <w:ind w:right="15"/>
        <w:rPr>
          <w:rFonts w:ascii="Arial" w:eastAsia="Calibri" w:hAnsi="Arial" w:cs="Arial"/>
          <w:sz w:val="24"/>
          <w:szCs w:val="24"/>
        </w:rPr>
      </w:pPr>
    </w:p>
    <w:p w:rsidR="00A13394" w:rsidRPr="00A13394" w:rsidRDefault="00DE576D" w:rsidP="00A13394">
      <w:pPr>
        <w:spacing w:before="60" w:line="360" w:lineRule="auto"/>
        <w:rPr>
          <w:rFonts w:ascii="Arial" w:eastAsia="Calibri" w:hAnsi="Arial" w:cs="Arial"/>
        </w:rPr>
      </w:pPr>
    </w:p>
    <w:p w:rsidR="00A13394" w:rsidRPr="00A13394" w:rsidRDefault="00DE576D" w:rsidP="00A13394">
      <w:pPr>
        <w:ind w:left="4820"/>
        <w:jc w:val="center"/>
        <w:rPr>
          <w:rFonts w:ascii="Arial" w:eastAsia="Times New Roman" w:hAnsi="Arial" w:cs="Arial"/>
          <w:kern w:val="2"/>
          <w:sz w:val="24"/>
          <w:szCs w:val="24"/>
          <w:lang w:eastAsia="zh-CN"/>
        </w:rPr>
      </w:pPr>
    </w:p>
    <w:p w:rsidR="00C04420" w:rsidRPr="00A13394" w:rsidRDefault="00DE576D" w:rsidP="00A13394">
      <w:pPr>
        <w:rPr>
          <w:rFonts w:ascii="Arial" w:hAnsi="Arial" w:cs="Arial"/>
          <w:sz w:val="24"/>
          <w:szCs w:val="24"/>
        </w:rPr>
      </w:pPr>
    </w:p>
    <w:sectPr w:rsidR="00C04420" w:rsidRPr="00A13394">
      <w:pgSz w:w="11906" w:h="16838"/>
      <w:pgMar w:top="1560" w:right="1434" w:bottom="1560" w:left="1418" w:header="0" w:footer="0" w:gutter="0"/>
      <w:cols w:space="708"/>
      <w:formProt w:val="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76D" w:rsidRDefault="00DE576D">
      <w:r>
        <w:separator/>
      </w:r>
    </w:p>
  </w:endnote>
  <w:endnote w:type="continuationSeparator" w:id="0">
    <w:p w:rsidR="00DE576D" w:rsidRDefault="00DE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76D" w:rsidRDefault="00DE576D" w:rsidP="00A13394">
      <w:r>
        <w:separator/>
      </w:r>
    </w:p>
  </w:footnote>
  <w:footnote w:type="continuationSeparator" w:id="0">
    <w:p w:rsidR="00DE576D" w:rsidRDefault="00DE576D" w:rsidP="00A13394">
      <w:r>
        <w:continuationSeparator/>
      </w:r>
    </w:p>
  </w:footnote>
  <w:footnote w:id="1">
    <w:p w:rsidR="00A13394" w:rsidRPr="00A13394" w:rsidRDefault="00DE576D" w:rsidP="005C17A7">
      <w:pPr>
        <w:pStyle w:val="Tekstprzypisudolnego1"/>
        <w:jc w:val="both"/>
        <w:rPr>
          <w:rFonts w:cs="Calibri"/>
        </w:rPr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26 czerwca 1974 r. Kodeks pracy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5C17A7">
        <w:rPr>
          <w:rFonts w:cs="Calibri"/>
        </w:rPr>
        <w:t>poz. 277.</w:t>
      </w:r>
      <w:r w:rsidRPr="00A13394">
        <w:rPr>
          <w:rFonts w:cs="Calibri"/>
        </w:rPr>
        <w:t>)</w:t>
      </w:r>
    </w:p>
  </w:footnote>
  <w:footnote w:id="2">
    <w:p w:rsidR="00A13394" w:rsidRPr="00A13394" w:rsidRDefault="00DE576D" w:rsidP="005C17A7">
      <w:pPr>
        <w:pStyle w:val="Tekstprzypisudolnego1"/>
        <w:jc w:val="both"/>
        <w:rPr>
          <w:rFonts w:cs="Calibri"/>
        </w:rPr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6 czerwca 1997 r. Kodeks postępowania karnego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5C17A7">
        <w:rPr>
          <w:rFonts w:cs="Calibri"/>
        </w:rPr>
        <w:t>poz. 46, 304.</w:t>
      </w:r>
      <w:r w:rsidRPr="00A13394">
        <w:rPr>
          <w:rFonts w:cs="Calibri"/>
        </w:rPr>
        <w:t>)</w:t>
      </w:r>
    </w:p>
  </w:footnote>
  <w:footnote w:id="3">
    <w:p w:rsidR="00A13394" w:rsidRDefault="00DE576D" w:rsidP="005C17A7">
      <w:pPr>
        <w:pStyle w:val="Tekstprzypisudolnego1"/>
        <w:jc w:val="both"/>
      </w:pPr>
      <w:r w:rsidRPr="00A13394">
        <w:rPr>
          <w:rStyle w:val="Znakiprzypiswdolnych"/>
          <w:rFonts w:cs="Calibri"/>
        </w:rPr>
        <w:footnoteRef/>
      </w:r>
      <w:r w:rsidRPr="00A13394">
        <w:rPr>
          <w:rFonts w:cs="Calibri"/>
        </w:rPr>
        <w:t xml:space="preserve"> Ustawa z dnia 6 czerwca 1997 r. Kodeks karny (</w:t>
      </w:r>
      <w:r w:rsidRPr="005C17A7">
        <w:rPr>
          <w:rFonts w:cs="Calibri"/>
        </w:rPr>
        <w:t>Dz. U. z 2025 r.</w:t>
      </w:r>
      <w:r>
        <w:rPr>
          <w:rFonts w:cs="Calibri"/>
        </w:rPr>
        <w:t xml:space="preserve"> </w:t>
      </w:r>
      <w:r w:rsidRPr="005C17A7">
        <w:rPr>
          <w:rFonts w:cs="Calibri"/>
        </w:rPr>
        <w:t>poz. 383.</w:t>
      </w:r>
      <w:r w:rsidRPr="00A13394">
        <w:rPr>
          <w:rFonts w:cs="Calibr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6C3CD"/>
    <w:multiLevelType w:val="hybridMultilevel"/>
    <w:tmpl w:val="00000000"/>
    <w:lvl w:ilvl="0" w:tplc="EB70D82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74F421BC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 w:tplc="B61830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FC747F4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3FE56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92636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4887CE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67066F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24C86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5B23C4B"/>
    <w:multiLevelType w:val="hybridMultilevel"/>
    <w:tmpl w:val="00000000"/>
    <w:lvl w:ilvl="0" w:tplc="564C33D2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sz w:val="24"/>
      </w:rPr>
    </w:lvl>
    <w:lvl w:ilvl="1" w:tplc="846CA424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A320837A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D2254F0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DCEA79F0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73BC5244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65EA3A34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644C265C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12F80F4C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1880D3A1"/>
    <w:multiLevelType w:val="hybridMultilevel"/>
    <w:tmpl w:val="00000000"/>
    <w:lvl w:ilvl="0" w:tplc="2CA89CB2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ascii="Times New Roman" w:hAnsi="Times New Roman"/>
        <w:b/>
        <w:sz w:val="24"/>
      </w:rPr>
    </w:lvl>
    <w:lvl w:ilvl="1" w:tplc="BE62646A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B5F04D00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7EE6BCA6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BAFCC6CA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C55874A4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16BC7E70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F168CE6A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53148AC2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3" w15:restartNumberingAfterBreak="0">
    <w:nsid w:val="1F56D281"/>
    <w:multiLevelType w:val="hybridMultilevel"/>
    <w:tmpl w:val="00000000"/>
    <w:lvl w:ilvl="0" w:tplc="9B9888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1E60899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26269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252A4D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8FE086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2CA7A7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7642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2001B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B0C45C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5218935"/>
    <w:multiLevelType w:val="hybridMultilevel"/>
    <w:tmpl w:val="00000000"/>
    <w:lvl w:ilvl="0" w:tplc="47A8717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hAnsi="Times New Roman"/>
        <w:b/>
        <w:sz w:val="24"/>
      </w:rPr>
    </w:lvl>
    <w:lvl w:ilvl="1" w:tplc="5FEC51F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05A3D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45AAEA4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C92EA5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492F39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6A5A96F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D8A1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CC223D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BF40990"/>
    <w:multiLevelType w:val="hybridMultilevel"/>
    <w:tmpl w:val="00000000"/>
    <w:lvl w:ilvl="0" w:tplc="F134E404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</w:lvl>
    <w:lvl w:ilvl="1" w:tplc="16CE3FE6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C7CA4E3C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A39AEBAC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D39CB30C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607870CE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201C3212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6D56D884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D9BEC9B6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6" w15:restartNumberingAfterBreak="0">
    <w:nsid w:val="2E7D8EC0"/>
    <w:multiLevelType w:val="hybridMultilevel"/>
    <w:tmpl w:val="00000000"/>
    <w:lvl w:ilvl="0" w:tplc="0FAEF77C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Times New Roman" w:hAnsi="Times New Roman"/>
        <w:b w:val="0"/>
        <w:sz w:val="24"/>
      </w:rPr>
    </w:lvl>
    <w:lvl w:ilvl="1" w:tplc="1638CCDE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 w:tplc="E1E46A2C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 w:tplc="BB7643EC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 w:tplc="25822E3A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 w:tplc="CCC2AF7C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 w:tplc="B59E2528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 w:tplc="CA12CF24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 w:tplc="34FACDE4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32EDA827"/>
    <w:multiLevelType w:val="hybridMultilevel"/>
    <w:tmpl w:val="00000000"/>
    <w:lvl w:ilvl="0" w:tplc="AEDEE86C">
      <w:start w:val="1"/>
      <w:numFmt w:val="decimal"/>
      <w:lvlText w:val="%1)"/>
      <w:lvlJc w:val="left"/>
      <w:pPr>
        <w:tabs>
          <w:tab w:val="num" w:pos="0"/>
        </w:tabs>
        <w:ind w:left="1434" w:hanging="360"/>
      </w:pPr>
    </w:lvl>
    <w:lvl w:ilvl="1" w:tplc="04D01522">
      <w:start w:val="1"/>
      <w:numFmt w:val="lowerLetter"/>
      <w:lvlText w:val="%2."/>
      <w:lvlJc w:val="left"/>
      <w:pPr>
        <w:tabs>
          <w:tab w:val="num" w:pos="0"/>
        </w:tabs>
        <w:ind w:left="2154" w:hanging="360"/>
      </w:pPr>
    </w:lvl>
    <w:lvl w:ilvl="2" w:tplc="398AF612">
      <w:start w:val="1"/>
      <w:numFmt w:val="lowerRoman"/>
      <w:lvlText w:val="%3."/>
      <w:lvlJc w:val="right"/>
      <w:pPr>
        <w:tabs>
          <w:tab w:val="num" w:pos="0"/>
        </w:tabs>
        <w:ind w:left="2874" w:hanging="180"/>
      </w:pPr>
    </w:lvl>
    <w:lvl w:ilvl="3" w:tplc="D686868C">
      <w:start w:val="1"/>
      <w:numFmt w:val="decimal"/>
      <w:lvlText w:val="%4."/>
      <w:lvlJc w:val="left"/>
      <w:pPr>
        <w:tabs>
          <w:tab w:val="num" w:pos="0"/>
        </w:tabs>
        <w:ind w:left="3594" w:hanging="360"/>
      </w:pPr>
    </w:lvl>
    <w:lvl w:ilvl="4" w:tplc="1D882AB6">
      <w:start w:val="1"/>
      <w:numFmt w:val="lowerLetter"/>
      <w:lvlText w:val="%5."/>
      <w:lvlJc w:val="left"/>
      <w:pPr>
        <w:tabs>
          <w:tab w:val="num" w:pos="0"/>
        </w:tabs>
        <w:ind w:left="4314" w:hanging="360"/>
      </w:pPr>
    </w:lvl>
    <w:lvl w:ilvl="5" w:tplc="DBE4368A">
      <w:start w:val="1"/>
      <w:numFmt w:val="lowerRoman"/>
      <w:lvlText w:val="%6."/>
      <w:lvlJc w:val="right"/>
      <w:pPr>
        <w:tabs>
          <w:tab w:val="num" w:pos="0"/>
        </w:tabs>
        <w:ind w:left="5034" w:hanging="180"/>
      </w:pPr>
    </w:lvl>
    <w:lvl w:ilvl="6" w:tplc="CAAA7692">
      <w:start w:val="1"/>
      <w:numFmt w:val="decimal"/>
      <w:lvlText w:val="%7."/>
      <w:lvlJc w:val="left"/>
      <w:pPr>
        <w:tabs>
          <w:tab w:val="num" w:pos="0"/>
        </w:tabs>
        <w:ind w:left="5754" w:hanging="360"/>
      </w:pPr>
    </w:lvl>
    <w:lvl w:ilvl="7" w:tplc="269A3090">
      <w:start w:val="1"/>
      <w:numFmt w:val="lowerLetter"/>
      <w:lvlText w:val="%8."/>
      <w:lvlJc w:val="left"/>
      <w:pPr>
        <w:tabs>
          <w:tab w:val="num" w:pos="0"/>
        </w:tabs>
        <w:ind w:left="6474" w:hanging="360"/>
      </w:pPr>
    </w:lvl>
    <w:lvl w:ilvl="8" w:tplc="6374D39E">
      <w:start w:val="1"/>
      <w:numFmt w:val="lowerRoman"/>
      <w:lvlText w:val="%9."/>
      <w:lvlJc w:val="right"/>
      <w:pPr>
        <w:tabs>
          <w:tab w:val="num" w:pos="0"/>
        </w:tabs>
        <w:ind w:left="7194" w:hanging="180"/>
      </w:pPr>
    </w:lvl>
  </w:abstractNum>
  <w:abstractNum w:abstractNumId="8" w15:restartNumberingAfterBreak="0">
    <w:nsid w:val="6AD2661E"/>
    <w:multiLevelType w:val="hybridMultilevel"/>
    <w:tmpl w:val="00000000"/>
    <w:lvl w:ilvl="0" w:tplc="2B604584">
      <w:start w:val="1"/>
      <w:numFmt w:val="decimal"/>
      <w:lvlText w:val="%1."/>
      <w:lvlJc w:val="left"/>
      <w:pPr>
        <w:tabs>
          <w:tab w:val="num" w:pos="0"/>
        </w:tabs>
        <w:ind w:left="1145" w:hanging="360"/>
      </w:pPr>
      <w:rPr>
        <w:rFonts w:ascii="Times New Roman" w:hAnsi="Times New Roman"/>
        <w:b/>
        <w:sz w:val="24"/>
      </w:rPr>
    </w:lvl>
    <w:lvl w:ilvl="1" w:tplc="4E3A7054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 w:tplc="BB0E78F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 w:tplc="42D8AF72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 w:tplc="5D4A47AC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 w:tplc="0296971E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 w:tplc="C172D614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 w:tplc="36000E10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 w:tplc="F886CB82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9" w15:restartNumberingAfterBreak="0">
    <w:nsid w:val="6D4BFDDE"/>
    <w:multiLevelType w:val="hybridMultilevel"/>
    <w:tmpl w:val="00000000"/>
    <w:lvl w:ilvl="0" w:tplc="46CC6D3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4FA0304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9DE00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042D2B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F1ED5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0860E4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046AB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9DC8CD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1E645C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E448958"/>
    <w:multiLevelType w:val="hybridMultilevel"/>
    <w:tmpl w:val="00000000"/>
    <w:lvl w:ilvl="0" w:tplc="36AA79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D2EE6A5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67226C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6700A6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108E08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EC6457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E2EB9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DAE4FE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E5B83F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74C8F2ED"/>
    <w:multiLevelType w:val="hybridMultilevel"/>
    <w:tmpl w:val="00000000"/>
    <w:lvl w:ilvl="0" w:tplc="2A4057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B8AD56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98C03A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EE65E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9634CE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507866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A347E3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6242D2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BB8FE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E201AC2"/>
    <w:multiLevelType w:val="hybridMultilevel"/>
    <w:tmpl w:val="00000000"/>
    <w:lvl w:ilvl="0" w:tplc="4690836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62C0D18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0704E6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A10F00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F4E8F2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687CE8B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D042A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3C3077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DE6E4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E40FE61"/>
    <w:multiLevelType w:val="hybridMultilevel"/>
    <w:tmpl w:val="00000000"/>
    <w:lvl w:ilvl="0" w:tplc="378A1EF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/>
        <w:sz w:val="24"/>
      </w:rPr>
    </w:lvl>
    <w:lvl w:ilvl="1" w:tplc="7C6CBBF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9264D1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9108673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/>
        <w:sz w:val="24"/>
        <w:szCs w:val="24"/>
      </w:rPr>
    </w:lvl>
    <w:lvl w:ilvl="4" w:tplc="43EC48F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1EED71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C8A3B9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F44F2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490573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5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7"/>
  </w:num>
  <w:num w:numId="10">
    <w:abstractNumId w:val="13"/>
  </w:num>
  <w:num w:numId="11">
    <w:abstractNumId w:val="10"/>
  </w:num>
  <w:num w:numId="12">
    <w:abstractNumId w:val="6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E3"/>
    <w:rsid w:val="005628E3"/>
    <w:rsid w:val="00D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4CFB3F-57F9-4935-9E0F-5BAC1A90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</w:latentStyles>
  <w:style w:type="paragraph" w:default="1" w:styleId="Normalny">
    <w:name w:val="Normal"/>
    <w:qFormat/>
    <w:rsid w:val="00587E2A"/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1E1E73"/>
    <w:pPr>
      <w:keepNext/>
      <w:keepLines/>
      <w:widowControl w:val="0"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qFormat/>
    <w:rsid w:val="004C3F97"/>
    <w:rPr>
      <w:rFonts w:cs="Times New Roman"/>
      <w:vertAlign w:val="superscript"/>
    </w:rPr>
  </w:style>
  <w:style w:type="character" w:styleId="Odwoanieprzypisudolnego">
    <w:name w:val="footnote reference"/>
    <w:rPr>
      <w:rFonts w:cs="Times New Roman"/>
      <w:vertAlign w:val="superscript"/>
    </w:rPr>
  </w:style>
  <w:style w:type="character" w:customStyle="1" w:styleId="NagwekZnak">
    <w:name w:val="Nagłówek Znak"/>
    <w:link w:val="Nagwek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StopkaZnak">
    <w:name w:val="Stopka Znak"/>
    <w:link w:val="Stopka"/>
    <w:uiPriority w:val="99"/>
    <w:semiHidden/>
    <w:qFormat/>
    <w:rsid w:val="00060076"/>
    <w:rPr>
      <w:rFonts w:eastAsiaTheme="minorEastAsia" w:cs="Arial"/>
      <w:kern w:val="2"/>
      <w:sz w:val="20"/>
      <w:szCs w:val="20"/>
      <w:lang w:eastAsia="ar-SA"/>
    </w:rPr>
  </w:style>
  <w:style w:type="character" w:customStyle="1" w:styleId="TekstdymkaZnak">
    <w:name w:val="Tekst dymka Znak"/>
    <w:link w:val="Tekstdymka"/>
    <w:uiPriority w:val="99"/>
    <w:semiHidden/>
    <w:qFormat/>
    <w:rsid w:val="004C3F97"/>
    <w:rPr>
      <w:rFonts w:ascii="Tahoma" w:eastAsiaTheme="minorEastAsia" w:hAnsi="Tahoma" w:cs="Tahoma"/>
      <w:kern w:val="2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semiHidden/>
    <w:qFormat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6E0FCC"/>
    <w:rPr>
      <w:sz w:val="20"/>
    </w:rPr>
  </w:style>
  <w:style w:type="character" w:styleId="Odwoaniedokomentarza">
    <w:name w:val="annotation reference"/>
    <w:basedOn w:val="Domylnaczcionkaakapitu"/>
    <w:uiPriority w:val="99"/>
    <w:semiHidden/>
    <w:qFormat/>
    <w:rsid w:val="00023F1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4504C0"/>
    <w:rPr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504C0"/>
    <w:rPr>
      <w:b/>
      <w:bCs/>
      <w:sz w:val="20"/>
    </w:r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vertAlign w:val="superscript"/>
    </w:rPr>
  </w:style>
  <w:style w:type="character" w:styleId="Tekstzastpczy">
    <w:name w:val="Placeholder Text"/>
    <w:basedOn w:val="Domylnaczcionkaakapitu"/>
    <w:uiPriority w:val="99"/>
    <w:semiHidden/>
    <w:qFormat/>
    <w:rsid w:val="00341A6A"/>
    <w:rPr>
      <w:color w:val="808080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podstawowyZnak">
    <w:name w:val="Tekst podstawowy Znak"/>
    <w:basedOn w:val="Domylnaczcionkaakapitu"/>
    <w:qFormat/>
    <w:rPr>
      <w:sz w:val="24"/>
      <w:szCs w:val="24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paragraph" w:styleId="Stopka">
    <w:name w:val="footer"/>
    <w:basedOn w:val="Normalny"/>
    <w:link w:val="StopkaZnak"/>
    <w:uiPriority w:val="99"/>
    <w:semiHidden/>
    <w:rsid w:val="004C3F97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qFormat/>
    <w:rsid w:val="004C3F97"/>
    <w:rPr>
      <w:rFonts w:ascii="Tahoma" w:eastAsia="Times New Roman" w:hAnsi="Tahoma" w:cs="Tahoma"/>
      <w:kern w:val="2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pacing w:before="120" w:line="360" w:lineRule="auto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paragraph" w:styleId="Bezodstpw">
    <w:name w:val="No Spacing"/>
    <w:uiPriority w:val="99"/>
    <w:semiHidden/>
    <w:qFormat/>
    <w:rsid w:val="004C3F97"/>
    <w:pPr>
      <w:widowControl w:val="0"/>
      <w:spacing w:line="360" w:lineRule="auto"/>
    </w:pPr>
    <w:rPr>
      <w:kern w:val="2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pacing w:before="120" w:after="120" w:line="360" w:lineRule="auto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pacing w:before="120" w:after="360" w:line="360" w:lineRule="auto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pacing w:before="120" w:line="360" w:lineRule="auto"/>
      <w:jc w:val="center"/>
    </w:pPr>
    <w:rPr>
      <w:b/>
      <w:bCs/>
      <w:caps/>
      <w:kern w:val="2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pacing w:after="120" w:line="360" w:lineRule="auto"/>
      <w:jc w:val="center"/>
    </w:pPr>
    <w:rPr>
      <w:b/>
      <w:bCs/>
      <w:caps/>
      <w:spacing w:val="54"/>
      <w:kern w:val="2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caps/>
      <w:kern w:val="2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pacing w:line="360" w:lineRule="auto"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pacing w:line="360" w:lineRule="auto"/>
      <w:ind w:left="510"/>
      <w:jc w:val="center"/>
    </w:pPr>
    <w:rPr>
      <w:rFonts w:eastAsiaTheme="minorEastAsia" w:cs="Arial"/>
      <w:bCs/>
      <w:kern w:val="2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023F13"/>
    <w:pPr>
      <w:widowControl w:val="0"/>
      <w:spacing w:line="360" w:lineRule="auto"/>
    </w:pPr>
    <w:rPr>
      <w:rFonts w:ascii="Times" w:eastAsia="Times New Roman" w:hAnsi="Times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023F13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pacing w:before="120" w:line="360" w:lineRule="auto"/>
      <w:jc w:val="center"/>
    </w:pPr>
    <w:rPr>
      <w:rFonts w:eastAsiaTheme="minorEastAsia" w:cs="Arial"/>
      <w:bCs/>
      <w:kern w:val="2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pacing w:before="120" w:line="360" w:lineRule="auto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widowControl w:val="0"/>
      <w:spacing w:line="360" w:lineRule="auto"/>
    </w:pPr>
    <w:rPr>
      <w:rFonts w:ascii="Times New Roman" w:eastAsiaTheme="minorEastAsia" w:hAnsi="Times New Roman" w:cs="Arial"/>
      <w:b/>
      <w:i/>
      <w:sz w:val="24"/>
      <w:szCs w:val="20"/>
      <w:lang w:eastAsia="pl-PL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ind w:left="283" w:hanging="170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pacing w:line="360" w:lineRule="auto"/>
      <w:ind w:firstLine="510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pacing w:line="360" w:lineRule="auto"/>
      <w:jc w:val="center"/>
    </w:pPr>
    <w:rPr>
      <w:rFonts w:ascii="Times" w:eastAsiaTheme="minorEastAsia" w:hAnsi="Times" w:cs="Arial"/>
      <w:bCs/>
      <w:kern w:val="2"/>
      <w:sz w:val="24"/>
      <w:szCs w:val="20"/>
      <w:lang w:eastAsia="pl-PL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paragraph" w:customStyle="1" w:styleId="Standardowy1">
    <w:name w:val="Standardowy1"/>
    <w:qFormat/>
    <w:rPr>
      <w:rFonts w:ascii="Times New Roman" w:eastAsia="Cambria Math" w:hAnsi="Times New Roman"/>
      <w:sz w:val="20"/>
      <w:szCs w:val="20"/>
    </w:rPr>
  </w:style>
  <w:style w:type="paragraph" w:customStyle="1" w:styleId="Nagwek2">
    <w:name w:val="Nagłówek2"/>
    <w:basedOn w:val="Normalny"/>
    <w:qFormat/>
    <w:pPr>
      <w:keepNext/>
      <w:spacing w:before="240" w:after="120"/>
    </w:pPr>
    <w:rPr>
      <w:rFonts w:ascii="Arial" w:eastAsia="Lucida Sans Unicode" w:hAnsi="Arial" w:cs="Tahoma"/>
      <w:kern w:val="2"/>
      <w:sz w:val="28"/>
      <w:szCs w:val="28"/>
      <w:lang w:eastAsia="zh-CN"/>
    </w:rPr>
  </w:style>
  <w:style w:type="table" w:styleId="Tabela-Siatka">
    <w:name w:val="Table Grid"/>
    <w:basedOn w:val="Standardowy"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1952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ekstprzypisudolnego1">
    <w:name w:val="Tekst przypisu dolnego1"/>
    <w:basedOn w:val="Normalny"/>
    <w:uiPriority w:val="99"/>
    <w:semiHidden/>
    <w:unhideWhenUsed/>
    <w:rsid w:val="00A133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@lodz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4A1C-1632-4832-A7F6-F3999E40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4095</Words>
  <Characters>24570</Characters>
  <Application>Microsoft Office Word</Application>
  <DocSecurity>0</DocSecurity>
  <Lines>204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 prawny</vt:lpstr>
    </vt:vector>
  </TitlesOfParts>
  <Company>&lt;nazwa organu&gt;</Company>
  <LinksUpToDate>false</LinksUpToDate>
  <CharactersWithSpaces>28608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Gontarewicz Jacek</dc:creator>
  <cp:lastModifiedBy>Agnieszka Rosiak (arosiak)</cp:lastModifiedBy>
  <cp:revision>2</cp:revision>
  <cp:lastPrinted>2012-04-23T06:39:00Z</cp:lastPrinted>
  <dcterms:created xsi:type="dcterms:W3CDTF">2025-06-02T13:44:00Z</dcterms:created>
  <dcterms:modified xsi:type="dcterms:W3CDTF">2025-06-02T13:44:00Z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ogłoszenia">
    <vt:lpwstr>&lt;data ogłoszenia&gt;</vt:lpwstr>
  </property>
  <property fmtid="{D5CDD505-2E9C-101B-9397-08002B2CF9AE}" pid="3" name="Data wydania obwieszczenia">
    <vt:lpwstr>&lt;data wydania obwieszczenia&gt;</vt:lpwstr>
  </property>
</Properties>
</file>