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0A06D" w14:textId="1F1D197F" w:rsidR="00AE2C37" w:rsidRPr="00D35686" w:rsidRDefault="00AE2C37" w:rsidP="00664E1B">
      <w:pPr>
        <w:ind w:left="5664" w:firstLine="708"/>
        <w:jc w:val="both"/>
        <w:rPr>
          <w:rFonts w:ascii="Arial" w:hAnsi="Arial" w:cs="Arial"/>
          <w:u w:val="single"/>
        </w:rPr>
      </w:pPr>
      <w:r w:rsidRPr="00AE2C37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664E1B">
        <w:rPr>
          <w:rFonts w:ascii="Arial" w:hAnsi="Arial" w:cs="Arial"/>
          <w:sz w:val="18"/>
          <w:szCs w:val="18"/>
          <w:u w:val="single"/>
        </w:rPr>
        <w:t>4</w:t>
      </w:r>
      <w:r w:rsidRPr="00AE2C37">
        <w:rPr>
          <w:rFonts w:ascii="Arial" w:hAnsi="Arial" w:cs="Arial"/>
          <w:sz w:val="18"/>
          <w:szCs w:val="18"/>
          <w:u w:val="single"/>
        </w:rPr>
        <w:t xml:space="preserve"> 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C395A89" w14:textId="2C574A31" w:rsidR="007E08B6" w:rsidRDefault="007E08B6" w:rsidP="00AE2C37">
      <w:pPr>
        <w:spacing w:line="360" w:lineRule="auto"/>
        <w:ind w:left="4956" w:firstLine="708"/>
        <w:jc w:val="center"/>
        <w:rPr>
          <w:rFonts w:ascii="Arial" w:hAnsi="Arial" w:cs="Arial"/>
          <w:color w:val="4C4C4C"/>
        </w:rPr>
      </w:pPr>
    </w:p>
    <w:p w14:paraId="6F532B6F" w14:textId="77777777" w:rsidR="000763BF" w:rsidRPr="00664E1B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664E1B">
        <w:rPr>
          <w:b/>
        </w:rPr>
        <w:t xml:space="preserve"> </w:t>
      </w:r>
      <w:r w:rsidR="000763BF" w:rsidRPr="00664E1B">
        <w:rPr>
          <w:b/>
          <w:shd w:val="clear" w:color="auto" w:fill="F2F2F2" w:themeFill="background1" w:themeFillShade="F2"/>
        </w:rPr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AC767E3" w14:textId="35060D1A" w:rsidR="000763BF" w:rsidRPr="00664E1B" w:rsidRDefault="000763BF" w:rsidP="00664E1B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AE2C37">
        <w:rPr>
          <w:rFonts w:asciiTheme="minorHAnsi" w:hAnsiTheme="minorHAnsi"/>
        </w:rPr>
        <w:t>postępowaniu dot.</w:t>
      </w:r>
      <w:r w:rsidRPr="000248FD">
        <w:rPr>
          <w:rFonts w:asciiTheme="minorHAnsi" w:hAnsiTheme="minorHAnsi"/>
        </w:rPr>
        <w:t xml:space="preserve"> </w:t>
      </w:r>
      <w:r w:rsidR="00AE6B24">
        <w:rPr>
          <w:rFonts w:asciiTheme="minorHAnsi" w:hAnsiTheme="minorHAnsi"/>
        </w:rPr>
        <w:t xml:space="preserve">składników </w:t>
      </w:r>
      <w:r w:rsidR="00AE2C37">
        <w:rPr>
          <w:rFonts w:asciiTheme="minorHAnsi" w:hAnsiTheme="minorHAnsi"/>
        </w:rPr>
        <w:t xml:space="preserve">rzeczowych </w:t>
      </w:r>
      <w:r w:rsidR="00AE6B24">
        <w:rPr>
          <w:rFonts w:asciiTheme="minorHAnsi" w:hAnsiTheme="minorHAnsi"/>
        </w:rPr>
        <w:t>majątku ruchomego</w:t>
      </w:r>
      <w:r w:rsidRPr="000248FD">
        <w:rPr>
          <w:rFonts w:asciiTheme="minorHAnsi" w:hAnsiTheme="minorHAnsi"/>
        </w:rPr>
        <w:t xml:space="preserve"> </w:t>
      </w:r>
      <w:r w:rsidR="009E5EFE">
        <w:rPr>
          <w:rFonts w:asciiTheme="minorHAnsi" w:hAnsiTheme="minorHAnsi"/>
        </w:rPr>
        <w:t xml:space="preserve">Ambasady RP w </w:t>
      </w:r>
      <w:r w:rsidR="00664E1B">
        <w:rPr>
          <w:rFonts w:asciiTheme="minorHAnsi" w:hAnsiTheme="minorHAnsi"/>
        </w:rPr>
        <w:t xml:space="preserve">Ankarze </w:t>
      </w:r>
      <w:r w:rsidR="00AE2C37">
        <w:rPr>
          <w:rFonts w:asciiTheme="minorHAnsi" w:hAnsiTheme="minorHAnsi"/>
        </w:rPr>
        <w:t>uznanych za zbędne i zużyte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606DD232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37CEC6C7" w14:textId="1779EBAC" w:rsidR="00AE2C37" w:rsidRPr="00664E1B" w:rsidRDefault="00AE2C37" w:rsidP="00AE2C37">
      <w:pPr>
        <w:spacing w:line="360" w:lineRule="auto"/>
        <w:jc w:val="center"/>
        <w:rPr>
          <w:b/>
          <w:sz w:val="18"/>
          <w:szCs w:val="18"/>
        </w:rPr>
      </w:pPr>
      <w:r w:rsidRPr="00664E1B">
        <w:rPr>
          <w:b/>
          <w:sz w:val="18"/>
          <w:szCs w:val="18"/>
        </w:rPr>
        <w:t xml:space="preserve">Informacja dotycząca przetwarzania danych osobowych przez Ambasadę RP w </w:t>
      </w:r>
      <w:r w:rsidR="00664E1B" w:rsidRPr="00664E1B">
        <w:rPr>
          <w:b/>
          <w:sz w:val="18"/>
          <w:szCs w:val="18"/>
        </w:rPr>
        <w:t>Ankarze</w:t>
      </w:r>
    </w:p>
    <w:p w14:paraId="12AC91BE" w14:textId="77777777" w:rsidR="00AE2C37" w:rsidRPr="00664E1B" w:rsidRDefault="00AE2C37" w:rsidP="00AE2C37">
      <w:pPr>
        <w:spacing w:line="276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64E1B">
        <w:rPr>
          <w:rFonts w:eastAsia="Times New Roman" w:cs="Arial"/>
          <w:sz w:val="18"/>
          <w:szCs w:val="18"/>
          <w:lang w:eastAsia="pl-PL"/>
        </w:rPr>
        <w:t>, zwanego dalej „RODO”.</w:t>
      </w:r>
    </w:p>
    <w:p w14:paraId="015FEA83" w14:textId="0448904A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Administratorem, w rozumieniu art. 4 pkt 7 RODO danych osobowych zawartych we wnioskach i  ofertach jest Minister Spraw Zagranicznych z siedzibą w Polsce, Warszawa, Al. J. Ch. Szucha 23, natomiast wykonującym obowiązki administratora jest Kierownik Ambasady RP w </w:t>
      </w:r>
      <w:r w:rsidR="00664E1B" w:rsidRPr="00664E1B">
        <w:rPr>
          <w:sz w:val="18"/>
          <w:szCs w:val="18"/>
        </w:rPr>
        <w:t>Ankarze</w:t>
      </w:r>
      <w:r w:rsidRPr="00664E1B">
        <w:rPr>
          <w:sz w:val="18"/>
          <w:szCs w:val="18"/>
        </w:rPr>
        <w:t xml:space="preserve">, z siedzibą przy  </w:t>
      </w:r>
      <w:proofErr w:type="spellStart"/>
      <w:r w:rsidR="00664E1B" w:rsidRPr="00664E1B">
        <w:rPr>
          <w:sz w:val="18"/>
          <w:szCs w:val="18"/>
        </w:rPr>
        <w:t>Ata</w:t>
      </w:r>
      <w:bookmarkStart w:id="0" w:name="_GoBack"/>
      <w:bookmarkEnd w:id="0"/>
      <w:r w:rsidR="00664E1B" w:rsidRPr="00664E1B">
        <w:rPr>
          <w:sz w:val="18"/>
          <w:szCs w:val="18"/>
        </w:rPr>
        <w:t>turk</w:t>
      </w:r>
      <w:proofErr w:type="spellEnd"/>
      <w:r w:rsidR="00664E1B" w:rsidRPr="00664E1B">
        <w:rPr>
          <w:sz w:val="18"/>
          <w:szCs w:val="18"/>
        </w:rPr>
        <w:t xml:space="preserve"> </w:t>
      </w:r>
      <w:proofErr w:type="spellStart"/>
      <w:r w:rsidR="00664E1B" w:rsidRPr="00664E1B">
        <w:rPr>
          <w:sz w:val="18"/>
          <w:szCs w:val="18"/>
        </w:rPr>
        <w:t>Bulvari</w:t>
      </w:r>
      <w:proofErr w:type="spellEnd"/>
      <w:r w:rsidR="00664E1B" w:rsidRPr="00664E1B">
        <w:rPr>
          <w:sz w:val="18"/>
          <w:szCs w:val="18"/>
        </w:rPr>
        <w:t xml:space="preserve"> no 241, 06 650 Ankara, Turkey.</w:t>
      </w:r>
    </w:p>
    <w:p w14:paraId="57B457D0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W MSZ i placówkach zagranicznych powołano Inspektora Ochrony Danych (IOD). </w:t>
      </w:r>
    </w:p>
    <w:p w14:paraId="3C99B78E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sz w:val="18"/>
          <w:szCs w:val="18"/>
        </w:rPr>
        <w:t>Dane kontaktowe IOD:</w:t>
      </w:r>
    </w:p>
    <w:p w14:paraId="7023A497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adres siedziby: Al. J. Ch. Szucha 23, 00-580 Warszawa </w:t>
      </w:r>
    </w:p>
    <w:p w14:paraId="226E252D" w14:textId="77777777" w:rsidR="00AE2C37" w:rsidRPr="00664E1B" w:rsidRDefault="00AE2C37" w:rsidP="00AE2C3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664E1B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iod@msz.gov.pl</w:t>
        </w:r>
      </w:hyperlink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7694ED9C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osobowe przetwarzane będą na podstawie art. 6 ust. 1 lit. c RODO, 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w związku z § 17 ust. 1 Rozporządzenia Rady Ministrów z dnia 21 października 2019 r. w sprawie szczegółowego sposobu gospodarowania składnikami majątku ruchomego Skarbu Państwa (Dz.U. z 2022r. poz. 998), z późniejszymi zmianami </w:t>
      </w:r>
      <w:r w:rsidRPr="00664E1B">
        <w:rPr>
          <w:rFonts w:eastAsia="Times New Roman" w:cs="Arial"/>
          <w:bCs/>
          <w:sz w:val="18"/>
          <w:szCs w:val="18"/>
          <w:lang w:eastAsia="pl-PL"/>
        </w:rPr>
        <w:t>w celu przeprowadzenia sprzedaży składników majątku ruchomego.</w:t>
      </w:r>
    </w:p>
    <w:p w14:paraId="4A6C77B3" w14:textId="64EA5D23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Dostęp do danych posiadają wyłącznie uprawnieni pracownicy Ministerstwa Spraw Zagranicznych i Ambasady RP w </w:t>
      </w:r>
      <w:r w:rsidR="00664E1B" w:rsidRPr="00664E1B">
        <w:rPr>
          <w:rFonts w:eastAsia="Times New Roman" w:cs="Arial"/>
          <w:bCs/>
          <w:sz w:val="18"/>
          <w:szCs w:val="18"/>
          <w:lang w:eastAsia="pl-PL"/>
        </w:rPr>
        <w:t>Ankarze.</w:t>
      </w:r>
    </w:p>
    <w:p w14:paraId="3E38FBF3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podlegają ochronie na podstawie przepisów RODO i nie mogą być udostępniane osobom i podmiotom trzecim, nieuprawnionym do dostępu do tych danych. </w:t>
      </w:r>
    </w:p>
    <w:p w14:paraId="2B265EAA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>Dane nie będą przekazywane do państwa trzeciego, ani do organizacji międzynarodowej.</w:t>
      </w:r>
    </w:p>
    <w:p w14:paraId="7A0A5ADF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664E1B">
        <w:rPr>
          <w:rFonts w:eastAsia="Times New Roman" w:cs="Arial"/>
          <w:bCs/>
          <w:sz w:val="18"/>
          <w:szCs w:val="18"/>
          <w:lang w:eastAsia="pl-PL"/>
        </w:rPr>
        <w:t xml:space="preserve">Dane osobowe oferentów będą przetwarzane do czasu zakończenia postępowania, a następnie archiwizowane. Dane osobowe zostaną zarchiwizowane zgodnie z przepisami ustawy z dnia 14 lipca 1983 r. o narodowym zasobie archiwalnym i archiwach (Dz. U. z 2020 r poz. 164) oraz przepisami wewnętrznymi MSZ wynikającymi z przepisów ww. ustawy. </w:t>
      </w:r>
    </w:p>
    <w:p w14:paraId="7A4D2946" w14:textId="77777777" w:rsidR="00AE2C37" w:rsidRPr="00664E1B" w:rsidRDefault="00AE2C37" w:rsidP="00AE2C37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Osobie, której dane dotyczą, przysługują prawa do kontroli przetwarzania danych, określone w art. 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15-19 RODO, w  szczególności prawo dostępu do treści swoich danych i ich sprostowania, prawo do usunięcia danych oraz prawo do ograniczenia ich przetwarzania, </w:t>
      </w:r>
      <w:r w:rsidRPr="00664E1B">
        <w:rPr>
          <w:sz w:val="18"/>
          <w:szCs w:val="18"/>
          <w:lang w:eastAsia="pl-PL"/>
        </w:rPr>
        <w:t>o ile będą miały zastosowanie</w:t>
      </w:r>
      <w:r w:rsidRPr="00664E1B">
        <w:rPr>
          <w:rFonts w:eastAsia="Times New Roman" w:cs="Arial"/>
          <w:sz w:val="18"/>
          <w:szCs w:val="18"/>
          <w:lang w:eastAsia="pl-PL"/>
        </w:rPr>
        <w:t xml:space="preserve">. </w:t>
      </w:r>
    </w:p>
    <w:p w14:paraId="7D3563D4" w14:textId="6B63872F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sz w:val="18"/>
          <w:szCs w:val="18"/>
        </w:rPr>
        <w:t xml:space="preserve">Dane osobowe nie będą przetwarzane w sposób zautomatyzowany, </w:t>
      </w:r>
      <w:r w:rsidRPr="00664E1B">
        <w:rPr>
          <w:rFonts w:eastAsia="Times New Roman" w:cs="Arial"/>
          <w:sz w:val="18"/>
          <w:szCs w:val="18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6446191F" w14:textId="60F209F7" w:rsidR="009B5C28" w:rsidRPr="00664E1B" w:rsidRDefault="009B5C28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Dane osobowe mogą być udostępniane osobom lub podmiotom trzecim uprawionym do dostępu do nich na podstawie obowiązujących przepisów prawa. Odrębną kategorię stanowią podmioty przetwarzające dane osobowe na zlecenie Administratora, w szczególności w związku z podpisanymi umowami.</w:t>
      </w:r>
    </w:p>
    <w:p w14:paraId="0443B088" w14:textId="77777777" w:rsidR="00AE2C37" w:rsidRPr="00664E1B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rFonts w:eastAsia="Times New Roman" w:cs="Arial"/>
          <w:sz w:val="18"/>
          <w:szCs w:val="18"/>
          <w:lang w:eastAsia="pl-PL"/>
        </w:rPr>
        <w:t>Osoba, której dane dotyczą ma prawo wniesienia skargi do organu nadzorczego na adres:</w:t>
      </w:r>
    </w:p>
    <w:p w14:paraId="33D81644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</w:p>
    <w:p w14:paraId="03DB05C6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  <w:r w:rsidRPr="00664E1B">
        <w:rPr>
          <w:rFonts w:eastAsia="Times New Roman" w:cs="Arial"/>
          <w:sz w:val="18"/>
          <w:szCs w:val="18"/>
          <w:lang w:eastAsia="pl-PL"/>
        </w:rPr>
        <w:t>Prezes Urzędu Ochrony Danych Osobowych</w:t>
      </w:r>
    </w:p>
    <w:p w14:paraId="047932F5" w14:textId="7ABE2377" w:rsidR="00AE2C37" w:rsidRPr="00664E1B" w:rsidRDefault="009B5C28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Ul. Moniuszki 1a, 00-014, Warszawa, Polska</w:t>
      </w:r>
    </w:p>
    <w:p w14:paraId="38A4930F" w14:textId="77777777" w:rsidR="00AE2C37" w:rsidRPr="00664E1B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sz w:val="18"/>
          <w:szCs w:val="18"/>
          <w:lang w:eastAsia="pl-PL"/>
        </w:rPr>
      </w:pPr>
    </w:p>
    <w:p w14:paraId="1CAA66D1" w14:textId="77777777" w:rsidR="00AE2C37" w:rsidRPr="00B410E3" w:rsidRDefault="00AE2C37" w:rsidP="00AE2C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62B3B9" w14:textId="77777777" w:rsidR="005C09B6" w:rsidRDefault="005C09B6" w:rsidP="00AE2C37">
      <w:pPr>
        <w:spacing w:line="360" w:lineRule="auto"/>
        <w:jc w:val="center"/>
      </w:pP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54824"/>
    <w:rsid w:val="000763BF"/>
    <w:rsid w:val="00265C08"/>
    <w:rsid w:val="004552D2"/>
    <w:rsid w:val="00484DC6"/>
    <w:rsid w:val="005C09B6"/>
    <w:rsid w:val="005F0E31"/>
    <w:rsid w:val="006430DE"/>
    <w:rsid w:val="00664E1B"/>
    <w:rsid w:val="006F2498"/>
    <w:rsid w:val="007819C3"/>
    <w:rsid w:val="007E08B6"/>
    <w:rsid w:val="00946195"/>
    <w:rsid w:val="009B5C28"/>
    <w:rsid w:val="009E5EFE"/>
    <w:rsid w:val="00AB55C7"/>
    <w:rsid w:val="00AE2C37"/>
    <w:rsid w:val="00AE6B24"/>
    <w:rsid w:val="00AF431E"/>
    <w:rsid w:val="00BB4697"/>
    <w:rsid w:val="00BF5AD2"/>
    <w:rsid w:val="00CF22A7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Szkirpan Justyna</cp:lastModifiedBy>
  <cp:revision>4</cp:revision>
  <cp:lastPrinted>2023-09-19T21:19:00Z</cp:lastPrinted>
  <dcterms:created xsi:type="dcterms:W3CDTF">2025-04-18T11:40:00Z</dcterms:created>
  <dcterms:modified xsi:type="dcterms:W3CDTF">2025-07-07T11:48:00Z</dcterms:modified>
</cp:coreProperties>
</file>