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bookmarkStart w:id="0" w:name="_GoBack"/>
      <w:bookmarkEnd w:id="0"/>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42829F2" w:rsidR="00AD3426" w:rsidRPr="00D37A69" w:rsidRDefault="00673601">
      <w:pPr>
        <w:pStyle w:val="Nagwek6"/>
        <w:spacing w:line="480" w:lineRule="auto"/>
        <w:rPr>
          <w:rFonts w:ascii="Verdana" w:hAnsi="Verdana"/>
          <w:sz w:val="20"/>
        </w:rPr>
      </w:pPr>
      <w:bookmarkStart w:id="1" w:name="_Toc531588306"/>
      <w:r w:rsidRPr="00D37A69">
        <w:rPr>
          <w:rFonts w:ascii="Verdana" w:hAnsi="Verdana"/>
          <w:sz w:val="20"/>
        </w:rPr>
        <w:t xml:space="preserve">UMOWA </w:t>
      </w:r>
      <w:bookmarkEnd w:id="1"/>
      <w:r w:rsidRPr="00D37A69">
        <w:rPr>
          <w:rFonts w:ascii="Verdana" w:hAnsi="Verdana"/>
          <w:sz w:val="20"/>
        </w:rPr>
        <w:t xml:space="preserve">DZIERŻAWY NIERUCHOMOŚCI </w:t>
      </w:r>
      <w:r w:rsidR="008A1DCF">
        <w:rPr>
          <w:rFonts w:ascii="Verdana" w:hAnsi="Verdana"/>
          <w:sz w:val="20"/>
        </w:rPr>
        <w:t xml:space="preserve">MOP </w:t>
      </w:r>
      <w:r w:rsidR="0048688F">
        <w:rPr>
          <w:rFonts w:ascii="Verdana" w:hAnsi="Verdana"/>
          <w:sz w:val="20"/>
        </w:rPr>
        <w:t>PROSIENICA</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55D3796A"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017B36">
          <w:rPr>
            <w:noProof/>
            <w:webHidden/>
          </w:rPr>
          <w:t>5</w:t>
        </w:r>
        <w:r w:rsidR="002C65A6">
          <w:rPr>
            <w:noProof/>
            <w:webHidden/>
          </w:rPr>
          <w:fldChar w:fldCharType="end"/>
        </w:r>
      </w:hyperlink>
    </w:p>
    <w:p w14:paraId="7050731E" w14:textId="0374DB89" w:rsidR="002C65A6" w:rsidRDefault="00F72351">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017B36">
          <w:rPr>
            <w:noProof/>
            <w:webHidden/>
          </w:rPr>
          <w:t>6</w:t>
        </w:r>
        <w:r w:rsidR="002C65A6">
          <w:rPr>
            <w:noProof/>
            <w:webHidden/>
          </w:rPr>
          <w:fldChar w:fldCharType="end"/>
        </w:r>
      </w:hyperlink>
    </w:p>
    <w:p w14:paraId="595D4799" w14:textId="3A6A6886" w:rsidR="002C65A6" w:rsidRDefault="00F72351">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017B36">
          <w:rPr>
            <w:noProof/>
            <w:webHidden/>
          </w:rPr>
          <w:t>7</w:t>
        </w:r>
        <w:r w:rsidR="002C65A6">
          <w:rPr>
            <w:noProof/>
            <w:webHidden/>
          </w:rPr>
          <w:fldChar w:fldCharType="end"/>
        </w:r>
      </w:hyperlink>
    </w:p>
    <w:p w14:paraId="6A90A29A" w14:textId="2BE83E60" w:rsidR="002C65A6" w:rsidRDefault="00F72351">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017B36">
          <w:rPr>
            <w:noProof/>
            <w:webHidden/>
          </w:rPr>
          <w:t>7</w:t>
        </w:r>
        <w:r w:rsidR="002C65A6">
          <w:rPr>
            <w:noProof/>
            <w:webHidden/>
          </w:rPr>
          <w:fldChar w:fldCharType="end"/>
        </w:r>
      </w:hyperlink>
    </w:p>
    <w:p w14:paraId="49BAEEF9" w14:textId="2B942EE3" w:rsidR="002C65A6" w:rsidRDefault="00F72351">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017B36">
          <w:rPr>
            <w:noProof/>
            <w:webHidden/>
          </w:rPr>
          <w:t>7</w:t>
        </w:r>
        <w:r w:rsidR="002C65A6">
          <w:rPr>
            <w:noProof/>
            <w:webHidden/>
          </w:rPr>
          <w:fldChar w:fldCharType="end"/>
        </w:r>
      </w:hyperlink>
    </w:p>
    <w:p w14:paraId="236E980E" w14:textId="7C9AD1DC" w:rsidR="002C65A6" w:rsidRDefault="00F72351">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017B36">
          <w:rPr>
            <w:noProof/>
            <w:webHidden/>
          </w:rPr>
          <w:t>11</w:t>
        </w:r>
        <w:r w:rsidR="002C65A6">
          <w:rPr>
            <w:noProof/>
            <w:webHidden/>
          </w:rPr>
          <w:fldChar w:fldCharType="end"/>
        </w:r>
      </w:hyperlink>
    </w:p>
    <w:p w14:paraId="64CC2381" w14:textId="435CA223"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017B36">
          <w:rPr>
            <w:noProof/>
            <w:webHidden/>
          </w:rPr>
          <w:t>11</w:t>
        </w:r>
        <w:r w:rsidR="002C65A6">
          <w:rPr>
            <w:noProof/>
            <w:webHidden/>
          </w:rPr>
          <w:fldChar w:fldCharType="end"/>
        </w:r>
      </w:hyperlink>
    </w:p>
    <w:p w14:paraId="067B0494" w14:textId="4E0A4B07"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017B36">
          <w:rPr>
            <w:noProof/>
            <w:webHidden/>
          </w:rPr>
          <w:t>12</w:t>
        </w:r>
        <w:r w:rsidR="002C65A6">
          <w:rPr>
            <w:noProof/>
            <w:webHidden/>
          </w:rPr>
          <w:fldChar w:fldCharType="end"/>
        </w:r>
      </w:hyperlink>
    </w:p>
    <w:p w14:paraId="386B46C8" w14:textId="64E568BD"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017B36">
          <w:rPr>
            <w:noProof/>
            <w:webHidden/>
          </w:rPr>
          <w:t>14</w:t>
        </w:r>
        <w:r w:rsidR="002C65A6">
          <w:rPr>
            <w:noProof/>
            <w:webHidden/>
          </w:rPr>
          <w:fldChar w:fldCharType="end"/>
        </w:r>
      </w:hyperlink>
    </w:p>
    <w:p w14:paraId="06873629" w14:textId="4FF01791"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017B36">
          <w:rPr>
            <w:noProof/>
            <w:webHidden/>
          </w:rPr>
          <w:t>17</w:t>
        </w:r>
        <w:r w:rsidR="002C65A6">
          <w:rPr>
            <w:noProof/>
            <w:webHidden/>
          </w:rPr>
          <w:fldChar w:fldCharType="end"/>
        </w:r>
      </w:hyperlink>
    </w:p>
    <w:p w14:paraId="0C356BA9" w14:textId="48C4E7A6"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017B36">
          <w:rPr>
            <w:noProof/>
            <w:webHidden/>
          </w:rPr>
          <w:t>18</w:t>
        </w:r>
        <w:r w:rsidR="002C65A6">
          <w:rPr>
            <w:noProof/>
            <w:webHidden/>
          </w:rPr>
          <w:fldChar w:fldCharType="end"/>
        </w:r>
      </w:hyperlink>
    </w:p>
    <w:p w14:paraId="786FDEAD" w14:textId="44F79A34"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017B36">
          <w:rPr>
            <w:noProof/>
            <w:webHidden/>
          </w:rPr>
          <w:t>18</w:t>
        </w:r>
        <w:r w:rsidR="002C65A6">
          <w:rPr>
            <w:noProof/>
            <w:webHidden/>
          </w:rPr>
          <w:fldChar w:fldCharType="end"/>
        </w:r>
      </w:hyperlink>
    </w:p>
    <w:p w14:paraId="76BE7A19" w14:textId="69E3A0FE"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017B36">
          <w:rPr>
            <w:noProof/>
            <w:webHidden/>
          </w:rPr>
          <w:t>19</w:t>
        </w:r>
        <w:r w:rsidR="002C65A6">
          <w:rPr>
            <w:noProof/>
            <w:webHidden/>
          </w:rPr>
          <w:fldChar w:fldCharType="end"/>
        </w:r>
      </w:hyperlink>
    </w:p>
    <w:p w14:paraId="045EF69D" w14:textId="5CA423E3"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017B36">
          <w:rPr>
            <w:noProof/>
            <w:webHidden/>
          </w:rPr>
          <w:t>20</w:t>
        </w:r>
        <w:r w:rsidR="002C65A6">
          <w:rPr>
            <w:noProof/>
            <w:webHidden/>
          </w:rPr>
          <w:fldChar w:fldCharType="end"/>
        </w:r>
      </w:hyperlink>
    </w:p>
    <w:p w14:paraId="4A279D4E" w14:textId="79593107"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017B36">
          <w:rPr>
            <w:noProof/>
            <w:webHidden/>
          </w:rPr>
          <w:t>22</w:t>
        </w:r>
        <w:r w:rsidR="002C65A6">
          <w:rPr>
            <w:noProof/>
            <w:webHidden/>
          </w:rPr>
          <w:fldChar w:fldCharType="end"/>
        </w:r>
      </w:hyperlink>
    </w:p>
    <w:p w14:paraId="6CCAA2FB" w14:textId="6DBADBEA" w:rsidR="002C65A6" w:rsidRDefault="00F72351">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017B36">
          <w:rPr>
            <w:noProof/>
            <w:webHidden/>
          </w:rPr>
          <w:t>23</w:t>
        </w:r>
        <w:r w:rsidR="002C65A6">
          <w:rPr>
            <w:noProof/>
            <w:webHidden/>
          </w:rPr>
          <w:fldChar w:fldCharType="end"/>
        </w:r>
      </w:hyperlink>
    </w:p>
    <w:p w14:paraId="34DB7BBC" w14:textId="3493A24F"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017B36">
          <w:rPr>
            <w:noProof/>
            <w:webHidden/>
          </w:rPr>
          <w:t>23</w:t>
        </w:r>
        <w:r w:rsidR="002C65A6">
          <w:rPr>
            <w:noProof/>
            <w:webHidden/>
          </w:rPr>
          <w:fldChar w:fldCharType="end"/>
        </w:r>
      </w:hyperlink>
    </w:p>
    <w:p w14:paraId="63269B35" w14:textId="1EC685BF"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017B36">
          <w:rPr>
            <w:noProof/>
            <w:webHidden/>
          </w:rPr>
          <w:t>24</w:t>
        </w:r>
        <w:r w:rsidR="002C65A6">
          <w:rPr>
            <w:noProof/>
            <w:webHidden/>
          </w:rPr>
          <w:fldChar w:fldCharType="end"/>
        </w:r>
      </w:hyperlink>
    </w:p>
    <w:p w14:paraId="5B1D3E22" w14:textId="4105AA15"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017B36">
          <w:rPr>
            <w:noProof/>
            <w:webHidden/>
          </w:rPr>
          <w:t>24</w:t>
        </w:r>
        <w:r w:rsidR="002C65A6">
          <w:rPr>
            <w:noProof/>
            <w:webHidden/>
          </w:rPr>
          <w:fldChar w:fldCharType="end"/>
        </w:r>
      </w:hyperlink>
    </w:p>
    <w:p w14:paraId="0BE57E30" w14:textId="115ABC3A"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017B36">
          <w:rPr>
            <w:noProof/>
            <w:webHidden/>
          </w:rPr>
          <w:t>27</w:t>
        </w:r>
        <w:r w:rsidR="002C65A6">
          <w:rPr>
            <w:noProof/>
            <w:webHidden/>
          </w:rPr>
          <w:fldChar w:fldCharType="end"/>
        </w:r>
      </w:hyperlink>
    </w:p>
    <w:p w14:paraId="7E26B720" w14:textId="60F3B351"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017B36">
          <w:rPr>
            <w:noProof/>
            <w:webHidden/>
          </w:rPr>
          <w:t>27</w:t>
        </w:r>
        <w:r w:rsidR="002C65A6">
          <w:rPr>
            <w:noProof/>
            <w:webHidden/>
          </w:rPr>
          <w:fldChar w:fldCharType="end"/>
        </w:r>
      </w:hyperlink>
    </w:p>
    <w:p w14:paraId="2E4C2F9A" w14:textId="003317C0"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017B36">
          <w:rPr>
            <w:noProof/>
            <w:webHidden/>
          </w:rPr>
          <w:t>30</w:t>
        </w:r>
        <w:r w:rsidR="002C65A6">
          <w:rPr>
            <w:noProof/>
            <w:webHidden/>
          </w:rPr>
          <w:fldChar w:fldCharType="end"/>
        </w:r>
      </w:hyperlink>
    </w:p>
    <w:p w14:paraId="3BCAECDB" w14:textId="4322D4C0"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017B36">
          <w:rPr>
            <w:noProof/>
            <w:webHidden/>
          </w:rPr>
          <w:t>31</w:t>
        </w:r>
        <w:r w:rsidR="002C65A6">
          <w:rPr>
            <w:noProof/>
            <w:webHidden/>
          </w:rPr>
          <w:fldChar w:fldCharType="end"/>
        </w:r>
      </w:hyperlink>
    </w:p>
    <w:p w14:paraId="72ED5317" w14:textId="56EEB5B2"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017B36">
          <w:rPr>
            <w:noProof/>
            <w:webHidden/>
          </w:rPr>
          <w:t>32</w:t>
        </w:r>
        <w:r w:rsidR="002C65A6">
          <w:rPr>
            <w:noProof/>
            <w:webHidden/>
          </w:rPr>
          <w:fldChar w:fldCharType="end"/>
        </w:r>
      </w:hyperlink>
    </w:p>
    <w:p w14:paraId="159988C7" w14:textId="2A48A5D7"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017B36">
          <w:rPr>
            <w:noProof/>
            <w:webHidden/>
          </w:rPr>
          <w:t>33</w:t>
        </w:r>
        <w:r w:rsidR="002C65A6">
          <w:rPr>
            <w:noProof/>
            <w:webHidden/>
          </w:rPr>
          <w:fldChar w:fldCharType="end"/>
        </w:r>
      </w:hyperlink>
    </w:p>
    <w:p w14:paraId="3E20F1AA" w14:textId="400EF409" w:rsidR="002C65A6" w:rsidRDefault="00F72351">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017B36">
          <w:rPr>
            <w:noProof/>
            <w:webHidden/>
          </w:rPr>
          <w:t>34</w:t>
        </w:r>
        <w:r w:rsidR="002C65A6">
          <w:rPr>
            <w:noProof/>
            <w:webHidden/>
          </w:rPr>
          <w:fldChar w:fldCharType="end"/>
        </w:r>
      </w:hyperlink>
    </w:p>
    <w:p w14:paraId="10E3E984" w14:textId="18B4C953" w:rsidR="002C65A6" w:rsidRDefault="00F72351">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017B36">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5465C8A2"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r w:rsidR="0048688F">
        <w:rPr>
          <w:rFonts w:ascii="Verdana" w:hAnsi="Verdana"/>
        </w:rPr>
        <w:t xml:space="preserve">, </w:t>
      </w:r>
      <w:r w:rsidR="0048688F" w:rsidRPr="00125E12">
        <w:rPr>
          <w:rStyle w:val="Pogrubienie"/>
          <w:rFonts w:ascii="Verdana" w:hAnsi="Verdana"/>
          <w:color w:val="1B1B1B"/>
          <w:shd w:val="clear" w:color="auto" w:fill="FFFFFF"/>
        </w:rPr>
        <w:t>NIP</w:t>
      </w:r>
      <w:r w:rsidR="0048688F" w:rsidRPr="00125E12">
        <w:rPr>
          <w:rFonts w:ascii="Verdana" w:hAnsi="Verdana"/>
          <w:color w:val="1B1B1B"/>
          <w:shd w:val="clear" w:color="auto" w:fill="FFFFFF"/>
        </w:rPr>
        <w:t> </w:t>
      </w:r>
      <w:r w:rsidR="0048688F" w:rsidRPr="00125E12">
        <w:rPr>
          <w:rFonts w:ascii="Verdana" w:hAnsi="Verdana"/>
          <w:b/>
          <w:color w:val="1B1B1B"/>
          <w:shd w:val="clear" w:color="auto" w:fill="FFFFFF"/>
        </w:rPr>
        <w:t>113 20 97 244</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06A4A343" w:rsidR="00AD3426" w:rsidRPr="00D37A69" w:rsidRDefault="00673601" w:rsidP="00F87A4E">
      <w:pPr>
        <w:pStyle w:val="Tekstpodstawowy3"/>
        <w:numPr>
          <w:ilvl w:val="0"/>
          <w:numId w:val="2"/>
        </w:numPr>
        <w:tabs>
          <w:tab w:val="clear" w:pos="720"/>
        </w:tabs>
        <w:spacing w:line="276" w:lineRule="auto"/>
        <w:ind w:left="426" w:hanging="426"/>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7246CE" w:rsidRPr="00D37A69">
        <w:rPr>
          <w:rFonts w:ascii="Verdana" w:hAnsi="Verdana"/>
          <w:b w:val="0"/>
          <w:bCs/>
          <w:sz w:val="20"/>
        </w:rPr>
        <w:t>drogi ekspresowej nr</w:t>
      </w:r>
      <w:r w:rsidR="008A1DCF">
        <w:rPr>
          <w:rFonts w:ascii="Verdana" w:hAnsi="Verdana"/>
          <w:b w:val="0"/>
          <w:bCs/>
          <w:sz w:val="20"/>
        </w:rPr>
        <w:t xml:space="preserve"> </w:t>
      </w:r>
      <w:r w:rsidR="003F03C4">
        <w:rPr>
          <w:rFonts w:ascii="Verdana" w:hAnsi="Verdana"/>
          <w:b w:val="0"/>
          <w:bCs/>
          <w:sz w:val="20"/>
        </w:rPr>
        <w:t>8</w:t>
      </w:r>
      <w:r w:rsidR="0033011B">
        <w:rPr>
          <w:rFonts w:ascii="Verdana" w:hAnsi="Verdana"/>
          <w:b w:val="0"/>
          <w:bCs/>
          <w:sz w:val="20"/>
        </w:rPr>
        <w:t>.</w:t>
      </w:r>
    </w:p>
    <w:p w14:paraId="680A25E5" w14:textId="77777777" w:rsidR="00842E1B" w:rsidRDefault="00842E1B" w:rsidP="00842E1B">
      <w:pPr>
        <w:jc w:val="both"/>
        <w:rPr>
          <w:rFonts w:ascii="Verdana" w:hAnsi="Verdana"/>
          <w:bCs/>
        </w:rPr>
      </w:pPr>
    </w:p>
    <w:p w14:paraId="326A3D21" w14:textId="363CD4CE" w:rsidR="00AD3426" w:rsidRPr="009430E6" w:rsidRDefault="00842E1B" w:rsidP="008B5FCF">
      <w:pPr>
        <w:pStyle w:val="Akapitzlist"/>
        <w:numPr>
          <w:ilvl w:val="0"/>
          <w:numId w:val="2"/>
        </w:numPr>
        <w:tabs>
          <w:tab w:val="clear" w:pos="720"/>
        </w:tabs>
        <w:ind w:left="426"/>
        <w:jc w:val="both"/>
        <w:rPr>
          <w:rFonts w:ascii="Verdana" w:eastAsiaTheme="minorHAnsi" w:hAnsi="Verdana" w:cs="Verdana"/>
          <w:color w:val="000000"/>
        </w:rPr>
      </w:pPr>
      <w:r w:rsidRPr="009430E6">
        <w:rPr>
          <w:rFonts w:ascii="Verdana" w:hAnsi="Verdana"/>
          <w:bCs/>
        </w:rPr>
        <w:t xml:space="preserve">W pasie drogowym drogi ekspresowej nr 8 znajduje się Nieruchomość przeznaczona na Miejsce Obsługi Podróżnych MOP Prosienica, zlokalizowany po prawej stronie drogi ekspresowej 8, km </w:t>
      </w:r>
      <w:r w:rsidRPr="009430E6">
        <w:rPr>
          <w:rFonts w:ascii="Verdana" w:eastAsiaTheme="minorHAnsi" w:hAnsi="Verdana" w:cstheme="minorBidi"/>
        </w:rPr>
        <w:t>559+900, jezdnia prawa,</w:t>
      </w:r>
      <w:r w:rsidRPr="009430E6">
        <w:rPr>
          <w:rFonts w:ascii="Verdana" w:eastAsiaTheme="minorHAnsi" w:hAnsi="Verdana" w:cs="Verdana"/>
          <w:color w:val="000000"/>
        </w:rPr>
        <w:t xml:space="preserve"> na terenie gminy Ostrów Mazowiecka, powiat Ostrów Mazowiecka</w:t>
      </w:r>
      <w:r w:rsidR="009430E6" w:rsidRPr="009430E6">
        <w:rPr>
          <w:rFonts w:ascii="Verdana" w:eastAsiaTheme="minorHAnsi" w:hAnsi="Verdana" w:cs="Verdana"/>
          <w:color w:val="000000"/>
        </w:rPr>
        <w:t>,</w:t>
      </w:r>
      <w:r w:rsidRPr="009430E6">
        <w:rPr>
          <w:rFonts w:ascii="Verdana" w:eastAsiaTheme="minorHAnsi" w:hAnsi="Verdana" w:cs="Verdana"/>
          <w:color w:val="000000"/>
        </w:rPr>
        <w:t xml:space="preserve"> województwo mazowieckie, </w:t>
      </w:r>
      <w:r w:rsidRPr="009430E6">
        <w:rPr>
          <w:rFonts w:ascii="Verdana" w:hAnsi="Verdana"/>
          <w:bCs/>
        </w:rPr>
        <w:t>p</w:t>
      </w:r>
      <w:r w:rsidR="002769AD" w:rsidRPr="009430E6">
        <w:rPr>
          <w:rFonts w:ascii="Verdana" w:hAnsi="Verdana"/>
          <w:bCs/>
        </w:rPr>
        <w:t>ołożony jest na działkach o numerach:</w:t>
      </w:r>
    </w:p>
    <w:p w14:paraId="714B07D1" w14:textId="77777777" w:rsidR="002769AD" w:rsidRDefault="002769AD">
      <w:pPr>
        <w:pStyle w:val="Tekstpodstawowy3"/>
        <w:spacing w:line="276" w:lineRule="auto"/>
        <w:ind w:left="720"/>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2769AD" w:rsidRPr="002769AD" w14:paraId="0778C76A" w14:textId="77777777" w:rsidTr="002769AD">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55B80E88"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1255F8" w14:textId="77777777" w:rsidR="002769AD" w:rsidRPr="002769AD" w:rsidRDefault="002769AD" w:rsidP="002769AD">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numer ewid. działki / działek</w:t>
            </w:r>
          </w:p>
        </w:tc>
      </w:tr>
      <w:tr w:rsidR="002769AD" w:rsidRPr="002769AD" w14:paraId="3FEDFC61" w14:textId="77777777" w:rsidTr="002769AD">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3F86E973" w14:textId="1345F02E" w:rsidR="002769AD" w:rsidRPr="002769AD" w:rsidRDefault="00842E1B" w:rsidP="002769AD">
            <w:pPr>
              <w:widowControl/>
              <w:overflowPunct/>
              <w:autoSpaceDE/>
              <w:autoSpaceDN/>
              <w:adjustRightInd/>
              <w:jc w:val="center"/>
              <w:rPr>
                <w:rFonts w:ascii="Calibri" w:hAnsi="Calibri" w:cs="Calibri"/>
                <w:color w:val="000000"/>
                <w:sz w:val="22"/>
                <w:szCs w:val="22"/>
                <w:lang w:eastAsia="pl-PL"/>
              </w:rPr>
            </w:pPr>
            <w:r>
              <w:rPr>
                <w:rFonts w:ascii="Calibri" w:hAnsi="Calibri" w:cs="Calibri"/>
                <w:color w:val="000000"/>
                <w:sz w:val="22"/>
                <w:szCs w:val="22"/>
                <w:lang w:eastAsia="pl-PL"/>
              </w:rPr>
              <w:t>Prosienica</w:t>
            </w:r>
          </w:p>
        </w:tc>
        <w:tc>
          <w:tcPr>
            <w:tcW w:w="3220" w:type="dxa"/>
            <w:tcBorders>
              <w:top w:val="nil"/>
              <w:left w:val="nil"/>
              <w:bottom w:val="nil"/>
              <w:right w:val="single" w:sz="4" w:space="0" w:color="auto"/>
            </w:tcBorders>
            <w:shd w:val="clear" w:color="auto" w:fill="auto"/>
            <w:vAlign w:val="center"/>
            <w:hideMark/>
          </w:tcPr>
          <w:p w14:paraId="35B6C69B" w14:textId="7D1BCF87" w:rsidR="002769AD" w:rsidRPr="002769AD" w:rsidRDefault="002769AD" w:rsidP="008B5FCF">
            <w:pPr>
              <w:widowControl/>
              <w:overflowPunct/>
              <w:autoSpaceDE/>
              <w:autoSpaceDN/>
              <w:adjustRightInd/>
              <w:jc w:val="center"/>
              <w:rPr>
                <w:rFonts w:ascii="Calibri" w:hAnsi="Calibri" w:cs="Calibri"/>
                <w:sz w:val="22"/>
                <w:szCs w:val="22"/>
                <w:lang w:eastAsia="pl-PL"/>
              </w:rPr>
            </w:pPr>
            <w:r w:rsidRPr="002769AD">
              <w:rPr>
                <w:rFonts w:ascii="Calibri" w:hAnsi="Calibri" w:cs="Calibri"/>
                <w:sz w:val="22"/>
                <w:szCs w:val="22"/>
                <w:lang w:eastAsia="pl-PL"/>
              </w:rPr>
              <w:t>2</w:t>
            </w:r>
            <w:r w:rsidR="00842E1B">
              <w:rPr>
                <w:rFonts w:ascii="Calibri" w:hAnsi="Calibri" w:cs="Calibri"/>
                <w:sz w:val="22"/>
                <w:szCs w:val="22"/>
                <w:lang w:eastAsia="pl-PL"/>
              </w:rPr>
              <w:t>51</w:t>
            </w:r>
          </w:p>
        </w:tc>
      </w:tr>
      <w:tr w:rsidR="002769AD" w:rsidRPr="002769AD" w14:paraId="16DED6BB" w14:textId="77777777" w:rsidTr="002769AD">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7F7E770" w14:textId="5A27129F" w:rsidR="002769AD" w:rsidRPr="002769AD" w:rsidRDefault="002769AD" w:rsidP="008B5FCF">
            <w:pPr>
              <w:widowControl/>
              <w:overflowPunct/>
              <w:autoSpaceDE/>
              <w:autoSpaceDN/>
              <w:adjustRightInd/>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6C767120" w14:textId="2EF55E70" w:rsidR="002769AD" w:rsidRPr="002769AD" w:rsidRDefault="00842E1B" w:rsidP="002769AD">
            <w:pPr>
              <w:widowControl/>
              <w:overflowPunct/>
              <w:autoSpaceDE/>
              <w:autoSpaceDN/>
              <w:adjustRightInd/>
              <w:jc w:val="center"/>
              <w:rPr>
                <w:rFonts w:ascii="Calibri" w:hAnsi="Calibri" w:cs="Calibri"/>
                <w:sz w:val="22"/>
                <w:szCs w:val="22"/>
                <w:lang w:eastAsia="pl-PL"/>
              </w:rPr>
            </w:pPr>
            <w:r>
              <w:rPr>
                <w:rFonts w:ascii="Calibri" w:hAnsi="Calibri" w:cs="Calibri"/>
                <w:sz w:val="22"/>
                <w:szCs w:val="22"/>
                <w:lang w:eastAsia="pl-PL"/>
              </w:rPr>
              <w:t>252</w:t>
            </w:r>
          </w:p>
        </w:tc>
      </w:tr>
      <w:tr w:rsidR="002769AD" w:rsidRPr="002769AD" w14:paraId="66A053EF" w14:textId="77777777" w:rsidTr="00F87A4E">
        <w:trPr>
          <w:trHeight w:val="68"/>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23BB2164" w14:textId="351D8EC5" w:rsidR="002769AD" w:rsidRPr="002769AD" w:rsidRDefault="002769AD" w:rsidP="008B5FCF">
            <w:pPr>
              <w:widowControl/>
              <w:overflowPunct/>
              <w:autoSpaceDE/>
              <w:autoSpaceDN/>
              <w:adjustRightInd/>
              <w:rPr>
                <w:rFonts w:ascii="Calibri" w:hAnsi="Calibri" w:cs="Calibri"/>
                <w:color w:val="000000"/>
                <w:sz w:val="22"/>
                <w:szCs w:val="22"/>
                <w:lang w:eastAsia="pl-PL"/>
              </w:rPr>
            </w:pPr>
          </w:p>
        </w:tc>
        <w:tc>
          <w:tcPr>
            <w:tcW w:w="3220" w:type="dxa"/>
            <w:tcBorders>
              <w:top w:val="nil"/>
              <w:left w:val="nil"/>
              <w:bottom w:val="single" w:sz="4" w:space="0" w:color="auto"/>
              <w:right w:val="single" w:sz="4" w:space="0" w:color="auto"/>
            </w:tcBorders>
            <w:shd w:val="clear" w:color="auto" w:fill="auto"/>
            <w:vAlign w:val="center"/>
          </w:tcPr>
          <w:p w14:paraId="5CFCBB0A" w14:textId="0EDD265A" w:rsidR="002769AD" w:rsidRPr="002769AD" w:rsidRDefault="002769AD" w:rsidP="008B5FCF">
            <w:pPr>
              <w:widowControl/>
              <w:overflowPunct/>
              <w:autoSpaceDE/>
              <w:autoSpaceDN/>
              <w:adjustRightInd/>
              <w:rPr>
                <w:rFonts w:ascii="Calibri" w:hAnsi="Calibri" w:cs="Calibri"/>
                <w:sz w:val="22"/>
                <w:szCs w:val="22"/>
                <w:lang w:eastAsia="pl-PL"/>
              </w:rPr>
            </w:pPr>
          </w:p>
        </w:tc>
      </w:tr>
    </w:tbl>
    <w:p w14:paraId="09ED106D" w14:textId="77777777" w:rsidR="002769AD" w:rsidRPr="00D37A69" w:rsidRDefault="002769AD">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2" w:name="_Toc204624853"/>
    </w:p>
    <w:p w14:paraId="3A0D3540" w14:textId="35FCC6D7" w:rsidR="00AD3426" w:rsidRPr="00D37A69" w:rsidRDefault="00673601">
      <w:pPr>
        <w:jc w:val="both"/>
        <w:outlineLvl w:val="0"/>
        <w:rPr>
          <w:rFonts w:ascii="Verdana" w:hAnsi="Verdana"/>
          <w:b/>
          <w:i/>
        </w:rPr>
      </w:pPr>
      <w:bookmarkStart w:id="3"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3"/>
      <w:r w:rsidRPr="00D37A69">
        <w:rPr>
          <w:rFonts w:ascii="Verdana" w:hAnsi="Verdana"/>
          <w:b/>
          <w:i/>
        </w:rPr>
        <w:t xml:space="preserve"> </w:t>
      </w:r>
      <w:bookmarkEnd w:id="2"/>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4" w:name="_Toc204624854"/>
      <w:r w:rsidRPr="00D37A69">
        <w:rPr>
          <w:rFonts w:ascii="Verdana" w:hAnsi="Verdana"/>
        </w:rPr>
        <w:t>Ilekroć w niniejszej Umowie jest mowa o:</w:t>
      </w:r>
      <w:bookmarkEnd w:id="4"/>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0834817" w:rsidR="00AD3426" w:rsidRPr="0073235A" w:rsidRDefault="0033011B" w:rsidP="0033011B">
            <w:pPr>
              <w:pStyle w:val="Tekstpodstawowy"/>
              <w:rPr>
                <w:rFonts w:ascii="Verdana" w:hAnsi="Verdana" w:cs="Arial"/>
                <w:b/>
                <w:bCs/>
                <w:sz w:val="20"/>
                <w:u w:val="none"/>
              </w:rPr>
            </w:pPr>
            <w:r>
              <w:rPr>
                <w:rFonts w:ascii="Verdana" w:hAnsi="Verdana"/>
                <w:b/>
                <w:bCs/>
                <w:sz w:val="20"/>
                <w:u w:val="none"/>
              </w:rPr>
              <w:t>D</w:t>
            </w:r>
            <w:r w:rsidR="008226A0">
              <w:rPr>
                <w:rFonts w:ascii="Verdana" w:hAnsi="Verdana"/>
                <w:b/>
                <w:bCs/>
                <w:sz w:val="20"/>
                <w:u w:val="none"/>
              </w:rPr>
              <w:t>rodze E</w:t>
            </w:r>
            <w:r w:rsidR="001A5D97" w:rsidRPr="0073235A">
              <w:rPr>
                <w:rFonts w:ascii="Verdana" w:hAnsi="Verdana"/>
                <w:b/>
                <w:bCs/>
                <w:sz w:val="20"/>
                <w:u w:val="none"/>
              </w:rPr>
              <w:t>kspresowej</w:t>
            </w:r>
          </w:p>
        </w:tc>
        <w:tc>
          <w:tcPr>
            <w:tcW w:w="5492" w:type="dxa"/>
            <w:tcMar>
              <w:top w:w="85" w:type="dxa"/>
              <w:left w:w="108" w:type="dxa"/>
              <w:bottom w:w="85" w:type="dxa"/>
              <w:right w:w="108" w:type="dxa"/>
            </w:tcMar>
          </w:tcPr>
          <w:p w14:paraId="3C5E0FCF" w14:textId="2009FE50" w:rsidR="00AD3426" w:rsidRPr="0073235A" w:rsidRDefault="00673601" w:rsidP="00F87A4E">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1A5D97" w:rsidRPr="0073235A">
              <w:rPr>
                <w:rFonts w:ascii="Verdana" w:hAnsi="Verdana"/>
                <w:bCs/>
                <w:sz w:val="20"/>
                <w:u w:val="none"/>
              </w:rPr>
              <w:t xml:space="preserve">drogę ekspresową </w:t>
            </w:r>
            <w:r w:rsidR="0033011B">
              <w:rPr>
                <w:rFonts w:ascii="Verdana" w:hAnsi="Verdana"/>
                <w:bCs/>
                <w:sz w:val="20"/>
                <w:u w:val="none"/>
              </w:rPr>
              <w:t xml:space="preserve">nr </w:t>
            </w:r>
            <w:r w:rsidR="00F87A4E">
              <w:rPr>
                <w:rFonts w:ascii="Verdana" w:hAnsi="Verdana"/>
                <w:bCs/>
                <w:sz w:val="20"/>
                <w:u w:val="none"/>
              </w:rPr>
              <w:t>8.</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636D2608" w:rsidR="00AD3426" w:rsidRPr="0073235A" w:rsidRDefault="00E05207" w:rsidP="00E10BA3">
            <w:pPr>
              <w:pStyle w:val="Tekstpodstawowy"/>
              <w:rPr>
                <w:rFonts w:ascii="Verdana" w:hAnsi="Verdana" w:cs="Arial"/>
                <w:sz w:val="20"/>
                <w:u w:val="none"/>
              </w:rPr>
            </w:pPr>
            <w:r w:rsidRPr="00E05207">
              <w:rPr>
                <w:rFonts w:ascii="Verdana" w:hAnsi="Verdana" w:cs="Arial"/>
                <w:sz w:val="20"/>
                <w:u w:val="none"/>
              </w:rPr>
              <w:t>Należy przez to rozumieć Miejsce Obsługi Podróżnych spełniające warunki określone w Dziale III Rozdzia</w:t>
            </w:r>
            <w:r>
              <w:rPr>
                <w:rFonts w:ascii="Verdana" w:hAnsi="Verdana" w:cs="Arial"/>
                <w:sz w:val="20"/>
                <w:u w:val="none"/>
              </w:rPr>
              <w:t>ł</w:t>
            </w:r>
            <w:r w:rsidRPr="00E05207">
              <w:rPr>
                <w:rFonts w:ascii="Verdana" w:hAnsi="Verdana" w:cs="Arial"/>
                <w:sz w:val="20"/>
                <w:u w:val="none"/>
              </w:rPr>
              <w:t xml:space="preserve"> </w:t>
            </w:r>
            <w:r>
              <w:rPr>
                <w:rFonts w:ascii="Verdana" w:hAnsi="Verdana" w:cs="Arial"/>
                <w:sz w:val="20"/>
                <w:u w:val="none"/>
              </w:rPr>
              <w:t>2 Oddział 5</w:t>
            </w:r>
            <w:r w:rsidRPr="00E05207">
              <w:rPr>
                <w:rFonts w:ascii="Verdana" w:hAnsi="Verdana" w:cs="Arial"/>
                <w:sz w:val="20"/>
                <w:u w:val="none"/>
              </w:rPr>
              <w:t xml:space="preserve"> Rozporządzenia Ministra Infrastruktury z dnia 2</w:t>
            </w:r>
            <w:r>
              <w:rPr>
                <w:rFonts w:ascii="Verdana" w:hAnsi="Verdana" w:cs="Arial"/>
                <w:sz w:val="20"/>
                <w:u w:val="none"/>
              </w:rPr>
              <w:t>4</w:t>
            </w:r>
            <w:r w:rsidRPr="00E05207">
              <w:rPr>
                <w:rFonts w:ascii="Verdana" w:hAnsi="Verdana" w:cs="Arial"/>
                <w:sz w:val="20"/>
                <w:u w:val="none"/>
              </w:rPr>
              <w:t xml:space="preserve"> </w:t>
            </w:r>
            <w:r>
              <w:rPr>
                <w:rFonts w:ascii="Verdana" w:hAnsi="Verdana" w:cs="Arial"/>
                <w:sz w:val="20"/>
                <w:u w:val="none"/>
              </w:rPr>
              <w:t>czerwca</w:t>
            </w:r>
            <w:r w:rsidRPr="00E05207">
              <w:rPr>
                <w:rFonts w:ascii="Verdana" w:hAnsi="Verdana" w:cs="Arial"/>
                <w:sz w:val="20"/>
                <w:u w:val="none"/>
              </w:rPr>
              <w:t xml:space="preserve"> 2022 roku w sprawie przepisów techniczno-budowlanych</w:t>
            </w:r>
            <w:r>
              <w:t xml:space="preserve"> </w:t>
            </w:r>
            <w:r w:rsidRPr="00E05207">
              <w:rPr>
                <w:rFonts w:ascii="Verdana" w:hAnsi="Verdana" w:cs="Arial"/>
                <w:sz w:val="20"/>
                <w:u w:val="none"/>
              </w:rPr>
              <w:t>dotyczących dróg publicznych</w:t>
            </w:r>
            <w:r>
              <w:rPr>
                <w:rFonts w:ascii="Verdana" w:hAnsi="Verdana" w:cs="Arial"/>
                <w:sz w:val="20"/>
                <w:u w:val="none"/>
              </w:rPr>
              <w:t>.</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5" w:name="_Toc7181455"/>
      <w:r w:rsidRPr="0073235A">
        <w:rPr>
          <w:rFonts w:ascii="Verdana" w:hAnsi="Verdana"/>
          <w:i/>
          <w:color w:val="auto"/>
          <w:sz w:val="20"/>
          <w:lang w:val="pl-PL"/>
        </w:rPr>
        <w:t>ARTYKUŁ 2 – PRZEDMIOT UMOWY</w:t>
      </w:r>
      <w:bookmarkEnd w:id="5"/>
    </w:p>
    <w:p w14:paraId="4F5C6E3E" w14:textId="77777777" w:rsidR="00AD3426" w:rsidRPr="0073235A" w:rsidRDefault="00AD3426">
      <w:pPr>
        <w:widowControl/>
        <w:jc w:val="both"/>
        <w:rPr>
          <w:rFonts w:ascii="Verdana" w:hAnsi="Verdana"/>
          <w:bCs/>
        </w:rPr>
      </w:pPr>
    </w:p>
    <w:p w14:paraId="27FE11AC" w14:textId="18A94A69"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1C7F621B"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E05207" w:rsidRPr="00E05207">
        <w:t xml:space="preserve"> </w:t>
      </w:r>
      <w:r w:rsidR="00E05207" w:rsidRPr="00E05207">
        <w:rPr>
          <w:rFonts w:ascii="Verdana" w:hAnsi="Verdana"/>
          <w:bCs/>
        </w:rPr>
        <w:t>określoną w art. 5.1 oraz</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6"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6"/>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rsidP="00654E6C">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7" w:name="_Toc7181457"/>
      <w:r w:rsidRPr="0073235A">
        <w:rPr>
          <w:rFonts w:ascii="Verdana" w:hAnsi="Verdana"/>
          <w:i/>
          <w:color w:val="auto"/>
          <w:sz w:val="20"/>
          <w:lang w:val="pl-PL"/>
        </w:rPr>
        <w:t>ARTYKUŁ 4 – PRZEDMIOT DZIERŻAWY</w:t>
      </w:r>
      <w:bookmarkEnd w:id="7"/>
    </w:p>
    <w:p w14:paraId="0F2ADA49" w14:textId="77777777" w:rsidR="00AD3426" w:rsidRPr="0073235A" w:rsidRDefault="00AD3426">
      <w:pPr>
        <w:widowControl/>
        <w:jc w:val="both"/>
        <w:rPr>
          <w:rFonts w:ascii="Verdana" w:hAnsi="Verdana"/>
        </w:rPr>
      </w:pPr>
    </w:p>
    <w:p w14:paraId="7A04D0AC" w14:textId="2E701D65" w:rsidR="00AD3426" w:rsidRPr="0073235A" w:rsidRDefault="00673601" w:rsidP="004B1882">
      <w:pPr>
        <w:widowControl/>
        <w:ind w:left="708"/>
        <w:jc w:val="both"/>
        <w:rPr>
          <w:rFonts w:ascii="Verdana" w:hAnsi="Verdana"/>
        </w:rPr>
      </w:pPr>
      <w:r w:rsidRPr="0073235A">
        <w:rPr>
          <w:rFonts w:ascii="Verdana" w:hAnsi="Verdana"/>
        </w:rPr>
        <w:t>Przedmiotem dzierżawy jest Nieruchomość z przeznaczeniem pod MOP</w:t>
      </w:r>
      <w:r w:rsidR="00E05207">
        <w:rPr>
          <w:rFonts w:ascii="Verdana" w:hAnsi="Verdana"/>
        </w:rPr>
        <w:t>.</w:t>
      </w:r>
      <w:r w:rsidR="0024724E">
        <w:rPr>
          <w:rFonts w:ascii="Verdana" w:hAnsi="Verdana"/>
          <w:b/>
          <w:bCs/>
        </w:rPr>
        <w:t>.</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8" w:name="_Toc7181458"/>
      <w:r w:rsidRPr="0073235A">
        <w:rPr>
          <w:rFonts w:ascii="Verdana" w:hAnsi="Verdana"/>
          <w:i/>
          <w:color w:val="auto"/>
          <w:sz w:val="20"/>
          <w:lang w:val="pl-PL"/>
        </w:rPr>
        <w:t>ARTYKUŁ 5 – ZAGOSPODAROWANIE PRZEDMIOTU DZIERŻAWY - OBOWIĄZEK ORAZ HARMONOGRAM WYKONAWCZY</w:t>
      </w:r>
      <w:bookmarkEnd w:id="8"/>
    </w:p>
    <w:p w14:paraId="27ECB9B2" w14:textId="77777777" w:rsidR="00AD3426" w:rsidRPr="0073235A" w:rsidRDefault="00AD3426">
      <w:pPr>
        <w:pStyle w:val="Nagwek1"/>
        <w:jc w:val="both"/>
        <w:rPr>
          <w:rFonts w:ascii="Verdana" w:hAnsi="Verdana"/>
          <w:color w:val="auto"/>
          <w:sz w:val="20"/>
          <w:lang w:val="pl-PL"/>
        </w:rPr>
      </w:pPr>
    </w:p>
    <w:p w14:paraId="0576B4C0" w14:textId="77777777" w:rsidR="00E05207" w:rsidRPr="00053353" w:rsidRDefault="00E05207" w:rsidP="00E05207">
      <w:pPr>
        <w:widowControl/>
        <w:numPr>
          <w:ilvl w:val="1"/>
          <w:numId w:val="5"/>
        </w:numPr>
        <w:tabs>
          <w:tab w:val="clear" w:pos="360"/>
          <w:tab w:val="num" w:pos="709"/>
        </w:tabs>
        <w:ind w:left="709" w:hanging="709"/>
        <w:jc w:val="both"/>
        <w:rPr>
          <w:rFonts w:ascii="Verdana" w:hAnsi="Verdana"/>
        </w:rPr>
      </w:pPr>
      <w:r w:rsidRPr="00053353">
        <w:rPr>
          <w:rFonts w:ascii="Verdana" w:hAnsi="Verdana"/>
        </w:rPr>
        <w:t>Wydzierżawiający wskazuje, że teren MOP powinien zostać wyposażony w stanowiska postojowe, jezdnie manewrowe, urządzenia wypoczynkowe, sanitarne, oświetlenie oraz w stację paliw, stanowiska do obsługi pojazdów, obiekty gastronomiczno-handlowe, informację turystyczną, a także w elementy określone w OPF.</w:t>
      </w:r>
    </w:p>
    <w:p w14:paraId="3600DAE7" w14:textId="77777777" w:rsidR="00E05207" w:rsidRPr="00053353" w:rsidRDefault="00E05207" w:rsidP="00E05207">
      <w:pPr>
        <w:widowControl/>
        <w:ind w:left="709"/>
        <w:jc w:val="both"/>
        <w:rPr>
          <w:rFonts w:ascii="Verdana" w:hAnsi="Verdana"/>
        </w:rPr>
      </w:pPr>
    </w:p>
    <w:p w14:paraId="59DAAFC0" w14:textId="77777777" w:rsidR="00E05207" w:rsidRPr="00053353" w:rsidRDefault="00E05207" w:rsidP="00E05207">
      <w:pPr>
        <w:widowControl/>
        <w:numPr>
          <w:ilvl w:val="1"/>
          <w:numId w:val="5"/>
        </w:numPr>
        <w:tabs>
          <w:tab w:val="clear" w:pos="360"/>
          <w:tab w:val="num" w:pos="709"/>
        </w:tabs>
        <w:ind w:left="709" w:hanging="709"/>
        <w:jc w:val="both"/>
        <w:rPr>
          <w:rFonts w:ascii="Verdana" w:hAnsi="Verdana"/>
        </w:rPr>
      </w:pPr>
      <w:r w:rsidRPr="00053353">
        <w:rPr>
          <w:rFonts w:ascii="Verdana" w:hAnsi="Verdana"/>
        </w:rPr>
        <w:t>W przypadku konieczności zagospodarowania MOP w inne wyposażenie niewymienione w art. 5.1. Dzierżawca wystąpi do Wydzierżawiającego z pisemnym wnioskiem o zgodę na jego realizację.</w:t>
      </w:r>
    </w:p>
    <w:p w14:paraId="0DF830D9" w14:textId="77777777" w:rsidR="00E05207" w:rsidRPr="00E05207" w:rsidRDefault="00E05207" w:rsidP="00053353">
      <w:pPr>
        <w:widowControl/>
        <w:jc w:val="both"/>
        <w:rPr>
          <w:rFonts w:ascii="Verdana" w:hAnsi="Verdana"/>
        </w:rPr>
      </w:pPr>
    </w:p>
    <w:p w14:paraId="4F9642EB" w14:textId="3644F1AC" w:rsidR="00BE02AB"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52920CDC" w14:textId="77777777" w:rsidR="00BE02AB" w:rsidRPr="00E74719" w:rsidRDefault="00BE02AB" w:rsidP="00BE02AB">
      <w:pPr>
        <w:widowControl/>
        <w:ind w:left="709"/>
        <w:jc w:val="both"/>
        <w:rPr>
          <w:rFonts w:ascii="Verdana" w:hAnsi="Verdana"/>
        </w:rPr>
      </w:pPr>
    </w:p>
    <w:p w14:paraId="0BB82871"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Strony zgodnie postanawiają, że w dobrej wierze oraz posiadanych możliwości będą współpracować oraz spójnie realizować zadania w zakresie zapewnienia infrastruktury dla paliw alternatywnych na MOP, a w szczególności przy realizacji stacji tankowania wodoru. </w:t>
      </w:r>
    </w:p>
    <w:p w14:paraId="32F43A90" w14:textId="77777777" w:rsidR="00E74719" w:rsidRPr="00E74719" w:rsidRDefault="00E74719" w:rsidP="00E74719">
      <w:pPr>
        <w:widowControl/>
        <w:ind w:left="709"/>
        <w:jc w:val="both"/>
        <w:rPr>
          <w:rFonts w:ascii="Verdana" w:hAnsi="Verdana"/>
        </w:rPr>
      </w:pPr>
    </w:p>
    <w:p w14:paraId="5E77730A"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Dzierżawca przyjmuje do wiadomości, że </w:t>
      </w:r>
      <w:bookmarkStart w:id="9" w:name="_Hlk98838168"/>
      <w:r w:rsidRPr="00E74719">
        <w:rPr>
          <w:rFonts w:ascii="Verdana" w:hAnsi="Verdana"/>
        </w:rPr>
        <w:t xml:space="preserve">decyzja o wybudowaniu stacji do tankowania wodoru zostanie podjęta przez Dzierżawcę/ Wydzierżawiającego. </w:t>
      </w:r>
      <w:bookmarkEnd w:id="9"/>
    </w:p>
    <w:p w14:paraId="27852079" w14:textId="77777777" w:rsidR="00E74719" w:rsidRPr="00E74719" w:rsidRDefault="00E74719" w:rsidP="00E74719">
      <w:pPr>
        <w:widowControl/>
        <w:ind w:left="709"/>
        <w:jc w:val="both"/>
        <w:rPr>
          <w:rFonts w:ascii="Verdana" w:hAnsi="Verdana"/>
        </w:rPr>
      </w:pPr>
    </w:p>
    <w:p w14:paraId="393B93A1" w14:textId="35A1F753"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 xml:space="preserve"> Strony uzgadniają, że stacja tankowania wodoru może być wybudowana przez Dzierżawcę (przy zachowaniu warunków od 5.</w:t>
      </w:r>
      <w:r w:rsidR="00E05207">
        <w:rPr>
          <w:rFonts w:ascii="Verdana" w:hAnsi="Verdana"/>
        </w:rPr>
        <w:t>10</w:t>
      </w:r>
      <w:r w:rsidR="00E05207" w:rsidRPr="00E74719">
        <w:rPr>
          <w:rFonts w:ascii="Verdana" w:hAnsi="Verdana"/>
        </w:rPr>
        <w:t xml:space="preserve"> </w:t>
      </w:r>
      <w:r w:rsidRPr="00E74719">
        <w:rPr>
          <w:rFonts w:ascii="Verdana" w:hAnsi="Verdana"/>
        </w:rPr>
        <w:t>do 5.</w:t>
      </w:r>
      <w:r w:rsidR="00E05207">
        <w:rPr>
          <w:rFonts w:ascii="Verdana" w:hAnsi="Verdana"/>
        </w:rPr>
        <w:t>20</w:t>
      </w:r>
      <w:r w:rsidRPr="00E74719">
        <w:rPr>
          <w:rFonts w:ascii="Verdana" w:hAnsi="Verdana"/>
        </w:rPr>
        <w:t xml:space="preserve">) lub w przypadku braku możliwości lub woli realizacji takiej infrastruktury przez Dzierżawcę, stacja wodorowa może zostać wybudowana przez podmiot zewnętrzny, wskazany przez Wydzierżawiającego. </w:t>
      </w:r>
    </w:p>
    <w:p w14:paraId="3D9B60E1" w14:textId="77777777" w:rsidR="00E74719" w:rsidRPr="00E74719" w:rsidRDefault="00E74719" w:rsidP="00E74719"/>
    <w:p w14:paraId="0CE065F8" w14:textId="77777777"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 chwili podjęcia decyzji przez Wydzierżawiającego</w:t>
      </w:r>
      <w:r w:rsidRPr="00E74719">
        <w:t xml:space="preserve"> </w:t>
      </w:r>
      <w:r w:rsidRPr="00E74719">
        <w:rPr>
          <w:rFonts w:ascii="Verdana" w:hAnsi="Verdana"/>
        </w:rPr>
        <w:t xml:space="preserve">o konieczności wybudowania stacji tankowania wodoru w przedmiotowej lokalizacji, Dzierżawca zobowiązuje się do współpracy w przedmiotowym zakresie z podmiotem zewnętrznym oraz Wydzierżawiającym,  na warunkach wskazanych przez Wydzierżawiającego. </w:t>
      </w:r>
    </w:p>
    <w:p w14:paraId="17B4807C" w14:textId="77777777" w:rsidR="00E74719" w:rsidRPr="00E74719" w:rsidRDefault="00E74719" w:rsidP="00E74719">
      <w:pPr>
        <w:pStyle w:val="Akapitzlist"/>
        <w:rPr>
          <w:rFonts w:ascii="Verdana" w:hAnsi="Verdana"/>
        </w:rPr>
      </w:pPr>
    </w:p>
    <w:p w14:paraId="02B1E107" w14:textId="219A030C" w:rsidR="00E74719" w:rsidRPr="00E74719" w:rsidRDefault="00E74719" w:rsidP="00E74719">
      <w:pPr>
        <w:widowControl/>
        <w:numPr>
          <w:ilvl w:val="1"/>
          <w:numId w:val="5"/>
        </w:numPr>
        <w:tabs>
          <w:tab w:val="clear" w:pos="360"/>
          <w:tab w:val="num" w:pos="709"/>
        </w:tabs>
        <w:ind w:left="709" w:hanging="709"/>
        <w:jc w:val="both"/>
        <w:rPr>
          <w:rFonts w:ascii="Verdana" w:hAnsi="Verdana"/>
        </w:rPr>
      </w:pPr>
      <w:r w:rsidRPr="00E74719">
        <w:rPr>
          <w:rFonts w:ascii="Verdana" w:hAnsi="Verdana"/>
        </w:rPr>
        <w:t>Wydzierżawiający zastrzega, iż warunki umiejscowienia i realizacji stacji tankowania wodoru, o której mowa w art. 5.</w:t>
      </w:r>
      <w:r w:rsidR="00E05207">
        <w:rPr>
          <w:rFonts w:ascii="Verdana" w:hAnsi="Verdana"/>
        </w:rPr>
        <w:t>6</w:t>
      </w:r>
      <w:r w:rsidRPr="00E74719">
        <w:rPr>
          <w:rFonts w:ascii="Verdana" w:hAnsi="Verdana"/>
        </w:rPr>
        <w:t xml:space="preserve">, a także warunki współpracy zostaną określone </w:t>
      </w:r>
      <w:r w:rsidRPr="00E74719">
        <w:rPr>
          <w:rFonts w:ascii="Verdana" w:hAnsi="Verdana"/>
        </w:rPr>
        <w:br/>
        <w:t>w aneksie do umowy lub w odrębnych umowach.</w:t>
      </w:r>
    </w:p>
    <w:p w14:paraId="34CB7081" w14:textId="77777777" w:rsidR="00BE02AB" w:rsidRPr="0073235A" w:rsidRDefault="00BE02AB" w:rsidP="00BE02AB">
      <w:pPr>
        <w:widowControl/>
        <w:jc w:val="both"/>
        <w:rPr>
          <w:rFonts w:ascii="Verdana" w:hAnsi="Verdana"/>
        </w:rPr>
      </w:pPr>
    </w:p>
    <w:p w14:paraId="7BA7CC1E" w14:textId="77777777" w:rsidR="00BE02AB" w:rsidRPr="0073235A" w:rsidRDefault="00BE02AB" w:rsidP="00BE02AB">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6F4E9122" w14:textId="77777777" w:rsidR="00BE02AB" w:rsidRPr="0073235A" w:rsidRDefault="00BE02AB" w:rsidP="00BE02AB">
      <w:pPr>
        <w:widowControl/>
        <w:jc w:val="both"/>
        <w:rPr>
          <w:rFonts w:ascii="Verdana" w:hAnsi="Verdana"/>
        </w:rPr>
      </w:pPr>
    </w:p>
    <w:p w14:paraId="3422B778" w14:textId="77777777" w:rsidR="00BE02AB" w:rsidRPr="0073235A" w:rsidRDefault="00BE02AB" w:rsidP="00BE02AB">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32E542A6" w14:textId="77777777" w:rsidR="00BE02AB" w:rsidRPr="0073235A" w:rsidRDefault="00BE02AB" w:rsidP="00BE02AB">
      <w:pPr>
        <w:pStyle w:val="Akapitzlist"/>
        <w:rPr>
          <w:rFonts w:ascii="Verdana" w:hAnsi="Verdana"/>
        </w:rPr>
      </w:pPr>
    </w:p>
    <w:p w14:paraId="203A9BCB"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03778B26" w14:textId="77777777" w:rsidR="00BE02AB" w:rsidRPr="0073235A" w:rsidRDefault="00BE02AB" w:rsidP="00BE02AB">
      <w:pPr>
        <w:widowControl/>
        <w:jc w:val="both"/>
        <w:rPr>
          <w:rFonts w:ascii="Verdana" w:hAnsi="Verdana"/>
        </w:rPr>
      </w:pPr>
    </w:p>
    <w:p w14:paraId="1C21E07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5AACD66C" w14:textId="77777777" w:rsidR="00BE02AB" w:rsidRPr="0073235A" w:rsidRDefault="00BE02AB" w:rsidP="00BE02AB">
      <w:pPr>
        <w:widowControl/>
        <w:jc w:val="both"/>
        <w:rPr>
          <w:rFonts w:ascii="Verdana" w:hAnsi="Verdana"/>
        </w:rPr>
      </w:pPr>
    </w:p>
    <w:p w14:paraId="33AAD8FB" w14:textId="77777777" w:rsidR="00BE02AB" w:rsidRPr="0073235A" w:rsidRDefault="00BE02AB" w:rsidP="00BE02AB">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3C52F6AA" w14:textId="77777777" w:rsidR="00BE02AB" w:rsidRPr="0073235A" w:rsidRDefault="00BE02AB" w:rsidP="00BE02AB">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r>
      <w:r w:rsidRPr="0073235A">
        <w:rPr>
          <w:rFonts w:ascii="Verdana" w:hAnsi="Verdana"/>
        </w:rPr>
        <w:lastRenderedPageBreak/>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55CDBDA9"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50F1D76F" w14:textId="77777777" w:rsidR="00BE02AB" w:rsidRPr="0073235A" w:rsidRDefault="00BE02AB" w:rsidP="00BE02AB">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68E28B66" w14:textId="77777777" w:rsidR="00BE02AB" w:rsidRPr="0073235A" w:rsidRDefault="00BE02AB" w:rsidP="00BE02AB">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60AAC3C" w14:textId="77777777" w:rsidR="00BE02AB" w:rsidRPr="0073235A" w:rsidRDefault="00BE02AB" w:rsidP="00BE02AB">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727E4E03" w14:textId="77777777" w:rsidR="00BE02AB" w:rsidRPr="0073235A" w:rsidRDefault="00BE02AB" w:rsidP="00BE02AB">
      <w:pPr>
        <w:widowControl/>
        <w:jc w:val="both"/>
        <w:rPr>
          <w:rFonts w:ascii="Verdana" w:hAnsi="Verdana"/>
        </w:rPr>
      </w:pPr>
      <w:r w:rsidRPr="0073235A">
        <w:rPr>
          <w:rFonts w:ascii="Verdana" w:hAnsi="Verdana"/>
        </w:rPr>
        <w:tab/>
      </w:r>
    </w:p>
    <w:p w14:paraId="7283CF9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45BF8921" w14:textId="77777777" w:rsidR="00BE02AB" w:rsidRPr="0073235A" w:rsidRDefault="00BE02AB" w:rsidP="00BE02AB">
      <w:pPr>
        <w:widowControl/>
        <w:jc w:val="both"/>
        <w:rPr>
          <w:rFonts w:ascii="Verdana" w:hAnsi="Verdana"/>
        </w:rPr>
      </w:pPr>
    </w:p>
    <w:p w14:paraId="5FFC968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78275CDB" w14:textId="77777777" w:rsidR="00BE02AB" w:rsidRPr="0073235A" w:rsidRDefault="00BE02AB" w:rsidP="00BE02AB">
      <w:pPr>
        <w:widowControl/>
        <w:jc w:val="both"/>
        <w:rPr>
          <w:rFonts w:ascii="Verdana" w:hAnsi="Verdana"/>
        </w:rPr>
      </w:pPr>
      <w:r w:rsidRPr="0073235A">
        <w:rPr>
          <w:rFonts w:ascii="Verdana" w:hAnsi="Verdana"/>
        </w:rPr>
        <w:t xml:space="preserve"> </w:t>
      </w:r>
    </w:p>
    <w:p w14:paraId="1922370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0A57F3A" w14:textId="77777777" w:rsidR="00BE02AB" w:rsidRPr="0073235A" w:rsidRDefault="00BE02AB" w:rsidP="00BE02AB">
      <w:pPr>
        <w:pStyle w:val="Akapitzlist"/>
        <w:rPr>
          <w:rFonts w:ascii="Verdana" w:hAnsi="Verdana"/>
        </w:rPr>
      </w:pPr>
    </w:p>
    <w:p w14:paraId="780EA7B0"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6544000C" w14:textId="77777777" w:rsidR="00BE02AB" w:rsidRPr="0073235A" w:rsidRDefault="00BE02AB" w:rsidP="00BE02AB">
      <w:pPr>
        <w:pStyle w:val="Akapitzlist"/>
        <w:rPr>
          <w:rFonts w:ascii="Verdana" w:hAnsi="Verdana"/>
        </w:rPr>
      </w:pPr>
    </w:p>
    <w:p w14:paraId="7CC2C8F6"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57A48831" w14:textId="77777777" w:rsidR="00BE02AB" w:rsidRPr="0073235A" w:rsidRDefault="00BE02AB" w:rsidP="00BE02AB">
      <w:pPr>
        <w:widowControl/>
        <w:jc w:val="both"/>
        <w:rPr>
          <w:rFonts w:ascii="Verdana" w:hAnsi="Verdana"/>
        </w:rPr>
      </w:pPr>
      <w:r w:rsidRPr="0073235A">
        <w:rPr>
          <w:rFonts w:ascii="Verdana" w:hAnsi="Verdana"/>
        </w:rPr>
        <w:t xml:space="preserve"> </w:t>
      </w:r>
    </w:p>
    <w:p w14:paraId="5E099F5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232706C" w14:textId="77777777" w:rsidR="00BE02AB" w:rsidRPr="0073235A" w:rsidRDefault="00BE02AB" w:rsidP="00BE02AB">
      <w:pPr>
        <w:widowControl/>
        <w:jc w:val="both"/>
        <w:rPr>
          <w:rFonts w:ascii="Verdana" w:hAnsi="Verdana"/>
        </w:rPr>
      </w:pPr>
    </w:p>
    <w:p w14:paraId="540FB254" w14:textId="2C73994F" w:rsidR="00BE02AB" w:rsidRPr="0073235A" w:rsidRDefault="00BE02AB" w:rsidP="00BE02AB">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Pr="00AE1EE1">
        <w:rPr>
          <w:rFonts w:ascii="Verdana" w:hAnsi="Verdana"/>
          <w:bCs/>
        </w:rPr>
        <w:t>1</w:t>
      </w:r>
      <w:r w:rsidR="0038336D">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79392B36" w14:textId="77777777" w:rsidR="00BE02AB" w:rsidRPr="0073235A" w:rsidRDefault="00BE02AB" w:rsidP="00BE02AB">
      <w:pPr>
        <w:widowControl/>
        <w:ind w:left="360"/>
        <w:jc w:val="both"/>
        <w:rPr>
          <w:rFonts w:ascii="Verdana" w:hAnsi="Verdana"/>
        </w:rPr>
      </w:pPr>
    </w:p>
    <w:p w14:paraId="213BA9A2" w14:textId="69CD3D25" w:rsidR="00BE02AB" w:rsidRPr="0073235A" w:rsidRDefault="00BE02AB" w:rsidP="00BE02AB">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38336D">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08E77ECD" w14:textId="77777777" w:rsidR="00BE02AB" w:rsidRPr="0073235A" w:rsidRDefault="00BE02AB" w:rsidP="00BE02AB">
      <w:pPr>
        <w:widowControl/>
        <w:ind w:left="708" w:hanging="708"/>
        <w:jc w:val="both"/>
        <w:rPr>
          <w:rFonts w:ascii="Verdana" w:hAnsi="Verdana"/>
        </w:rPr>
      </w:pPr>
    </w:p>
    <w:p w14:paraId="33F834D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rozpocznie realizację Inwestycji nie później niż w terminie 21 (dwudziestu jeden) dni po uzyskaniu ostatecznej decyzji o pozwoleniu na budowę. </w:t>
      </w:r>
    </w:p>
    <w:p w14:paraId="541123E8" w14:textId="77777777" w:rsidR="00BE02AB" w:rsidRPr="0073235A" w:rsidRDefault="00BE02AB" w:rsidP="00BE02AB">
      <w:pPr>
        <w:widowControl/>
        <w:jc w:val="both"/>
        <w:rPr>
          <w:rFonts w:ascii="Verdana" w:hAnsi="Verdana"/>
        </w:rPr>
      </w:pPr>
    </w:p>
    <w:p w14:paraId="309B4D67"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Pr="0073235A">
        <w:rPr>
          <w:rFonts w:ascii="Verdana" w:hAnsi="Verdana"/>
        </w:rPr>
        <w:br/>
        <w:t>w terminie 7 (siedmiu) dni od daty zaistnienia danej zmiany.</w:t>
      </w:r>
    </w:p>
    <w:p w14:paraId="50F54541" w14:textId="77777777" w:rsidR="00BE02AB" w:rsidRPr="0073235A" w:rsidRDefault="00BE02AB" w:rsidP="00BE02AB">
      <w:pPr>
        <w:widowControl/>
        <w:jc w:val="both"/>
        <w:rPr>
          <w:rFonts w:ascii="Verdana" w:hAnsi="Verdana"/>
        </w:rPr>
      </w:pPr>
    </w:p>
    <w:p w14:paraId="6C6EAA79"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6C8ED851" w14:textId="77777777" w:rsidR="00BE02AB" w:rsidRPr="0073235A" w:rsidRDefault="00BE02AB" w:rsidP="00BE02AB">
      <w:pPr>
        <w:pStyle w:val="Akapitzlist"/>
        <w:rPr>
          <w:rFonts w:ascii="Verdana" w:hAnsi="Verdana"/>
        </w:rPr>
      </w:pPr>
    </w:p>
    <w:p w14:paraId="3F0D9F13"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089C7B4A" w14:textId="77777777" w:rsidR="00BE02AB" w:rsidRPr="0073235A" w:rsidRDefault="00BE02AB" w:rsidP="00BE02AB">
      <w:pPr>
        <w:widowControl/>
        <w:jc w:val="both"/>
        <w:rPr>
          <w:rFonts w:ascii="Verdana" w:hAnsi="Verdana"/>
        </w:rPr>
      </w:pPr>
    </w:p>
    <w:p w14:paraId="7632821F"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0AB6E0F7" w14:textId="77777777" w:rsidR="00BE02AB" w:rsidRPr="0073235A" w:rsidRDefault="00BE02AB" w:rsidP="00BE02AB">
      <w:pPr>
        <w:widowControl/>
        <w:jc w:val="both"/>
        <w:rPr>
          <w:rFonts w:ascii="Verdana" w:hAnsi="Verdana"/>
        </w:rPr>
      </w:pPr>
    </w:p>
    <w:p w14:paraId="24E12765"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6CB101FD" w14:textId="77777777" w:rsidR="00BE02AB" w:rsidRPr="0073235A" w:rsidRDefault="00BE02AB" w:rsidP="00BE02AB">
      <w:pPr>
        <w:widowControl/>
        <w:jc w:val="both"/>
        <w:rPr>
          <w:rFonts w:ascii="Verdana" w:hAnsi="Verdana"/>
        </w:rPr>
      </w:pPr>
    </w:p>
    <w:p w14:paraId="5DA63EDE" w14:textId="7777777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4DC6C382" w14:textId="77777777" w:rsidR="00BE02AB" w:rsidRPr="0073235A" w:rsidRDefault="00BE02AB" w:rsidP="00BE02AB">
      <w:pPr>
        <w:widowControl/>
        <w:jc w:val="both"/>
        <w:rPr>
          <w:rFonts w:ascii="Verdana" w:hAnsi="Verdana"/>
        </w:rPr>
      </w:pPr>
    </w:p>
    <w:p w14:paraId="5D472B8A" w14:textId="01AF9F4B"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sidR="0038336D">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0E5E3AC2" w14:textId="77777777" w:rsidR="00BE02AB" w:rsidRPr="0073235A" w:rsidRDefault="00BE02AB" w:rsidP="00BE02AB">
      <w:pPr>
        <w:widowControl/>
        <w:jc w:val="both"/>
        <w:rPr>
          <w:rFonts w:ascii="Verdana" w:hAnsi="Verdana"/>
        </w:rPr>
      </w:pPr>
    </w:p>
    <w:p w14:paraId="5000CDFC" w14:textId="1CDE5097"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38336D">
        <w:rPr>
          <w:rFonts w:ascii="Verdana" w:hAnsi="Verdana"/>
        </w:rPr>
        <w:t>7</w:t>
      </w:r>
      <w:r w:rsidRPr="0073235A">
        <w:rPr>
          <w:rFonts w:ascii="Verdana" w:hAnsi="Verdana"/>
        </w:rPr>
        <w:t>.-5.2</w:t>
      </w:r>
      <w:r w:rsidR="0038336D">
        <w:rPr>
          <w:rFonts w:ascii="Verdana" w:hAnsi="Verdana"/>
        </w:rPr>
        <w:t>8</w:t>
      </w:r>
      <w:r w:rsidRPr="0073235A">
        <w:rPr>
          <w:rFonts w:ascii="Verdana" w:hAnsi="Verdana"/>
        </w:rPr>
        <w:t xml:space="preserve">. powyżej, to Dzierżawca zwolni Wydzierżawiającego </w:t>
      </w:r>
      <w:r w:rsidRPr="0073235A">
        <w:rPr>
          <w:rFonts w:ascii="Verdana" w:hAnsi="Verdana"/>
        </w:rPr>
        <w:br/>
      </w:r>
      <w:r w:rsidRPr="0073235A">
        <w:rPr>
          <w:rFonts w:ascii="Verdana" w:hAnsi="Verdana"/>
        </w:rPr>
        <w:lastRenderedPageBreak/>
        <w:t>z obowiązku zaspokojenia takich roszczeń niezwłocznie po otrzymaniu pisemnego wezwania Wydzierżawiającego.</w:t>
      </w:r>
    </w:p>
    <w:p w14:paraId="49EB2E83" w14:textId="77777777" w:rsidR="00BE02AB" w:rsidRPr="0073235A" w:rsidRDefault="00BE02AB" w:rsidP="00BE02AB">
      <w:pPr>
        <w:widowControl/>
        <w:jc w:val="both"/>
        <w:rPr>
          <w:rFonts w:ascii="Verdana" w:hAnsi="Verdana"/>
        </w:rPr>
      </w:pPr>
    </w:p>
    <w:p w14:paraId="5E643BFE" w14:textId="33F7E08A" w:rsidR="00BE02AB" w:rsidRPr="0073235A" w:rsidRDefault="00BE02AB" w:rsidP="00BE02AB">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38336D">
        <w:rPr>
          <w:rFonts w:ascii="Verdana" w:hAnsi="Verdana"/>
        </w:rPr>
        <w:t>7</w:t>
      </w:r>
      <w:r w:rsidRPr="0073235A">
        <w:rPr>
          <w:rFonts w:ascii="Verdana" w:hAnsi="Verdana"/>
        </w:rPr>
        <w:t>-5.2</w:t>
      </w:r>
      <w:r w:rsidR="0038336D">
        <w:rPr>
          <w:rFonts w:ascii="Verdana" w:hAnsi="Verdana"/>
        </w:rPr>
        <w:t>8</w:t>
      </w:r>
      <w:r w:rsidRPr="0073235A">
        <w:rPr>
          <w:rFonts w:ascii="Verdana" w:hAnsi="Verdana"/>
        </w:rPr>
        <w:t xml:space="preserve"> powyżej, będzie usuwany w trybie oraz na zasadach określonych art. 22.1. – 22.6. poniżej.</w:t>
      </w:r>
    </w:p>
    <w:p w14:paraId="465E6866" w14:textId="77777777" w:rsidR="00BE02AB" w:rsidRPr="0073235A" w:rsidRDefault="00BE02AB" w:rsidP="00BE02AB">
      <w:pPr>
        <w:widowControl/>
        <w:jc w:val="both"/>
        <w:rPr>
          <w:rFonts w:ascii="Verdana" w:hAnsi="Verdana"/>
        </w:rPr>
      </w:pPr>
    </w:p>
    <w:p w14:paraId="39973384" w14:textId="0D28BE9C" w:rsidR="00AD3426" w:rsidRPr="0073235A" w:rsidRDefault="00BE02AB"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 Dz. U. z 2018 r. poz. 1202 ze zm.) oraz do dokonywania zmian w przedmiocie dzierżawy </w:t>
      </w:r>
      <w:r w:rsidRPr="0073235A">
        <w:rPr>
          <w:rFonts w:ascii="Verdana" w:hAnsi="Verdana"/>
        </w:rPr>
        <w:br/>
        <w:t>w zakresie zgodnym z niniejszą Umową</w:t>
      </w:r>
      <w:r w:rsidR="00673601" w:rsidRPr="0073235A">
        <w:rPr>
          <w:rFonts w:ascii="Verdana" w:hAnsi="Verdana"/>
        </w:rPr>
        <w:t>.</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10" w:name="_Toc7181459"/>
      <w:r w:rsidRPr="0073235A">
        <w:rPr>
          <w:rFonts w:ascii="Verdana" w:hAnsi="Verdana"/>
          <w:i/>
          <w:color w:val="auto"/>
          <w:sz w:val="20"/>
        </w:rPr>
        <w:t>ARTYKUŁ 6 - PRZEZNACZENIE NIERUCHOMOŚCI</w:t>
      </w:r>
      <w:bookmarkEnd w:id="10"/>
    </w:p>
    <w:p w14:paraId="08EA9890" w14:textId="77777777" w:rsidR="00AD3426" w:rsidRPr="0073235A" w:rsidRDefault="00AD3426">
      <w:pPr>
        <w:widowControl/>
        <w:tabs>
          <w:tab w:val="left" w:pos="720"/>
        </w:tabs>
        <w:jc w:val="both"/>
        <w:rPr>
          <w:rFonts w:ascii="Verdana" w:hAnsi="Verdana"/>
        </w:rPr>
      </w:pPr>
    </w:p>
    <w:p w14:paraId="2AEB8EED" w14:textId="5807AD23"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publicznych </w:t>
      </w:r>
      <w:r w:rsidR="00C06E3E" w:rsidRPr="0073235A">
        <w:rPr>
          <w:rFonts w:ascii="Verdana" w:hAnsi="Verdana"/>
          <w:color w:val="000000"/>
        </w:rPr>
        <w:t>( Dz. U. z 2018 r. poz. 2068)</w:t>
      </w:r>
      <w:r w:rsidR="00E10BA3">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0038336D" w:rsidRPr="0038336D">
        <w:rPr>
          <w:rFonts w:ascii="Verdana" w:hAnsi="Verdana"/>
          <w:color w:val="000000"/>
        </w:rPr>
        <w:t>określonych w Dziale III</w:t>
      </w:r>
      <w:r w:rsidR="0038336D">
        <w:rPr>
          <w:rFonts w:ascii="Verdana" w:hAnsi="Verdana"/>
          <w:color w:val="000000"/>
        </w:rPr>
        <w:t>,</w:t>
      </w:r>
      <w:r w:rsidR="0038336D" w:rsidRPr="0038336D">
        <w:rPr>
          <w:rFonts w:ascii="Verdana" w:hAnsi="Verdana"/>
          <w:color w:val="000000"/>
        </w:rPr>
        <w:t xml:space="preserve"> Rozdzia</w:t>
      </w:r>
      <w:r w:rsidR="0038336D">
        <w:rPr>
          <w:rFonts w:ascii="Verdana" w:hAnsi="Verdana"/>
          <w:color w:val="000000"/>
        </w:rPr>
        <w:t>ł 2, Oddział</w:t>
      </w:r>
      <w:r w:rsidR="0038336D" w:rsidRPr="0038336D">
        <w:rPr>
          <w:rFonts w:ascii="Verdana" w:hAnsi="Verdana"/>
          <w:color w:val="000000"/>
        </w:rPr>
        <w:t xml:space="preserve"> 5 Rozporządzenia Ministra Infrastruktury z dnia 2</w:t>
      </w:r>
      <w:r w:rsidR="0038336D">
        <w:rPr>
          <w:rFonts w:ascii="Verdana" w:hAnsi="Verdana"/>
          <w:color w:val="000000"/>
        </w:rPr>
        <w:t>4</w:t>
      </w:r>
      <w:r w:rsidR="0038336D" w:rsidRPr="0038336D">
        <w:rPr>
          <w:rFonts w:ascii="Verdana" w:hAnsi="Verdana"/>
          <w:color w:val="000000"/>
        </w:rPr>
        <w:t xml:space="preserve"> </w:t>
      </w:r>
      <w:r w:rsidR="0038336D">
        <w:rPr>
          <w:rFonts w:ascii="Verdana" w:hAnsi="Verdana"/>
          <w:color w:val="000000"/>
        </w:rPr>
        <w:t>czerwca</w:t>
      </w:r>
      <w:r w:rsidR="0038336D" w:rsidRPr="0038336D">
        <w:rPr>
          <w:rFonts w:ascii="Verdana" w:hAnsi="Verdana"/>
          <w:color w:val="000000"/>
        </w:rPr>
        <w:t xml:space="preserve"> 2022 roku w sprawie przepisów techniczno-budowlanych dla dróg publicznych (Dz. U. z 2022 r poz. 1518 z zastrzeżeniem art. 5.1 niniejszej umowy</w:t>
      </w:r>
      <w:r w:rsidR="00E10BA3" w:rsidRPr="0073235A">
        <w:rPr>
          <w:rFonts w:ascii="Verdana" w:hAnsi="Verdana"/>
          <w:color w:val="000000"/>
        </w:rPr>
        <w:t xml:space="preserve"> oraz</w:t>
      </w:r>
      <w:r w:rsidRPr="0073235A">
        <w:rPr>
          <w:rFonts w:ascii="Verdana" w:hAnsi="Verdana"/>
          <w:color w:val="000000"/>
        </w:rPr>
        <w:t xml:space="preserve"> w celu prowadzenia </w:t>
      </w:r>
      <w:r w:rsidRPr="0073235A">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w:t>
      </w:r>
      <w:r w:rsidRPr="0073235A">
        <w:rPr>
          <w:rFonts w:ascii="Verdana" w:hAnsi="Verdana"/>
        </w:rPr>
        <w:lastRenderedPageBreak/>
        <w:t xml:space="preserve">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1" w:name="_Toc7181460"/>
      <w:r w:rsidRPr="0073235A">
        <w:rPr>
          <w:rFonts w:ascii="Verdana" w:hAnsi="Verdana"/>
          <w:i/>
          <w:color w:val="auto"/>
          <w:sz w:val="20"/>
        </w:rPr>
        <w:t>ARTYKUŁ 7 – CZAS TRWANIA DZIERŻAWY</w:t>
      </w:r>
      <w:bookmarkEnd w:id="11"/>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2" w:name="_Toc7181461"/>
      <w:r w:rsidRPr="0073235A">
        <w:rPr>
          <w:rFonts w:ascii="Verdana" w:hAnsi="Verdana"/>
          <w:i/>
          <w:color w:val="auto"/>
          <w:sz w:val="20"/>
        </w:rPr>
        <w:t>ARTYKUŁ 8 – ODBIÓR</w:t>
      </w:r>
      <w:bookmarkEnd w:id="12"/>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lastRenderedPageBreak/>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lastRenderedPageBreak/>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47852078"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3B355F8" w14:textId="77777777" w:rsidR="009E6AFC" w:rsidRDefault="009E6AFC">
      <w:pPr>
        <w:widowControl/>
        <w:overflowPunct/>
        <w:autoSpaceDE/>
        <w:autoSpaceDN/>
        <w:adjustRightInd/>
        <w:rPr>
          <w:rFonts w:ascii="Verdana" w:hAnsi="Verdana"/>
        </w:rPr>
      </w:pPr>
    </w:p>
    <w:p w14:paraId="3A7D2129" w14:textId="77777777" w:rsidR="009E6AFC" w:rsidRDefault="009E6AFC">
      <w:pPr>
        <w:widowControl/>
        <w:overflowPunct/>
        <w:autoSpaceDE/>
        <w:autoSpaceDN/>
        <w:adjustRightInd/>
        <w:rPr>
          <w:rFonts w:ascii="Verdana" w:hAnsi="Verdana"/>
        </w:rPr>
      </w:pPr>
    </w:p>
    <w:p w14:paraId="418C45F4" w14:textId="77777777" w:rsidR="009E6AFC" w:rsidRDefault="009E6AFC">
      <w:pPr>
        <w:widowControl/>
        <w:overflowPunct/>
        <w:autoSpaceDE/>
        <w:autoSpaceDN/>
        <w:adjustRightInd/>
        <w:rPr>
          <w:rFonts w:ascii="Verdana" w:hAnsi="Verdana"/>
        </w:rPr>
      </w:pPr>
    </w:p>
    <w:p w14:paraId="5386E3F8" w14:textId="77777777" w:rsidR="00AD3426" w:rsidRPr="009E6AFC" w:rsidRDefault="00673601" w:rsidP="009E6AFC">
      <w:pPr>
        <w:widowControl/>
        <w:overflowPunct/>
        <w:autoSpaceDE/>
        <w:autoSpaceDN/>
        <w:adjustRightInd/>
        <w:rPr>
          <w:rFonts w:ascii="Verdana" w:hAnsi="Verdana"/>
          <w:b/>
          <w:i/>
        </w:rPr>
      </w:pPr>
      <w:bookmarkStart w:id="13" w:name="_Toc7181462"/>
      <w:r w:rsidRPr="009E6AFC">
        <w:rPr>
          <w:rFonts w:ascii="Verdana" w:hAnsi="Verdana"/>
          <w:b/>
          <w:i/>
        </w:rPr>
        <w:t>ARTYKUŁ 9 – CZYNSZ</w:t>
      </w:r>
      <w:bookmarkEnd w:id="13"/>
      <w:r w:rsidRPr="009E6AFC">
        <w:rPr>
          <w:rFonts w:ascii="Verdana" w:hAnsi="Verdana"/>
          <w:b/>
          <w:i/>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654E6C">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w:t>
      </w:r>
      <w:r w:rsidRPr="00F06AA9">
        <w:rPr>
          <w:rFonts w:ascii="Verdana" w:hAnsi="Verdana"/>
          <w:b/>
        </w:rPr>
        <w:t>Czynsz Od Przychodu</w:t>
      </w:r>
      <w:r w:rsidRPr="0073235A">
        <w:rPr>
          <w:rFonts w:ascii="Verdana" w:hAnsi="Verdana"/>
        </w:rPr>
        <w:t xml:space="preserve"> stanowiący kwotę </w:t>
      </w:r>
      <w:r w:rsidRPr="00F06AA9">
        <w:rPr>
          <w:rFonts w:ascii="Verdana" w:hAnsi="Verdana"/>
          <w:b/>
        </w:rPr>
        <w:t xml:space="preserve">w wysokości 1% </w:t>
      </w:r>
      <w:r w:rsidRPr="0073235A">
        <w:rPr>
          <w:rFonts w:ascii="Verdana" w:hAnsi="Verdana"/>
        </w:rPr>
        <w:t xml:space="preserve">(jeden procent) </w:t>
      </w:r>
      <w:r w:rsidRPr="00F06AA9">
        <w:rPr>
          <w:rFonts w:ascii="Verdana" w:hAnsi="Verdana"/>
          <w:b/>
        </w:rPr>
        <w:t xml:space="preserve">od całości przychodu netto </w:t>
      </w:r>
      <w:r w:rsidRPr="0073235A">
        <w:rPr>
          <w:rFonts w:ascii="Verdana" w:hAnsi="Verdana"/>
        </w:rPr>
        <w:t xml:space="preserve">uzyskanego przez Dzierżawcę, w danym miesiącu, </w:t>
      </w:r>
      <w:r w:rsidRPr="00F06AA9">
        <w:rPr>
          <w:rFonts w:ascii="Verdana" w:hAnsi="Verdana"/>
          <w:b/>
        </w:rPr>
        <w:t>z tytułu sprzedaży paliw</w:t>
      </w:r>
      <w:r w:rsidRPr="0073235A">
        <w:rPr>
          <w:rFonts w:ascii="Verdana" w:hAnsi="Verdana"/>
        </w:rPr>
        <w:t xml:space="preserve">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w:t>
      </w:r>
      <w:r w:rsidRPr="00F06AA9">
        <w:rPr>
          <w:rFonts w:ascii="Verdana" w:hAnsi="Verdana"/>
          <w:b/>
        </w:rPr>
        <w:t>oraz w wysokości 4%</w:t>
      </w:r>
      <w:r w:rsidRPr="0073235A">
        <w:rPr>
          <w:rFonts w:ascii="Verdana" w:hAnsi="Verdana"/>
        </w:rPr>
        <w:t xml:space="preserve"> (cztery procent) </w:t>
      </w:r>
      <w:r w:rsidRPr="00F06AA9">
        <w:rPr>
          <w:rFonts w:ascii="Verdana" w:hAnsi="Verdana"/>
          <w:b/>
        </w:rPr>
        <w:t>od całości przychodu uzyskanego</w:t>
      </w:r>
      <w:r w:rsidRPr="0073235A">
        <w:rPr>
          <w:rFonts w:ascii="Verdana" w:hAnsi="Verdana"/>
        </w:rPr>
        <w:t xml:space="preserve"> przez Dzierżawcę w danym miesiącu w ramach działalności gospodarczej prowadzonej na Nieruchomości </w:t>
      </w:r>
      <w:r w:rsidR="00FF60B7" w:rsidRPr="0073235A">
        <w:rPr>
          <w:rFonts w:ascii="Verdana" w:hAnsi="Verdana"/>
        </w:rPr>
        <w:t xml:space="preserve">w tym </w:t>
      </w:r>
      <w:r w:rsidR="00FF60B7" w:rsidRPr="00F06AA9">
        <w:rPr>
          <w:rFonts w:ascii="Verdana" w:hAnsi="Verdana"/>
          <w:b/>
        </w:rPr>
        <w:t>z tytułu poddzierżawy</w:t>
      </w:r>
      <w:r w:rsidR="00FF60B7" w:rsidRPr="0073235A">
        <w:rPr>
          <w:rFonts w:ascii="Verdana" w:hAnsi="Verdana"/>
        </w:rPr>
        <w:t xml:space="preserve">,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654E6C">
      <w:pPr>
        <w:ind w:left="720"/>
        <w:jc w:val="both"/>
        <w:rPr>
          <w:rFonts w:ascii="Verdana" w:hAnsi="Verdana"/>
        </w:rPr>
      </w:pPr>
    </w:p>
    <w:p w14:paraId="41D8A14C" w14:textId="3713A41C" w:rsidR="007C4D63" w:rsidRPr="0073235A" w:rsidRDefault="007C4D63" w:rsidP="00654E6C">
      <w:pPr>
        <w:widowControl/>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w:t>
      </w:r>
      <w:r w:rsidR="00D75B10" w:rsidRPr="0073235A">
        <w:rPr>
          <w:rFonts w:ascii="Verdana" w:hAnsi="Verdana"/>
        </w:rPr>
        <w:lastRenderedPageBreak/>
        <w:t xml:space="preserve">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654E6C">
      <w:pPr>
        <w:ind w:left="720"/>
        <w:jc w:val="both"/>
        <w:rPr>
          <w:rFonts w:ascii="Verdana" w:hAnsi="Verdana"/>
        </w:rPr>
      </w:pPr>
      <w:r w:rsidRPr="0073235A">
        <w:rPr>
          <w:rFonts w:ascii="Verdana" w:hAnsi="Verdana"/>
        </w:rPr>
        <w:t xml:space="preserve"> </w:t>
      </w:r>
    </w:p>
    <w:p w14:paraId="2F97ABF3" w14:textId="3A6E04ED" w:rsidR="00203A8D" w:rsidRPr="0073235A" w:rsidRDefault="00203A8D" w:rsidP="00654E6C">
      <w:pPr>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654E6C">
      <w:pPr>
        <w:widowControl/>
        <w:ind w:left="720"/>
        <w:jc w:val="both"/>
        <w:rPr>
          <w:rFonts w:ascii="Verdana" w:hAnsi="Verdana"/>
        </w:rPr>
      </w:pPr>
    </w:p>
    <w:p w14:paraId="36C27A53" w14:textId="0FD1A3EF" w:rsidR="00433806" w:rsidRPr="0073235A" w:rsidRDefault="00433806" w:rsidP="00654E6C">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654E6C">
      <w:pPr>
        <w:widowControl/>
        <w:ind w:left="567" w:hanging="567"/>
        <w:jc w:val="both"/>
        <w:rPr>
          <w:rFonts w:ascii="Verdana" w:hAnsi="Verdana"/>
        </w:rPr>
      </w:pPr>
    </w:p>
    <w:p w14:paraId="4A7B2DC9" w14:textId="77777777" w:rsidR="00433806" w:rsidRPr="0073235A" w:rsidRDefault="00433806" w:rsidP="00654E6C">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654E6C">
      <w:pPr>
        <w:widowControl/>
        <w:tabs>
          <w:tab w:val="left" w:pos="709"/>
        </w:tabs>
        <w:ind w:left="851" w:hanging="425"/>
        <w:jc w:val="both"/>
        <w:rPr>
          <w:rFonts w:ascii="Verdana" w:hAnsi="Verdana"/>
        </w:rPr>
      </w:pPr>
    </w:p>
    <w:p w14:paraId="5835DA58" w14:textId="77777777" w:rsidR="00433806" w:rsidRPr="0073235A" w:rsidRDefault="00433806" w:rsidP="00654E6C">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654E6C">
      <w:pPr>
        <w:pStyle w:val="Akapitzlist"/>
        <w:rPr>
          <w:rFonts w:ascii="Verdana" w:hAnsi="Verdana"/>
        </w:rPr>
      </w:pPr>
    </w:p>
    <w:p w14:paraId="7BCC7EE2" w14:textId="77777777" w:rsidR="00395AB7" w:rsidRPr="0073235A" w:rsidRDefault="00395AB7" w:rsidP="00654E6C">
      <w:pPr>
        <w:widowControl/>
        <w:ind w:left="1134"/>
        <w:jc w:val="both"/>
        <w:rPr>
          <w:rFonts w:ascii="Verdana" w:hAnsi="Verdana"/>
        </w:rPr>
      </w:pPr>
    </w:p>
    <w:p w14:paraId="6F2CAB7F" w14:textId="073BA3BC" w:rsidR="002257D2" w:rsidRPr="0073235A" w:rsidRDefault="00433806" w:rsidP="00654E6C">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7BD30A77" w14:textId="77777777" w:rsidR="00AD3426" w:rsidRPr="0073235A" w:rsidRDefault="00AD3426" w:rsidP="00654E6C">
      <w:pPr>
        <w:widowControl/>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2C0BF86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654E6C">
        <w:rPr>
          <w:rFonts w:ascii="Verdana" w:hAnsi="Verdana"/>
        </w:rPr>
        <w:t>2023</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w:t>
      </w:r>
      <w:r w:rsidR="00654E6C">
        <w:rPr>
          <w:rFonts w:ascii="Verdana" w:hAnsi="Verdana"/>
        </w:rPr>
        <w:t xml:space="preserve"> 2022</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lastRenderedPageBreak/>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4" w:name="_Toc7181463"/>
      <w:r w:rsidRPr="00D37A69">
        <w:rPr>
          <w:rFonts w:ascii="Verdana" w:hAnsi="Verdana"/>
          <w:i/>
          <w:color w:val="auto"/>
          <w:sz w:val="20"/>
          <w:lang w:val="pl-PL"/>
        </w:rPr>
        <w:lastRenderedPageBreak/>
        <w:t>ARTYKUŁ 10 – KOSZTY EKSPLOATACJI I DZIAŁALNOŚCI DZIERŻAWCY</w:t>
      </w:r>
      <w:bookmarkEnd w:id="14"/>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5" w:name="_Toc7181464"/>
      <w:r w:rsidRPr="00D37A69">
        <w:rPr>
          <w:rFonts w:ascii="Verdana" w:hAnsi="Verdana"/>
          <w:i/>
          <w:color w:val="auto"/>
          <w:sz w:val="20"/>
        </w:rPr>
        <w:t>ARTYKUŁ 11 – SPOSÓB ZAPŁATY</w:t>
      </w:r>
      <w:bookmarkEnd w:id="15"/>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6" w:name="_Toc531588308"/>
      <w:bookmarkStart w:id="17" w:name="_Toc531588282"/>
    </w:p>
    <w:p w14:paraId="17A850E1" w14:textId="77777777" w:rsidR="00AD3426" w:rsidRPr="00D37A69" w:rsidRDefault="00673601">
      <w:pPr>
        <w:pStyle w:val="Nagwek1"/>
        <w:jc w:val="both"/>
        <w:rPr>
          <w:rFonts w:ascii="Verdana" w:hAnsi="Verdana"/>
          <w:i/>
          <w:color w:val="auto"/>
          <w:sz w:val="20"/>
          <w:lang w:val="pl-PL"/>
        </w:rPr>
      </w:pPr>
      <w:bookmarkStart w:id="18" w:name="_Toc7181465"/>
      <w:r w:rsidRPr="00D37A69">
        <w:rPr>
          <w:rFonts w:ascii="Verdana" w:hAnsi="Verdana"/>
          <w:i/>
          <w:color w:val="auto"/>
          <w:sz w:val="20"/>
          <w:lang w:val="pl-PL"/>
        </w:rPr>
        <w:t>ARTYKUŁ 12 –SKUTKI UCHYBIEŃ TERMINOM ZAPŁATY</w:t>
      </w:r>
      <w:bookmarkEnd w:id="18"/>
      <w:r w:rsidRPr="00D37A69">
        <w:rPr>
          <w:rFonts w:ascii="Verdana" w:hAnsi="Verdana"/>
          <w:i/>
          <w:color w:val="auto"/>
          <w:sz w:val="20"/>
          <w:lang w:val="pl-PL"/>
        </w:rPr>
        <w:t xml:space="preserve"> </w:t>
      </w:r>
      <w:bookmarkEnd w:id="16"/>
      <w:bookmarkEnd w:id="17"/>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lastRenderedPageBreak/>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9" w:name="_Toc7181466"/>
      <w:r w:rsidRPr="00D37A69">
        <w:rPr>
          <w:rFonts w:ascii="Verdana" w:hAnsi="Verdana"/>
          <w:i/>
          <w:color w:val="auto"/>
          <w:sz w:val="20"/>
          <w:lang w:val="pl-PL"/>
        </w:rPr>
        <w:t>ARTYKUŁ 13 – ZABEZPIECZENIE NALEŻYTEGO WYKONANIA UMOWY</w:t>
      </w:r>
      <w:bookmarkEnd w:id="19"/>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r>
      <w:r w:rsidRPr="0073235A">
        <w:rPr>
          <w:rFonts w:ascii="Verdana" w:hAnsi="Verdana" w:cs="Arial"/>
        </w:rPr>
        <w:lastRenderedPageBreak/>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2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20"/>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42690F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t>
      </w:r>
      <w:r w:rsidR="00377A9A">
        <w:rPr>
          <w:rFonts w:ascii="Verdana" w:hAnsi="Verdana"/>
        </w:rPr>
        <w:br/>
      </w:r>
      <w:r w:rsidRPr="00D37A69">
        <w:rPr>
          <w:rFonts w:ascii="Verdana" w:hAnsi="Verdana"/>
        </w:rPr>
        <w:t>w prognozach, zał</w:t>
      </w:r>
      <w:r w:rsidR="0073235A">
        <w:rPr>
          <w:rFonts w:ascii="Verdana" w:hAnsi="Verdana"/>
        </w:rPr>
        <w:t xml:space="preserve">ożeniach, statystykach czy też </w:t>
      </w:r>
      <w:r w:rsidRPr="00D37A69">
        <w:rPr>
          <w:rFonts w:ascii="Verdana" w:hAnsi="Verdana"/>
        </w:rPr>
        <w:t xml:space="preserve">w jakichkolwiek innych </w:t>
      </w:r>
      <w:r w:rsidRPr="00D37A69">
        <w:rPr>
          <w:rFonts w:ascii="Verdana" w:hAnsi="Verdana"/>
        </w:rPr>
        <w:lastRenderedPageBreak/>
        <w:t xml:space="preserve">opracowaniach, na których oparł się Dzierżawca przy podejmowaniu decyzji </w:t>
      </w:r>
      <w:r w:rsidR="00377A9A">
        <w:rPr>
          <w:rFonts w:ascii="Verdana" w:hAnsi="Verdana"/>
        </w:rPr>
        <w:br/>
      </w:r>
      <w:r w:rsidRPr="00D37A69">
        <w:rPr>
          <w:rFonts w:ascii="Verdana" w:hAnsi="Verdana"/>
        </w:rPr>
        <w:t xml:space="preserve">o złożeniu oferty i/lub zawarciu niniejszej Umowy. Postanowienie to dotyczy też prognoz ruchu drogowego opracowanych na zlecenie Wydzierżawiającego </w:t>
      </w:r>
      <w:r w:rsidR="00377A9A">
        <w:rPr>
          <w:rFonts w:ascii="Verdana" w:hAnsi="Verdana"/>
        </w:rPr>
        <w:br/>
      </w:r>
      <w:r w:rsidRPr="00D37A69">
        <w:rPr>
          <w:rFonts w:ascii="Verdana" w:hAnsi="Verdana"/>
        </w:rPr>
        <w:t xml:space="preserve">a przedstawionych Dzierżawcy. Niższe natężenie ruchu drogowego nie będzie podstawą do zmniejszenia zobowiązań Dzierżawcy wobec Wydzierżawiającego, </w:t>
      </w:r>
      <w:r w:rsidR="00377A9A">
        <w:rPr>
          <w:rFonts w:ascii="Verdana" w:hAnsi="Verdana"/>
        </w:rPr>
        <w:br/>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585E81D1"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1" w:name="_Toc7181468"/>
      <w:r w:rsidRPr="00D37A69">
        <w:rPr>
          <w:rFonts w:ascii="Verdana" w:hAnsi="Verdana"/>
          <w:i/>
          <w:color w:val="auto"/>
          <w:sz w:val="20"/>
          <w:lang w:val="pl-PL"/>
        </w:rPr>
        <w:t>ARTYKUŁ 15 – STAN PRZEDMIOTU DZIERŻAWY ORAZ NAKŁADY</w:t>
      </w:r>
      <w:bookmarkEnd w:id="21"/>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lastRenderedPageBreak/>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2"/>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7D5AACEB" w14:textId="2702830B" w:rsidR="00FC500B" w:rsidRPr="0038336D" w:rsidRDefault="00FC500B" w:rsidP="0038336D">
      <w:pPr>
        <w:widowControl/>
        <w:numPr>
          <w:ilvl w:val="1"/>
          <w:numId w:val="16"/>
        </w:numPr>
        <w:jc w:val="both"/>
        <w:rPr>
          <w:rFonts w:ascii="Verdana" w:hAnsi="Verdana"/>
        </w:rPr>
      </w:pPr>
      <w:r w:rsidRPr="00F06AA9">
        <w:rPr>
          <w:rFonts w:ascii="Verdana" w:hAnsi="Verdana"/>
        </w:rPr>
        <w:t xml:space="preserve">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 </w:t>
      </w:r>
      <w:r w:rsidR="0038336D" w:rsidRPr="0038336D">
        <w:rPr>
          <w:rFonts w:ascii="Verdana" w:hAnsi="Verdana"/>
        </w:rPr>
        <w:t xml:space="preserve">Dla uniknięcia wątpliwości Wydzierżawiający określa, że przez oznakowanie rozumie się również znaki drogowe w ciągu autostrady/drogi ekspresowej informujące kierowców o zbliżaniu się do Miejsca Obsługi Podróżnych, zgodnie z przepisami zawartymi w Rozporządzeniu z dnia 12 października 2021 Ministra Infrastruktury z dnia 12 października 2021 r. zmieniające rozporządzenie w sprawie szczegółowych warunków technicznych dla znaków i sygnałów drogowych oraz </w:t>
      </w:r>
      <w:r w:rsidR="0038336D" w:rsidRPr="0038336D">
        <w:rPr>
          <w:rFonts w:ascii="Verdana" w:hAnsi="Verdana"/>
        </w:rPr>
        <w:lastRenderedPageBreak/>
        <w:t>urządzeń bezpieczeństwa ruchu drogowego i warunków ich umieszczania na drogach (Dz.U. 2021 poz. 2066)</w:t>
      </w:r>
      <w:r w:rsidRPr="0038336D">
        <w:rPr>
          <w:rFonts w:ascii="Verdana" w:hAnsi="Verdana"/>
        </w:rPr>
        <w:t xml:space="preserve"> </w:t>
      </w:r>
    </w:p>
    <w:p w14:paraId="5EFDAC67" w14:textId="77777777" w:rsidR="00FC500B" w:rsidRDefault="00FC500B" w:rsidP="00FC500B">
      <w:pPr>
        <w:pStyle w:val="Akapitzlist"/>
        <w:rPr>
          <w:rFonts w:ascii="Verdana" w:hAnsi="Verdana"/>
        </w:rPr>
      </w:pPr>
    </w:p>
    <w:p w14:paraId="5EAE9E24" w14:textId="77777777" w:rsidR="00AD3426" w:rsidRPr="00FC500B" w:rsidRDefault="00673601" w:rsidP="00FC500B">
      <w:pPr>
        <w:widowControl/>
        <w:numPr>
          <w:ilvl w:val="1"/>
          <w:numId w:val="16"/>
        </w:numPr>
        <w:ind w:left="720" w:hanging="720"/>
        <w:jc w:val="both"/>
        <w:rPr>
          <w:rFonts w:ascii="Verdana" w:hAnsi="Verdana"/>
        </w:rPr>
      </w:pPr>
      <w:r w:rsidRPr="00FC500B">
        <w:rPr>
          <w:rFonts w:ascii="Verdana" w:hAnsi="Verdana"/>
        </w:rPr>
        <w:t xml:space="preserve">Po rozwiązaniu Umowy Dzierżawca zobowiązuje się zwrócić Nieruchomość wraz </w:t>
      </w:r>
      <w:r w:rsidRPr="00FC500B">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3" w:name="_Toc7181470"/>
      <w:r w:rsidRPr="00D37A69">
        <w:rPr>
          <w:rFonts w:ascii="Verdana" w:hAnsi="Verdana"/>
          <w:i/>
          <w:color w:val="auto"/>
          <w:sz w:val="20"/>
          <w:lang w:val="pl-PL"/>
        </w:rPr>
        <w:t>ARTYKUŁ 17 – PRAWO WYDZIERŻAWIAJĄCEGO DO KONTROLI STANU NIERUCHOMOŚCI</w:t>
      </w:r>
      <w:bookmarkEnd w:id="23"/>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4" w:name="_Toc7181471"/>
      <w:r w:rsidRPr="00D37A69">
        <w:rPr>
          <w:rFonts w:ascii="Verdana" w:hAnsi="Verdana"/>
          <w:i/>
          <w:color w:val="auto"/>
          <w:sz w:val="20"/>
        </w:rPr>
        <w:t>ARTYKUŁ 18 – ODPOWIEDZIALNOŚĆ</w:t>
      </w:r>
      <w:bookmarkEnd w:id="24"/>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5" w:name="_Toc7181472"/>
      <w:r w:rsidRPr="00D37A69">
        <w:rPr>
          <w:rFonts w:ascii="Verdana" w:hAnsi="Verdana"/>
          <w:i/>
          <w:color w:val="auto"/>
          <w:sz w:val="20"/>
        </w:rPr>
        <w:t>ARTYKUŁ 19 – UBEZPIECZENIA</w:t>
      </w:r>
      <w:bookmarkEnd w:id="25"/>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w:t>
      </w:r>
      <w:r w:rsidRPr="00D37A69">
        <w:rPr>
          <w:rFonts w:ascii="Verdana" w:hAnsi="Verdana"/>
        </w:rPr>
        <w:lastRenderedPageBreak/>
        <w:t xml:space="preserve">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w:t>
      </w:r>
      <w:r w:rsidRPr="00D37A69">
        <w:rPr>
          <w:rFonts w:ascii="Verdana" w:hAnsi="Verdana"/>
        </w:rPr>
        <w:lastRenderedPageBreak/>
        <w:t xml:space="preserve">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6C83778F" w14:textId="262D1E01" w:rsidR="00AD3426" w:rsidRPr="00D37A69" w:rsidRDefault="00673601" w:rsidP="00017B36">
      <w:pPr>
        <w:spacing w:before="120"/>
        <w:ind w:left="709"/>
        <w:jc w:val="both"/>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6"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6"/>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7" w:name="_Toc7181474"/>
      <w:bookmarkStart w:id="28" w:name="_Toc67549741"/>
      <w:bookmarkStart w:id="29" w:name="_Toc482692749"/>
      <w:r w:rsidRPr="0073235A">
        <w:rPr>
          <w:rFonts w:ascii="Verdana" w:hAnsi="Verdana"/>
          <w:i/>
          <w:color w:val="auto"/>
          <w:sz w:val="20"/>
          <w:lang w:val="pl-PL"/>
        </w:rPr>
        <w:lastRenderedPageBreak/>
        <w:t>ARTYKUŁ 21 - PRAWA AUTORSKIE I POUFNOŚĆ</w:t>
      </w:r>
      <w:bookmarkEnd w:id="27"/>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lastRenderedPageBreak/>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t>
      </w:r>
      <w:r w:rsidRPr="0073235A">
        <w:rPr>
          <w:rFonts w:ascii="Verdana" w:hAnsi="Verdana"/>
        </w:rPr>
        <w:lastRenderedPageBreak/>
        <w:t xml:space="preserve">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30" w:name="_Toc7181475"/>
      <w:bookmarkEnd w:id="28"/>
      <w:bookmarkEnd w:id="29"/>
      <w:r w:rsidRPr="0073235A">
        <w:rPr>
          <w:rFonts w:ascii="Verdana" w:hAnsi="Verdana"/>
          <w:i/>
          <w:color w:val="auto"/>
          <w:sz w:val="20"/>
          <w:lang w:val="pl-PL"/>
        </w:rPr>
        <w:t>ARTYKUŁ 22 – USUWANIE STANU NARUSZENIA</w:t>
      </w:r>
      <w:bookmarkEnd w:id="30"/>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1" w:name="_Toc7181476"/>
      <w:r w:rsidRPr="0073235A">
        <w:rPr>
          <w:rFonts w:ascii="Verdana" w:hAnsi="Verdana"/>
          <w:i/>
          <w:color w:val="auto"/>
          <w:sz w:val="20"/>
          <w:lang w:val="pl-PL"/>
        </w:rPr>
        <w:t>ARTYKUŁ 23 – KARY UMOWNE</w:t>
      </w:r>
      <w:bookmarkEnd w:id="31"/>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Dzierżawca zapłaci wydzierżawiającemu karę umowną w wysokości 36 (trzydzieści sześć) krotności sumy ostatniego Czynszu Podstawowego i ostatniego Czynszu od </w:t>
      </w:r>
      <w:r w:rsidRPr="0073235A">
        <w:rPr>
          <w:rFonts w:ascii="Verdana" w:hAnsi="Verdana"/>
        </w:rPr>
        <w:lastRenderedPageBreak/>
        <w:t>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2" w:name="_Toc7181477"/>
      <w:r w:rsidRPr="0073235A">
        <w:rPr>
          <w:rFonts w:ascii="Verdana" w:hAnsi="Verdana"/>
          <w:i/>
          <w:color w:val="auto"/>
          <w:sz w:val="20"/>
          <w:lang w:val="pl-PL"/>
        </w:rPr>
        <w:t>ARTYKUŁ 24 – WYPOWIEDZENIE UMOWY ZE SKUTKIEM NATYCHMIASTOWYM</w:t>
      </w:r>
      <w:bookmarkEnd w:id="32"/>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w:t>
      </w:r>
      <w:r w:rsidRPr="0073235A">
        <w:rPr>
          <w:rFonts w:ascii="Verdana" w:hAnsi="Verdana"/>
        </w:rPr>
        <w:lastRenderedPageBreak/>
        <w:t xml:space="preserve">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3" w:name="_Toc7181478"/>
      <w:r w:rsidRPr="0073235A">
        <w:rPr>
          <w:rFonts w:ascii="Verdana" w:hAnsi="Verdana"/>
          <w:i/>
          <w:color w:val="auto"/>
          <w:sz w:val="20"/>
          <w:lang w:val="pl-PL"/>
        </w:rPr>
        <w:t>ARTYKUŁ 25 – ZWROT NIERUCHOMOŚCI PO ZAKOŃCZENIU DZIERŻAWY</w:t>
      </w:r>
      <w:bookmarkEnd w:id="33"/>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1004F0F6" w14:textId="77777777" w:rsidR="009430E6" w:rsidRDefault="00673601">
      <w:pPr>
        <w:pStyle w:val="Nagwek1"/>
        <w:jc w:val="left"/>
        <w:rPr>
          <w:rFonts w:ascii="Verdana" w:hAnsi="Verdana"/>
          <w:i/>
          <w:color w:val="auto"/>
          <w:sz w:val="20"/>
          <w:lang w:val="pl-PL"/>
        </w:rPr>
      </w:pPr>
      <w:bookmarkStart w:id="34"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4"/>
    </w:p>
    <w:p w14:paraId="74797901" w14:textId="3F147CCF" w:rsidR="00AD3426" w:rsidRPr="0073235A" w:rsidRDefault="00673601">
      <w:pPr>
        <w:pStyle w:val="Nagwek1"/>
        <w:jc w:val="left"/>
        <w:rPr>
          <w:rFonts w:ascii="Verdana" w:hAnsi="Verdana"/>
          <w:i/>
          <w:color w:val="auto"/>
          <w:sz w:val="20"/>
          <w:lang w:val="pl-PL"/>
        </w:rPr>
      </w:pPr>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5"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5"/>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4AE1CDA4" w14:textId="7E324D2A" w:rsidR="0038336D" w:rsidRPr="00053353" w:rsidRDefault="00673601" w:rsidP="00053353">
      <w:pPr>
        <w:pStyle w:val="Akapitzlist"/>
        <w:widowControl/>
        <w:numPr>
          <w:ilvl w:val="1"/>
          <w:numId w:val="53"/>
        </w:numPr>
        <w:ind w:left="709"/>
        <w:jc w:val="both"/>
        <w:rPr>
          <w:rFonts w:ascii="Verdana" w:hAnsi="Verdana" w:cs="Arial"/>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 xml:space="preserve">985 roku o drogach publicznych, </w:t>
      </w:r>
      <w:r w:rsidRPr="0073235A">
        <w:rPr>
          <w:rFonts w:ascii="Verdana" w:hAnsi="Verdana"/>
        </w:rPr>
        <w:t>ustawy z dnia 27 października 1994 roku o autostradach płatnych oraz o Krajowym Funduszu Drogowym (</w:t>
      </w:r>
      <w:r w:rsidR="00610603" w:rsidRPr="0073235A">
        <w:rPr>
          <w:rFonts w:ascii="Verdana" w:hAnsi="Verdana"/>
        </w:rPr>
        <w:t>Dz. U. z 2018 r. poz.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38336D" w:rsidRPr="00053353">
        <w:rPr>
          <w:rFonts w:ascii="Verdana" w:hAnsi="Verdana" w:cs="Arial"/>
        </w:rPr>
        <w:t xml:space="preserve">Rozporządzenia Ministra Infrastruktury z dnia </w:t>
      </w:r>
      <w:r w:rsidR="00053353">
        <w:rPr>
          <w:rFonts w:ascii="Verdana" w:hAnsi="Verdana" w:cs="Arial"/>
        </w:rPr>
        <w:t>24 czerwca</w:t>
      </w:r>
      <w:r w:rsidR="0038336D" w:rsidRPr="00053353">
        <w:rPr>
          <w:rFonts w:ascii="Verdana" w:hAnsi="Verdana" w:cs="Arial"/>
        </w:rPr>
        <w:t xml:space="preserve"> 2022 roku w sprawie przepisów techniczno-budowlanych dla dróg publicznych (Dz. U. z 2022 r poz. 1518)</w:t>
      </w:r>
    </w:p>
    <w:p w14:paraId="3C8088BC" w14:textId="68C8BB28" w:rsidR="00AD3426" w:rsidRPr="0073235A" w:rsidRDefault="00673601" w:rsidP="00053353">
      <w:pPr>
        <w:pStyle w:val="Akapitzlist"/>
        <w:widowControl/>
        <w:ind w:left="709"/>
        <w:jc w:val="both"/>
        <w:rPr>
          <w:rFonts w:ascii="Verdana" w:hAnsi="Verdana"/>
        </w:rPr>
      </w:pPr>
      <w:r w:rsidRPr="0073235A">
        <w:rPr>
          <w:rFonts w:ascii="Verdana" w:hAnsi="Verdana"/>
        </w:rPr>
        <w:t>.</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39"/>
        <w:gridCol w:w="4576"/>
      </w:tblGrid>
      <w:tr w:rsidR="00AD3426" w:rsidRPr="00D37A69" w14:paraId="657162B1" w14:textId="77777777">
        <w:tc>
          <w:tcPr>
            <w:tcW w:w="4677" w:type="dxa"/>
            <w:shd w:val="clear" w:color="auto" w:fill="auto"/>
          </w:tcPr>
          <w:p w14:paraId="73CD40AB" w14:textId="535F57B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0BB4E585"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lastRenderedPageBreak/>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5E54B846" w14:textId="77777777">
        <w:tc>
          <w:tcPr>
            <w:tcW w:w="4677" w:type="dxa"/>
            <w:shd w:val="clear" w:color="auto" w:fill="auto"/>
          </w:tcPr>
          <w:p w14:paraId="0DFF1F9F" w14:textId="35D5D138"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66C82A22"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10F0F94C" w14:textId="77777777">
        <w:tc>
          <w:tcPr>
            <w:tcW w:w="4677" w:type="dxa"/>
            <w:shd w:val="clear" w:color="auto" w:fill="auto"/>
          </w:tcPr>
          <w:p w14:paraId="3369271C" w14:textId="28053D8F"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6C175D4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70"/>
        <w:gridCol w:w="35"/>
        <w:gridCol w:w="4610"/>
      </w:tblGrid>
      <w:tr w:rsidR="00AD3426" w:rsidRPr="00D37A69" w14:paraId="5D385285" w14:textId="77777777">
        <w:tc>
          <w:tcPr>
            <w:tcW w:w="4677" w:type="dxa"/>
            <w:shd w:val="clear" w:color="auto" w:fill="auto"/>
          </w:tcPr>
          <w:p w14:paraId="1895C735" w14:textId="576368A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1BB3B20E"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6" w:name="_Toc7181481"/>
      <w:bookmarkStart w:id="37" w:name="_Toc434396553"/>
      <w:r w:rsidR="0073235A">
        <w:rPr>
          <w:rFonts w:ascii="Verdana" w:hAnsi="Verdana"/>
          <w:b/>
        </w:rPr>
        <w:lastRenderedPageBreak/>
        <w:t>Załącznik nr 2</w:t>
      </w:r>
      <w:r w:rsidR="007F32B2" w:rsidRPr="00D37A69">
        <w:rPr>
          <w:rFonts w:ascii="Verdana" w:hAnsi="Verdana"/>
          <w:b/>
        </w:rPr>
        <w:t xml:space="preserve">  Umowy Dzierżawy ………………………….</w:t>
      </w:r>
      <w:bookmarkEnd w:id="36"/>
    </w:p>
    <w:p w14:paraId="7C69B6D8" w14:textId="77777777" w:rsidR="00AD3426" w:rsidRPr="00D37A69" w:rsidRDefault="00673601">
      <w:pPr>
        <w:spacing w:line="312" w:lineRule="auto"/>
        <w:jc w:val="both"/>
        <w:outlineLvl w:val="0"/>
        <w:rPr>
          <w:rFonts w:ascii="Verdana" w:hAnsi="Verdana"/>
          <w:b/>
        </w:rPr>
      </w:pPr>
      <w:bookmarkStart w:id="38" w:name="_Toc7181482"/>
      <w:r w:rsidRPr="00D37A69">
        <w:rPr>
          <w:rFonts w:ascii="Verdana" w:hAnsi="Verdana"/>
          <w:b/>
        </w:rPr>
        <w:t>Specyfikacja Kar Umownych</w:t>
      </w:r>
      <w:bookmarkEnd w:id="37"/>
      <w:bookmarkEnd w:id="38"/>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14CC95EB"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07A011EB" w14:textId="782860E1" w:rsidR="00FC500B" w:rsidRPr="00F06AA9" w:rsidRDefault="00FC500B" w:rsidP="00FC500B">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F06AA9">
              <w:rPr>
                <w:rFonts w:ascii="Calibri" w:hAnsi="Calibri" w:cs="Arial"/>
                <w:bCs/>
                <w:color w:val="000000" w:themeColor="text1"/>
              </w:rPr>
              <w:t>dostosowanie oznakowania pionowego i poziomego, zgodnie z obowiązującymi przepisami prawa,</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1A806194"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3AB75" w16cid:durableId="26E7F4B2"/>
  <w16cid:commentId w16cid:paraId="47091FF3" w16cid:durableId="26E7F531"/>
  <w16cid:commentId w16cid:paraId="2C5EC4B0" w16cid:durableId="26E7F7CB"/>
  <w16cid:commentId w16cid:paraId="4C088322" w16cid:durableId="26E7F845"/>
  <w16cid:commentId w16cid:paraId="5DE36EDD" w16cid:durableId="26E7F866"/>
  <w16cid:commentId w16cid:paraId="204C7F8D" w16cid:durableId="26E7F8A3"/>
  <w16cid:commentId w16cid:paraId="40C9DB8E" w16cid:durableId="26E7F8D8"/>
  <w16cid:commentId w16cid:paraId="0111E7B3" w16cid:durableId="26E7FA81"/>
  <w16cid:commentId w16cid:paraId="070A48E1" w16cid:durableId="26E7FB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BB4F" w14:textId="77777777" w:rsidR="00826ED1" w:rsidRDefault="00826ED1">
      <w:r>
        <w:separator/>
      </w:r>
    </w:p>
  </w:endnote>
  <w:endnote w:type="continuationSeparator" w:id="0">
    <w:p w14:paraId="7FBDF0F4" w14:textId="77777777" w:rsidR="00826ED1" w:rsidRDefault="0082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826ED1" w:rsidRDefault="00826E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826ED1" w:rsidRDefault="00826ED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3653670F" w:rsidR="00826ED1" w:rsidRDefault="00826ED1">
    <w:pPr>
      <w:pStyle w:val="Stopka"/>
      <w:jc w:val="center"/>
    </w:pPr>
    <w:r>
      <w:rPr>
        <w:sz w:val="18"/>
        <w:szCs w:val="18"/>
      </w:rPr>
      <w:fldChar w:fldCharType="begin"/>
    </w:r>
    <w:r>
      <w:rPr>
        <w:sz w:val="18"/>
        <w:szCs w:val="18"/>
      </w:rPr>
      <w:instrText>PAGE   \* MERGEFORMAT</w:instrText>
    </w:r>
    <w:r>
      <w:rPr>
        <w:sz w:val="18"/>
        <w:szCs w:val="18"/>
      </w:rPr>
      <w:fldChar w:fldCharType="separate"/>
    </w:r>
    <w:r w:rsidR="00F72351" w:rsidRPr="00F72351">
      <w:rPr>
        <w:noProof/>
        <w:sz w:val="18"/>
        <w:szCs w:val="18"/>
        <w:lang w:val="pl-PL"/>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BBD94" w14:textId="77777777" w:rsidR="00826ED1" w:rsidRDefault="00826ED1">
      <w:r>
        <w:separator/>
      </w:r>
    </w:p>
  </w:footnote>
  <w:footnote w:type="continuationSeparator" w:id="0">
    <w:p w14:paraId="5B5D2ECA" w14:textId="77777777" w:rsidR="00826ED1" w:rsidRDefault="0082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5AFC8B38" w:rsidR="00826ED1" w:rsidRDefault="00826ED1" w:rsidP="00EE72B1">
    <w:pPr>
      <w:pStyle w:val="Nagwek"/>
      <w:jc w:val="center"/>
      <w:rPr>
        <w:rFonts w:ascii="Verdana" w:hAnsi="Verdana"/>
        <w:sz w:val="15"/>
        <w:szCs w:val="15"/>
        <w:lang w:val="pl-PL"/>
      </w:rPr>
    </w:pPr>
    <w:r>
      <w:rPr>
        <w:rFonts w:ascii="Verdana" w:hAnsi="Verdana"/>
        <w:sz w:val="15"/>
        <w:szCs w:val="15"/>
        <w:lang w:val="pl-PL"/>
      </w:rPr>
      <w:t>UMOWA DZIERŻAWY NIERUCHOMOŚCI MOP II PROSIENICA</w:t>
    </w:r>
  </w:p>
  <w:p w14:paraId="5EA0409A" w14:textId="37F815CE" w:rsidR="00826ED1" w:rsidRDefault="00826ED1"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7"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0"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5"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6"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39"/>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
    <w:lvlOverride w:ilvl="0">
      <w:startOverride w:val="1"/>
    </w:lvlOverride>
  </w:num>
  <w:num w:numId="10">
    <w:abstractNumId w:val="33"/>
  </w:num>
  <w:num w:numId="1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50"/>
  </w:num>
  <w:num w:numId="16">
    <w:abstractNumId w:val="4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9"/>
  </w:num>
  <w:num w:numId="27">
    <w:abstractNumId w:val="0"/>
  </w:num>
  <w:num w:numId="28">
    <w:abstractNumId w:val="46"/>
  </w:num>
  <w:num w:numId="29">
    <w:abstractNumId w:val="9"/>
  </w:num>
  <w:num w:numId="30">
    <w:abstractNumId w:val="29"/>
  </w:num>
  <w:num w:numId="31">
    <w:abstractNumId w:val="47"/>
  </w:num>
  <w:num w:numId="32">
    <w:abstractNumId w:val="44"/>
  </w:num>
  <w:num w:numId="33">
    <w:abstractNumId w:val="28"/>
  </w:num>
  <w:num w:numId="34">
    <w:abstractNumId w:val="48"/>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8"/>
  </w:num>
  <w:num w:numId="42">
    <w:abstractNumId w:val="10"/>
  </w:num>
  <w:num w:numId="43">
    <w:abstractNumId w:val="35"/>
  </w:num>
  <w:num w:numId="44">
    <w:abstractNumId w:val="1"/>
  </w:num>
  <w:num w:numId="45">
    <w:abstractNumId w:val="26"/>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1"/>
  </w:num>
  <w:num w:numId="52">
    <w:abstractNumId w:val="49"/>
  </w:num>
  <w:num w:numId="53">
    <w:abstractNumId w:val="25"/>
  </w:num>
  <w:num w:numId="54">
    <w:abstractNumId w:val="15"/>
  </w:num>
  <w:num w:numId="55">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17B36"/>
    <w:rsid w:val="00020A1A"/>
    <w:rsid w:val="00020F5D"/>
    <w:rsid w:val="000215C5"/>
    <w:rsid w:val="000354E9"/>
    <w:rsid w:val="000471AB"/>
    <w:rsid w:val="00053353"/>
    <w:rsid w:val="000605D6"/>
    <w:rsid w:val="000745F7"/>
    <w:rsid w:val="000758BC"/>
    <w:rsid w:val="00077930"/>
    <w:rsid w:val="00082141"/>
    <w:rsid w:val="000D22EF"/>
    <w:rsid w:val="000E264A"/>
    <w:rsid w:val="0011467D"/>
    <w:rsid w:val="001515D4"/>
    <w:rsid w:val="001735BB"/>
    <w:rsid w:val="001A5D97"/>
    <w:rsid w:val="001C06E9"/>
    <w:rsid w:val="001F34C0"/>
    <w:rsid w:val="00203A8D"/>
    <w:rsid w:val="002257D2"/>
    <w:rsid w:val="00230D4D"/>
    <w:rsid w:val="00240750"/>
    <w:rsid w:val="0024724E"/>
    <w:rsid w:val="002531CB"/>
    <w:rsid w:val="002769AD"/>
    <w:rsid w:val="002879C2"/>
    <w:rsid w:val="002A44F1"/>
    <w:rsid w:val="002B155E"/>
    <w:rsid w:val="002B6B94"/>
    <w:rsid w:val="002B78C0"/>
    <w:rsid w:val="002C65A6"/>
    <w:rsid w:val="002C7862"/>
    <w:rsid w:val="003020DD"/>
    <w:rsid w:val="0033011B"/>
    <w:rsid w:val="00343680"/>
    <w:rsid w:val="00345EBE"/>
    <w:rsid w:val="00364B92"/>
    <w:rsid w:val="00377A9A"/>
    <w:rsid w:val="00381284"/>
    <w:rsid w:val="0038336D"/>
    <w:rsid w:val="00391B38"/>
    <w:rsid w:val="00395AB7"/>
    <w:rsid w:val="00395C32"/>
    <w:rsid w:val="003A24CD"/>
    <w:rsid w:val="003A3F0A"/>
    <w:rsid w:val="003A5C4E"/>
    <w:rsid w:val="003B3DF9"/>
    <w:rsid w:val="003B4687"/>
    <w:rsid w:val="003B4D51"/>
    <w:rsid w:val="003C0A54"/>
    <w:rsid w:val="003E1F8A"/>
    <w:rsid w:val="003F03C4"/>
    <w:rsid w:val="003F06F7"/>
    <w:rsid w:val="003F2B29"/>
    <w:rsid w:val="003F429C"/>
    <w:rsid w:val="00400A94"/>
    <w:rsid w:val="004253F1"/>
    <w:rsid w:val="00433806"/>
    <w:rsid w:val="00437A58"/>
    <w:rsid w:val="00457384"/>
    <w:rsid w:val="0048688F"/>
    <w:rsid w:val="00493070"/>
    <w:rsid w:val="0049435E"/>
    <w:rsid w:val="004B0F0E"/>
    <w:rsid w:val="004B1882"/>
    <w:rsid w:val="004B6980"/>
    <w:rsid w:val="00506AE1"/>
    <w:rsid w:val="00510A08"/>
    <w:rsid w:val="00524DDE"/>
    <w:rsid w:val="00526A82"/>
    <w:rsid w:val="00564022"/>
    <w:rsid w:val="00564B58"/>
    <w:rsid w:val="0058639D"/>
    <w:rsid w:val="005937A7"/>
    <w:rsid w:val="005B462E"/>
    <w:rsid w:val="005C2B6D"/>
    <w:rsid w:val="005C308B"/>
    <w:rsid w:val="005C32AE"/>
    <w:rsid w:val="00610603"/>
    <w:rsid w:val="006376FA"/>
    <w:rsid w:val="0064396C"/>
    <w:rsid w:val="00654E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14A6"/>
    <w:rsid w:val="00715783"/>
    <w:rsid w:val="007246CE"/>
    <w:rsid w:val="0073235A"/>
    <w:rsid w:val="0076114B"/>
    <w:rsid w:val="00792CC6"/>
    <w:rsid w:val="007A3558"/>
    <w:rsid w:val="007C4D63"/>
    <w:rsid w:val="007D3F38"/>
    <w:rsid w:val="007D5FD4"/>
    <w:rsid w:val="007F01FA"/>
    <w:rsid w:val="007F32B2"/>
    <w:rsid w:val="00817A6F"/>
    <w:rsid w:val="008226A0"/>
    <w:rsid w:val="00826ED1"/>
    <w:rsid w:val="00833AA1"/>
    <w:rsid w:val="00842E1B"/>
    <w:rsid w:val="00850CAA"/>
    <w:rsid w:val="008644AA"/>
    <w:rsid w:val="00864BD9"/>
    <w:rsid w:val="0087718E"/>
    <w:rsid w:val="0089294C"/>
    <w:rsid w:val="008A1DCF"/>
    <w:rsid w:val="008A3E92"/>
    <w:rsid w:val="008A575E"/>
    <w:rsid w:val="008A614D"/>
    <w:rsid w:val="008B3F2C"/>
    <w:rsid w:val="008B5FCF"/>
    <w:rsid w:val="008C0A5A"/>
    <w:rsid w:val="008C4046"/>
    <w:rsid w:val="008E0658"/>
    <w:rsid w:val="00904C10"/>
    <w:rsid w:val="0090596A"/>
    <w:rsid w:val="00912449"/>
    <w:rsid w:val="0091538B"/>
    <w:rsid w:val="009246FE"/>
    <w:rsid w:val="00931BFC"/>
    <w:rsid w:val="009374DF"/>
    <w:rsid w:val="009430E6"/>
    <w:rsid w:val="0095772F"/>
    <w:rsid w:val="00966BF5"/>
    <w:rsid w:val="00980AB8"/>
    <w:rsid w:val="009835BC"/>
    <w:rsid w:val="0098676B"/>
    <w:rsid w:val="009D1523"/>
    <w:rsid w:val="009D29F3"/>
    <w:rsid w:val="009E6AFC"/>
    <w:rsid w:val="00A05F6E"/>
    <w:rsid w:val="00A12AD3"/>
    <w:rsid w:val="00A160FF"/>
    <w:rsid w:val="00A25DDB"/>
    <w:rsid w:val="00A37D1D"/>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A778C"/>
    <w:rsid w:val="00BB1FDB"/>
    <w:rsid w:val="00BC0C47"/>
    <w:rsid w:val="00BE02AB"/>
    <w:rsid w:val="00BE21DC"/>
    <w:rsid w:val="00BE7568"/>
    <w:rsid w:val="00C06E3E"/>
    <w:rsid w:val="00C24717"/>
    <w:rsid w:val="00C346A2"/>
    <w:rsid w:val="00C353F0"/>
    <w:rsid w:val="00C43688"/>
    <w:rsid w:val="00C62563"/>
    <w:rsid w:val="00CB4109"/>
    <w:rsid w:val="00CC7026"/>
    <w:rsid w:val="00CE32EF"/>
    <w:rsid w:val="00D01441"/>
    <w:rsid w:val="00D047A8"/>
    <w:rsid w:val="00D16AE2"/>
    <w:rsid w:val="00D37A69"/>
    <w:rsid w:val="00D45511"/>
    <w:rsid w:val="00D546BF"/>
    <w:rsid w:val="00D75B10"/>
    <w:rsid w:val="00D96AF4"/>
    <w:rsid w:val="00DA50E5"/>
    <w:rsid w:val="00DA6177"/>
    <w:rsid w:val="00DE7E90"/>
    <w:rsid w:val="00E02B65"/>
    <w:rsid w:val="00E05207"/>
    <w:rsid w:val="00E10BA3"/>
    <w:rsid w:val="00E16DE1"/>
    <w:rsid w:val="00E269AA"/>
    <w:rsid w:val="00E324BA"/>
    <w:rsid w:val="00E74719"/>
    <w:rsid w:val="00E80D59"/>
    <w:rsid w:val="00EC5E4D"/>
    <w:rsid w:val="00ED148A"/>
    <w:rsid w:val="00ED4C2B"/>
    <w:rsid w:val="00EE1345"/>
    <w:rsid w:val="00EE72B1"/>
    <w:rsid w:val="00EF1709"/>
    <w:rsid w:val="00F03456"/>
    <w:rsid w:val="00F06AA9"/>
    <w:rsid w:val="00F26318"/>
    <w:rsid w:val="00F42EBB"/>
    <w:rsid w:val="00F47BA0"/>
    <w:rsid w:val="00F5781F"/>
    <w:rsid w:val="00F65DF7"/>
    <w:rsid w:val="00F66731"/>
    <w:rsid w:val="00F72351"/>
    <w:rsid w:val="00F835BD"/>
    <w:rsid w:val="00F844DA"/>
    <w:rsid w:val="00F87A4E"/>
    <w:rsid w:val="00F922A5"/>
    <w:rsid w:val="00FC4603"/>
    <w:rsid w:val="00FC500B"/>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86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0829-955C-46FD-86C7-36C51C6CD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14550</Words>
  <Characters>99954</Characters>
  <Application>Microsoft Office Word</Application>
  <DocSecurity>0</DocSecurity>
  <Lines>832</Lines>
  <Paragraphs>228</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114276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2022-04-25T09:32:00Z</cp:lastPrinted>
  <dcterms:created xsi:type="dcterms:W3CDTF">2022-10-07T12:58:00Z</dcterms:created>
  <dcterms:modified xsi:type="dcterms:W3CDTF">2022-10-07T12:58:00Z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