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3A1D3" w14:textId="0CF41B1C" w:rsidR="000B4572" w:rsidRPr="000B4572" w:rsidRDefault="000B4572" w:rsidP="000B4572">
      <w:pPr>
        <w:jc w:val="center"/>
        <w:rPr>
          <w:b/>
          <w:bCs/>
        </w:rPr>
      </w:pPr>
      <w:r w:rsidRPr="000B4572">
        <w:rPr>
          <w:b/>
          <w:bCs/>
        </w:rPr>
        <w:t>ZARZĄDZENIE REGIONALNEGO DYREKTORA OCHRONY ŚRODOWISKA W RZESZOWIE</w:t>
      </w:r>
    </w:p>
    <w:p w14:paraId="638F5B89" w14:textId="33AD762B" w:rsidR="009F0E96" w:rsidRDefault="000B4572" w:rsidP="000B4572">
      <w:pPr>
        <w:jc w:val="center"/>
      </w:pPr>
      <w:r w:rsidRPr="005C5424">
        <w:t>z dnia …</w:t>
      </w:r>
      <w:r w:rsidR="008144FE">
        <w:t>…….</w:t>
      </w:r>
      <w:r w:rsidRPr="005C5424">
        <w:t>……… 202</w:t>
      </w:r>
      <w:r w:rsidR="008144FE">
        <w:t>6</w:t>
      </w:r>
      <w:r w:rsidRPr="005C5424">
        <w:t xml:space="preserve"> r.</w:t>
      </w:r>
    </w:p>
    <w:p w14:paraId="7AB6D7C9" w14:textId="02B97DFB" w:rsidR="000B4572" w:rsidRPr="000B4572" w:rsidRDefault="000B4572" w:rsidP="000B4572">
      <w:pPr>
        <w:jc w:val="center"/>
        <w:rPr>
          <w:b/>
          <w:bCs/>
        </w:rPr>
      </w:pPr>
      <w:r w:rsidRPr="000B4572">
        <w:rPr>
          <w:b/>
          <w:bCs/>
        </w:rPr>
        <w:t xml:space="preserve">zmieniające zarządzenie w sprawie ustanowienia planu zadań ochronnych </w:t>
      </w:r>
      <w:r w:rsidRPr="000B4572">
        <w:rPr>
          <w:b/>
          <w:bCs/>
        </w:rPr>
        <w:br/>
        <w:t xml:space="preserve">dla obszaru Natura 2000 </w:t>
      </w:r>
      <w:r w:rsidR="008144FE">
        <w:rPr>
          <w:b/>
          <w:bCs/>
        </w:rPr>
        <w:t>Fort Salis Soglio</w:t>
      </w:r>
      <w:r w:rsidRPr="000B4572">
        <w:rPr>
          <w:b/>
          <w:bCs/>
        </w:rPr>
        <w:t xml:space="preserve"> PLH1800</w:t>
      </w:r>
      <w:r w:rsidR="005F3AF0">
        <w:rPr>
          <w:b/>
          <w:bCs/>
        </w:rPr>
        <w:t>0</w:t>
      </w:r>
      <w:r w:rsidR="008144FE">
        <w:rPr>
          <w:b/>
          <w:bCs/>
        </w:rPr>
        <w:t>8</w:t>
      </w:r>
    </w:p>
    <w:p w14:paraId="540A62CB" w14:textId="2D7CE116" w:rsidR="000B4572" w:rsidRDefault="000B4572" w:rsidP="000B4572">
      <w:pPr>
        <w:jc w:val="center"/>
      </w:pPr>
    </w:p>
    <w:p w14:paraId="2AD3CC94" w14:textId="77B059B3" w:rsidR="000B4572" w:rsidRDefault="000B4572" w:rsidP="0099066E">
      <w:pPr>
        <w:ind w:firstLine="284"/>
        <w:jc w:val="both"/>
      </w:pPr>
      <w:r>
        <w:t xml:space="preserve">Na podstawie </w:t>
      </w:r>
      <w:r w:rsidR="008C1576">
        <w:t xml:space="preserve">art. 28 ust. 5 ustawy z dnia 16 kwietnia 2004 r. o ochronie przyrody </w:t>
      </w:r>
      <w:r w:rsidR="0099066E" w:rsidRPr="0099066E">
        <w:t>(Dz. U. z 202</w:t>
      </w:r>
      <w:r w:rsidR="006422D5">
        <w:t>6</w:t>
      </w:r>
      <w:r w:rsidR="0099066E" w:rsidRPr="0099066E">
        <w:t xml:space="preserve"> r. poz. </w:t>
      </w:r>
      <w:r w:rsidR="006422D5">
        <w:t>13, 426, 737</w:t>
      </w:r>
      <w:r w:rsidR="00DC4A4F">
        <w:t>, 912</w:t>
      </w:r>
      <w:r w:rsidR="0099066E" w:rsidRPr="0099066E">
        <w:t>)</w:t>
      </w:r>
      <w:r w:rsidR="0099066E">
        <w:t xml:space="preserve"> </w:t>
      </w:r>
      <w:r w:rsidR="00AB0AD3">
        <w:t>zarządza się, co następuje:</w:t>
      </w:r>
    </w:p>
    <w:p w14:paraId="508DE978" w14:textId="47F8C816" w:rsidR="001C56E7" w:rsidRDefault="00372498" w:rsidP="00AD4798">
      <w:pPr>
        <w:ind w:firstLine="284"/>
        <w:jc w:val="both"/>
        <w:rPr>
          <w:rFonts w:cstheme="minorHAnsi"/>
        </w:rPr>
      </w:pPr>
      <w:r w:rsidRPr="00372498">
        <w:rPr>
          <w:rFonts w:cstheme="minorHAnsi"/>
        </w:rPr>
        <w:t>§</w:t>
      </w:r>
      <w:r w:rsidR="003748EC">
        <w:rPr>
          <w:rFonts w:cstheme="minorHAnsi"/>
        </w:rPr>
        <w:t xml:space="preserve"> </w:t>
      </w:r>
      <w:r>
        <w:rPr>
          <w:rFonts w:cstheme="minorHAnsi"/>
        </w:rPr>
        <w:t xml:space="preserve">1. W zarządzeniu Regionalnego Dyrektora Ochrony Środowiska w Rzeszowie z dnia </w:t>
      </w:r>
      <w:r w:rsidR="004F0DB5">
        <w:rPr>
          <w:rFonts w:cstheme="minorHAnsi"/>
        </w:rPr>
        <w:t>17</w:t>
      </w:r>
      <w:r w:rsidR="001C56E7">
        <w:rPr>
          <w:rFonts w:cstheme="minorHAnsi"/>
        </w:rPr>
        <w:t xml:space="preserve"> marca </w:t>
      </w:r>
      <w:r w:rsidR="001C56E7">
        <w:rPr>
          <w:rFonts w:cstheme="minorHAnsi"/>
        </w:rPr>
        <w:br/>
        <w:t xml:space="preserve">2014 r. w sprawie ustanowienia planu zadań ochronnych dla obszaru Natura 2000 Fort Salis Soglio PLH180008 (Dz. Urz. Woj. Podkarpackiego z 2014 r. poz. 1008 oraz z </w:t>
      </w:r>
      <w:r w:rsidR="00022E51">
        <w:rPr>
          <w:rFonts w:cstheme="minorHAnsi"/>
        </w:rPr>
        <w:t xml:space="preserve">2018 r. poz. 4799), załącznik nr </w:t>
      </w:r>
      <w:r w:rsidR="00AD4798">
        <w:rPr>
          <w:rFonts w:cstheme="minorHAnsi"/>
        </w:rPr>
        <w:t>5 otrzymuje brzmienie</w:t>
      </w:r>
      <w:r w:rsidR="00194759">
        <w:rPr>
          <w:rFonts w:cstheme="minorHAnsi"/>
        </w:rPr>
        <w:t xml:space="preserve"> określone w </w:t>
      </w:r>
      <w:r w:rsidR="00AD4798">
        <w:rPr>
          <w:rFonts w:cstheme="minorHAnsi"/>
        </w:rPr>
        <w:t>załącznik</w:t>
      </w:r>
      <w:r w:rsidR="00194759">
        <w:rPr>
          <w:rFonts w:cstheme="minorHAnsi"/>
        </w:rPr>
        <w:t>u</w:t>
      </w:r>
      <w:r w:rsidR="00AD4798">
        <w:rPr>
          <w:rFonts w:cstheme="minorHAnsi"/>
        </w:rPr>
        <w:t xml:space="preserve"> do niniejszego zarządzenia.</w:t>
      </w:r>
    </w:p>
    <w:p w14:paraId="73732EBB" w14:textId="6A15FEC9" w:rsidR="003748EC" w:rsidRDefault="003748EC" w:rsidP="00E319A1">
      <w:pPr>
        <w:ind w:firstLine="284"/>
        <w:jc w:val="both"/>
        <w:rPr>
          <w:rFonts w:cstheme="minorHAnsi"/>
        </w:rPr>
      </w:pPr>
      <w:r w:rsidRPr="003748EC">
        <w:rPr>
          <w:rFonts w:cstheme="minorHAnsi"/>
        </w:rPr>
        <w:t>§</w:t>
      </w:r>
      <w:r>
        <w:rPr>
          <w:rFonts w:cstheme="minorHAnsi"/>
        </w:rPr>
        <w:t xml:space="preserve"> </w:t>
      </w:r>
      <w:r w:rsidRPr="003748EC">
        <w:rPr>
          <w:rFonts w:cstheme="minorHAnsi"/>
        </w:rPr>
        <w:t>2.</w:t>
      </w:r>
      <w:r>
        <w:rPr>
          <w:rFonts w:cstheme="minorHAnsi"/>
        </w:rPr>
        <w:t xml:space="preserve"> Zarządzenie wchodzi w życie po upływie 14 dni od dnia ogłoszenia. </w:t>
      </w:r>
    </w:p>
    <w:p w14:paraId="68DC62D2" w14:textId="69C81184" w:rsidR="003748EC" w:rsidRDefault="003748EC" w:rsidP="00E319A1">
      <w:pPr>
        <w:ind w:firstLine="284"/>
        <w:jc w:val="both"/>
        <w:rPr>
          <w:rFonts w:cstheme="minorHAnsi"/>
        </w:rPr>
      </w:pPr>
    </w:p>
    <w:p w14:paraId="3B54DF21" w14:textId="4200B73A" w:rsidR="003748EC" w:rsidRDefault="003748EC" w:rsidP="00E319A1">
      <w:pPr>
        <w:ind w:firstLine="284"/>
        <w:jc w:val="both"/>
        <w:rPr>
          <w:rFonts w:cstheme="minorHAnsi"/>
        </w:rPr>
      </w:pPr>
    </w:p>
    <w:p w14:paraId="3081F56D" w14:textId="04B129C6" w:rsidR="003748EC" w:rsidRDefault="003748EC" w:rsidP="00E319A1">
      <w:pPr>
        <w:ind w:firstLine="284"/>
        <w:jc w:val="both"/>
        <w:rPr>
          <w:rFonts w:cstheme="minorHAnsi"/>
        </w:rPr>
      </w:pPr>
    </w:p>
    <w:p w14:paraId="1B9C35DF" w14:textId="52CB748B" w:rsidR="003748EC" w:rsidRDefault="003748EC" w:rsidP="00E319A1">
      <w:pPr>
        <w:ind w:firstLine="284"/>
        <w:jc w:val="both"/>
        <w:rPr>
          <w:rFonts w:cstheme="minorHAnsi"/>
        </w:rPr>
      </w:pPr>
    </w:p>
    <w:p w14:paraId="6242CBBD" w14:textId="4E28D7C8" w:rsidR="003748EC" w:rsidRDefault="003748EC" w:rsidP="00E319A1">
      <w:pPr>
        <w:ind w:firstLine="284"/>
        <w:jc w:val="both"/>
        <w:rPr>
          <w:rFonts w:cstheme="minorHAnsi"/>
        </w:rPr>
      </w:pPr>
    </w:p>
    <w:p w14:paraId="0FEAF84A" w14:textId="4443E030" w:rsidR="003748EC" w:rsidRDefault="003748EC" w:rsidP="00E319A1">
      <w:pPr>
        <w:ind w:firstLine="284"/>
        <w:jc w:val="both"/>
        <w:rPr>
          <w:rFonts w:cstheme="minorHAnsi"/>
        </w:rPr>
      </w:pPr>
    </w:p>
    <w:p w14:paraId="7AFC58D7" w14:textId="3DE93448" w:rsidR="003748EC" w:rsidRDefault="003748EC" w:rsidP="00E319A1">
      <w:pPr>
        <w:ind w:firstLine="284"/>
        <w:jc w:val="both"/>
        <w:rPr>
          <w:rFonts w:cstheme="minorHAnsi"/>
        </w:rPr>
      </w:pPr>
    </w:p>
    <w:p w14:paraId="36877185" w14:textId="051ABA1C" w:rsidR="003748EC" w:rsidRDefault="003748EC" w:rsidP="00E319A1">
      <w:pPr>
        <w:ind w:firstLine="284"/>
        <w:jc w:val="both"/>
        <w:rPr>
          <w:rFonts w:cstheme="minorHAnsi"/>
        </w:rPr>
      </w:pPr>
    </w:p>
    <w:p w14:paraId="6D627FE3" w14:textId="76D11EBF" w:rsidR="003748EC" w:rsidRDefault="003748EC" w:rsidP="00E319A1">
      <w:pPr>
        <w:ind w:firstLine="284"/>
        <w:jc w:val="both"/>
        <w:rPr>
          <w:rFonts w:cstheme="minorHAnsi"/>
        </w:rPr>
      </w:pPr>
    </w:p>
    <w:p w14:paraId="4F958C2F" w14:textId="372FB839" w:rsidR="003748EC" w:rsidRDefault="003748EC" w:rsidP="00E319A1">
      <w:pPr>
        <w:ind w:firstLine="284"/>
        <w:jc w:val="both"/>
        <w:rPr>
          <w:rFonts w:cstheme="minorHAnsi"/>
        </w:rPr>
      </w:pPr>
    </w:p>
    <w:p w14:paraId="3CBB31AF" w14:textId="746DCB48" w:rsidR="003748EC" w:rsidRDefault="003748EC" w:rsidP="00E319A1">
      <w:pPr>
        <w:ind w:firstLine="284"/>
        <w:jc w:val="both"/>
        <w:rPr>
          <w:rFonts w:cstheme="minorHAnsi"/>
        </w:rPr>
      </w:pPr>
    </w:p>
    <w:p w14:paraId="331C78A7" w14:textId="664D5CEE" w:rsidR="003748EC" w:rsidRDefault="003748EC" w:rsidP="00E319A1">
      <w:pPr>
        <w:ind w:firstLine="284"/>
        <w:jc w:val="both"/>
        <w:rPr>
          <w:rFonts w:cstheme="minorHAnsi"/>
        </w:rPr>
      </w:pPr>
    </w:p>
    <w:p w14:paraId="40F3147E" w14:textId="4865ED2E" w:rsidR="003748EC" w:rsidRDefault="003748EC" w:rsidP="00E319A1">
      <w:pPr>
        <w:ind w:firstLine="284"/>
        <w:jc w:val="both"/>
        <w:rPr>
          <w:rFonts w:cstheme="minorHAnsi"/>
        </w:rPr>
      </w:pPr>
    </w:p>
    <w:p w14:paraId="0948DB86" w14:textId="4B1A670A" w:rsidR="003748EC" w:rsidRDefault="003748EC" w:rsidP="00E319A1">
      <w:pPr>
        <w:ind w:firstLine="284"/>
        <w:jc w:val="both"/>
        <w:rPr>
          <w:rFonts w:cstheme="minorHAnsi"/>
        </w:rPr>
      </w:pPr>
    </w:p>
    <w:p w14:paraId="4EEFCFC9" w14:textId="61033419" w:rsidR="003748EC" w:rsidRDefault="003748EC" w:rsidP="00E319A1">
      <w:pPr>
        <w:ind w:firstLine="284"/>
        <w:jc w:val="both"/>
        <w:rPr>
          <w:rFonts w:cstheme="minorHAnsi"/>
        </w:rPr>
      </w:pPr>
    </w:p>
    <w:p w14:paraId="52F29A5E" w14:textId="4018E895" w:rsidR="003748EC" w:rsidRDefault="003748EC" w:rsidP="00E319A1">
      <w:pPr>
        <w:ind w:firstLine="284"/>
        <w:jc w:val="both"/>
        <w:rPr>
          <w:rFonts w:cstheme="minorHAnsi"/>
        </w:rPr>
      </w:pPr>
    </w:p>
    <w:p w14:paraId="169F6D34" w14:textId="7D2D2BE5" w:rsidR="003748EC" w:rsidRDefault="003748EC" w:rsidP="00E319A1">
      <w:pPr>
        <w:ind w:firstLine="284"/>
        <w:jc w:val="both"/>
        <w:rPr>
          <w:rFonts w:cstheme="minorHAnsi"/>
        </w:rPr>
      </w:pPr>
    </w:p>
    <w:p w14:paraId="48F9DF63" w14:textId="34FBA1B9" w:rsidR="003748EC" w:rsidRDefault="003748EC" w:rsidP="00E319A1">
      <w:pPr>
        <w:ind w:firstLine="284"/>
        <w:jc w:val="both"/>
        <w:rPr>
          <w:rFonts w:cstheme="minorHAnsi"/>
        </w:rPr>
      </w:pPr>
    </w:p>
    <w:p w14:paraId="3477F7FF" w14:textId="7971B78B" w:rsidR="003748EC" w:rsidRDefault="003748EC" w:rsidP="00E319A1">
      <w:pPr>
        <w:ind w:firstLine="284"/>
        <w:jc w:val="both"/>
        <w:rPr>
          <w:rFonts w:cstheme="minorHAnsi"/>
        </w:rPr>
      </w:pPr>
    </w:p>
    <w:p w14:paraId="1A9B3B65" w14:textId="50425ABF" w:rsidR="003748EC" w:rsidRDefault="003748EC" w:rsidP="00E319A1">
      <w:pPr>
        <w:ind w:firstLine="284"/>
        <w:jc w:val="both"/>
        <w:rPr>
          <w:rFonts w:cstheme="minorHAnsi"/>
        </w:rPr>
      </w:pPr>
    </w:p>
    <w:p w14:paraId="1CA02F0D" w14:textId="4839BB25" w:rsidR="003748EC" w:rsidRDefault="003748EC" w:rsidP="00E319A1">
      <w:pPr>
        <w:ind w:firstLine="284"/>
        <w:jc w:val="both"/>
        <w:rPr>
          <w:rFonts w:cstheme="minorHAnsi"/>
        </w:rPr>
      </w:pPr>
    </w:p>
    <w:p w14:paraId="69CD67D6" w14:textId="21248518" w:rsidR="003748EC" w:rsidRDefault="003748EC" w:rsidP="006609A7">
      <w:pPr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Załącznik do Zarządzenia Regionalnego Dyrektora Ochrony Środowiska w Rzeszowie </w:t>
      </w:r>
      <w:r w:rsidRPr="005C5424">
        <w:rPr>
          <w:rFonts w:cstheme="minorHAnsi"/>
        </w:rPr>
        <w:t>z dnia ………………</w:t>
      </w:r>
      <w:r>
        <w:rPr>
          <w:rFonts w:cstheme="minorHAnsi"/>
        </w:rPr>
        <w:t xml:space="preserve"> 202</w:t>
      </w:r>
      <w:r w:rsidR="009A2092">
        <w:rPr>
          <w:rFonts w:cstheme="minorHAnsi"/>
        </w:rPr>
        <w:t>6</w:t>
      </w:r>
      <w:r>
        <w:rPr>
          <w:rFonts w:cstheme="minorHAnsi"/>
        </w:rPr>
        <w:t xml:space="preserve"> r. </w:t>
      </w:r>
      <w:r w:rsidR="006609A7">
        <w:rPr>
          <w:rFonts w:cstheme="minorHAnsi"/>
        </w:rPr>
        <w:t xml:space="preserve">zmieniającego zarządzenie w sprawie ustanowienia planu zadań ochronnych dla obszaru Natura 2000 </w:t>
      </w:r>
      <w:r w:rsidR="009A2092">
        <w:rPr>
          <w:rFonts w:cstheme="minorHAnsi"/>
        </w:rPr>
        <w:t>Fort Salis Soglio</w:t>
      </w:r>
      <w:r w:rsidR="006609A7">
        <w:rPr>
          <w:rFonts w:cstheme="minorHAnsi"/>
        </w:rPr>
        <w:t xml:space="preserve"> PLH1800</w:t>
      </w:r>
      <w:r w:rsidR="005F3AF0">
        <w:rPr>
          <w:rFonts w:cstheme="minorHAnsi"/>
        </w:rPr>
        <w:t>0</w:t>
      </w:r>
      <w:r w:rsidR="009A2092">
        <w:rPr>
          <w:rFonts w:cstheme="minorHAnsi"/>
        </w:rPr>
        <w:t>8</w:t>
      </w:r>
    </w:p>
    <w:p w14:paraId="058ACA06" w14:textId="768107FD" w:rsidR="003748EC" w:rsidRDefault="003748EC" w:rsidP="003C6DE7">
      <w:pPr>
        <w:jc w:val="both"/>
        <w:rPr>
          <w:rFonts w:cstheme="minorHAnsi"/>
        </w:rPr>
      </w:pPr>
    </w:p>
    <w:p w14:paraId="4F1C7350" w14:textId="29332547" w:rsidR="003C6DE7" w:rsidRPr="003C6DE7" w:rsidRDefault="00FB5786" w:rsidP="003C6DE7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Działania ochronne ze wskazaniem podmiotów odpowiedzialnych za ich wykonanie i obszarów ich wdrażania</w:t>
      </w:r>
      <w:r w:rsidR="003C6DE7" w:rsidRPr="003C6DE7">
        <w:rPr>
          <w:rFonts w:cstheme="minorHAnsi"/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0"/>
        <w:gridCol w:w="1867"/>
        <w:gridCol w:w="3387"/>
        <w:gridCol w:w="1520"/>
        <w:gridCol w:w="1818"/>
      </w:tblGrid>
      <w:tr w:rsidR="003340A3" w:rsidRPr="00FB5786" w14:paraId="12D1C77F" w14:textId="77777777" w:rsidTr="00A144FB">
        <w:tc>
          <w:tcPr>
            <w:tcW w:w="470" w:type="dxa"/>
            <w:vAlign w:val="center"/>
          </w:tcPr>
          <w:p w14:paraId="0F1AF7C9" w14:textId="631460F9" w:rsidR="00FB5786" w:rsidRPr="00FB5786" w:rsidRDefault="00FB5786" w:rsidP="00FB578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5786">
              <w:rPr>
                <w:rFonts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67" w:type="dxa"/>
            <w:vAlign w:val="center"/>
          </w:tcPr>
          <w:p w14:paraId="18A0876E" w14:textId="2D96C1BB" w:rsidR="00FB5786" w:rsidRPr="00FB5786" w:rsidRDefault="00FB5786" w:rsidP="00FB578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5786">
              <w:rPr>
                <w:rFonts w:cstheme="minorHAnsi"/>
                <w:b/>
                <w:bCs/>
                <w:sz w:val="20"/>
                <w:szCs w:val="20"/>
              </w:rPr>
              <w:t>Przedmiot ochrony</w:t>
            </w:r>
          </w:p>
        </w:tc>
        <w:tc>
          <w:tcPr>
            <w:tcW w:w="3387" w:type="dxa"/>
            <w:vAlign w:val="center"/>
          </w:tcPr>
          <w:p w14:paraId="61783D48" w14:textId="4299795A" w:rsidR="00FB5786" w:rsidRPr="00FB5786" w:rsidRDefault="00FB5786" w:rsidP="00FB578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5786">
              <w:rPr>
                <w:rFonts w:cstheme="minorHAnsi"/>
                <w:b/>
                <w:bCs/>
                <w:sz w:val="20"/>
                <w:szCs w:val="20"/>
              </w:rPr>
              <w:t>Działania ochronne</w:t>
            </w:r>
          </w:p>
        </w:tc>
        <w:tc>
          <w:tcPr>
            <w:tcW w:w="1520" w:type="dxa"/>
            <w:vAlign w:val="center"/>
          </w:tcPr>
          <w:p w14:paraId="5CD3E772" w14:textId="74903909" w:rsidR="00FB5786" w:rsidRPr="00FB5786" w:rsidRDefault="00FB5786" w:rsidP="00FB578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5786">
              <w:rPr>
                <w:rFonts w:cstheme="minorHAnsi"/>
                <w:b/>
                <w:bCs/>
                <w:sz w:val="20"/>
                <w:szCs w:val="20"/>
              </w:rPr>
              <w:t>Obszar wdrażania</w:t>
            </w:r>
          </w:p>
        </w:tc>
        <w:tc>
          <w:tcPr>
            <w:tcW w:w="1818" w:type="dxa"/>
            <w:vAlign w:val="center"/>
          </w:tcPr>
          <w:p w14:paraId="4862D6A8" w14:textId="472E5B8B" w:rsidR="00FB5786" w:rsidRPr="00FB5786" w:rsidRDefault="00FB5786" w:rsidP="00FB578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5786">
              <w:rPr>
                <w:rFonts w:cstheme="minorHAnsi"/>
                <w:b/>
                <w:bCs/>
                <w:sz w:val="20"/>
                <w:szCs w:val="20"/>
              </w:rPr>
              <w:t>Podmiot odpowiedzialny za wykonanie</w:t>
            </w:r>
          </w:p>
        </w:tc>
      </w:tr>
      <w:tr w:rsidR="00FB5786" w:rsidRPr="00FB5786" w14:paraId="41F5B76E" w14:textId="77777777" w:rsidTr="00C17417">
        <w:tc>
          <w:tcPr>
            <w:tcW w:w="9062" w:type="dxa"/>
            <w:gridSpan w:val="5"/>
          </w:tcPr>
          <w:p w14:paraId="2AB0212E" w14:textId="5A4448FF" w:rsidR="00FB5786" w:rsidRPr="00FB5786" w:rsidRDefault="00FB5786" w:rsidP="002854EB">
            <w:pPr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FB5786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Dotyczące ochrony czynnej siedlisk przyrodniczych, gatunków zwierząt i ich siedlisk oraz związane </w:t>
            </w:r>
            <w:r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br/>
            </w:r>
            <w:r w:rsidRPr="00FB5786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z utrzymaniem lub modyfikacją metod gospodarowania</w:t>
            </w:r>
          </w:p>
        </w:tc>
      </w:tr>
      <w:tr w:rsidR="003340A3" w:rsidRPr="00FB5786" w14:paraId="2000A086" w14:textId="77777777" w:rsidTr="00A144FB">
        <w:tc>
          <w:tcPr>
            <w:tcW w:w="470" w:type="dxa"/>
          </w:tcPr>
          <w:p w14:paraId="0A8AC903" w14:textId="145281E9" w:rsidR="00FB5786" w:rsidRPr="00FB5786" w:rsidRDefault="00FB5786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 w:rsidRPr="00FB5786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1867" w:type="dxa"/>
          </w:tcPr>
          <w:p w14:paraId="094E2799" w14:textId="64A622BD" w:rsidR="003340A3" w:rsidRPr="00FB5786" w:rsidRDefault="003340A3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Wszystkie przedmioty ochrony</w:t>
            </w:r>
          </w:p>
        </w:tc>
        <w:tc>
          <w:tcPr>
            <w:tcW w:w="3387" w:type="dxa"/>
          </w:tcPr>
          <w:p w14:paraId="1651D234" w14:textId="17B2CE0E" w:rsidR="00FB5786" w:rsidRPr="00FB5786" w:rsidRDefault="003340A3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 w:rsidRPr="003340A3">
              <w:rPr>
                <w:rFonts w:cstheme="minorHAnsi"/>
                <w:sz w:val="20"/>
                <w:szCs w:val="20"/>
                <w:u w:val="single"/>
              </w:rPr>
              <w:t>Oznakowanie granic obszaru Natura 2000</w:t>
            </w:r>
            <w:r>
              <w:rPr>
                <w:rFonts w:cstheme="minorHAnsi"/>
                <w:sz w:val="20"/>
                <w:szCs w:val="20"/>
              </w:rPr>
              <w:t xml:space="preserve"> tablicami informacyjnymi. Ich doraźna wymiana lub konserwacja (w miarę potrzeb).</w:t>
            </w:r>
          </w:p>
        </w:tc>
        <w:tc>
          <w:tcPr>
            <w:tcW w:w="1520" w:type="dxa"/>
          </w:tcPr>
          <w:p w14:paraId="5BF9E284" w14:textId="5B590CD7" w:rsidR="00FB5786" w:rsidRPr="00FB5786" w:rsidRDefault="003340A3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Przy drogach i ścieżkach prowadzących w głąb obszaru Natura 2000, w tym do ruin fortu.</w:t>
            </w:r>
          </w:p>
        </w:tc>
        <w:tc>
          <w:tcPr>
            <w:tcW w:w="1818" w:type="dxa"/>
          </w:tcPr>
          <w:p w14:paraId="1C73C2B0" w14:textId="1CB5300E" w:rsidR="00FB5786" w:rsidRPr="00FB5786" w:rsidRDefault="003340A3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RDOŚ w Rzeszowie</w:t>
            </w:r>
          </w:p>
        </w:tc>
      </w:tr>
      <w:tr w:rsidR="001C2EB0" w:rsidRPr="00FB5786" w14:paraId="48845EFC" w14:textId="77777777" w:rsidTr="00A144FB">
        <w:tc>
          <w:tcPr>
            <w:tcW w:w="470" w:type="dxa"/>
          </w:tcPr>
          <w:p w14:paraId="531AEC33" w14:textId="4DD463E7" w:rsidR="001C2EB0" w:rsidRPr="00FB5786" w:rsidRDefault="001C2EB0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1867" w:type="dxa"/>
            <w:vMerge w:val="restart"/>
          </w:tcPr>
          <w:p w14:paraId="3A057A47" w14:textId="77777777" w:rsidR="001C2EB0" w:rsidRDefault="001C2EB0" w:rsidP="001D197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9170 Grąd środkowoeuropejski</w:t>
            </w:r>
          </w:p>
          <w:p w14:paraId="4AE45138" w14:textId="7F30B69A" w:rsidR="001C2EB0" w:rsidRPr="00FB5786" w:rsidRDefault="001C2EB0" w:rsidP="001D197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subkontynentalny (</w:t>
            </w:r>
            <w:r w:rsidRPr="009579DD">
              <w:rPr>
                <w:rFonts w:cstheme="minorHAnsi"/>
                <w:i/>
                <w:iCs/>
                <w:sz w:val="20"/>
                <w:szCs w:val="20"/>
              </w:rPr>
              <w:t>Galio-Carpinetum, Tilio-Carpinetum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387" w:type="dxa"/>
          </w:tcPr>
          <w:p w14:paraId="340CB260" w14:textId="21767354" w:rsidR="001C2EB0" w:rsidRPr="00FB5786" w:rsidRDefault="001C2EB0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 w:rsidRPr="004A262D">
              <w:rPr>
                <w:rFonts w:cstheme="minorHAnsi"/>
                <w:sz w:val="20"/>
                <w:szCs w:val="20"/>
                <w:u w:val="single"/>
              </w:rPr>
              <w:t>Stosowanie w gospodarce leśnej typów drzewostanu</w:t>
            </w:r>
            <w:r>
              <w:rPr>
                <w:rFonts w:cstheme="minorHAnsi"/>
                <w:sz w:val="20"/>
                <w:szCs w:val="20"/>
              </w:rPr>
              <w:t>, które uwzględniają optymalny skład gatunkowy dla siedliska.</w:t>
            </w:r>
          </w:p>
        </w:tc>
        <w:tc>
          <w:tcPr>
            <w:tcW w:w="1520" w:type="dxa"/>
          </w:tcPr>
          <w:p w14:paraId="6623EF54" w14:textId="0E886881" w:rsidR="001C2EB0" w:rsidRPr="00FB5786" w:rsidRDefault="001C2EB0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Płaty siedliska w oddz. 46a-c Nadleśnictwa Krasiczyn (zgodnie z zał. nr 7).</w:t>
            </w:r>
          </w:p>
        </w:tc>
        <w:tc>
          <w:tcPr>
            <w:tcW w:w="1818" w:type="dxa"/>
          </w:tcPr>
          <w:p w14:paraId="0BA15D49" w14:textId="4FD60AB4" w:rsidR="001C2EB0" w:rsidRPr="00FB5786" w:rsidRDefault="001C2EB0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RDLP w Krośnie; Nadleśnictwo Krasiczyn</w:t>
            </w:r>
          </w:p>
        </w:tc>
      </w:tr>
      <w:tr w:rsidR="001C2EB0" w:rsidRPr="00FB5786" w14:paraId="45A38044" w14:textId="77777777" w:rsidTr="00A144FB">
        <w:tc>
          <w:tcPr>
            <w:tcW w:w="470" w:type="dxa"/>
          </w:tcPr>
          <w:p w14:paraId="193CBC7F" w14:textId="36716F13" w:rsidR="001C2EB0" w:rsidRPr="00FB5786" w:rsidRDefault="001C2EB0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1867" w:type="dxa"/>
            <w:vMerge/>
          </w:tcPr>
          <w:p w14:paraId="4A180A89" w14:textId="77777777" w:rsidR="001C2EB0" w:rsidRPr="00FB5786" w:rsidRDefault="001C2EB0" w:rsidP="002854E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</w:tcPr>
          <w:p w14:paraId="1758FEAB" w14:textId="43070249" w:rsidR="001C2EB0" w:rsidRPr="00FB5786" w:rsidRDefault="001C2EB0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 w:rsidRPr="002E1842">
              <w:rPr>
                <w:rFonts w:cstheme="minorHAnsi"/>
                <w:sz w:val="20"/>
                <w:szCs w:val="20"/>
                <w:u w:val="single"/>
              </w:rPr>
              <w:t>Usuwanie gatunków obcych siedliskowo i geograficznie z drzewostanu</w:t>
            </w:r>
            <w:r>
              <w:rPr>
                <w:rFonts w:cstheme="minorHAnsi"/>
                <w:sz w:val="20"/>
                <w:szCs w:val="20"/>
              </w:rPr>
              <w:t xml:space="preserve"> w ramach cięć pielęgnacyjnych</w:t>
            </w:r>
            <w:r w:rsidR="004F04F7">
              <w:rPr>
                <w:rFonts w:cstheme="minorHAnsi"/>
                <w:sz w:val="20"/>
                <w:szCs w:val="20"/>
              </w:rPr>
              <w:t xml:space="preserve">, za wyjątkiem robinii akacjowej. </w:t>
            </w:r>
            <w:r>
              <w:rPr>
                <w:rFonts w:cstheme="minorHAnsi"/>
                <w:sz w:val="20"/>
                <w:szCs w:val="20"/>
              </w:rPr>
              <w:t>W przypadku rezerwatu przyrody „Skarpa Jaksmanicka” konieczność wykonania tego zabiegu w oddz. 46d należy uwzględnić w kolejnych zadaniach ochronnych dla rezerwatu i wykonać po ich ustanowieniu.</w:t>
            </w:r>
          </w:p>
        </w:tc>
        <w:tc>
          <w:tcPr>
            <w:tcW w:w="1520" w:type="dxa"/>
          </w:tcPr>
          <w:p w14:paraId="4C2E91E1" w14:textId="727AA543" w:rsidR="001C2EB0" w:rsidRPr="00FB5786" w:rsidRDefault="001C2EB0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Areał siedliska (zgodnie z zał. nr 7).</w:t>
            </w:r>
          </w:p>
        </w:tc>
        <w:tc>
          <w:tcPr>
            <w:tcW w:w="1818" w:type="dxa"/>
          </w:tcPr>
          <w:p w14:paraId="319F4193" w14:textId="0302086D" w:rsidR="001C2EB0" w:rsidRPr="00FB5786" w:rsidRDefault="001C2EB0" w:rsidP="002854E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RDLP w Krośnie; Nadleśnictwo Krasiczyn</w:t>
            </w:r>
          </w:p>
        </w:tc>
      </w:tr>
      <w:tr w:rsidR="001C2EB0" w:rsidRPr="00FB5786" w14:paraId="48C30078" w14:textId="77777777" w:rsidTr="00A144FB">
        <w:tc>
          <w:tcPr>
            <w:tcW w:w="470" w:type="dxa"/>
          </w:tcPr>
          <w:p w14:paraId="2C7C7EB4" w14:textId="7098272D" w:rsidR="001C2EB0" w:rsidRPr="00FB5786" w:rsidRDefault="001C2EB0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1867" w:type="dxa"/>
            <w:vMerge/>
          </w:tcPr>
          <w:p w14:paraId="3F159C9A" w14:textId="77777777" w:rsidR="001C2EB0" w:rsidRPr="00FB5786" w:rsidRDefault="001C2EB0" w:rsidP="001C2E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</w:tcPr>
          <w:p w14:paraId="3B259849" w14:textId="4232DEA0" w:rsidR="001C2EB0" w:rsidRPr="001B663B" w:rsidRDefault="001C2EB0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 w:rsidRPr="002E1842">
              <w:rPr>
                <w:rFonts w:cstheme="minorHAnsi"/>
                <w:sz w:val="20"/>
                <w:szCs w:val="20"/>
                <w:u w:val="single"/>
              </w:rPr>
              <w:t>Usuwanie gatunków obcych siedliskowo i geograficznie z</w:t>
            </w:r>
            <w:r>
              <w:rPr>
                <w:rFonts w:cstheme="minorHAnsi"/>
                <w:sz w:val="20"/>
                <w:szCs w:val="20"/>
                <w:u w:val="single"/>
              </w:rPr>
              <w:t xml:space="preserve"> runa, podszytu i podrostu</w:t>
            </w:r>
            <w:r>
              <w:rPr>
                <w:rFonts w:cstheme="minorHAnsi"/>
                <w:sz w:val="20"/>
                <w:szCs w:val="20"/>
              </w:rPr>
              <w:t xml:space="preserve"> – w ramach zabiegu należy usuwać gatunki silnie ekspansywne jak robinia akacjowa z niższych warstw lasu. W przypadku rezerwatu przyrody „Skarpa Jaksmanicka” konieczność wykonania tego zabiegu w oddz. 46d należy uwzględnić w kolejnych zadaniach ochronnych dla rezerwatu i wykonać po ich ustanowieniu. W razie potrzeby, by polepszyć efektywność zabiegu, należy zastosować nieszkodliwe dla owadów arborycydy. Po usunięciu podszytów, w miejscach o odpowiednich warunkach, należy stymulować odnowienie gatunków </w:t>
            </w:r>
            <w:r>
              <w:rPr>
                <w:rFonts w:cstheme="minorHAnsi"/>
                <w:sz w:val="20"/>
                <w:szCs w:val="20"/>
              </w:rPr>
              <w:lastRenderedPageBreak/>
              <w:t>właściwych dla siedliska. Zabieg należy przeprowadzać w zależności od potrzeb.</w:t>
            </w:r>
          </w:p>
        </w:tc>
        <w:tc>
          <w:tcPr>
            <w:tcW w:w="1520" w:type="dxa"/>
          </w:tcPr>
          <w:p w14:paraId="2C500848" w14:textId="5B6ED7C4" w:rsidR="001C2EB0" w:rsidRPr="00FB5786" w:rsidRDefault="001C2EB0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Areał siedliska (zgodnie z zał. nr 7).</w:t>
            </w:r>
          </w:p>
        </w:tc>
        <w:tc>
          <w:tcPr>
            <w:tcW w:w="1818" w:type="dxa"/>
          </w:tcPr>
          <w:p w14:paraId="3ABE87F3" w14:textId="6DA64430" w:rsidR="001C2EB0" w:rsidRDefault="001C2EB0" w:rsidP="00AF69F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RDOŚ w Rzeszowie </w:t>
            </w:r>
            <w:r w:rsidR="00AF69F3">
              <w:rPr>
                <w:rFonts w:cstheme="minorHAnsi"/>
                <w:sz w:val="20"/>
                <w:szCs w:val="20"/>
              </w:rPr>
              <w:t>na podstawie</w:t>
            </w:r>
            <w:r>
              <w:rPr>
                <w:rFonts w:cstheme="minorHAnsi"/>
                <w:sz w:val="20"/>
                <w:szCs w:val="20"/>
              </w:rPr>
              <w:t xml:space="preserve"> porozumieni</w:t>
            </w:r>
            <w:r w:rsidR="00AF69F3">
              <w:rPr>
                <w:rFonts w:cstheme="minorHAnsi"/>
                <w:sz w:val="20"/>
                <w:szCs w:val="20"/>
              </w:rPr>
              <w:t>a</w:t>
            </w:r>
            <w:r>
              <w:rPr>
                <w:rFonts w:cstheme="minorHAnsi"/>
                <w:sz w:val="20"/>
                <w:szCs w:val="20"/>
              </w:rPr>
              <w:t xml:space="preserve"> z właścicielem</w:t>
            </w:r>
          </w:p>
          <w:p w14:paraId="155A6AE1" w14:textId="0150E8AF" w:rsidR="001C2EB0" w:rsidRPr="00FB5786" w:rsidRDefault="001C2EB0" w:rsidP="00AF69F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 użytkownikiem terenu.</w:t>
            </w:r>
          </w:p>
        </w:tc>
      </w:tr>
      <w:tr w:rsidR="001C2EB0" w:rsidRPr="00FB5786" w14:paraId="43974325" w14:textId="77777777" w:rsidTr="00A144FB">
        <w:tc>
          <w:tcPr>
            <w:tcW w:w="470" w:type="dxa"/>
          </w:tcPr>
          <w:p w14:paraId="2E55ED21" w14:textId="3230AD70" w:rsidR="001C2EB0" w:rsidRPr="00FB5786" w:rsidRDefault="001C2EB0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1867" w:type="dxa"/>
            <w:vMerge/>
          </w:tcPr>
          <w:p w14:paraId="3176E4E7" w14:textId="77777777" w:rsidR="001C2EB0" w:rsidRPr="00FB5786" w:rsidRDefault="001C2EB0" w:rsidP="001C2E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</w:tcPr>
          <w:p w14:paraId="39384A8F" w14:textId="1599C981" w:rsidR="001C2EB0" w:rsidRPr="00FB5786" w:rsidRDefault="00386488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 w:rsidRPr="00386488">
              <w:rPr>
                <w:rFonts w:cstheme="minorHAnsi"/>
                <w:sz w:val="20"/>
                <w:szCs w:val="20"/>
                <w:u w:val="single"/>
              </w:rPr>
              <w:t>Realizacja gospodarki leśnej z uwzględnieniem specyfiki siedliska i wskaźników decydujących o stanie jego ochrony</w:t>
            </w:r>
            <w:r>
              <w:rPr>
                <w:rFonts w:cstheme="minorHAnsi"/>
                <w:sz w:val="20"/>
                <w:szCs w:val="20"/>
              </w:rPr>
              <w:t xml:space="preserve"> – w trakcie wykonywania cięć pielęgnacyjnych należy uwzględnić potrzebę kształtowania wielogeneracyjnej struktury drzewostanu, odpowiedniego zasobu drzew starych i obumierających oraz udziału martwego drewna grubowymiarowego (stanowiących co najmniej 5% średniej zasobności w obrębie leśnym, w którym położony jest obszar Natura 2000) przez pozostawianie w trakcie cięć pielęgnacyjnych najstarszych i najlepiej rokujących na przyszłość okazów dębu szypułkowego i grabu. W trakcie selekcji należy uwzględnić również potrzebę kształtowania właściwego dla grądu subkontynentalnego składu gatunkowego drzewostanu, w tym udziału gatunków domieszkowych oraz zasobów martwego drewna.</w:t>
            </w:r>
          </w:p>
        </w:tc>
        <w:tc>
          <w:tcPr>
            <w:tcW w:w="1520" w:type="dxa"/>
          </w:tcPr>
          <w:p w14:paraId="3F912538" w14:textId="68C6FFDA" w:rsidR="001C2EB0" w:rsidRPr="00FB5786" w:rsidRDefault="00DD2C75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Płaty siedliska w oddz. 46a-c Nadleśnictwa Krasiczyn (zgodnie z zał. nr 7). </w:t>
            </w:r>
          </w:p>
        </w:tc>
        <w:tc>
          <w:tcPr>
            <w:tcW w:w="1818" w:type="dxa"/>
          </w:tcPr>
          <w:p w14:paraId="3E4DA3F2" w14:textId="3062DE91" w:rsidR="001C2EB0" w:rsidRPr="00FB5786" w:rsidRDefault="00DD2C75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RDLP w Krośnie; Nadleśnictwo Krasiczyn</w:t>
            </w:r>
          </w:p>
        </w:tc>
      </w:tr>
      <w:tr w:rsidR="001C2EB0" w:rsidRPr="00FB5786" w14:paraId="13262079" w14:textId="77777777" w:rsidTr="00A144FB">
        <w:tc>
          <w:tcPr>
            <w:tcW w:w="470" w:type="dxa"/>
          </w:tcPr>
          <w:p w14:paraId="32A5CFA3" w14:textId="42D3DEE4" w:rsidR="001C2EB0" w:rsidRPr="00FB5786" w:rsidRDefault="001C2EB0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1867" w:type="dxa"/>
            <w:vMerge/>
          </w:tcPr>
          <w:p w14:paraId="1E1B7D94" w14:textId="77777777" w:rsidR="001C2EB0" w:rsidRPr="00FB5786" w:rsidRDefault="001C2EB0" w:rsidP="001C2E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</w:tcPr>
          <w:p w14:paraId="1FAD56AF" w14:textId="1F0B631F" w:rsidR="001C2EB0" w:rsidRPr="00FB5786" w:rsidRDefault="009579DD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 w:rsidRPr="009579DD">
              <w:rPr>
                <w:rFonts w:cstheme="minorHAnsi"/>
                <w:sz w:val="20"/>
                <w:szCs w:val="20"/>
                <w:u w:val="single"/>
              </w:rPr>
              <w:t>Przeciwdziałanie kradzieżom drewna</w:t>
            </w:r>
            <w:r>
              <w:rPr>
                <w:rFonts w:cstheme="minorHAnsi"/>
                <w:sz w:val="20"/>
                <w:szCs w:val="20"/>
              </w:rPr>
              <w:t xml:space="preserve"> – pilnowanie by nie pozyskiwano nielegalnie drewna w lesie, w tym drewna martwego. </w:t>
            </w:r>
          </w:p>
        </w:tc>
        <w:tc>
          <w:tcPr>
            <w:tcW w:w="1520" w:type="dxa"/>
          </w:tcPr>
          <w:p w14:paraId="57E328BA" w14:textId="2765075E" w:rsidR="001C2EB0" w:rsidRPr="00FB5786" w:rsidRDefault="009579DD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Areał siedliska (zgodnie z zał. nr 7).</w:t>
            </w:r>
          </w:p>
        </w:tc>
        <w:tc>
          <w:tcPr>
            <w:tcW w:w="1818" w:type="dxa"/>
          </w:tcPr>
          <w:p w14:paraId="409E4767" w14:textId="10A5CA14" w:rsidR="001C2EB0" w:rsidRPr="00FB5786" w:rsidRDefault="009579DD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Straż Leśna we współpracy ze Strażą Graniczną, policja.</w:t>
            </w:r>
          </w:p>
        </w:tc>
      </w:tr>
      <w:tr w:rsidR="009579DD" w:rsidRPr="00FB5786" w14:paraId="7D2EDA61" w14:textId="77777777" w:rsidTr="00A144FB">
        <w:tc>
          <w:tcPr>
            <w:tcW w:w="470" w:type="dxa"/>
          </w:tcPr>
          <w:p w14:paraId="595E7ED5" w14:textId="7334A794" w:rsidR="009579DD" w:rsidRPr="00FB5786" w:rsidRDefault="009579DD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1867" w:type="dxa"/>
            <w:vMerge w:val="restart"/>
          </w:tcPr>
          <w:p w14:paraId="1934A944" w14:textId="66E031B8" w:rsidR="009579DD" w:rsidRPr="00FB5786" w:rsidRDefault="009579DD" w:rsidP="009579D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1308 Mopek zachodni </w:t>
            </w:r>
            <w:r w:rsidRPr="009579DD">
              <w:rPr>
                <w:rFonts w:cstheme="minorHAnsi"/>
                <w:i/>
                <w:iCs/>
                <w:sz w:val="20"/>
                <w:szCs w:val="20"/>
              </w:rPr>
              <w:t>Barbastella barbastellus</w:t>
            </w:r>
          </w:p>
        </w:tc>
        <w:tc>
          <w:tcPr>
            <w:tcW w:w="3387" w:type="dxa"/>
          </w:tcPr>
          <w:p w14:paraId="144E6129" w14:textId="3A68422C" w:rsidR="009579DD" w:rsidRPr="00FB5786" w:rsidRDefault="00D859B9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 w:rsidRPr="00D859B9">
              <w:rPr>
                <w:rFonts w:cstheme="minorHAnsi"/>
                <w:sz w:val="20"/>
                <w:szCs w:val="20"/>
                <w:u w:val="single"/>
              </w:rPr>
              <w:t>Poprawa warunków mikroklimatycznych w schronieniu zimowym</w:t>
            </w:r>
            <w:r>
              <w:rPr>
                <w:rFonts w:cstheme="minorHAnsi"/>
                <w:sz w:val="20"/>
                <w:szCs w:val="20"/>
              </w:rPr>
              <w:t xml:space="preserve"> – odtworzenie zapory ziemnej w prawej poternie, poprawa stanu zapory ziemnej w lewej poternie (działanie jednorazowe; prace należy prowadzić w okresie od 1 V do 15 VII).</w:t>
            </w:r>
          </w:p>
        </w:tc>
        <w:tc>
          <w:tcPr>
            <w:tcW w:w="1520" w:type="dxa"/>
          </w:tcPr>
          <w:p w14:paraId="1DF21200" w14:textId="4953CEFB" w:rsidR="009579DD" w:rsidRPr="00FB5786" w:rsidRDefault="00D859B9" w:rsidP="001C2E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Poterna prawa – odtworzenie zapory ziemnej, poprawa stanu zapory ziemnej w lewej poternie.</w:t>
            </w:r>
          </w:p>
        </w:tc>
        <w:tc>
          <w:tcPr>
            <w:tcW w:w="1818" w:type="dxa"/>
          </w:tcPr>
          <w:p w14:paraId="1C5DD5DC" w14:textId="77777777" w:rsidR="008249AC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RDOŚ w Rzeszowie na podstawie porozumienia z właścicielem</w:t>
            </w:r>
          </w:p>
          <w:p w14:paraId="6AA95500" w14:textId="41376AF2" w:rsidR="009579DD" w:rsidRPr="00FB5786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/ użytkownikiem obiektu </w:t>
            </w:r>
            <w:r w:rsidR="00D859B9">
              <w:rPr>
                <w:rFonts w:cstheme="minorHAnsi"/>
                <w:sz w:val="20"/>
                <w:szCs w:val="20"/>
              </w:rPr>
              <w:t>i Podkarpackim Wojewódzkim Konserwatorem Zabytków</w:t>
            </w:r>
            <w:r w:rsidR="004C6913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8249AC" w:rsidRPr="00FB5786" w14:paraId="7B8EC64C" w14:textId="77777777" w:rsidTr="00A144FB">
        <w:tc>
          <w:tcPr>
            <w:tcW w:w="470" w:type="dxa"/>
          </w:tcPr>
          <w:p w14:paraId="1613D2B3" w14:textId="1CBF4E77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1867" w:type="dxa"/>
            <w:vMerge/>
          </w:tcPr>
          <w:p w14:paraId="1186E75C" w14:textId="77777777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</w:tcPr>
          <w:p w14:paraId="7F666F16" w14:textId="1301AE76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 w:rsidRPr="00FC1CC8">
              <w:rPr>
                <w:rFonts w:cstheme="minorHAnsi"/>
                <w:sz w:val="20"/>
                <w:szCs w:val="20"/>
                <w:u w:val="single"/>
              </w:rPr>
              <w:t>Zabezpieczenie wejść do potern</w:t>
            </w:r>
            <w:r>
              <w:rPr>
                <w:rFonts w:cstheme="minorHAnsi"/>
                <w:sz w:val="20"/>
                <w:szCs w:val="20"/>
              </w:rPr>
              <w:t xml:space="preserve"> przez montaż krat. Kraty te powinny umożliwić swobodny przelot nietoperzy oraz zabezpieczyć przed wchodzeniem do potern ludzi (działanie jednorazowe; prace należy wykonać w okresie od 1 V do 15 VII). </w:t>
            </w:r>
          </w:p>
        </w:tc>
        <w:tc>
          <w:tcPr>
            <w:tcW w:w="1520" w:type="dxa"/>
          </w:tcPr>
          <w:p w14:paraId="17C0A7D0" w14:textId="18D57F30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Wejście do poterny głównej, prawej i lewej.</w:t>
            </w:r>
          </w:p>
        </w:tc>
        <w:tc>
          <w:tcPr>
            <w:tcW w:w="1818" w:type="dxa"/>
          </w:tcPr>
          <w:p w14:paraId="294AA47B" w14:textId="77777777" w:rsidR="008249AC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RDOŚ w Rzeszowie na podstawie porozumienia z właścicielem</w:t>
            </w:r>
          </w:p>
          <w:p w14:paraId="54F2A41D" w14:textId="2F94BBC8" w:rsidR="008249AC" w:rsidRPr="00FB5786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 użytkownikiem obiektu i Podkarpackim Wojewódzkim Konserwatorem Zabytków.</w:t>
            </w:r>
          </w:p>
        </w:tc>
      </w:tr>
      <w:tr w:rsidR="008249AC" w:rsidRPr="00FB5786" w14:paraId="0D11275A" w14:textId="77777777" w:rsidTr="00A144FB">
        <w:tc>
          <w:tcPr>
            <w:tcW w:w="470" w:type="dxa"/>
          </w:tcPr>
          <w:p w14:paraId="2CF7A0F6" w14:textId="019510C3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1867" w:type="dxa"/>
            <w:vMerge/>
          </w:tcPr>
          <w:p w14:paraId="32E6D8B5" w14:textId="77777777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</w:tcPr>
          <w:p w14:paraId="5D145B56" w14:textId="286611A3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 w:rsidRPr="004C0E17">
              <w:rPr>
                <w:rFonts w:cstheme="minorHAnsi"/>
                <w:sz w:val="20"/>
                <w:szCs w:val="20"/>
                <w:u w:val="single"/>
              </w:rPr>
              <w:t>Konserwacja zabezpieczeń, zamykanie krat w okresie przedhibernacyjnym i otwieranie ich po okresie hibernacji.</w:t>
            </w:r>
            <w:r>
              <w:rPr>
                <w:rFonts w:cstheme="minorHAnsi"/>
                <w:sz w:val="20"/>
                <w:szCs w:val="20"/>
              </w:rPr>
              <w:t xml:space="preserve"> Krata powinna być otwarta w okresie od 1 IV do 30 X. </w:t>
            </w:r>
          </w:p>
        </w:tc>
        <w:tc>
          <w:tcPr>
            <w:tcW w:w="1520" w:type="dxa"/>
          </w:tcPr>
          <w:p w14:paraId="7100EC4C" w14:textId="65CE51E2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Wejścia do potern.</w:t>
            </w:r>
          </w:p>
        </w:tc>
        <w:tc>
          <w:tcPr>
            <w:tcW w:w="1818" w:type="dxa"/>
          </w:tcPr>
          <w:p w14:paraId="57C3FF86" w14:textId="77777777" w:rsidR="008249AC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RDOŚ w Rzeszowie na podstawie porozumienia z właścicielem</w:t>
            </w:r>
          </w:p>
          <w:p w14:paraId="4B761BB1" w14:textId="152E9B7D" w:rsidR="008249AC" w:rsidRPr="00FB5786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/ użytkownikiem obiektu i </w:t>
            </w:r>
            <w:r>
              <w:rPr>
                <w:rFonts w:cstheme="minorHAnsi"/>
                <w:sz w:val="20"/>
                <w:szCs w:val="20"/>
              </w:rPr>
              <w:lastRenderedPageBreak/>
              <w:t>Podkarpackim Wojewódzkim Konserwatorem Zabytków.</w:t>
            </w:r>
          </w:p>
        </w:tc>
      </w:tr>
      <w:tr w:rsidR="008249AC" w:rsidRPr="00FB5786" w14:paraId="600CE0F1" w14:textId="77777777" w:rsidTr="00A144FB">
        <w:tc>
          <w:tcPr>
            <w:tcW w:w="470" w:type="dxa"/>
          </w:tcPr>
          <w:p w14:paraId="01158747" w14:textId="40E7F427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867" w:type="dxa"/>
            <w:vMerge/>
          </w:tcPr>
          <w:p w14:paraId="31F36544" w14:textId="77777777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</w:tcPr>
          <w:p w14:paraId="6180BD91" w14:textId="2CC9EFB5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 w:rsidRPr="00785469">
              <w:rPr>
                <w:rFonts w:cstheme="minorHAnsi"/>
                <w:sz w:val="20"/>
                <w:szCs w:val="20"/>
                <w:u w:val="single"/>
              </w:rPr>
              <w:t>Umieszczenie tablicy edukacyjnej</w:t>
            </w:r>
            <w:r>
              <w:rPr>
                <w:rFonts w:cstheme="minorHAnsi"/>
                <w:sz w:val="20"/>
                <w:szCs w:val="20"/>
              </w:rPr>
              <w:t xml:space="preserve"> zawierającej podstawowe informacje o celu utworzenia obszaru Natura 2000, przedmiotach jego ochrony, działaniach mogących stanowić zagrożenie dla stanowiska nietoperzy. Jej doraźna konserwacja lub wymiana (posadowienie tablicy – działanie jednorazowe, konserwacja/wymiana – w zależności od potrzeb). </w:t>
            </w:r>
          </w:p>
        </w:tc>
        <w:tc>
          <w:tcPr>
            <w:tcW w:w="1520" w:type="dxa"/>
          </w:tcPr>
          <w:p w14:paraId="22F53D2E" w14:textId="4CA76625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Przy wejściu do fortu.</w:t>
            </w:r>
          </w:p>
        </w:tc>
        <w:tc>
          <w:tcPr>
            <w:tcW w:w="1818" w:type="dxa"/>
          </w:tcPr>
          <w:p w14:paraId="1F1C179D" w14:textId="77777777" w:rsidR="008249AC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RDOŚ w Rzeszowie na podstawie porozumienia z właścicielem</w:t>
            </w:r>
          </w:p>
          <w:p w14:paraId="3538D33F" w14:textId="13C29883" w:rsidR="008249AC" w:rsidRPr="00FB5786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 użytkownikiem obiektu i Podkarpackim Wojewódzkim Konserwatorem Zabytków.</w:t>
            </w:r>
          </w:p>
        </w:tc>
      </w:tr>
      <w:tr w:rsidR="008249AC" w:rsidRPr="00FB5786" w14:paraId="65ACFB52" w14:textId="77777777" w:rsidTr="00A144FB">
        <w:tc>
          <w:tcPr>
            <w:tcW w:w="470" w:type="dxa"/>
          </w:tcPr>
          <w:p w14:paraId="5E4D9D80" w14:textId="5F927731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1867" w:type="dxa"/>
            <w:vMerge/>
          </w:tcPr>
          <w:p w14:paraId="62A02F4F" w14:textId="77777777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</w:tcPr>
          <w:p w14:paraId="3643D48C" w14:textId="21D3909A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 w:rsidRPr="00844957">
              <w:rPr>
                <w:rFonts w:cstheme="minorHAnsi"/>
                <w:sz w:val="20"/>
                <w:szCs w:val="20"/>
                <w:u w:val="single"/>
              </w:rPr>
              <w:t>Oznakowanie wejść do potern tablicami zawierającymi podstawowe zalecenia ochronne i informacje o celu ich zamknięcia na okres zimowy</w:t>
            </w:r>
            <w:r>
              <w:rPr>
                <w:rFonts w:cstheme="minorHAnsi"/>
                <w:sz w:val="20"/>
                <w:szCs w:val="20"/>
              </w:rPr>
              <w:t xml:space="preserve"> – trwałe tablice (odporne na korozję) zawierające m.in. informacje o celu zamknięcia tej części fortu, czasookresie zamknięcia krat, obszarze fortu wyłączonym z penetracji (zaznaczenie na planie obiektu), a także działaniach mogących stanowić zagrożenie dla stanowiska nietoperzy należy umieścić nad wejściem do każdej z potern (posadowienie tablic – działanie jednorazowe, konserwacja/wymiana – w zależności od potrzeb).</w:t>
            </w:r>
          </w:p>
        </w:tc>
        <w:tc>
          <w:tcPr>
            <w:tcW w:w="1520" w:type="dxa"/>
          </w:tcPr>
          <w:p w14:paraId="633DD972" w14:textId="7AEF1D57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Przy wejściach do potern</w:t>
            </w:r>
          </w:p>
        </w:tc>
        <w:tc>
          <w:tcPr>
            <w:tcW w:w="1818" w:type="dxa"/>
          </w:tcPr>
          <w:p w14:paraId="362EBEAF" w14:textId="77777777" w:rsidR="008249AC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RDOŚ w Rzeszowie na podstawie porozumienia z właścicielem</w:t>
            </w:r>
          </w:p>
          <w:p w14:paraId="56CBDB68" w14:textId="3A5616DE" w:rsidR="008249AC" w:rsidRPr="00FB5786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 użytkownikiem obiektu i Podkarpackim Wojewódzkim Konserwatorem Zabytków.</w:t>
            </w:r>
          </w:p>
        </w:tc>
      </w:tr>
      <w:tr w:rsidR="008249AC" w:rsidRPr="00FB5786" w14:paraId="1F25F0B1" w14:textId="77777777" w:rsidTr="00A144FB">
        <w:tc>
          <w:tcPr>
            <w:tcW w:w="470" w:type="dxa"/>
          </w:tcPr>
          <w:p w14:paraId="12AFBACD" w14:textId="06F88E3C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1867" w:type="dxa"/>
            <w:vMerge/>
          </w:tcPr>
          <w:p w14:paraId="7A9DF34E" w14:textId="77777777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</w:tcPr>
          <w:p w14:paraId="188BF751" w14:textId="1B1B46E1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 w:rsidRPr="00093F4D">
              <w:rPr>
                <w:rFonts w:cstheme="minorHAnsi"/>
                <w:sz w:val="20"/>
                <w:szCs w:val="20"/>
                <w:u w:val="single"/>
              </w:rPr>
              <w:t>Prowadzenie edukacji w lokalnej społeczności</w:t>
            </w:r>
            <w:r>
              <w:rPr>
                <w:rFonts w:cstheme="minorHAnsi"/>
                <w:sz w:val="20"/>
                <w:szCs w:val="20"/>
              </w:rPr>
              <w:t xml:space="preserve"> – wydanie materiałów informacyjnych, prelekcje, spotkania, działalność promocyjna (w zależności od potrzeb). </w:t>
            </w:r>
          </w:p>
        </w:tc>
        <w:tc>
          <w:tcPr>
            <w:tcW w:w="1520" w:type="dxa"/>
          </w:tcPr>
          <w:p w14:paraId="4C9B9B31" w14:textId="410A153D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Zainteresowane podmioty w zasięgu terytorialnym Nadleśnictwa</w:t>
            </w:r>
          </w:p>
        </w:tc>
        <w:tc>
          <w:tcPr>
            <w:tcW w:w="1818" w:type="dxa"/>
          </w:tcPr>
          <w:p w14:paraId="089D8C8F" w14:textId="793DDC7A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RDOŚ w Rzeszowie we współpracy z Nadleśnictwem Krasiczyn</w:t>
            </w:r>
          </w:p>
        </w:tc>
      </w:tr>
      <w:tr w:rsidR="008249AC" w:rsidRPr="00FB5786" w14:paraId="0085D4C2" w14:textId="77777777" w:rsidTr="00A144FB">
        <w:tc>
          <w:tcPr>
            <w:tcW w:w="470" w:type="dxa"/>
          </w:tcPr>
          <w:p w14:paraId="1C95A3EE" w14:textId="6DFBD067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1867" w:type="dxa"/>
            <w:vMerge/>
          </w:tcPr>
          <w:p w14:paraId="33BE9EAE" w14:textId="77777777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</w:tcPr>
          <w:p w14:paraId="32DA3C0C" w14:textId="1D91C482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 w:rsidRPr="000846E2">
              <w:rPr>
                <w:rFonts w:cstheme="minorHAnsi"/>
                <w:sz w:val="20"/>
                <w:szCs w:val="20"/>
                <w:u w:val="single"/>
              </w:rPr>
              <w:t>Utrzymanie zadrzewień w najbliższym sąsiedztwie fortu i w jego obrębie umożliwiających swobodny dolot nietoperzy do miejsc zimowania i rojenia</w:t>
            </w:r>
            <w:r>
              <w:rPr>
                <w:rFonts w:cstheme="minorHAnsi"/>
                <w:sz w:val="20"/>
                <w:szCs w:val="20"/>
              </w:rPr>
              <w:t xml:space="preserve"> – w obrębie zadrzewień należy dążyć do utrzymania pełnej zwartości koron drzew. W przypadku konieczności usunięcia drzew nie należy dopuścić do nadmiernego rozrzedzenia koron drzew prowadzących do powstania luk większych niż 10 m (ok. 1 ar). W przypadku konieczności usunięcia drzew z powierzchni umocnień fortu ich skala powinna być ograniczona do niezbędnego minimum. Prace te powinny być skonsultowane ze specjalistą chiropterologiem i prowadzone poza okresem hibernacji mopka. </w:t>
            </w:r>
          </w:p>
        </w:tc>
        <w:tc>
          <w:tcPr>
            <w:tcW w:w="1520" w:type="dxa"/>
          </w:tcPr>
          <w:p w14:paraId="793E7318" w14:textId="4BE6CE5B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Zadrzewienia w obrębie umocnień i w ich bezpośrednim sąsiedztwie (strefa nr 2 w zał. nr 8).</w:t>
            </w:r>
          </w:p>
        </w:tc>
        <w:tc>
          <w:tcPr>
            <w:tcW w:w="1818" w:type="dxa"/>
          </w:tcPr>
          <w:p w14:paraId="6BD25EA5" w14:textId="58EA0507" w:rsidR="008249AC" w:rsidRPr="00FB5786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Starostwo Powiatowe w Przemyślu w uzgodnieniu z Podkarpackim Wojewódzkim Konserwatorem Zabytków w porozumieniu z dzierżawcą obiektu.</w:t>
            </w:r>
          </w:p>
        </w:tc>
      </w:tr>
      <w:tr w:rsidR="008249AC" w:rsidRPr="00FB5786" w14:paraId="1DFD2272" w14:textId="77777777" w:rsidTr="00A144FB">
        <w:tc>
          <w:tcPr>
            <w:tcW w:w="470" w:type="dxa"/>
          </w:tcPr>
          <w:p w14:paraId="5C91CE7A" w14:textId="45582841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867" w:type="dxa"/>
            <w:vMerge/>
          </w:tcPr>
          <w:p w14:paraId="60AAFD7A" w14:textId="77777777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</w:tcPr>
          <w:p w14:paraId="6492CDD4" w14:textId="77777777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 w:rsidRPr="009D1AD6">
              <w:rPr>
                <w:rFonts w:cstheme="minorHAnsi"/>
                <w:sz w:val="20"/>
                <w:szCs w:val="20"/>
                <w:u w:val="single"/>
              </w:rPr>
              <w:t>Utrzymanie lub powiększenie obecnego areału i zwartości terenów leśnych ostoi, poprawa jakości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9D1AD6">
              <w:rPr>
                <w:rFonts w:cstheme="minorHAnsi"/>
                <w:sz w:val="20"/>
                <w:szCs w:val="20"/>
                <w:u w:val="single"/>
              </w:rPr>
              <w:t>żerowisk, zapewnienie schronisk dziennych</w:t>
            </w:r>
            <w:r>
              <w:rPr>
                <w:rFonts w:cstheme="minorHAnsi"/>
                <w:sz w:val="20"/>
                <w:szCs w:val="20"/>
              </w:rPr>
              <w:t xml:space="preserve"> przez podejmowanie działań służących:</w:t>
            </w:r>
          </w:p>
          <w:p w14:paraId="1E4946EC" w14:textId="77777777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utrzymaniu jak największej powierzchni drzewostanów liściastych,</w:t>
            </w:r>
          </w:p>
          <w:p w14:paraId="7187539D" w14:textId="77777777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rozbudowaniu struktury wiekowej i przestrzennej drzewostanów, </w:t>
            </w:r>
          </w:p>
          <w:p w14:paraId="1ACB2563" w14:textId="6A45A9A4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zwiększeniu udziału martwych i obumierających drzew (docelowo co najmniej 5% średniej zasobności w obrębie leśnym, w którym położony jest obszar Natura 2000).</w:t>
            </w:r>
          </w:p>
        </w:tc>
        <w:tc>
          <w:tcPr>
            <w:tcW w:w="1520" w:type="dxa"/>
          </w:tcPr>
          <w:p w14:paraId="7E66084D" w14:textId="32F9D871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Pozostała część obszaru (strefa nr 3 w zał. nr 8). </w:t>
            </w:r>
          </w:p>
        </w:tc>
        <w:tc>
          <w:tcPr>
            <w:tcW w:w="1818" w:type="dxa"/>
          </w:tcPr>
          <w:p w14:paraId="2B595ACD" w14:textId="1DC676F0" w:rsidR="008249AC" w:rsidRPr="00FB5786" w:rsidRDefault="008249AC" w:rsidP="00C233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Nadleśnictwo Krasiczyn, Starostwo Powiatowe w Przemyślu, Gmina Medyka, właściciel / użytkownik obiektu na podstawie porozumienia z RDOŚ w Rzeszowie.</w:t>
            </w:r>
          </w:p>
        </w:tc>
      </w:tr>
      <w:tr w:rsidR="008249AC" w:rsidRPr="00FB5786" w14:paraId="4B26EEB6" w14:textId="77777777" w:rsidTr="00A144FB">
        <w:tc>
          <w:tcPr>
            <w:tcW w:w="470" w:type="dxa"/>
          </w:tcPr>
          <w:p w14:paraId="6C7C0506" w14:textId="149FED70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15.</w:t>
            </w:r>
          </w:p>
        </w:tc>
        <w:tc>
          <w:tcPr>
            <w:tcW w:w="1867" w:type="dxa"/>
            <w:vMerge/>
          </w:tcPr>
          <w:p w14:paraId="6CD99BBB" w14:textId="77777777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</w:tcPr>
          <w:p w14:paraId="73384C24" w14:textId="30C41B30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 w:rsidRPr="00152C6C">
              <w:rPr>
                <w:rFonts w:cstheme="minorHAnsi"/>
                <w:sz w:val="20"/>
                <w:szCs w:val="20"/>
                <w:u w:val="single"/>
              </w:rPr>
              <w:t>Utrzymanie właściwego stanu ochrony gatunku w obszarze</w:t>
            </w:r>
            <w:r>
              <w:rPr>
                <w:rFonts w:cstheme="minorHAnsi"/>
                <w:sz w:val="20"/>
                <w:szCs w:val="20"/>
              </w:rPr>
              <w:t xml:space="preserve"> – przeciwdziałanie aktom wandalizmu na terenie fortu (naruszanie konstrukcji fortu, rozkopywanie ziemi, szczególnie zapór ziemnych warunkujących właściwy reżim termiczny potern, niszczenie krat zabezpieczających wejścia do potern oraz tablic informacyjnych i edukacyjnych), a także paleniu ognisk i używaniu otwartego ognia, szczególnie w obrębie najniższej kondygnacji fortu, w okresie od 1 XI do 30 III. </w:t>
            </w:r>
          </w:p>
        </w:tc>
        <w:tc>
          <w:tcPr>
            <w:tcW w:w="1520" w:type="dxa"/>
          </w:tcPr>
          <w:p w14:paraId="51CE00FB" w14:textId="3343F873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Ruiny fortyfikacji (strefa nr 1 w zał. nr 8).</w:t>
            </w:r>
          </w:p>
        </w:tc>
        <w:tc>
          <w:tcPr>
            <w:tcW w:w="1818" w:type="dxa"/>
          </w:tcPr>
          <w:p w14:paraId="6708796B" w14:textId="78440C92" w:rsidR="008249AC" w:rsidRPr="00FB5786" w:rsidRDefault="008249AC" w:rsidP="00C233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RDOŚ w Rzeszowie we współpracy z właścicielem / użytkownikiem obiektu i Strażą Graniczną.</w:t>
            </w:r>
          </w:p>
        </w:tc>
      </w:tr>
      <w:tr w:rsidR="008249AC" w:rsidRPr="00FB5786" w14:paraId="2B65E091" w14:textId="77777777" w:rsidTr="00915839">
        <w:tc>
          <w:tcPr>
            <w:tcW w:w="9062" w:type="dxa"/>
            <w:gridSpan w:val="5"/>
          </w:tcPr>
          <w:p w14:paraId="740CD575" w14:textId="2081AA12" w:rsidR="008249AC" w:rsidRPr="00A144FB" w:rsidRDefault="008249AC" w:rsidP="008249AC">
            <w:pPr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144F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Dotyczące monitoringu stanu przedmiotów ochrony oraz realizacji celów działań ochronnych</w:t>
            </w:r>
          </w:p>
        </w:tc>
      </w:tr>
      <w:tr w:rsidR="008249AC" w:rsidRPr="00FB5786" w14:paraId="381C7F1B" w14:textId="77777777" w:rsidTr="00A144FB">
        <w:tc>
          <w:tcPr>
            <w:tcW w:w="470" w:type="dxa"/>
          </w:tcPr>
          <w:p w14:paraId="5C7145CA" w14:textId="22B7837E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1867" w:type="dxa"/>
          </w:tcPr>
          <w:p w14:paraId="6434F6F6" w14:textId="77777777" w:rsidR="008249AC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9170 Grąd środkowoeuropejski</w:t>
            </w:r>
          </w:p>
          <w:p w14:paraId="008F3339" w14:textId="5EF31C06" w:rsidR="008249AC" w:rsidRPr="00FB5786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subkontynentalny (</w:t>
            </w:r>
            <w:r w:rsidRPr="009579DD">
              <w:rPr>
                <w:rFonts w:cstheme="minorHAnsi"/>
                <w:i/>
                <w:iCs/>
                <w:sz w:val="20"/>
                <w:szCs w:val="20"/>
              </w:rPr>
              <w:t>Galio-Carpinetum, Tilio-Carpinetum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387" w:type="dxa"/>
          </w:tcPr>
          <w:p w14:paraId="10ACC736" w14:textId="58EAC358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 w:rsidRPr="00203444">
              <w:rPr>
                <w:rFonts w:cstheme="minorHAnsi"/>
                <w:sz w:val="20"/>
                <w:szCs w:val="20"/>
                <w:u w:val="single"/>
              </w:rPr>
              <w:t>Monitoring stanu ochrony</w:t>
            </w:r>
            <w:r>
              <w:rPr>
                <w:rFonts w:cstheme="minorHAnsi"/>
                <w:sz w:val="20"/>
                <w:szCs w:val="20"/>
              </w:rPr>
              <w:t xml:space="preserve"> z zastosowaniem metodyki monitoringu GIOŚ (raz na 10 lat). </w:t>
            </w:r>
          </w:p>
        </w:tc>
        <w:tc>
          <w:tcPr>
            <w:tcW w:w="1520" w:type="dxa"/>
          </w:tcPr>
          <w:p w14:paraId="769585C3" w14:textId="77777777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Wyznaczone stanowiska monitoringowe (współrzędne pocz., środ. i końca transektu), </w:t>
            </w:r>
          </w:p>
          <w:p w14:paraId="7768F561" w14:textId="77777777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stan. nr I:</w:t>
            </w:r>
          </w:p>
          <w:p w14:paraId="40F529C0" w14:textId="77777777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N49 45 21.8 E22 53 37.7;</w:t>
            </w:r>
          </w:p>
          <w:p w14:paraId="461974EC" w14:textId="77777777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N49 45 18.8 E22 53 39.3;</w:t>
            </w:r>
          </w:p>
          <w:p w14:paraId="694B66FA" w14:textId="77777777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N49 45 17.2 E22 53 43.7;</w:t>
            </w:r>
          </w:p>
          <w:p w14:paraId="76D9214A" w14:textId="77777777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stan. nr II:</w:t>
            </w:r>
          </w:p>
          <w:p w14:paraId="1AC01114" w14:textId="5B78BC90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N49 45 35.4 E22 53 43.4;</w:t>
            </w:r>
          </w:p>
          <w:p w14:paraId="12597B7D" w14:textId="0D8CCA5F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N49 45 38.8 E22 53 43.3;</w:t>
            </w:r>
          </w:p>
          <w:p w14:paraId="4F630A41" w14:textId="4E67A193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N49 45 41.8 E22 53 44.9</w:t>
            </w:r>
          </w:p>
        </w:tc>
        <w:tc>
          <w:tcPr>
            <w:tcW w:w="1818" w:type="dxa"/>
          </w:tcPr>
          <w:p w14:paraId="258D4854" w14:textId="052DEBF6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RDOŚ w Rzeszowie</w:t>
            </w:r>
          </w:p>
        </w:tc>
      </w:tr>
      <w:tr w:rsidR="008249AC" w:rsidRPr="00FB5786" w14:paraId="393A2BA6" w14:textId="77777777" w:rsidTr="00A144FB">
        <w:tc>
          <w:tcPr>
            <w:tcW w:w="470" w:type="dxa"/>
          </w:tcPr>
          <w:p w14:paraId="4A3CB724" w14:textId="49923197" w:rsidR="008249AC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1867" w:type="dxa"/>
          </w:tcPr>
          <w:p w14:paraId="164ACD07" w14:textId="3C4D9016" w:rsidR="008249AC" w:rsidRPr="00FB5786" w:rsidRDefault="008249AC" w:rsidP="008249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1308 Mopek zachodni </w:t>
            </w:r>
            <w:r w:rsidRPr="009579DD">
              <w:rPr>
                <w:rFonts w:cstheme="minorHAnsi"/>
                <w:i/>
                <w:iCs/>
                <w:sz w:val="20"/>
                <w:szCs w:val="20"/>
              </w:rPr>
              <w:t>Barbastella barbastellus</w:t>
            </w:r>
          </w:p>
        </w:tc>
        <w:tc>
          <w:tcPr>
            <w:tcW w:w="3387" w:type="dxa"/>
          </w:tcPr>
          <w:p w14:paraId="4EA83D10" w14:textId="67FF75D4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 w:rsidRPr="00CE19C3">
              <w:rPr>
                <w:rFonts w:cstheme="minorHAnsi"/>
                <w:sz w:val="20"/>
                <w:szCs w:val="20"/>
                <w:u w:val="single"/>
              </w:rPr>
              <w:t>Monitoring zimowy populacji i stanu siedliska</w:t>
            </w:r>
            <w:r>
              <w:rPr>
                <w:rFonts w:cstheme="minorHAnsi"/>
                <w:sz w:val="20"/>
                <w:szCs w:val="20"/>
              </w:rPr>
              <w:t xml:space="preserve"> z zastosowaniem metodyki monitoringu GIOŚ (co 5 lat).</w:t>
            </w:r>
          </w:p>
        </w:tc>
        <w:tc>
          <w:tcPr>
            <w:tcW w:w="1520" w:type="dxa"/>
          </w:tcPr>
          <w:p w14:paraId="273B7F82" w14:textId="4DF52C7E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Cały obszar.</w:t>
            </w:r>
          </w:p>
        </w:tc>
        <w:tc>
          <w:tcPr>
            <w:tcW w:w="1818" w:type="dxa"/>
          </w:tcPr>
          <w:p w14:paraId="309758E6" w14:textId="6B479AF0" w:rsidR="008249AC" w:rsidRPr="00FB5786" w:rsidRDefault="008249AC" w:rsidP="008249A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RDOŚ w Rzeszowie</w:t>
            </w:r>
          </w:p>
        </w:tc>
      </w:tr>
    </w:tbl>
    <w:p w14:paraId="284730D3" w14:textId="77777777" w:rsidR="003748EC" w:rsidRPr="003748EC" w:rsidRDefault="003748EC" w:rsidP="002854EB">
      <w:pPr>
        <w:jc w:val="both"/>
        <w:rPr>
          <w:rFonts w:cstheme="minorHAnsi"/>
        </w:rPr>
      </w:pPr>
    </w:p>
    <w:sectPr w:rsidR="003748EC" w:rsidRPr="003748E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BF756" w14:textId="77777777" w:rsidR="00DB6128" w:rsidRDefault="00DB6128" w:rsidP="00DB6128">
      <w:pPr>
        <w:spacing w:after="0" w:line="240" w:lineRule="auto"/>
      </w:pPr>
      <w:r>
        <w:separator/>
      </w:r>
    </w:p>
  </w:endnote>
  <w:endnote w:type="continuationSeparator" w:id="0">
    <w:p w14:paraId="1E378D31" w14:textId="77777777" w:rsidR="00DB6128" w:rsidRDefault="00DB6128" w:rsidP="00DB6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42697" w14:textId="77777777" w:rsidR="00DB6128" w:rsidRDefault="00DB6128" w:rsidP="00DB6128">
      <w:pPr>
        <w:spacing w:after="0" w:line="240" w:lineRule="auto"/>
      </w:pPr>
      <w:r>
        <w:separator/>
      </w:r>
    </w:p>
  </w:footnote>
  <w:footnote w:type="continuationSeparator" w:id="0">
    <w:p w14:paraId="7C0825C8" w14:textId="77777777" w:rsidR="00DB6128" w:rsidRDefault="00DB6128" w:rsidP="00DB6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465C9" w14:textId="0D843E3F" w:rsidR="00CC4427" w:rsidRDefault="00CC4427">
    <w:pPr>
      <w:pStyle w:val="Nagwek"/>
    </w:pPr>
    <w: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96A1D"/>
    <w:multiLevelType w:val="multilevel"/>
    <w:tmpl w:val="6346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B08FE"/>
    <w:multiLevelType w:val="multilevel"/>
    <w:tmpl w:val="7096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72632">
    <w:abstractNumId w:val="1"/>
  </w:num>
  <w:num w:numId="2" w16cid:durableId="817384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572"/>
    <w:rsid w:val="00006812"/>
    <w:rsid w:val="00014B28"/>
    <w:rsid w:val="00022E51"/>
    <w:rsid w:val="00027B5D"/>
    <w:rsid w:val="000344FE"/>
    <w:rsid w:val="000466B3"/>
    <w:rsid w:val="00047FF8"/>
    <w:rsid w:val="00053E9F"/>
    <w:rsid w:val="0007614B"/>
    <w:rsid w:val="000846E2"/>
    <w:rsid w:val="00087F88"/>
    <w:rsid w:val="00093F4D"/>
    <w:rsid w:val="000B4572"/>
    <w:rsid w:val="000D2CF1"/>
    <w:rsid w:val="00100474"/>
    <w:rsid w:val="0013566B"/>
    <w:rsid w:val="00152C6C"/>
    <w:rsid w:val="00172B60"/>
    <w:rsid w:val="001858D7"/>
    <w:rsid w:val="00194759"/>
    <w:rsid w:val="001B663B"/>
    <w:rsid w:val="001C1E9A"/>
    <w:rsid w:val="001C2EB0"/>
    <w:rsid w:val="001C56E7"/>
    <w:rsid w:val="001D1971"/>
    <w:rsid w:val="00203444"/>
    <w:rsid w:val="0020660D"/>
    <w:rsid w:val="00232414"/>
    <w:rsid w:val="00236EA3"/>
    <w:rsid w:val="0026768B"/>
    <w:rsid w:val="002854EB"/>
    <w:rsid w:val="002D1A74"/>
    <w:rsid w:val="002E008A"/>
    <w:rsid w:val="002E1842"/>
    <w:rsid w:val="003340A3"/>
    <w:rsid w:val="003502AF"/>
    <w:rsid w:val="00372498"/>
    <w:rsid w:val="003748EC"/>
    <w:rsid w:val="00386488"/>
    <w:rsid w:val="003C6DE7"/>
    <w:rsid w:val="003D3730"/>
    <w:rsid w:val="00454376"/>
    <w:rsid w:val="004A0C22"/>
    <w:rsid w:val="004A262D"/>
    <w:rsid w:val="004C0E17"/>
    <w:rsid w:val="004C6913"/>
    <w:rsid w:val="004F04F7"/>
    <w:rsid w:val="004F0DB5"/>
    <w:rsid w:val="005100D7"/>
    <w:rsid w:val="00523E68"/>
    <w:rsid w:val="00546A4A"/>
    <w:rsid w:val="00582954"/>
    <w:rsid w:val="00590254"/>
    <w:rsid w:val="005A2C4F"/>
    <w:rsid w:val="005B062A"/>
    <w:rsid w:val="005C5424"/>
    <w:rsid w:val="005E58A1"/>
    <w:rsid w:val="005E67AB"/>
    <w:rsid w:val="005F3AF0"/>
    <w:rsid w:val="0062444F"/>
    <w:rsid w:val="006422D5"/>
    <w:rsid w:val="0064525F"/>
    <w:rsid w:val="00646669"/>
    <w:rsid w:val="006517A7"/>
    <w:rsid w:val="006545E8"/>
    <w:rsid w:val="006609A7"/>
    <w:rsid w:val="006A63DC"/>
    <w:rsid w:val="006A653E"/>
    <w:rsid w:val="006B524E"/>
    <w:rsid w:val="00720C99"/>
    <w:rsid w:val="0072356C"/>
    <w:rsid w:val="00735C8A"/>
    <w:rsid w:val="00737FFB"/>
    <w:rsid w:val="00760A2F"/>
    <w:rsid w:val="00773AED"/>
    <w:rsid w:val="007813DE"/>
    <w:rsid w:val="00785469"/>
    <w:rsid w:val="0079630B"/>
    <w:rsid w:val="007F422C"/>
    <w:rsid w:val="00813078"/>
    <w:rsid w:val="008144FE"/>
    <w:rsid w:val="008249AC"/>
    <w:rsid w:val="00844957"/>
    <w:rsid w:val="00860F7C"/>
    <w:rsid w:val="008670B0"/>
    <w:rsid w:val="00872D25"/>
    <w:rsid w:val="008829B3"/>
    <w:rsid w:val="008C1576"/>
    <w:rsid w:val="008F1AE7"/>
    <w:rsid w:val="00906EA1"/>
    <w:rsid w:val="0091330E"/>
    <w:rsid w:val="009264A0"/>
    <w:rsid w:val="009417AD"/>
    <w:rsid w:val="009579DD"/>
    <w:rsid w:val="0096334E"/>
    <w:rsid w:val="009709B0"/>
    <w:rsid w:val="0099066E"/>
    <w:rsid w:val="009A2092"/>
    <w:rsid w:val="009C2D13"/>
    <w:rsid w:val="009C7935"/>
    <w:rsid w:val="009D1AD6"/>
    <w:rsid w:val="009F0E96"/>
    <w:rsid w:val="00A12AEA"/>
    <w:rsid w:val="00A144FB"/>
    <w:rsid w:val="00A5606E"/>
    <w:rsid w:val="00AA200B"/>
    <w:rsid w:val="00AB0AD3"/>
    <w:rsid w:val="00AC2672"/>
    <w:rsid w:val="00AD4798"/>
    <w:rsid w:val="00AF2D77"/>
    <w:rsid w:val="00AF69F3"/>
    <w:rsid w:val="00B12B88"/>
    <w:rsid w:val="00B466EB"/>
    <w:rsid w:val="00B73E32"/>
    <w:rsid w:val="00B8121A"/>
    <w:rsid w:val="00B955C1"/>
    <w:rsid w:val="00BC7D66"/>
    <w:rsid w:val="00BD2495"/>
    <w:rsid w:val="00C23325"/>
    <w:rsid w:val="00C4223E"/>
    <w:rsid w:val="00C52C10"/>
    <w:rsid w:val="00C56AE3"/>
    <w:rsid w:val="00CA4920"/>
    <w:rsid w:val="00CC4427"/>
    <w:rsid w:val="00CE19C3"/>
    <w:rsid w:val="00D859B9"/>
    <w:rsid w:val="00D87ACF"/>
    <w:rsid w:val="00D906FA"/>
    <w:rsid w:val="00D96DC7"/>
    <w:rsid w:val="00DA6CF5"/>
    <w:rsid w:val="00DB6128"/>
    <w:rsid w:val="00DC4A4F"/>
    <w:rsid w:val="00DD2C75"/>
    <w:rsid w:val="00DD5973"/>
    <w:rsid w:val="00DE6BC8"/>
    <w:rsid w:val="00DF03FC"/>
    <w:rsid w:val="00DF1745"/>
    <w:rsid w:val="00DF4FEE"/>
    <w:rsid w:val="00E30E53"/>
    <w:rsid w:val="00E319A1"/>
    <w:rsid w:val="00E32965"/>
    <w:rsid w:val="00E45E7F"/>
    <w:rsid w:val="00E76E70"/>
    <w:rsid w:val="00EA514D"/>
    <w:rsid w:val="00F02F01"/>
    <w:rsid w:val="00F8253C"/>
    <w:rsid w:val="00FA028C"/>
    <w:rsid w:val="00FB5786"/>
    <w:rsid w:val="00FC1CC8"/>
    <w:rsid w:val="00FC30E5"/>
    <w:rsid w:val="00FC7F84"/>
    <w:rsid w:val="00FD5D87"/>
    <w:rsid w:val="00FD7106"/>
    <w:rsid w:val="00FF18E2"/>
    <w:rsid w:val="00FF32D5"/>
    <w:rsid w:val="00FF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25884"/>
  <w15:chartTrackingRefBased/>
  <w15:docId w15:val="{E3709E31-658C-463A-AD91-ACA0A34E4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6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61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612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6128"/>
    <w:rPr>
      <w:vertAlign w:val="superscript"/>
    </w:rPr>
  </w:style>
  <w:style w:type="paragraph" w:styleId="Akapitzlist">
    <w:name w:val="List Paragraph"/>
    <w:basedOn w:val="Normalny"/>
    <w:uiPriority w:val="34"/>
    <w:qFormat/>
    <w:rsid w:val="00BD249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100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00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00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00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00D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C4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4427"/>
  </w:style>
  <w:style w:type="paragraph" w:styleId="Stopka">
    <w:name w:val="footer"/>
    <w:basedOn w:val="Normalny"/>
    <w:link w:val="StopkaZnak"/>
    <w:uiPriority w:val="99"/>
    <w:unhideWhenUsed/>
    <w:rsid w:val="00CC4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4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5</Pages>
  <Words>1411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Dudzic.Dominika@rzeszow.rdos</dc:creator>
  <cp:keywords/>
  <dc:description/>
  <cp:lastModifiedBy>Dominika Dudzic</cp:lastModifiedBy>
  <cp:revision>88</cp:revision>
  <dcterms:created xsi:type="dcterms:W3CDTF">2024-02-19T09:13:00Z</dcterms:created>
  <dcterms:modified xsi:type="dcterms:W3CDTF">2026-08-06T12:08:00Z</dcterms:modified>
</cp:coreProperties>
</file>