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22.4.0 -->
  <w:body>
    <w:p w:rsidR="00A77B3E">
      <w:pPr>
        <w:spacing w:line="240" w:lineRule="auto"/>
        <w:ind w:left="0"/>
        <w:jc w:val="center"/>
        <w:rPr>
          <w:rFonts w:ascii="Times New Roman" w:eastAsia="Times New Roman" w:hAnsi="Times New Roman" w:cs="Times New Roman"/>
          <w:b/>
          <w:caps/>
          <w:sz w:val="24"/>
        </w:rPr>
      </w:pPr>
      <w:r>
        <w:rPr>
          <w:rFonts w:ascii="Times New Roman" w:eastAsia="Times New Roman" w:hAnsi="Times New Roman" w:cs="Times New Roman"/>
          <w:b/>
          <w:caps/>
          <w:sz w:val="24"/>
        </w:rPr>
        <w:t>Zarządzenie</w:t>
      </w:r>
      <w:r>
        <w:rPr>
          <w:rFonts w:ascii="Times New Roman" w:eastAsia="Times New Roman" w:hAnsi="Times New Roman" w:cs="Times New Roman"/>
          <w:b/>
          <w:caps/>
          <w:sz w:val="24"/>
        </w:rPr>
        <w:br/>
      </w:r>
      <w:r>
        <w:rPr>
          <w:rFonts w:ascii="Times New Roman" w:eastAsia="Times New Roman" w:hAnsi="Times New Roman" w:cs="Times New Roman"/>
          <w:b/>
          <w:caps/>
          <w:sz w:val="24"/>
        </w:rPr>
        <w:t>Regionalnego Dyrektora Ochrony Środowiska w Bydgoszczy</w:t>
      </w:r>
    </w:p>
    <w:p w:rsidR="00A77B3E">
      <w:pPr>
        <w:spacing w:before="280" w:after="280" w:line="240" w:lineRule="auto"/>
        <w:ind w:left="0"/>
        <w:jc w:val="center"/>
        <w:rPr>
          <w:rFonts w:ascii="Times New Roman" w:eastAsia="Times New Roman" w:hAnsi="Times New Roman" w:cs="Times New Roman"/>
          <w:b/>
          <w:caps/>
          <w:sz w:val="24"/>
        </w:rPr>
      </w:pPr>
      <w:r>
        <w:rPr>
          <w:rFonts w:ascii="Times New Roman" w:eastAsia="Times New Roman" w:hAnsi="Times New Roman" w:cs="Times New Roman"/>
          <w:b w:val="0"/>
          <w:caps w:val="0"/>
          <w:sz w:val="24"/>
        </w:rPr>
        <w:t>z dnia 20 grudnia 2024 r.</w:t>
      </w:r>
    </w:p>
    <w:p w:rsidR="00A77B3E">
      <w:pPr>
        <w:spacing w:before="280" w:after="280" w:line="240" w:lineRule="auto"/>
        <w:ind w:left="0"/>
        <w:jc w:val="center"/>
        <w:rPr>
          <w:rFonts w:ascii="Times New Roman" w:eastAsia="Times New Roman" w:hAnsi="Times New Roman" w:cs="Times New Roman"/>
          <w:b w:val="0"/>
          <w:caps w:val="0"/>
          <w:sz w:val="22"/>
        </w:rPr>
      </w:pP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</w:pPr>
      <w:r>
        <w:rPr>
          <w:rFonts w:ascii="Times New Roman" w:eastAsia="Times New Roman" w:hAnsi="Times New Roman" w:cs="Times New Roman"/>
          <w:b/>
          <w:caps w:val="0"/>
          <w:sz w:val="24"/>
        </w:rPr>
        <w:t>w sprawie uznania za rezerwat przyrody „Wąwóz Wyrwa”</w:t>
      </w:r>
    </w:p>
    <w:p w:rsidR="00A77B3E">
      <w:pPr>
        <w:keepNext w:val="0"/>
        <w:keepLines/>
        <w:spacing w:before="120" w:after="120" w:line="240" w:lineRule="auto"/>
        <w:ind w:left="0" w:right="0" w:firstLine="227"/>
        <w:jc w:val="both"/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</w:pP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Na podstawie art.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13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ust.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3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ustawy z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dnia 16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kwietnia 2004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roku o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 </w:t>
      </w: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ochronie przyrody  (t.j. Dz. U. z 2024 r. poz. 1478) zarządza się, co następuje: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1. </w:t>
      </w:r>
      <w:r>
        <w:rPr>
          <w:rFonts w:ascii="Times New Roman" w:eastAsia="Times New Roman" w:hAnsi="Times New Roman" w:cs="Times New Roman"/>
          <w:sz w:val="24"/>
        </w:rPr>
        <w:t>1. 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auto"/>
          <w:sz w:val="24"/>
          <w:u w:val="none"/>
          <w:vertAlign w:val="baseline"/>
        </w:rPr>
        <w:t>Uznaje się za rezerwat przyrody pod nazwą „Wąwóz Wyrwa”, zwany dalej „rezerwatem”, obszar o powierzchni 48,80 ha, położony na terenie gmin Drzycim i Świecie, w powiecie świeckim, w województwie kujawsko-pomorskim.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2. 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Na obszarach graniczących z rezerwatem wyznacza się otulinę o powierzchni 220,60 ha, położoną na terenie gmin Drzycim i Świecie, w powiecie świeckim, w województwie kujawsko-pomorskim.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3. 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Położenie i przebieg granicy rezerwatu oraz jego otuliny w postaci mapy są określone w załączniku nr 1 do zarządzenia.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4. 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przebieg granicy rezerwatu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postaci wykazu współrzędnych punktów załamania granicy są określone w załączniku nr 2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do zarządzenia.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5. 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Położenie i przebieg granicy otuliny rezerwatu w postaci wykazu współrzędnych punktów załamania granicy są określone w załączniku nr 3 do zarządzenia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2.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Celem ochrony rezerwatu jest zachowanie grądu zboczowego porastającego stoki doliny rzeki Wyrwy i zachodzących w nim procesów odnowy i starzenia się drzewostanu, a także gatunków z nim związanych.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3. </w:t>
      </w:r>
      <w:r>
        <w:rPr>
          <w:rFonts w:ascii="Times New Roman" w:eastAsia="Times New Roman" w:hAnsi="Times New Roman" w:cs="Times New Roman"/>
          <w:sz w:val="24"/>
        </w:rPr>
        <w:t>1. 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Dla rezerwatu określa się rodzaj - Leśny (L).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2. 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Dla rezerwatu określa się typ i podtyp:</w:t>
      </w:r>
    </w:p>
    <w:p w:rsidR="00A77B3E">
      <w:pPr>
        <w:keepNext w:val="0"/>
        <w:keepLines w:val="0"/>
        <w:spacing w:before="120" w:after="120" w:line="240" w:lineRule="auto"/>
        <w:ind w:left="340" w:right="0" w:hanging="227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1)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ze względu na dominujący przedmiot ochrony: typ - Fitocenotyczny (PFi), podtyp - zbiorowisk leśnych (zl);</w:t>
      </w:r>
    </w:p>
    <w:p w:rsidR="00A77B3E">
      <w:pPr>
        <w:keepNext w:val="0"/>
        <w:keepLines w:val="0"/>
        <w:spacing w:before="120" w:after="120" w:line="240" w:lineRule="auto"/>
        <w:ind w:left="340" w:right="0" w:hanging="227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2)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ze względu na główny typ ekosystemu: typ - Leśny i borowy (EL), podtyp - lasów nizinnych (lni).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4.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Nadzór nad rezerwatem sprawuje Regionalny Dyrektor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Bydgoszczy.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5.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Zarządzenie wchodzi w życie po upływie 14 dni od dnia ogłoszenia.</w:t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drawing>
          <wp:inline>
            <wp:extent cx="2639568" cy="1042416"/>
            <wp:docPr id="100001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39568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sectPr>
          <w:footerReference w:type="default" r:id="rId7"/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</w:p>
    <w:p w:rsidR="00A77B3E">
      <w:pPr>
        <w:keepNext/>
        <w:spacing w:before="120" w:after="120" w:line="360" w:lineRule="auto"/>
        <w:ind w:left="3634" w:right="0" w:firstLine="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fldChar w:fldCharType="begin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fldChar w:fldCharType="separate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fldChar w:fldCharType="end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Załącznik Nr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1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do zarządzenia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Regionalnego Dyrektora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Bydgoszczy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 dnia 20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grudnia 2024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r.</w:t>
      </w: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przebieg granicy rezerwatu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jego otuliny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postaci mapy</w:t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03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 r:link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05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 r:link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07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" r:link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09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" r:link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11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" r:link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13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" r:link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15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0" r:link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17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2" r:link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19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4" r:link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9320" cy="7719101"/>
            <wp:docPr id="100021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6" r:link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69320" cy="7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8" w:type="dxa"/>
          <w:right w:w="108" w:type="dxa"/>
        </w:tblCellMar>
      </w:tblPr>
      <w:tblGrid>
        <w:gridCol w:w="5041"/>
        <w:gridCol w:w="5041"/>
      </w:tblGrid>
      <w:tr>
        <w:tblPrEx>
          <w:tblW w:w="5000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108" w:type="dxa"/>
            <w:right w:w="108" w:type="dxa"/>
          </w:tblCellMar>
        </w:tblPrEx>
        <w:trPr>
          <w:trHeight w:val="105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noWrap w:val="0"/>
            <w:tcMar>
              <w:top w:w="100" w:type="dxa"/>
            </w:tcMar>
            <w:textDirection w:val="lrTb"/>
            <w:vAlign w:val="top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noWrap w:val="0"/>
            <w:tcMar>
              <w:top w:w="100" w:type="dxa"/>
            </w:tcMar>
            <w:textDirection w:val="lrTb"/>
            <w:vAlign w:val="top"/>
          </w:tcPr>
          <w:p w:rsidR="00A77B3E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</w:p>
        </w:tc>
      </w:tr>
    </w:tbl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2639568" cy="1042416"/>
            <wp:docPr id="100023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39568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sectPr>
          <w:footerReference w:type="default" r:id="rId29"/>
          <w:endnotePr>
            <w:numFmt w:val="decimal"/>
          </w:endnotePr>
          <w:type w:val="nextPage"/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:rsidR="00A77B3E">
      <w:pPr>
        <w:keepNext/>
        <w:spacing w:before="120" w:after="120" w:line="360" w:lineRule="auto"/>
        <w:ind w:left="3634" w:right="0" w:firstLine="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begin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separate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end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Załącznik Nr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2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do zarządzenia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Regionalnego Dyrektora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Bydgoszczy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 dnia 20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grudnia 2024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r.</w:t>
      </w: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przebieg granicy rezerwatu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postaci wykazu współrzędnych punktów załamania granicy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układzie współrzędnych płaskich prostokątnych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PL-1992</w:t>
      </w:r>
      <w:r>
        <w:rPr>
          <w:rStyle w:val="FootnoteReference"/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0"/>
          <w:u w:val="none" w:color="000000"/>
          <w:vertAlign w:val="superscript"/>
        </w:rPr>
        <w:footnoteReference w:customMarkFollows="1" w:id="2"/>
        <w:t xml:space="preserve">1)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8" w:type="dxa"/>
          <w:right w:w="108" w:type="dxa"/>
        </w:tblCellMar>
      </w:tblPr>
      <w:tblGrid>
        <w:gridCol w:w="3360"/>
        <w:gridCol w:w="3361"/>
        <w:gridCol w:w="3361"/>
      </w:tblGrid>
      <w:tr>
        <w:tblPrEx>
          <w:tblW w:w="5000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Nr</w:t>
            </w:r>
          </w:p>
        </w:tc>
        <w:tc>
          <w:tcPr>
            <w:tcW w:w="16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X</w:t>
            </w:r>
          </w:p>
        </w:tc>
        <w:tc>
          <w:tcPr>
            <w:tcW w:w="1620" w:type="dxa"/>
            <w:tcBorders>
              <w:top w:val="single" w:sz="2" w:space="0" w:color="auto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Y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619842,34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456531,12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619844,07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456542,18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619839,40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456547,46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619824,45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456551,98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619821,79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456558,96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619822,36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456585,35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619825,91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456592,14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619826,01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456592,17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619826,05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456592,25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619852,97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456600,10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619851,38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456612,30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619847,61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456617,50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619841,58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456621,31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619831,70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456624,18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456625,82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619797,09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456630,53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619800,35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456638,27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619800,48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456638,33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619800,50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456638,38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619813,82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456644,98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619818,13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456649,54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619818,18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456649,55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619818,27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456649,65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619832,79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456653,95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619834,58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456671,15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619804,35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456678,77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619795,59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456684,51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619792,68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456690,26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619793,27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456699,16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619805,51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456726,81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619803,54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456745,01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619777,98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456750,05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619782,14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456766,00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619782,25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456765,97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619782,28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456766,11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619791,11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456763,47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619804,90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456768,05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619819,99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456768,98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619833,75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456777,33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619822,43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456785,76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619805,26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456806,96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619811,43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456839,88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619805,68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456853,50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619804,26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456869,97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619796,74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456892,10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619803,52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456898,56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619803,55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456898,56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619803,66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456898,67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619824,11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456900,97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456887,52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619834,10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456880,03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619858,82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456872,73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619870,05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456868,97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619870,47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456885,69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619871,48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456892,31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619884,62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456905,83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619862,20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456925,90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619859,22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456932,45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619865,79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456956,49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619837,62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456972,12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619831,29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456968,44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619783,26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456982,21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619756,79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456992,93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619765,11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457010,72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619764,34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457020,73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619768,78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457033,25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619768,07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457040,52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619762,36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457046,50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619751,51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457051,93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619753,57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457065,96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619754,78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457083,28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619749,22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457106,76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619722,10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457145,18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619720,76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457152,91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619724,99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457159,10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619725,03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457159,07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619725,13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457159,21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619740,96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457146,33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619761,16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457123,89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619781,30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457110,47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619792,11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457100,66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619802,77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457104,45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619807,46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457104,23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619814,80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457100,67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619818,30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457092,77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619823,65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457089,45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619836,81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457097,36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619864,02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457091,93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619871,12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457101,02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619875,03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457109,48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619875,11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457109,44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619875,18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457109,59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619888,40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457103,84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619894,50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457116,38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619892,77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457122,55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619897,16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457133,94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619904,64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457141,96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619906,85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457151,56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619913,50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457176,66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619899,76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457188,24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619918,68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457221,09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619880,56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457234,18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619823,89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457253,64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619808,44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457264,98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619798,16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457278,44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619800,09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457318,02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619807,10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457340,42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619813,93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457346,32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619816,73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457366,34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457385,36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619786,43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457383,28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619779,84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457382,86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619779,22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457405,61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619774,06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457409,17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619767,62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457426,74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619768,90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457444,60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619766,87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457452,98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619769,67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457468,85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619769,80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457468,81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619769,82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457468,95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619736,61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457483,50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619738,46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457485,79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619785,11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457543,56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619786,41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457580,22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619828,28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457614,90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619826,62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457639,38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619794,54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457633,76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619757,18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457638,53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619724,76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457664,51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619716,23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457705,39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619679,84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457730,76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619635,03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457751,71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619596,96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457783,03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619594,59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457784,98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619579,33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457772,90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619576,60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457764,27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619576,31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457764,46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619574,40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457756,98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619574,25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457756,87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619573,58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457726,47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619576,59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457726,68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619593,13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457727,84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619614,08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457714,32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619658,36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457647,23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619698,14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457597,38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619705,03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457573,52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619675,07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457559,73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619669,74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457565,65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619608,51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457560,53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619570,09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457554,03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619569,95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457554,09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619569,94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457554,00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619569,80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457553,98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619569,93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457553,92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619565,44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457510,95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619562,16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457479,53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619561,44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457441,73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619554,32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457410,02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619554,28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457409,52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619552,11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457384,86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619549,01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457348,43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619548,79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457345,70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619545,45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457304,40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619548,31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457273,69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619550,61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457249,03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619550,61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457249,02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619550,61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457248,99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619537,71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457202,93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619539,25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457162,51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619539,60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457153,26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619544,51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457116,61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619544,51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457116,60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619544,51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457116,58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619540,23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457079,69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619451,13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457048,44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619393,50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457055,18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619356,31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457034,11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619363,28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456997,08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619362,78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456976,03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619369,70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456960,56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619381,06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456955,25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619410,58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456952,10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619440,41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456934,49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619531,76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456931,31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619554,82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456919,48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619570,74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456891,51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619562,78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456864,75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619551,70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456850,27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619495,06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456795,56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619511,71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456751,11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619488,25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456716,21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619495,81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456698,11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619529,79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456663,80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619534,30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456632,71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619534,91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456628,58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619537,06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456613,79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619553,67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456602,56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619635,09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456580,21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619640,78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456554,23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619659,74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456551,74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619662,78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456524,31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619669,59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456482,37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619667,53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456480,10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619668,09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456475,01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619652,89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456456,02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619651,16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456445,43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619651,12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456444,76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619651,03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456444,65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619649,83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456437,32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619637,75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456420,84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619632,19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456402,65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619615,64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456391,28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619573,10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456391,29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619534,55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456401,19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619519,50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456397,81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619533,72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456355,98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619557,10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456351,11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619605,06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456326,13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619616,32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456310,39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619615,92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456305,09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619616,44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456304,40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619616,04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456265,25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619590,53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456207,37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619584,16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456169,26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619559,87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456174,42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619538,25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456147,77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619513,94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456124,09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619501,29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456105,24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619444,24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456145,90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619401,50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456166,56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619383,19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456153,04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619383,11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456142,16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619394,30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456119,57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619419,76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456098,55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619422,70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456096,13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619421,57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456073,89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619423,57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456058,44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619435,57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456043,12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619432,49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456037,77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619433,96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456034,61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619422,79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456013,33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619353,41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456033,87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619308,36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456030,37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619275,39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456029,45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619223,83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456029,85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619191,02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456040,47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619181,74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456112,21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619153,29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456169,01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619146,10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456177,84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619124,31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456180,27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619100,72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456176,49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619093,16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456169,55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619087,61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456158,46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619083,96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456149,45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619061,18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456138,72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619054,47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456115,87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619053,10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456109,26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619065,96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456093,30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619091,35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456092,62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619099,53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456092,39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619102,55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456078,52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619101,44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456076,95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619102,92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456073,29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619080,37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456044,72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619070,39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456022,66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619040,63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456019,92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619023,07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455986,21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619015,78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455971,88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619015,41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455950,62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619011,60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455947,02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619011,39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455945,43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618985,43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455922,30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618969,21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455906,97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618968,22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455906,96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618965,35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455904,40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618898,22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455901,93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618886,50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455889,90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618884,03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455878,53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618885,81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455862,26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618882,39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455842,68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618835,97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455796,15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618834,62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455795,77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618832,30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455793,48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618801,52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455784,25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618784,21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455774,20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618773,90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455757,94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618772,74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455757,50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618771,00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455754,13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618718,42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455736,73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618718,24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455736,66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618718,11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455736,56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618699,52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455720,32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618697,42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455718,13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618740,97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455715,15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618798,33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455717,40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618859,12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455689,24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618875,07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455698,38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618881,30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455705,84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618868,50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455713,98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618861,94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455722,93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618888,72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455744,77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618899,45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455741,33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618915,09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455748,75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618916,32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455748,80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618925,68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455760,37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618946,05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455762,89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618960,69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455754,03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618982,86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455761,33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618985,76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455765,52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618993,64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455764,87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619005,30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455768,71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619007,65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455769,97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619009,97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455786,71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619001,65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455803,80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619008,68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455809,00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619035,64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455816,92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619043,68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455809,33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619047,70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455807,06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619066,77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455842,78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619068,22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455849,36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619073,71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455866,46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619074,20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455868,43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619074,00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455883,44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619094,25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455905,53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619101,27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455903,55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619115,82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455908,45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619118,34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455910,17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619122,13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455919,36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619122,11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455920,00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619118,54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455931,43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619133,60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455944,67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619149,17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455940,11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619156,88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455928,58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619158,14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455914,49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619159,24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455912,96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619161,24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455911,90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619166,18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455909,35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619172,64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455912,23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619172,81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455912,43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619173,05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455913,22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619170,05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455955,06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619180,26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455961,49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619181,50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455965,58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619185,51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455969,83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619199,06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455975,21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619208,64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455974,82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619221,06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455965,82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619235,93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455962,97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619247,44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455955,68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619255,88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455941,14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619243,26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455933,83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619220,84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455927,11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619214,85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455915,64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619209,86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455911,01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619204,49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455901,80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619205,57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455897,80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619205,79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455897,55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619219,77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455895,34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619245,98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455862,28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619261,84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455860,62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619263,24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455860,80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619277,25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455873,35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619280,02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455886,80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619296,58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455893,13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619296,67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455913,14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619304,34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455918,80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619337,25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455923,84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619340,28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455921,18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619344,28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455922,23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619368,36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455908,17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619395,73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455921,76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619400,87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455926,70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619423,36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455938,12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619442,01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455953,63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619479,13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455966,75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619507,13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455962,01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619559,08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455992,40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619569,49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456005,85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619589,40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456006,59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619597,30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456008,29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619597,74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456008,60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619600,86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456026,22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619599,24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456056,54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619589,94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456077,23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619593,26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456090,80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619594,79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456106,06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619607,45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456112,06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619612,59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456130,69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619620,53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456149,82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619624,23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456150,02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619624,50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456150,98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619631,06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456155,31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619672,19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456182,57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619672,59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456183,82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619668,60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456219,00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619680,26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456237,37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619686,42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456242,54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619703,08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456268,88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619711,62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456287,07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619714,82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456295,91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619713,43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456310,69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619717,30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456327,98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619738,67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456340,96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619753,54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456369,22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619753,36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456375,73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619723,14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456406,63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619729,09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456419,41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619736,40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456430,05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619766,27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456463,73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619767,27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456490,19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619770,28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456518,43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619759,58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456541,17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619759,73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456541,28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619772,36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456525,75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619777,37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456495,64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619782,83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456486,57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619850,25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456471,92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619853,40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456481,88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619849,85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456489,83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619826,56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456498,01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619824,81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456506,04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422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619827,37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456516,08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423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456516,18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619827,51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456516,19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425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619834,76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456521,43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619837,41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456523,35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64"/>
        </w:trPr>
        <w:tc>
          <w:tcPr>
            <w:tcW w:w="1620" w:type="dxa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619842,34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456531,12</w:t>
            </w:r>
          </w:p>
        </w:tc>
      </w:tr>
    </w:tbl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2639568" cy="1042416"/>
            <wp:docPr id="100025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39568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sectPr>
          <w:footerReference w:type="default" r:id="rId31"/>
          <w:endnotePr>
            <w:numFmt w:val="decimal"/>
          </w:endnotePr>
          <w:type w:val="nextPage"/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:rsidR="00A77B3E">
      <w:pPr>
        <w:keepNext/>
        <w:spacing w:before="120" w:after="120" w:line="360" w:lineRule="auto"/>
        <w:ind w:left="3634" w:right="0" w:firstLine="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begin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separate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end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Załącznik Nr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3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do zarządzenia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Regionalnego Dyrektora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Bydgoszczy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 dnia 20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grudnia 2024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r.</w:t>
      </w: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przebieg granicy otuliny rezerwatu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postaci wykazu współrzędnych punktów załamania granicy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układzie współrzędnych płaskich prostokątnych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PL-1992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8" w:type="dxa"/>
          <w:right w:w="108" w:type="dxa"/>
        </w:tblCellMar>
      </w:tblPr>
      <w:tblGrid>
        <w:gridCol w:w="2310"/>
        <w:gridCol w:w="3886"/>
        <w:gridCol w:w="3886"/>
      </w:tblGrid>
      <w:tr>
        <w:tblPrEx>
          <w:tblW w:w="5000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Nr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X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Y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619125,33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458162,41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619102,43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458151,26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619081,01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458139,46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619061,82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458126,17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619044,96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458111,33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619026,55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458089,56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619013,40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458065,63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618987,93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458011,32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618960,73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457960,33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618952,79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457942,48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618933,62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457889,03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618930,29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457876,96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618925,99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457855,04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618927,13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457815,27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618932,49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457800,65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618944,73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457800,13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618962,18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457793,47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619030,08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457755,87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619095,55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457699,08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619076,25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457604,28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619175,85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457563,40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619163,85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457455,34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619161,07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457422,66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619168,09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457404,63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619156,81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457397,11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619043,65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457402,83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619011,48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457247,58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619006,50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457220,71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619003,45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457204,25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618932,62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457197,82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618825,66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457184,78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618829,98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457174,88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618828,28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457142,80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618825,95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457124,48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618823,78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457115,57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618821,63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457109,20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618817,52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457100,25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618796,17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457057,93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618778,34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456932,83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618775,92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456922,80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618764,59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456875,70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618770,61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456817,48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618761,76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456683,36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618761,60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456677,96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618762,42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456585,09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618763,34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456548,70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618763,09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456543,13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618711,19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456575,71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618591,48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456575,98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618620,00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456370,20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618658,98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456140,63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618638,59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456150,41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618631,55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456172,65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618597,91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456189,90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618586,77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456219,06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618592,09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456250,59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618582,61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456265,58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618541,36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456266,54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618534,64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456251,63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618540,21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456234,76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618527,60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456150,90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618640,94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455985,63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618490,93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455705,43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618496,77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455650,28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618517,67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455580,37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618571,66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455564,03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618589,10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455615,59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618690,84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455593,31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618647,66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455542,08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618673,66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455431,09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618784,33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455459,62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618790,23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455441,01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618781,19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455428,02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618762,38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455428,84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618750,67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455414,46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618799,21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455405,09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618805,10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455402,04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618820,69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455395,41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618855,50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455381,60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618890,16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455367,82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618891,88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455378,10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618885,58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455387,66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618886,08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455405,41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618933,86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455445,96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618934,99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455441,30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618951,24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455424,34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618953,20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455426,39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618954,87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455438,19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618951,58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455448,12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618945,84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455461,05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618952,93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455501,82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618945,69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455523,92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618950,24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455540,81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618958,65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455539,71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618974,94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455521,06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618990,02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455510,09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618993,96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455525,28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618991,07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455543,97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619000,85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455563,05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618983,50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455583,84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618973,91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455599,40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618986,95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455647,05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618985,70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455679,24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618994,90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455688,24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619007,20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455688,23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619013,22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455683,89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619032,50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455663,22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619043,71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455647,87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619057,70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455662,76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619081,28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455666,04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619079,66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455676,78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619067,82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455685,61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619038,81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455719,80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619059,97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455741,43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619084,91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455758,55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619121,64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455819,03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619154,85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455860,57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619167,02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455863,37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619184,47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455863,15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619191,93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455847,55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619196,63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455842,44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619207,36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455834,02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619214,24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455824,78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619214,06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455818,43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619212,06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455803,71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619220,20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455775,25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619246,12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455814,53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619278,74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455822,34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619306,22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455825,19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619315,95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455788,77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619311,78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455775,29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619340,42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455753,01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619344,46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455759,04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619348,96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455795,49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619353,19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455812,03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619360,39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455833,61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619364,49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455843,66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619387,63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455855,15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619397,52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455851,94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619404,15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455853,19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619407,86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455857,82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619414,09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455868,87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619419,90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455878,11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619432,09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455881,94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619446,68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455881,04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619489,45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455862,04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619494,18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455853,46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619496,48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455835,80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619506,62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455817,18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619603,51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455853,92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619609,37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455870,24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619625,36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455881,32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619686,00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455872,24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619732,28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455809,16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619742,87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455803,46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619752,18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455825,16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619779,97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455718,27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619790,63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455705,07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619824,64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455762,80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619797,44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455835,28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619787,69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455930,14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619812,37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455966,91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619869,84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455977,79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619909,15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455941,69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619952,15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455910,12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619983,72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455837,21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620012,58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455878,46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619987,79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456020,84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620035,16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456087,16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620107,14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456131,10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620165,78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456135,93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620205,24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456211,90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620295,69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456347,53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620143,91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456389,85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620044,04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456417,84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620040,03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456448,30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620030,11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456453,88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620033,13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456549,22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620008,20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456610,88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620011,08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456654,22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620014,84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456686,67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620038,17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456829,64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620058,41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456886,80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619883,88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456950,47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620004,20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457113,17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619973,06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457205,65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620002,56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457274,01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620100,26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457433,56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620082,63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457480,96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619976,02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457485,96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619941,30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457498,41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619942,28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457561,63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620003,54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457647,13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619920,01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457717,89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619704,62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457713,48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619716,23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457705,39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619724,76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457664,51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619757,18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457638,53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619794,54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457633,76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619826,62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457639,38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619828,28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457614,90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619786,41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457580,22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619785,11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457543,56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619738,46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457485,79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619736,61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457483,50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619769,82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457468,95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619769,80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457468,81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619769,67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457468,85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619766,87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457452,98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619768,90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457444,60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619767,62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457426,74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619774,06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457409,17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619779,22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457405,61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619779,84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457382,86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619786,43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457383,28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457385,36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619816,73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457366,34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619813,93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457346,32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619807,10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457340,42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619800,09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457318,02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619798,16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457278,44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619808,44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457264,98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619823,89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457253,64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619880,56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457234,18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619918,68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457221,09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619899,76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457188,24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619913,50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457176,66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619906,85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457151,56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619904,64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457141,96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619897,16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457133,94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619892,77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457122,55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619894,50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457116,38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619888,40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457103,84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619875,18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457109,59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619875,11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457109,44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619875,03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457109,48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619871,12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457101,02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619864,02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457091,93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619836,81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457097,36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619823,65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457089,45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619818,30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457092,77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619814,80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457100,67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619807,46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457104,23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619802,77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457104,45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619792,11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457100,66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619781,30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457110,47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619761,16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457123,89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619740,96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457146,33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619725,13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457159,21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619725,03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457159,07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619724,99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457159,10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619720,76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457152,91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619722,10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457145,18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619749,22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457106,76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619754,78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457083,28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619753,57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457065,96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619751,51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457051,93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619762,36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457046,50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619768,07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457040,52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619768,78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457033,25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619764,34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457020,73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619765,11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457010,72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619756,79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456992,93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619783,26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456982,21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619831,29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456968,44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619837,62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456972,12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619865,79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456956,49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619859,22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456932,45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619862,20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456925,90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619884,62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456905,83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619871,48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456892,31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619870,47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456885,69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619870,05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456868,97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619858,82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456872,73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619834,10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456880,03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456887,52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619824,11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456900,97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456898,67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456898,56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456898,56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619796,74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456892,10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619804,26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456869,97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619805,68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456853,50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619811,43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456839,88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619805,26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456806,96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619822,43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456785,76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619833,75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456777,33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619819,99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456768,98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619804,90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456768,05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619791,11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456763,47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619782,28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456766,11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619782,25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456765,97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619782,14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456766,00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619777,98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456750,05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456745,01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619805,51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456726,81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619793,27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456699,16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619792,68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456690,26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619795,59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456684,51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619804,35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456678,77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619834,58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456671,15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619832,79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456653,95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619818,27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456649,65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619818,18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456649,55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619818,13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456649,54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619813,82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456644,98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619800,50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456638,38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619800,48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456638,33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619800,35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456638,27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619797,09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456630,53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619803,13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456625,82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619831,70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456624,18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619841,58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456621,31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619847,61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456617,50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619851,38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456612,30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619852,97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456600,10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619826,05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456592,25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619826,01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456592,17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619825,91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456592,14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619822,36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456585,35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619821,79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456558,96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619824,45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456551,98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619839,40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456547,46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619844,07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456542,18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619842,34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456531,12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619837,41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456523,35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619834,76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456521,43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456516,19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456516,18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619827,37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456516,08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619824,81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456506,04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619826,56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456498,01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619849,85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456489,83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619853,40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456481,88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619850,25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456471,92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619782,83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456486,57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619777,37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456495,64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619772,36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456525,75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619759,73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456541,28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619759,58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456541,17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619770,28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456518,43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619767,27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456490,19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619766,27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456463,73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619736,40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456430,05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619729,09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456419,41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619723,14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456406,63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619753,36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456375,73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619753,54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456369,22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619738,67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456340,96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619717,30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456327,98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619713,43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456310,69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619714,82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456295,91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619711,62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456287,07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619703,08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456268,88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619686,42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456242,54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619680,26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456237,37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619668,60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456219,00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619672,59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456183,82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619672,19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456182,57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619631,06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456155,31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619624,50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456150,98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619624,23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456150,02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619620,53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456149,82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619612,59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456130,69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619607,45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456112,06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619594,79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456106,06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619593,26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456090,80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619589,94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456077,23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619599,24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456056,54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619600,86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456026,22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619597,74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456008,60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619597,30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456008,29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619589,40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456006,59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456005,85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619559,08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455992,40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619507,13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455962,01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619479,13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455966,75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619442,01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455953,63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619423,36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455938,12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619400,87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455926,70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619395,73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455921,76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619368,36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455908,17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619344,28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455922,23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619340,28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455921,18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619337,25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455923,84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619304,34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455918,80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619296,67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455913,14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619296,58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455893,13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619280,02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455886,80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619277,25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455873,35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619263,24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455860,80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619261,84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455860,62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619245,98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455862,28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619219,77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455895,34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619205,79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455897,55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619205,57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455897,80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619204,49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455901,80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619209,86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455911,01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619214,85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455915,64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619220,84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455927,11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619243,26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455933,83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619255,88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455941,14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619247,44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455955,68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619235,93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455962,97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619221,06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455965,82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619208,64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455974,82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619199,06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455975,21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619185,51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455969,83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619181,50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455965,58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619180,26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455961,49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619170,05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455955,06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619173,05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455913,22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619172,81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455912,43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619172,64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455912,23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619166,18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455909,35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619161,24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455911,90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619159,24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455912,96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619158,14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455914,49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619156,88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455928,58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619149,17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455940,11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619133,60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455944,67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619118,54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455931,43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619122,11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455920,00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619122,13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455919,36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619118,34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455910,17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619115,82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455908,45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619101,27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455903,55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619094,25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455905,53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619074,00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455883,44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619074,20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455868,43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619073,71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455866,46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619068,22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455849,36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619066,77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455842,78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619047,70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455807,06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619043,68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455809,33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619035,64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455816,92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619008,68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455809,00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619001,65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455803,80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619009,97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455786,71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619007,65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455769,97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619005,30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455768,71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618993,64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455764,87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618985,76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455765,52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618982,86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455761,33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618960,69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455754,03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618946,05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455762,89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618925,68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455760,37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618916,32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455748,80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618915,09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455748,75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618899,45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455741,33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618888,72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455744,77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618861,94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455722,93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618868,50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455713,98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618881,30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455705,84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618875,07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455698,38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618859,12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455689,24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618798,33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455717,40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618740,97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455715,15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618697,42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455718,13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618699,52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455720,32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618718,11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455736,56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618718,24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455736,66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618718,42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455736,73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618771,00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455754,13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618772,74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455757,50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618773,90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455757,94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618784,21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455774,20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618801,52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455784,25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618832,30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455793,48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618834,62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455795,77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618835,97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455796,15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618882,39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455842,68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618885,81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455862,26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618884,03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455878,53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618886,50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455889,90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618898,22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455901,93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618965,35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455904,40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618968,22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455906,96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618969,21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455906,97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618985,43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455922,30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619011,39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455945,43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619011,60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455947,02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619015,41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455950,62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619015,78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455971,88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619023,07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455986,21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619040,63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456019,92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619070,39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456022,66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619080,37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456044,72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619102,92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456073,29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619101,44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456076,95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619102,55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456078,52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619099,53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456092,39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619091,35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456092,62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619065,96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456093,30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619053,10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456109,26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619054,47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456115,87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619061,18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456138,72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619083,96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456149,45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619087,61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456158,46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619093,16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456169,55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619100,72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456176,49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619124,31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456180,27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619146,10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456177,84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619153,29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456169,01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619181,74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456112,21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619191,02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456040,47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619223,83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456029,85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619275,39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456029,45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619308,36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456030,37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619353,41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456033,87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619422,79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456013,33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619433,96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456034,61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619432,49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456037,77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619435,57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456043,12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619423,57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456058,44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619421,57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456073,89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619422,70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456096,13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619419,76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456098,55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619394,30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456119,57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619383,11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456142,16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619383,19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456153,04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619401,50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456166,56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619444,24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456145,90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619501,29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456105,24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619513,94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456124,09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619538,25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456147,77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619559,87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456174,42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619584,16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456169,26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619590,53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456207,37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619616,04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456265,25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619616,44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456304,40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619615,92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456305,09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619616,32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456310,39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619605,06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456326,13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619557,10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456351,11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619533,72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456355,98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619519,50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456397,81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619534,55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456401,19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619573,10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456391,29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619615,64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456391,28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619632,19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456402,65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619637,75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456420,84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619649,83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456437,32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619651,03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456444,65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619651,12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456444,76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619651,16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456445,43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619652,89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456456,02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619668,09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456475,01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619667,53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456480,10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619669,59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456482,37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619662,78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456524,31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619659,74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456551,74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619640,78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456554,23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619635,09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456580,21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619553,67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456602,56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619537,06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456613,79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619534,91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456628,58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619534,30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456632,71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619529,79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456663,80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619495,81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456698,11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619488,25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456716,21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619511,71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456751,11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619495,06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456795,56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619551,70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456850,27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619562,78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456864,75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619570,74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456891,51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619554,82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456919,48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619531,76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456931,31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619440,41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456934,49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619410,58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456952,10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619381,06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456955,25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619369,70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456960,56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619362,78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456976,03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619363,28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456997,08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619356,31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457034,11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619393,50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457055,18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619451,13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457048,44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619540,23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457079,69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619544,51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457116,58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619544,51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457116,60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619544,51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457116,61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619539,60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457153,26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619539,25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457162,51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619537,71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457202,93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619550,61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457248,99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619550,61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457249,02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619550,61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457249,03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619548,31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457273,69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619545,45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457304,40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619548,79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457345,70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619549,01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457348,43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619552,11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457384,86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619554,28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457409,52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619554,32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457410,02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619561,44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457441,73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619562,16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457479,53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619565,44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457510,95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457553,92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457553,98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457554,00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619569,95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457554,09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619570,09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457554,03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619608,51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457560,53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619669,74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457565,65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619675,07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457559,73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619705,03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457573,52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619698,14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457597,38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619658,36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457647,23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619614,08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457714,32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619593,13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457727,84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619576,59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457726,68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619573,58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457726,47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619574,25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457756,87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619561,23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457748,50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619541,92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457752,78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619539,72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457759,13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619542,39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457764,03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619533,66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457775,18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619520,25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457786,49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619500,04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457800,59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619486,61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457806,61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619477,20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457814,30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619481,73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457825,18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619472,70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457841,62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619450,82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457854,26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619449,31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457869,35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619436,62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457876,63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619435,08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457881,74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619436,43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457894,57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619424,60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457910,93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619412,26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457922,90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619411,57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457929,94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619416,94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457943,31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619412,21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457951,67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619395,97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457952,21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619392,23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457960,54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619378,01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457968,63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619362,73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457983,89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619358,99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457989,86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619343,69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457993,17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619336,71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458004,24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619335,27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458027,35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619357,18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458051,98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619315,67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458118,67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619304,75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458156,86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619225,07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458175,94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619138,37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458179,55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94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619125,33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458162,41</w:t>
            </w:r>
          </w:p>
        </w:tc>
      </w:tr>
    </w:tbl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2639568" cy="1042416"/>
            <wp:docPr id="100027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39568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sectPr>
          <w:footerReference w:type="default" r:id="rId33"/>
          <w:endnotePr>
            <w:numFmt w:val="decimal"/>
          </w:endnotePr>
          <w:type w:val="nextPage"/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contextualSpacing w:val="0"/>
        <w:jc w:val="left"/>
        <w:rPr>
          <w:color w:val="000000"/>
          <w:sz w:val="22"/>
          <w:szCs w:val="20"/>
          <w:shd w:val="clear" w:color="auto" w:fill="FFFFFF"/>
          <w:lang w:val="x-none" w:eastAsia="en-US" w:bidi="ar-SA"/>
        </w:r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center"/>
        <w:rPr>
          <w:b/>
          <w:caps/>
          <w:color w:val="000000"/>
          <w:szCs w:val="20"/>
          <w:shd w:val="clear" w:color="auto" w:fill="FFFFFF"/>
          <w:lang w:val="x-none" w:eastAsia="en-US" w:bidi="ar-SA"/>
        </w:rPr>
      </w:pPr>
      <w:r>
        <w:rPr>
          <w:b/>
          <w:caps/>
          <w:color w:val="000000"/>
          <w:szCs w:val="20"/>
          <w:shd w:val="clear" w:color="auto" w:fill="FFFFFF"/>
          <w:lang w:val="x-none" w:eastAsia="en-US" w:bidi="ar-SA"/>
        </w:rPr>
        <w:t>u</w:t>
      </w:r>
      <w:r>
        <w:rPr>
          <w:b/>
          <w:caps/>
          <w:color w:val="000000"/>
          <w:szCs w:val="20"/>
          <w:shd w:val="clear" w:color="auto" w:fill="FFFFFF"/>
        </w:rPr>
        <w:t>ZASADNIENIE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center"/>
        <w:rPr>
          <w:b/>
          <w:caps/>
          <w:color w:val="000000"/>
          <w:szCs w:val="20"/>
          <w:shd w:val="clear" w:color="auto" w:fill="FFFFFF"/>
          <w:lang w:val="x-none" w:eastAsia="en-US" w:bidi="ar-SA"/>
        </w:r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shd w:val="clear" w:color="auto" w:fill="FFFFFF"/>
        </w:rPr>
        <w:t xml:space="preserve">Na podstawie art. 13 </w:t>
      </w:r>
      <w:r>
        <w:rPr>
          <w:color w:val="000000"/>
          <w:szCs w:val="20"/>
          <w:shd w:val="clear" w:color="auto" w:fill="FFFFFF"/>
          <w:lang w:val="x-none" w:eastAsia="en-US" w:bidi="ar-SA"/>
        </w:rPr>
        <w:t>ust. </w:t>
      </w:r>
      <w:r>
        <w:rPr>
          <w:color w:val="000000"/>
          <w:szCs w:val="20"/>
          <w:shd w:val="clear" w:color="auto" w:fill="FFFFFF"/>
        </w:rPr>
        <w:t>3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 ustawy z dnia 16 kwietnia 2004 roku o ochronie przyrody </w:t>
      </w:r>
      <w:r>
        <w:rPr>
          <w:color w:val="000000"/>
          <w:szCs w:val="20"/>
          <w:shd w:val="clear" w:color="auto" w:fill="FFFFFF"/>
          <w:lang w:val="x-none" w:eastAsia="en-US" w:bidi="ar-SA"/>
        </w:rPr>
        <w:t>(</w:t>
      </w:r>
      <w:r>
        <w:rPr>
          <w:color w:val="000000"/>
          <w:szCs w:val="20"/>
          <w:shd w:val="clear" w:color="auto" w:fill="FFFFFF"/>
        </w:rPr>
        <w:t xml:space="preserve">t.j. </w:t>
      </w:r>
      <w:r>
        <w:rPr>
          <w:color w:val="000000"/>
          <w:szCs w:val="20"/>
          <w:shd w:val="clear" w:color="auto" w:fill="FFFFFF"/>
          <w:lang w:val="x-none" w:eastAsia="en-US" w:bidi="ar-SA"/>
        </w:rPr>
        <w:t>Dz. U. z 202</w:t>
      </w:r>
      <w:r>
        <w:rPr>
          <w:color w:val="000000"/>
          <w:szCs w:val="20"/>
          <w:shd w:val="clear" w:color="auto" w:fill="FFFFFF"/>
        </w:rPr>
        <w:t>4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r. poz. </w:t>
      </w:r>
      <w:r>
        <w:rPr>
          <w:color w:val="000000"/>
          <w:szCs w:val="20"/>
          <w:shd w:val="clear" w:color="auto" w:fill="FFFFFF"/>
        </w:rPr>
        <w:t>1478</w:t>
      </w:r>
      <w:r>
        <w:rPr>
          <w:color w:val="000000"/>
          <w:szCs w:val="20"/>
          <w:shd w:val="clear" w:color="auto" w:fill="FFFFFF"/>
          <w:lang w:val="x-none" w:eastAsia="en-US" w:bidi="ar-SA"/>
        </w:rPr>
        <w:t>)</w:t>
      </w:r>
      <w:r>
        <w:rPr>
          <w:color w:val="000000"/>
          <w:szCs w:val="20"/>
          <w:shd w:val="clear" w:color="auto" w:fill="FFFFFF"/>
        </w:rPr>
        <w:t xml:space="preserve"> u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znanie za rezerwat przyrody następuje w drodze aktu prawa miejscowego w formie zarządzenia regionalnego dyrektora ochrony środowiska, które określa jego nazwę, położenie lub przebieg granicy i otulinę, jeżeli została wyznaczona, cele ochrony oraz rodzaj, typ i podtyp rezerwatu przyrody, a także sprawującego nadzór nad rezerwatem.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>Rezerwat przyrody „</w:t>
      </w:r>
      <w:r>
        <w:rPr>
          <w:color w:val="000000"/>
          <w:szCs w:val="20"/>
          <w:shd w:val="clear" w:color="auto" w:fill="FFFFFF"/>
        </w:rPr>
        <w:t>Wąwóz Wyrwa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” o powierzchni </w:t>
      </w:r>
      <w:r>
        <w:rPr>
          <w:color w:val="000000"/>
          <w:szCs w:val="20"/>
          <w:shd w:val="clear" w:color="auto" w:fill="FFFFFF"/>
        </w:rPr>
        <w:t>48,80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ha zlokalizowany jest </w:t>
      </w:r>
      <w:r>
        <w:rPr>
          <w:color w:val="000000"/>
          <w:szCs w:val="20"/>
          <w:shd w:val="clear" w:color="auto" w:fill="FFFFFF"/>
        </w:rPr>
        <w:t>na terenie gmin Drzycim i Świecie, w powiecie świeckim, w województwie kujawsko-pomorskim.</w:t>
      </w:r>
      <w:r>
        <w:rPr>
          <w:color w:val="000000"/>
          <w:szCs w:val="20"/>
          <w:shd w:val="clear" w:color="auto" w:fill="FFFFFF"/>
        </w:rPr>
        <w:t xml:space="preserve"> W dniu 29 stycznia 2024 r. do Regionalnej Dyrekcji Ochrony Środowiska w Bydgoszczy, wpłynął wniosek Zespołu Parków Krajobrazowych nad Dolną Wisłą z dnia 22 stycznia 2024 r., znak ZPKnDW 440.1.2024, o utworzenie powyższego rezerwatu przyrody. Do wniosku dołączono: uproszczoną inwentaryzację ornitologiczną, charakterystykę ichtiofauny rzeki Wyrwa, wykaz niektórych gatunków mchów, wstępne dane o roślinności i wstępne rozpoznanie entomofauny na terenie rezerwatu. Obszar rezerwatu stanowi część doliny rzeki Wyrwy, zarówno jej strefy zboczowej, jak i dno doliny wraz z odcinkiem samej rzeki</w:t>
      </w:r>
      <w:r>
        <w:rPr>
          <w:color w:val="000000"/>
          <w:szCs w:val="20"/>
          <w:shd w:val="clear" w:color="auto" w:fill="FFFFFF"/>
          <w:lang w:val="x-none" w:eastAsia="en-US" w:bidi="ar-SA"/>
        </w:rPr>
        <w:t>.</w:t>
      </w:r>
      <w:r>
        <w:rPr>
          <w:color w:val="000000"/>
          <w:szCs w:val="20"/>
          <w:shd w:val="clear" w:color="auto" w:fill="FFFFFF"/>
        </w:rPr>
        <w:t xml:space="preserve"> Teren jest porośnięty drzewostanem o zróżnicowanym wieku i strukturze gatunkowej. W wyniku zaniechania prowadzenia na tym obszarze prac leśnych zachodzą od kilkudziesięciu lat naturalne procesy starzenia się i odnawiania drzewostanu oraz akumulacji martwego drewna. W związku z tym drzewostan grądu subatlantyckiego </w:t>
      </w:r>
      <w:r>
        <w:rPr>
          <w:i/>
          <w:color w:val="000000"/>
          <w:szCs w:val="20"/>
          <w:shd w:val="clear" w:color="auto" w:fill="FFFFFF"/>
        </w:rPr>
        <w:t>Stellario-Carpinetum</w:t>
      </w:r>
      <w:r>
        <w:rPr>
          <w:color w:val="000000"/>
          <w:szCs w:val="20"/>
          <w:shd w:val="clear" w:color="auto" w:fill="FFFFFF"/>
        </w:rPr>
        <w:t xml:space="preserve">, porastający strome zbocza oraz niżowy łęg jesionowo-olszowy </w:t>
      </w:r>
      <w:r>
        <w:rPr>
          <w:i/>
          <w:color w:val="000000"/>
          <w:szCs w:val="20"/>
          <w:shd w:val="clear" w:color="auto" w:fill="FFFFFF"/>
        </w:rPr>
        <w:t>Fraxino-Alnetum</w:t>
      </w:r>
      <w:r>
        <w:rPr>
          <w:color w:val="000000"/>
          <w:szCs w:val="20"/>
          <w:shd w:val="clear" w:color="auto" w:fill="FFFFFF"/>
        </w:rPr>
        <w:t xml:space="preserve"> zajmujący powierzchnie u podnóża parowu, pomiędzy niszami źródliskowymi a ciekiem strugi Wyrwa, stanowią siedlisko licznych i cennych gatunków roślin, grzybów i zwierząt, jak na przykład gatunki roślin objęte ochrona gatunkową  lilia złotogłów </w:t>
      </w:r>
      <w:r>
        <w:rPr>
          <w:i/>
          <w:color w:val="000000"/>
          <w:szCs w:val="20"/>
          <w:shd w:val="clear" w:color="auto" w:fill="FFFFFF"/>
        </w:rPr>
        <w:t>Lilium martagon</w:t>
      </w:r>
      <w:r>
        <w:rPr>
          <w:color w:val="000000"/>
          <w:szCs w:val="20"/>
          <w:shd w:val="clear" w:color="auto" w:fill="FFFFFF"/>
        </w:rPr>
        <w:t xml:space="preserve"> i wawrzynek wilczełyko </w:t>
      </w:r>
      <w:r>
        <w:rPr>
          <w:i/>
          <w:color w:val="000000"/>
          <w:szCs w:val="20"/>
          <w:shd w:val="clear" w:color="auto" w:fill="FFFFFF"/>
        </w:rPr>
        <w:t>Daphne mezereum</w:t>
      </w:r>
      <w:r>
        <w:rPr>
          <w:color w:val="000000"/>
          <w:szCs w:val="20"/>
          <w:shd w:val="clear" w:color="auto" w:fill="FFFFFF"/>
        </w:rPr>
        <w:t xml:space="preserve">. Prowadzone w roku 2023 r. wstępne badania entomofauny pozwoliły na stwierdzenie na tym terenie szeregu chronionych, zagrożonych i rzadko spotykanych w Polsce gatunków owadów. Najliczniejszą i najcenniejszą grupę stanowią gatunki związane z dojrzałym drzewostanem liściastym (w tym uznawane za relikty lasów pierwotnych), należące przede wszystkim do rzędów chrząszczy i muchówek. Na obszarze rezerwatu odnotowano występowanie 24 gatunków owadów, z których 10 jest objętych ochroną, w tym podlegająca ochronie ścisłej pachnica dębowa </w:t>
      </w:r>
      <w:r>
        <w:rPr>
          <w:i/>
          <w:color w:val="000000"/>
          <w:szCs w:val="20"/>
          <w:shd w:val="clear" w:color="auto" w:fill="FFFFFF"/>
        </w:rPr>
        <w:t>Osmoderma eremita</w:t>
      </w:r>
      <w:r>
        <w:rPr>
          <w:color w:val="000000"/>
          <w:szCs w:val="20"/>
          <w:shd w:val="clear" w:color="auto" w:fill="FFFFFF"/>
        </w:rPr>
        <w:t xml:space="preserve">. Rezerwat jest ostoją wielu gatunków </w:t>
      </w:r>
      <w:r>
        <w:rPr>
          <w:color w:val="000000"/>
          <w:szCs w:val="20"/>
          <w:shd w:val="clear" w:color="auto" w:fill="FFFFFF"/>
        </w:rPr>
        <w:t xml:space="preserve">ptaków, uproszczona inwentaryzacja ornitologiczna wykazała 49 gatunków, w tym 43 objęte są ochrona ścisłą, na przykład dzięcioły: czarny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Dryocopus martius</w:t>
      </w:r>
      <w:r>
        <w:rPr>
          <w:color w:val="000000"/>
          <w:szCs w:val="20"/>
          <w:shd w:val="clear" w:color="auto" w:fill="FFFFFF"/>
        </w:rPr>
        <w:t xml:space="preserve">, duży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Dendrocopos major</w:t>
      </w:r>
      <w:r>
        <w:rPr>
          <w:color w:val="000000"/>
          <w:szCs w:val="20"/>
          <w:shd w:val="clear" w:color="auto" w:fill="FFFFFF"/>
        </w:rPr>
        <w:t xml:space="preserve">, średni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Leiopicus medius</w:t>
      </w:r>
      <w:r>
        <w:rPr>
          <w:color w:val="000000"/>
          <w:szCs w:val="20"/>
          <w:shd w:val="clear" w:color="auto" w:fill="FFFFFF"/>
        </w:rPr>
        <w:t xml:space="preserve">, zielonosiwy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Picus canus</w:t>
      </w:r>
      <w:r>
        <w:rPr>
          <w:color w:val="000000"/>
          <w:szCs w:val="20"/>
          <w:shd w:val="clear" w:color="auto" w:fill="FFFFFF"/>
        </w:rPr>
        <w:t xml:space="preserve">, zielony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Picus viridis</w:t>
      </w:r>
      <w:r>
        <w:rPr>
          <w:color w:val="000000"/>
          <w:szCs w:val="20"/>
          <w:shd w:val="clear" w:color="auto" w:fill="FFFFFF"/>
        </w:rPr>
        <w:t xml:space="preserve">, nurogęś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Mergus merganser</w:t>
      </w:r>
      <w:r>
        <w:rPr>
          <w:color w:val="000000"/>
          <w:szCs w:val="20"/>
          <w:shd w:val="clear" w:color="auto" w:fill="FFFFFF"/>
        </w:rPr>
        <w:t xml:space="preserve">, lerka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Lullula arborea</w:t>
      </w:r>
      <w:r>
        <w:rPr>
          <w:color w:val="000000"/>
          <w:szCs w:val="20"/>
          <w:shd w:val="clear" w:color="auto" w:fill="FFFFFF"/>
        </w:rPr>
        <w:t xml:space="preserve">, grubodziób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Coccothraustes coccothraustes</w:t>
      </w:r>
      <w:r>
        <w:rPr>
          <w:color w:val="000000"/>
          <w:szCs w:val="20"/>
          <w:shd w:val="clear" w:color="auto" w:fill="FFFFFF"/>
        </w:rPr>
        <w:t xml:space="preserve"> i żuraw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Grus grus</w:t>
      </w:r>
      <w:r>
        <w:rPr>
          <w:color w:val="000000"/>
          <w:szCs w:val="20"/>
          <w:shd w:val="clear" w:color="auto" w:fill="FFFFFF"/>
        </w:rPr>
        <w:t xml:space="preserve">. Z kolei rzeka Wyrwa stanowi istotne siedlisko chronionych gatunków ryb. Podczas odłowów stwierdzono występowanie 12 gatunków ryb, między innymi jaź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Leuciscus idus</w:t>
      </w:r>
      <w:r>
        <w:rPr>
          <w:color w:val="000000"/>
          <w:szCs w:val="20"/>
          <w:shd w:val="clear" w:color="auto" w:fill="FFFFFF"/>
        </w:rPr>
        <w:t xml:space="preserve">, kleń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Squalius cephalus</w:t>
      </w:r>
      <w:r>
        <w:rPr>
          <w:color w:val="000000"/>
          <w:szCs w:val="20"/>
          <w:shd w:val="clear" w:color="auto" w:fill="FFFFFF"/>
        </w:rPr>
        <w:t xml:space="preserve">, kiełb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Gobio gobio</w:t>
      </w:r>
      <w:r>
        <w:rPr>
          <w:color w:val="000000"/>
          <w:szCs w:val="20"/>
          <w:shd w:val="clear" w:color="auto" w:fill="FFFFFF"/>
        </w:rPr>
        <w:t xml:space="preserve">, lin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Tinca tinca</w:t>
      </w:r>
      <w:r>
        <w:rPr>
          <w:color w:val="000000"/>
          <w:szCs w:val="20"/>
          <w:shd w:val="clear" w:color="auto" w:fill="FFFFFF"/>
        </w:rPr>
        <w:t xml:space="preserve">, koza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Cobitis taenia</w:t>
      </w:r>
      <w:r>
        <w:rPr>
          <w:color w:val="000000"/>
          <w:szCs w:val="20"/>
          <w:shd w:val="clear" w:color="auto" w:fill="FFFFFF"/>
        </w:rPr>
        <w:t xml:space="preserve">, śliz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Barbatula barbatula</w:t>
      </w:r>
      <w:r>
        <w:rPr>
          <w:color w:val="000000"/>
          <w:szCs w:val="20"/>
          <w:shd w:val="clear" w:color="auto" w:fill="FFFFFF"/>
        </w:rPr>
        <w:t xml:space="preserve">, pstrąg potokowy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Salmo trutta</w:t>
      </w:r>
      <w:r>
        <w:rPr>
          <w:color w:val="000000"/>
          <w:szCs w:val="20"/>
          <w:shd w:val="clear" w:color="auto" w:fill="FFFFFF"/>
        </w:rPr>
        <w:t xml:space="preserve">, głowacz białopłetwy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Cottus gobio</w:t>
      </w:r>
      <w:r>
        <w:rPr>
          <w:color w:val="000000"/>
          <w:szCs w:val="20"/>
          <w:shd w:val="clear" w:color="auto" w:fill="FFFFFF"/>
        </w:rPr>
        <w:t xml:space="preserve"> oraz obecność minoga strumieniowego </w:t>
      </w:r>
      <w:r>
        <w:rPr>
          <w:i/>
          <w:color w:val="000000"/>
          <w:szCs w:val="20"/>
          <w:shd w:val="clear" w:color="auto" w:fill="FFFFFF"/>
          <w:lang w:val="x-none" w:eastAsia="en-US" w:bidi="ar-SA"/>
        </w:rPr>
        <w:t>Lampetra planeri</w:t>
      </w:r>
      <w:r>
        <w:rPr>
          <w:color w:val="000000"/>
          <w:szCs w:val="20"/>
          <w:shd w:val="clear" w:color="auto" w:fill="FFFFFF"/>
        </w:rPr>
        <w:t xml:space="preserve">. </w:t>
      </w:r>
      <w:r>
        <w:rPr>
          <w:color w:val="000000"/>
          <w:szCs w:val="20"/>
          <w:shd w:val="clear" w:color="auto" w:fill="FFFFFF"/>
        </w:rPr>
        <w:t>Na obszarach graniczących z rezerwatem wyznacza się otulinę o powierzchni 220,60 ha.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</w:rPr>
        <w:t xml:space="preserve">Ze względu na powyższe walory przyrodnicze, celem ochrony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rezerwatu jest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zachowanie </w:t>
      </w:r>
      <w:r>
        <w:rPr>
          <w:color w:val="000000"/>
          <w:szCs w:val="20"/>
          <w:shd w:val="clear" w:color="auto" w:fill="FFFFFF"/>
        </w:rPr>
        <w:t>grądu zboczowego porastającego stoki doliny rzeki Wyrwy i zachodzących w nim procesów odnowy i starzenia się drzewostanu, a także gatunków z nim związanych</w:t>
      </w:r>
      <w:r>
        <w:rPr>
          <w:color w:val="000000"/>
          <w:szCs w:val="20"/>
          <w:shd w:val="clear" w:color="auto" w:fill="FFFFFF"/>
          <w:lang w:val="x-none" w:eastAsia="en-US" w:bidi="ar-SA"/>
        </w:rPr>
        <w:t>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>Zgodnie z rozporządzeniem Ministra Środowiska z dnia 30 marca 20</w:t>
      </w:r>
      <w:r>
        <w:rPr>
          <w:color w:val="000000"/>
          <w:szCs w:val="20"/>
          <w:shd w:val="clear" w:color="auto" w:fill="FFFFFF"/>
        </w:rPr>
        <w:t>0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5 r. </w:t>
      </w:r>
      <w:r>
        <w:rPr>
          <w:color w:val="000000"/>
          <w:szCs w:val="20"/>
          <w:shd w:val="clear" w:color="auto" w:fill="FFFFFF"/>
        </w:rPr>
        <w:t xml:space="preserve">w sprawie rodzajów, typów i podtypów rezerwatów przyrody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(Dz. U. z 2005 r., Nr 60, poz. 533) </w:t>
      </w:r>
      <w:r>
        <w:rPr>
          <w:color w:val="000000"/>
          <w:szCs w:val="20"/>
          <w:shd w:val="clear" w:color="auto" w:fill="FFFFFF"/>
        </w:rPr>
        <w:t xml:space="preserve">dla </w:t>
      </w:r>
      <w:r>
        <w:rPr>
          <w:color w:val="000000"/>
          <w:szCs w:val="20"/>
          <w:shd w:val="clear" w:color="auto" w:fill="FFFFFF"/>
          <w:lang w:val="x-none" w:eastAsia="en-US" w:bidi="ar-SA"/>
        </w:rPr>
        <w:t>rezerwat</w:t>
      </w:r>
      <w:r>
        <w:rPr>
          <w:color w:val="000000"/>
          <w:szCs w:val="20"/>
          <w:shd w:val="clear" w:color="auto" w:fill="FFFFFF"/>
        </w:rPr>
        <w:t>u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przyrody „</w:t>
      </w:r>
      <w:r>
        <w:rPr>
          <w:color w:val="000000"/>
          <w:szCs w:val="20"/>
          <w:shd w:val="clear" w:color="auto" w:fill="FFFFFF"/>
        </w:rPr>
        <w:t>Wąwóz Wyrwa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” </w:t>
      </w:r>
      <w:r>
        <w:rPr>
          <w:color w:val="000000"/>
          <w:szCs w:val="20"/>
          <w:shd w:val="clear" w:color="auto" w:fill="FFFFFF"/>
        </w:rPr>
        <w:t>określono rodzaj rezerwatu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</w:t>
      </w:r>
      <w:r>
        <w:rPr>
          <w:color w:val="000000"/>
          <w:szCs w:val="20"/>
          <w:shd w:val="clear" w:color="auto" w:fill="FFFFFF"/>
        </w:rPr>
        <w:t>Leśny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(</w:t>
      </w:r>
      <w:r>
        <w:rPr>
          <w:color w:val="000000"/>
          <w:szCs w:val="20"/>
          <w:shd w:val="clear" w:color="auto" w:fill="FFFFFF"/>
        </w:rPr>
        <w:t>L</w:t>
      </w:r>
      <w:r>
        <w:rPr>
          <w:color w:val="000000"/>
          <w:szCs w:val="20"/>
          <w:shd w:val="clear" w:color="auto" w:fill="FFFFFF"/>
          <w:lang w:val="x-none" w:eastAsia="en-US" w:bidi="ar-SA"/>
        </w:rPr>
        <w:t>)</w:t>
      </w:r>
      <w:r>
        <w:rPr>
          <w:color w:val="000000"/>
          <w:szCs w:val="20"/>
          <w:shd w:val="clear" w:color="auto" w:fill="FFFFFF"/>
        </w:rPr>
        <w:t xml:space="preserve"> oraz </w:t>
      </w:r>
      <w:r>
        <w:rPr>
          <w:color w:val="000000"/>
          <w:szCs w:val="20"/>
          <w:shd w:val="clear" w:color="auto" w:fill="FFFFFF"/>
          <w:lang w:val="x-none" w:eastAsia="en-US" w:bidi="ar-SA"/>
        </w:rPr>
        <w:t>określ</w:t>
      </w:r>
      <w:r>
        <w:rPr>
          <w:color w:val="000000"/>
          <w:szCs w:val="20"/>
          <w:shd w:val="clear" w:color="auto" w:fill="FFFFFF"/>
        </w:rPr>
        <w:t>ono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typ i podtyp: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1) ze względu na dominujący przedmiot ochrony: 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typ - </w:t>
      </w:r>
      <w:r>
        <w:rPr>
          <w:color w:val="000000"/>
          <w:szCs w:val="20"/>
          <w:shd w:val="clear" w:color="auto" w:fill="FFFFFF"/>
        </w:rPr>
        <w:t>Fitocenotyczny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(P</w:t>
      </w:r>
      <w:r>
        <w:rPr>
          <w:color w:val="000000"/>
          <w:szCs w:val="20"/>
          <w:shd w:val="clear" w:color="auto" w:fill="FFFFFF"/>
        </w:rPr>
        <w:t>Fi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), podtyp - </w:t>
      </w:r>
      <w:r>
        <w:rPr>
          <w:color w:val="000000"/>
          <w:szCs w:val="20"/>
          <w:shd w:val="clear" w:color="auto" w:fill="FFFFFF"/>
        </w:rPr>
        <w:t>zbiorowisk leśnych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(</w:t>
      </w:r>
      <w:r>
        <w:rPr>
          <w:color w:val="000000"/>
          <w:szCs w:val="20"/>
          <w:shd w:val="clear" w:color="auto" w:fill="FFFFFF"/>
        </w:rPr>
        <w:t>zl</w:t>
      </w:r>
      <w:r>
        <w:rPr>
          <w:color w:val="000000"/>
          <w:szCs w:val="20"/>
          <w:shd w:val="clear" w:color="auto" w:fill="FFFFFF"/>
          <w:lang w:val="x-none" w:eastAsia="en-US" w:bidi="ar-SA"/>
        </w:rPr>
        <w:t>)</w:t>
      </w:r>
      <w:r>
        <w:rPr>
          <w:color w:val="000000"/>
          <w:szCs w:val="20"/>
          <w:shd w:val="clear" w:color="auto" w:fill="FFFFFF"/>
          <w:lang w:val="x-none" w:eastAsia="en-US" w:bidi="ar-SA"/>
        </w:rPr>
        <w:t>;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2) ze względu na główny typ ekosystemu: typ - </w:t>
      </w:r>
      <w:r>
        <w:rPr>
          <w:color w:val="000000"/>
          <w:szCs w:val="20"/>
          <w:shd w:val="clear" w:color="auto" w:fill="FFFFFF"/>
        </w:rPr>
        <w:t>Leśny i borowy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(E</w:t>
      </w:r>
      <w:r>
        <w:rPr>
          <w:color w:val="000000"/>
          <w:szCs w:val="20"/>
          <w:shd w:val="clear" w:color="auto" w:fill="FFFFFF"/>
        </w:rPr>
        <w:t>L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), podtyp - </w:t>
      </w:r>
      <w:r>
        <w:rPr>
          <w:color w:val="000000"/>
          <w:szCs w:val="20"/>
          <w:shd w:val="clear" w:color="auto" w:fill="FFFFFF"/>
        </w:rPr>
        <w:t>lasów nizinnych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(</w:t>
      </w:r>
      <w:r>
        <w:rPr>
          <w:color w:val="000000"/>
          <w:szCs w:val="20"/>
          <w:shd w:val="clear" w:color="auto" w:fill="FFFFFF"/>
        </w:rPr>
        <w:t>lni</w:t>
      </w:r>
      <w:r>
        <w:rPr>
          <w:color w:val="000000"/>
          <w:szCs w:val="20"/>
          <w:shd w:val="clear" w:color="auto" w:fill="FFFFFF"/>
          <w:lang w:val="x-none" w:eastAsia="en-US" w:bidi="ar-SA"/>
        </w:rPr>
        <w:t>).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>W niniejszym akcie prawnym, wykorzystując dane systemu informacji przestrzennej, wprowadzono załączniki w postaci mapy obszaru rezerwatu oraz wykaz współrzędnych punktów załamania granic</w:t>
      </w:r>
      <w:r>
        <w:rPr>
          <w:color w:val="000000"/>
          <w:szCs w:val="20"/>
          <w:shd w:val="clear" w:color="auto" w:fill="FFFFFF"/>
        </w:rPr>
        <w:t xml:space="preserve"> rezerwatu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, sporządzonych w układzie współrzędnych płaskich prostokątnych PL-1992, o których mowa w rozporządzeniu Rady Ministrów z dnia 15 października 2012 r. w sprawie państwowego systemu odniesień przestrzennych </w:t>
      </w:r>
      <w:r>
        <w:rPr>
          <w:color w:val="000000"/>
          <w:szCs w:val="20"/>
          <w:shd w:val="clear" w:color="auto" w:fill="FFFFFF"/>
          <w:lang w:val="x-none" w:eastAsia="en-US" w:bidi="ar-SA"/>
        </w:rPr>
        <w:t>(</w:t>
      </w:r>
      <w:r>
        <w:rPr>
          <w:color w:val="000000"/>
          <w:szCs w:val="20"/>
          <w:shd w:val="clear" w:color="auto" w:fill="FFFFFF"/>
        </w:rPr>
        <w:t xml:space="preserve">t.j. </w:t>
      </w:r>
      <w:r>
        <w:rPr>
          <w:color w:val="000000"/>
          <w:szCs w:val="20"/>
          <w:shd w:val="clear" w:color="auto" w:fill="FFFFFF"/>
          <w:lang w:val="x-none" w:eastAsia="en-US" w:bidi="ar-SA"/>
        </w:rPr>
        <w:t>Dz.U z 20</w:t>
      </w:r>
      <w:r>
        <w:rPr>
          <w:color w:val="000000"/>
          <w:szCs w:val="20"/>
          <w:shd w:val="clear" w:color="auto" w:fill="FFFFFF"/>
        </w:rPr>
        <w:t>24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r., poz. </w:t>
      </w:r>
      <w:r>
        <w:rPr>
          <w:color w:val="000000"/>
          <w:szCs w:val="20"/>
          <w:shd w:val="clear" w:color="auto" w:fill="FFFFFF"/>
        </w:rPr>
        <w:t>342</w:t>
      </w:r>
      <w:r>
        <w:rPr>
          <w:color w:val="000000"/>
          <w:szCs w:val="20"/>
          <w:shd w:val="clear" w:color="auto" w:fill="FFFFFF"/>
          <w:lang w:val="x-none" w:eastAsia="en-US" w:bidi="ar-SA"/>
        </w:rPr>
        <w:t>).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</w:rPr>
        <w:t>R</w:t>
      </w:r>
      <w:r>
        <w:rPr>
          <w:color w:val="000000"/>
          <w:szCs w:val="20"/>
          <w:shd w:val="clear" w:color="auto" w:fill="FFFFFF"/>
          <w:lang w:val="x-none" w:eastAsia="en-US" w:bidi="ar-SA"/>
        </w:rPr>
        <w:t>ezerwat przyrody „</w:t>
      </w:r>
      <w:r>
        <w:rPr>
          <w:color w:val="000000"/>
          <w:szCs w:val="20"/>
          <w:shd w:val="clear" w:color="auto" w:fill="FFFFFF"/>
        </w:rPr>
        <w:t>Wąwóz Wyrwa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” </w:t>
      </w:r>
      <w:r>
        <w:rPr>
          <w:color w:val="000000"/>
          <w:szCs w:val="20"/>
          <w:u w:color="000000"/>
          <w:shd w:val="clear" w:color="auto" w:fill="FFFFFF"/>
          <w:lang w:val="x-none" w:eastAsia="en-US" w:bidi="ar-SA"/>
        </w:rPr>
        <w:t>położ</w:t>
      </w:r>
      <w:r>
        <w:rPr>
          <w:color w:val="000000"/>
          <w:szCs w:val="20"/>
          <w:u w:color="000000"/>
          <w:shd w:val="clear" w:color="auto" w:fill="FFFFFF"/>
        </w:rPr>
        <w:t>ony</w:t>
      </w:r>
      <w:r>
        <w:rPr>
          <w:color w:val="000000"/>
          <w:szCs w:val="20"/>
          <w:u w:color="000000"/>
          <w:shd w:val="clear" w:color="auto" w:fill="FFFFFF"/>
          <w:lang w:val="x-none" w:eastAsia="en-US" w:bidi="ar-SA"/>
        </w:rPr>
        <w:t xml:space="preserve"> </w:t>
      </w:r>
      <w:r>
        <w:rPr>
          <w:color w:val="000000"/>
          <w:szCs w:val="20"/>
          <w:u w:color="000000"/>
          <w:shd w:val="clear" w:color="auto" w:fill="FFFFFF"/>
        </w:rPr>
        <w:t>jest</w:t>
      </w:r>
      <w:r>
        <w:rPr>
          <w:color w:val="000000"/>
          <w:szCs w:val="20"/>
          <w:u w:color="000000"/>
          <w:shd w:val="clear" w:color="auto" w:fill="FFFFFF"/>
          <w:lang w:val="x-none" w:eastAsia="en-US" w:bidi="ar-SA"/>
        </w:rPr>
        <w:t xml:space="preserve"> na gruntach należących do Skarbu Państwa, zarządzanych przez Państwowe Gospodarstwo Leśne Lasy Państwowe Nadleśnictwo </w:t>
      </w:r>
      <w:r>
        <w:rPr>
          <w:color w:val="000000"/>
          <w:szCs w:val="20"/>
          <w:u w:color="000000"/>
          <w:shd w:val="clear" w:color="auto" w:fill="FFFFFF"/>
        </w:rPr>
        <w:t xml:space="preserve">Dąbrowa, </w:t>
      </w:r>
      <w:r>
        <w:rPr>
          <w:color w:val="000000"/>
          <w:szCs w:val="20"/>
          <w:u w:color="000000"/>
          <w:shd w:val="clear" w:color="auto" w:fill="FFFFFF"/>
          <w:lang w:val="x-none" w:eastAsia="en-US" w:bidi="ar-SA"/>
        </w:rPr>
        <w:t>Państwowe Gospodarstwo Wodne Wody Polskie Regionalny Zarząd Gospodarki Wodnej w Gdańsku</w:t>
      </w:r>
      <w:r>
        <w:rPr>
          <w:color w:val="000000"/>
          <w:szCs w:val="20"/>
          <w:u w:color="000000"/>
          <w:shd w:val="clear" w:color="auto" w:fill="FFFFFF"/>
        </w:rPr>
        <w:t>, gminy Drzycim i Świecie.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Nadzór nad rezerwatem powierzony został </w:t>
      </w:r>
      <w:r>
        <w:rPr>
          <w:color w:val="000000"/>
          <w:szCs w:val="20"/>
          <w:shd w:val="clear" w:color="auto" w:fill="FFFFFF"/>
          <w:lang w:val="x-none" w:eastAsia="en-US" w:bidi="ar-SA"/>
        </w:rPr>
        <w:t>Regionaln</w:t>
      </w:r>
      <w:r>
        <w:rPr>
          <w:color w:val="000000"/>
          <w:szCs w:val="20"/>
          <w:shd w:val="clear" w:color="auto" w:fill="FFFFFF"/>
        </w:rPr>
        <w:t>emu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Dyrektor</w:t>
      </w:r>
      <w:r>
        <w:rPr>
          <w:color w:val="000000"/>
          <w:szCs w:val="20"/>
          <w:shd w:val="clear" w:color="auto" w:fill="FFFFFF"/>
        </w:rPr>
        <w:t>owi</w:t>
      </w:r>
      <w:r>
        <w:rPr>
          <w:color w:val="000000"/>
          <w:szCs w:val="20"/>
          <w:shd w:val="clear" w:color="auto" w:fill="FFFFFF"/>
          <w:lang w:val="x-none" w:eastAsia="en-US" w:bidi="ar-SA"/>
        </w:rPr>
        <w:t xml:space="preserve"> Ochrony Środowiska w Bydgoszczy</w:t>
      </w:r>
      <w:r>
        <w:rPr>
          <w:color w:val="000000"/>
          <w:szCs w:val="20"/>
          <w:shd w:val="clear" w:color="auto" w:fill="FFFFFF"/>
          <w:lang w:val="x-none" w:eastAsia="en-US" w:bidi="ar-SA"/>
        </w:rPr>
        <w:t>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u w:color="000000"/>
          <w:shd w:val="clear" w:color="auto" w:fill="FFFFFF"/>
          <w:lang w:val="x-none" w:eastAsia="en-US" w:bidi="ar-SA"/>
        </w:rPr>
        <w:t xml:space="preserve">Państwowe Gospodarstwo Leśne Lasy Państwowe Nadleśnictwo </w:t>
      </w:r>
      <w:r>
        <w:rPr>
          <w:color w:val="000000"/>
          <w:szCs w:val="20"/>
          <w:u w:color="000000"/>
          <w:shd w:val="clear" w:color="auto" w:fill="FFFFFF"/>
        </w:rPr>
        <w:t xml:space="preserve">Dąbrowa, zarządca części obszaru rezerwatu, wyraziło zgodę na utworzenie rezerwatu przyrody 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„</w:t>
      </w:r>
      <w:r>
        <w:rPr>
          <w:color w:val="000000"/>
          <w:szCs w:val="20"/>
          <w:shd w:val="clear" w:color="auto" w:fill="FFFFFF"/>
        </w:rPr>
        <w:t>Wąwóz Wyrwa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”</w:t>
      </w:r>
      <w:r>
        <w:rPr>
          <w:color w:val="000000"/>
          <w:szCs w:val="20"/>
          <w:shd w:val="clear" w:color="auto" w:fill="FFFFFF"/>
        </w:rPr>
        <w:t xml:space="preserve"> i zaopiniowało projekt rezerwatu</w:t>
      </w:r>
      <w:r>
        <w:rPr>
          <w:color w:val="000000"/>
          <w:szCs w:val="20"/>
          <w:shd w:val="clear" w:color="auto" w:fill="FFFFFF"/>
          <w:lang w:val="ar-SA" w:eastAsia="ar-SA" w:bidi="ar-SA"/>
        </w:rPr>
        <w:t xml:space="preserve"> </w:t>
      </w:r>
      <w:r>
        <w:rPr>
          <w:color w:val="000000"/>
          <w:szCs w:val="20"/>
          <w:shd w:val="clear" w:color="auto" w:fill="FFFFFF"/>
        </w:rPr>
        <w:t>pozytywnie pismem z dnia 9 kwietnia 2024 r., znak ZG.7212.4.2024.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u w:color="000000"/>
          <w:shd w:val="clear" w:color="auto" w:fill="FFFFFF"/>
        </w:rPr>
        <w:t xml:space="preserve">Regionalna Dyrekcja Lasów Państwowych w Toruniu wyraziła zgodę na utworzenie rezerwatu przyrody 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„</w:t>
      </w:r>
      <w:r>
        <w:rPr>
          <w:color w:val="000000"/>
          <w:szCs w:val="20"/>
          <w:shd w:val="clear" w:color="auto" w:fill="FFFFFF"/>
        </w:rPr>
        <w:t>Wąwóz Wyrwa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”</w:t>
      </w:r>
      <w:r>
        <w:rPr>
          <w:color w:val="000000"/>
          <w:szCs w:val="20"/>
          <w:shd w:val="clear" w:color="auto" w:fill="FFFFFF"/>
        </w:rPr>
        <w:t xml:space="preserve"> pismem z dnia 19 marca 2024 r., znak ZO.7212.9.2024.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u w:color="000000"/>
          <w:shd w:val="clear" w:color="auto" w:fill="FFFFFF"/>
          <w:lang w:val="x-none" w:eastAsia="en-US" w:bidi="ar-SA"/>
        </w:rPr>
        <w:t>Państwowe Gospodarstwo Wodne Wody Polskie Regionalny Zarząd Gospodarki Wodnej w Gdańsku</w:t>
      </w:r>
      <w:r>
        <w:rPr>
          <w:color w:val="000000"/>
          <w:szCs w:val="20"/>
          <w:u w:color="000000"/>
          <w:shd w:val="clear" w:color="auto" w:fill="FFFFFF"/>
        </w:rPr>
        <w:t xml:space="preserve">, zarządca części obszaru rezerwatu, wyraziło zgodę na utworzenie rezerwatu przyrody 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„</w:t>
      </w:r>
      <w:r>
        <w:rPr>
          <w:color w:val="000000"/>
          <w:szCs w:val="20"/>
          <w:shd w:val="clear" w:color="auto" w:fill="FFFFFF"/>
        </w:rPr>
        <w:t>Wąwóz Wyrwa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”</w:t>
      </w:r>
      <w:r>
        <w:rPr>
          <w:color w:val="000000"/>
          <w:szCs w:val="20"/>
          <w:shd w:val="clear" w:color="auto" w:fill="FFFFFF"/>
        </w:rPr>
        <w:t xml:space="preserve"> i zaopiniowało projekt rezerwatu</w:t>
      </w:r>
      <w:r>
        <w:rPr>
          <w:color w:val="000000"/>
          <w:szCs w:val="20"/>
          <w:shd w:val="clear" w:color="auto" w:fill="FFFFFF"/>
          <w:lang w:val="ar-SA" w:eastAsia="ar-SA" w:bidi="ar-SA"/>
        </w:rPr>
        <w:t xml:space="preserve"> </w:t>
      </w:r>
      <w:r>
        <w:rPr>
          <w:color w:val="000000"/>
          <w:szCs w:val="20"/>
          <w:shd w:val="clear" w:color="auto" w:fill="FFFFFF"/>
        </w:rPr>
        <w:t>pozytywnie pismem z dnia 15 kwietnia 2024 r., znak G.RZŚ.492.4.2024.SB.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u w:color="000000"/>
          <w:shd w:val="clear" w:color="auto" w:fill="FFFFFF"/>
        </w:rPr>
        <w:t xml:space="preserve">Wójt Gminy Drzycim wyraził zgodę na utworzenie rezerwatu przyrody 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„</w:t>
      </w:r>
      <w:r>
        <w:rPr>
          <w:color w:val="000000"/>
          <w:szCs w:val="20"/>
          <w:shd w:val="clear" w:color="auto" w:fill="FFFFFF"/>
        </w:rPr>
        <w:t>Wąwóz Wyrwa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”</w:t>
      </w:r>
      <w:r>
        <w:rPr>
          <w:color w:val="000000"/>
          <w:szCs w:val="20"/>
          <w:shd w:val="clear" w:color="auto" w:fill="FFFFFF"/>
        </w:rPr>
        <w:t xml:space="preserve"> i zaopiniował projekt rezerwatu</w:t>
      </w:r>
      <w:r>
        <w:rPr>
          <w:color w:val="000000"/>
          <w:szCs w:val="20"/>
          <w:shd w:val="clear" w:color="auto" w:fill="FFFFFF"/>
          <w:lang w:val="ar-SA" w:eastAsia="ar-SA" w:bidi="ar-SA"/>
        </w:rPr>
        <w:t xml:space="preserve"> </w:t>
      </w:r>
      <w:r>
        <w:rPr>
          <w:color w:val="000000"/>
          <w:szCs w:val="20"/>
          <w:shd w:val="clear" w:color="auto" w:fill="FFFFFF"/>
        </w:rPr>
        <w:t>pozytywnie pismem z dnia 28 marca 2024 r., znak RIRG.6120.1.2024.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u w:color="000000"/>
          <w:shd w:val="clear" w:color="auto" w:fill="FFFFFF"/>
        </w:rPr>
        <w:t xml:space="preserve">Burmistrz Świecia wyraził zgodę na utworzenie rezerwatu przyrody 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„</w:t>
      </w:r>
      <w:r>
        <w:rPr>
          <w:color w:val="000000"/>
          <w:szCs w:val="20"/>
          <w:shd w:val="clear" w:color="auto" w:fill="FFFFFF"/>
        </w:rPr>
        <w:t>Wąwóz Wyrwa</w:t>
      </w:r>
      <w:r>
        <w:rPr>
          <w:color w:val="000000"/>
          <w:szCs w:val="20"/>
          <w:shd w:val="clear" w:color="auto" w:fill="FFFFFF"/>
          <w:lang w:val="x-none" w:eastAsia="en-US" w:bidi="ar-SA"/>
        </w:rPr>
        <w:t>”</w:t>
      </w:r>
      <w:r>
        <w:rPr>
          <w:color w:val="000000"/>
          <w:szCs w:val="20"/>
          <w:shd w:val="clear" w:color="auto" w:fill="FFFFFF"/>
        </w:rPr>
        <w:t xml:space="preserve"> i zaopiniował projekt rezerwatu</w:t>
      </w:r>
      <w:r>
        <w:rPr>
          <w:color w:val="000000"/>
          <w:szCs w:val="20"/>
          <w:shd w:val="clear" w:color="auto" w:fill="FFFFFF"/>
          <w:lang w:val="ar-SA" w:eastAsia="ar-SA" w:bidi="ar-SA"/>
        </w:rPr>
        <w:t xml:space="preserve"> </w:t>
      </w:r>
      <w:r>
        <w:rPr>
          <w:color w:val="000000"/>
          <w:szCs w:val="20"/>
          <w:shd w:val="clear" w:color="auto" w:fill="FFFFFF"/>
        </w:rPr>
        <w:t>pozytywnie pismem z dnia 19 marca 2024 r., znak BAGiGG.030.40.2024.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shd w:val="clear" w:color="auto" w:fill="FFFFFF"/>
        </w:rPr>
        <w:t xml:space="preserve">Projekt zarządzenia został zaopiniowany pozytywnie przez Regionalną Radę Ochrony Przyrody w Bydgoszczy  uchwałą nr 29/2024, z dnia 9 grudnia 2024 r.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Cs w:val="20"/>
          <w:shd w:val="clear" w:color="auto" w:fill="FFFFFF"/>
        </w:rPr>
      </w:pPr>
      <w:r>
        <w:rPr>
          <w:color w:val="000000"/>
          <w:szCs w:val="20"/>
          <w:shd w:val="clear" w:color="auto" w:fill="FFFFFF"/>
          <w:lang w:val="en-US" w:eastAsia="en-US" w:bidi="en-US"/>
        </w:rPr>
        <w:t xml:space="preserve">Na podstawie art. 59 ust. 2 ustawy z dnia 23 stycznia 2009 r. o wojewodzie i administracji rządowej w województwie </w:t>
      </w:r>
      <w:r>
        <w:rPr>
          <w:color w:val="000000"/>
          <w:szCs w:val="20"/>
          <w:shd w:val="clear" w:color="auto" w:fill="FFFFFF"/>
        </w:rPr>
        <w:t>(</w:t>
      </w:r>
      <w:r>
        <w:rPr>
          <w:color w:val="000000"/>
          <w:szCs w:val="20"/>
          <w:shd w:val="clear" w:color="auto" w:fill="FFFFFF"/>
        </w:rPr>
        <w:t xml:space="preserve">t.j. </w:t>
      </w:r>
      <w:r>
        <w:rPr>
          <w:color w:val="000000"/>
          <w:szCs w:val="20"/>
          <w:shd w:val="clear" w:color="auto" w:fill="FFFFFF"/>
        </w:rPr>
        <w:t>Dz. U. z 2023 r. poz. 190)</w:t>
      </w:r>
      <w:r>
        <w:rPr>
          <w:color w:val="000000"/>
          <w:szCs w:val="20"/>
          <w:shd w:val="clear" w:color="auto" w:fill="FFFFFF"/>
          <w:lang w:val="en-US" w:eastAsia="en-US" w:bidi="en-US"/>
        </w:rPr>
        <w:t xml:space="preserve">, </w:t>
      </w:r>
      <w:r>
        <w:rPr>
          <w:color w:val="000000"/>
          <w:szCs w:val="20"/>
          <w:shd w:val="clear" w:color="auto" w:fill="FFFFFF"/>
        </w:rPr>
        <w:t xml:space="preserve">projekt zarządzenia </w:t>
      </w:r>
      <w:r>
        <w:rPr>
          <w:color w:val="000000"/>
          <w:szCs w:val="20"/>
          <w:shd w:val="clear" w:color="auto" w:fill="FFFFFF"/>
          <w:lang w:val="en-US" w:eastAsia="en-US" w:bidi="en-US"/>
        </w:rPr>
        <w:t xml:space="preserve">został uzgodniony przez Wojewodę Kujawsko-Pomorskiego </w:t>
      </w:r>
      <w:r>
        <w:rPr>
          <w:color w:val="000000"/>
          <w:szCs w:val="20"/>
          <w:shd w:val="clear" w:color="auto" w:fill="FFFFFF"/>
        </w:rPr>
        <w:t xml:space="preserve">pismem znak: WRS.II.710.4.2.2024, z dnia 12 grudnia 2024 r.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rPr>
          <w:color w:val="000000"/>
          <w:szCs w:val="20"/>
          <w:shd w:val="clear" w:color="auto" w:fill="FFFFFF"/>
          <w:lang w:val="x-none" w:eastAsia="en-US" w:bidi="ar-SA"/>
        </w:r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right"/>
        <w:rPr>
          <w:color w:val="000000"/>
          <w:szCs w:val="20"/>
          <w:shd w:val="clear" w:color="auto" w:fill="FFFFFF"/>
          <w:lang w:val="x-none" w:eastAsia="en-US" w:bidi="ar-SA"/>
        </w:rPr>
      </w:pPr>
      <w:r>
        <w:drawing>
          <wp:inline>
            <wp:extent cx="2639060" cy="1042035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39060" cy="1042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>
      <w:footerReference w:type="default" r:id="rId35"/>
      <w:type w:val="nextPage"/>
      <w:pgSz w:w="11907" w:h="16839" w:code="9"/>
      <w:pgMar w:top="1440" w:right="862" w:bottom="1440" w:left="144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D275E6E1-D057-409D-87D7-B56D53EDA173.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D275E6E1-D057-409D-87D7-B56D53EDA173.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D275E6E1-D057-409D-87D7-B56D53EDA173.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D275E6E1-D057-409D-87D7-B56D53EDA173.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403"/>
      <w:gridCol w:w="3202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403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D275E6E1-D057-409D-87D7-B56D53EDA173. Uchwalony</w:t>
          </w:r>
        </w:p>
      </w:tc>
      <w:tc>
        <w:tcPr>
          <w:tcW w:w="3202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>
      <w:pPr>
        <w:spacing w:after="0" w:line="240" w:lineRule="auto"/>
      </w:pPr>
      <w:r>
        <w:separator/>
      </w:r>
    </w:p>
  </w:footnote>
  <w:footnote w:type="continuationSeparator" w:id="1">
    <w:p>
      <w:pPr>
        <w:spacing w:after="0" w:line="240" w:lineRule="auto"/>
      </w:pPr>
      <w:r>
        <w:continuationSeparator/>
      </w:r>
    </w:p>
  </w:footnote>
  <w:footnote w:id="2">
    <w:p>
      <w:pPr>
        <w:pStyle w:val="FootnoteText"/>
        <w:keepNext w:val="0"/>
        <w:keepLines/>
        <w:spacing w:before="0" w:after="0" w:line="240" w:lineRule="auto"/>
        <w:ind w:left="170" w:right="0" w:hanging="170"/>
        <w:jc w:val="both"/>
        <w:rPr>
          <w:rFonts w:ascii="Times New Roman" w:eastAsia="Times New Roman" w:hAnsi="Times New Roman" w:cs="Times New Roman"/>
          <w:sz w:val="20"/>
        </w:rPr>
      </w:pPr>
      <w:r>
        <w:rPr>
          <w:rStyle w:val="FootnoteReference"/>
          <w:b w:val="0"/>
          <w:caps w:val="0"/>
        </w:rPr>
        <w:t>1) </w:t>
      </w:r>
      <w:r>
        <w:rPr>
          <w:rFonts w:ascii="Times New Roman" w:eastAsia="Times New Roman" w:hAnsi="Times New Roman" w:cs="Times New Roman"/>
          <w:b w:val="0"/>
          <w:caps w:val="0"/>
          <w:sz w:val="20"/>
        </w:rPr>
        <w:t>Układ współrzędnych płaskich prostokątnych PL-1992 jest jednym z układów tworzących państwowy system odniesień przestrzennych, o którym mowa w przepisach wydanych na podstawie art. 3 ust. 5 ustawy z dnia 17 maja 1989 r. – Prawo geodezyjne i kartograficzne (Dz. U. z 2024 r. poz. 1151 ze zm.).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stylePaneFormatFilter w:val="3F01"/>
  <w:defaultTabStop w:val="720"/>
  <w:noPunctuationKerning/>
  <w:characterSpacingControl w:val="doNotCompress"/>
  <w:footnotePr>
    <w:footnote w:id="0"/>
    <w:footnote w:id="1"/>
  </w:footnotePr>
  <w:endnotePr>
    <w:numFmt w:val="decimal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A77B3E"/>
    <w:rsid w:val="00CA2A55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jc w:val="both"/>
    </w:pPr>
    <w:rPr>
      <w:rFonts w:ascii="Times New Roman" w:eastAsia="Times New Roman" w:hAnsi="Times New Roman" w:cs="Times New Roman"/>
      <w:sz w:val="24"/>
      <w:szCs w:val="24"/>
      <w:lang w:val="pl-PL" w:eastAsia="pl-PL" w:bidi="pl-PL"/>
    </w:rPr>
  </w:style>
  <w:style w:type="character" w:default="1" w:styleId="DefaultParagraphFont">
    <w:name w:val="Default Paragraph Font"/>
    <w:semiHidden/>
    <w:rPr>
      <w:lang w:val="pl-PL" w:eastAsia="pl-PL" w:bidi="pl-PL"/>
    </w:rPr>
  </w:style>
  <w:style w:type="table" w:default="1" w:styleId="TableNormal">
    <w:name w:val="Normal Table"/>
    <w:semiHidden/>
    <w:rPr>
      <w:lang w:val="pl-PL" w:eastAsia="pl-PL" w:bidi="pl-PL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character" w:styleId="FootnoteReference">
    <w:name w:val="footnote reference"/>
    <w:basedOn w:val="DefaultParagraphFont"/>
    <w:rsid w:val="00805BCE"/>
    <w:rPr>
      <w:vertAlign w:val="superscript"/>
    </w:rPr>
  </w:style>
  <w:style w:type="paragraph" w:styleId="FootnoteText">
    <w:name w:val="footnote text"/>
    <w:basedOn w:val="Normal"/>
    <w:rsid w:val="00805BCE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footnotes" Target="footnotes.xml" /><Relationship Id="rId10" Type="http://schemas.openxmlformats.org/officeDocument/2006/relationships/image" Target="media/image3.png" /><Relationship Id="rId11" Type="http://schemas.openxmlformats.org/officeDocument/2006/relationships/image" Target="ZalacznikF3353A68-9171-49C2-81B4-D50CA1D7ADAC.jpg" TargetMode="External" /><Relationship Id="rId12" Type="http://schemas.openxmlformats.org/officeDocument/2006/relationships/image" Target="media/image4.png" /><Relationship Id="rId13" Type="http://schemas.openxmlformats.org/officeDocument/2006/relationships/image" Target="Zalacznik158CEAE8-4B85-40E8-800C-1273392D4296.jpg" TargetMode="External" /><Relationship Id="rId14" Type="http://schemas.openxmlformats.org/officeDocument/2006/relationships/image" Target="media/image5.png" /><Relationship Id="rId15" Type="http://schemas.openxmlformats.org/officeDocument/2006/relationships/image" Target="Zalacznik1F34466E-3DAF-4C6D-BBA6-2679BA96F826.jpg" TargetMode="External" /><Relationship Id="rId16" Type="http://schemas.openxmlformats.org/officeDocument/2006/relationships/image" Target="media/image6.png" /><Relationship Id="rId17" Type="http://schemas.openxmlformats.org/officeDocument/2006/relationships/image" Target="Zalacznik5B2FA0F0-156A-494B-ACBD-858660FBB449.jpg" TargetMode="External" /><Relationship Id="rId18" Type="http://schemas.openxmlformats.org/officeDocument/2006/relationships/image" Target="media/image7.png" /><Relationship Id="rId19" Type="http://schemas.openxmlformats.org/officeDocument/2006/relationships/image" Target="Zalacznik3DAC5418-802D-4D8F-89AA-80CF478222A9.jpg" TargetMode="External" /><Relationship Id="rId2" Type="http://schemas.openxmlformats.org/officeDocument/2006/relationships/settings" Target="settings.xml" /><Relationship Id="rId20" Type="http://schemas.openxmlformats.org/officeDocument/2006/relationships/image" Target="media/image8.png" /><Relationship Id="rId21" Type="http://schemas.openxmlformats.org/officeDocument/2006/relationships/image" Target="Zalacznik60EB257B-2E27-49E9-8A98-AE2EF9E4D97A.jpg" TargetMode="External" /><Relationship Id="rId22" Type="http://schemas.openxmlformats.org/officeDocument/2006/relationships/image" Target="media/image9.png" /><Relationship Id="rId23" Type="http://schemas.openxmlformats.org/officeDocument/2006/relationships/image" Target="ZalacznikF441FBF4-E3C5-48FE-953B-3F9C827117E4.jpg" TargetMode="External" /><Relationship Id="rId24" Type="http://schemas.openxmlformats.org/officeDocument/2006/relationships/image" Target="media/image10.png" /><Relationship Id="rId25" Type="http://schemas.openxmlformats.org/officeDocument/2006/relationships/image" Target="ZalacznikDD7BCCC8-DCC0-4A92-8A0B-2E33346E44B0.jpg" TargetMode="External" /><Relationship Id="rId26" Type="http://schemas.openxmlformats.org/officeDocument/2006/relationships/image" Target="media/image11.png" /><Relationship Id="rId27" Type="http://schemas.openxmlformats.org/officeDocument/2006/relationships/image" Target="Zalacznik31CFAB51-B737-4056-BDB5-82CA4BDB1CDC.jpg" TargetMode="External" /><Relationship Id="rId28" Type="http://schemas.openxmlformats.org/officeDocument/2006/relationships/image" Target="ZalacznikFAE501E0-D67D-4B9B-B9D3-3CAFAAC15399.jpg" TargetMode="External" /><Relationship Id="rId29" Type="http://schemas.openxmlformats.org/officeDocument/2006/relationships/footer" Target="footer2.xml" /><Relationship Id="rId3" Type="http://schemas.openxmlformats.org/officeDocument/2006/relationships/webSettings" Target="webSettings.xml" /><Relationship Id="rId30" Type="http://schemas.openxmlformats.org/officeDocument/2006/relationships/image" Target="Zalacznik7B304B19-71B7-49D2-A297-470D3092B239.jpg" TargetMode="External" /><Relationship Id="rId31" Type="http://schemas.openxmlformats.org/officeDocument/2006/relationships/footer" Target="footer3.xml" /><Relationship Id="rId32" Type="http://schemas.openxmlformats.org/officeDocument/2006/relationships/image" Target="ZalacznikE6917187-A528-4F85-A40D-651589745E55.jpg" TargetMode="External" /><Relationship Id="rId33" Type="http://schemas.openxmlformats.org/officeDocument/2006/relationships/footer" Target="footer4.xml" /><Relationship Id="rId34" Type="http://schemas.openxmlformats.org/officeDocument/2006/relationships/image" Target="media/image12.jpeg" /><Relationship Id="rId35" Type="http://schemas.openxmlformats.org/officeDocument/2006/relationships/footer" Target="footer5.xml" /><Relationship Id="rId36" Type="http://schemas.openxmlformats.org/officeDocument/2006/relationships/theme" Target="theme/theme1.xml" /><Relationship Id="rId37" Type="http://schemas.openxmlformats.org/officeDocument/2006/relationships/styles" Target="styles.xml" /><Relationship Id="rId4" Type="http://schemas.openxmlformats.org/officeDocument/2006/relationships/fontTable" Target="fontTable.xml" /><Relationship Id="rId5" Type="http://schemas.openxmlformats.org/officeDocument/2006/relationships/image" Target="media/image1.jpeg" /><Relationship Id="rId6" Type="http://schemas.openxmlformats.org/officeDocument/2006/relationships/image" Target="Zalacznik24301634-EEE7-4F12-8ADD-04B04462A804.jpg" TargetMode="External" /><Relationship Id="rId7" Type="http://schemas.openxmlformats.org/officeDocument/2006/relationships/footer" Target="footer1.xml" /><Relationship Id="rId8" Type="http://schemas.openxmlformats.org/officeDocument/2006/relationships/image" Target="media/image2.png" /><Relationship Id="rId9" Type="http://schemas.openxmlformats.org/officeDocument/2006/relationships/image" Target="Zalacznik4F3706DA-DD4A-4E6A-BCE7-CDBC8B4F38D9.jpg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/>
      </a:dk1>
      <a:lt1>
        <a:sysClr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Regionalny Dyrektor Ochrony Środowiska w Bydgoszczy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z dnia 20 grudnia 2024 r.</dc:title>
  <dc:subject>w^sprawie uznania za rezerwat przyrody „Wąwóz Wyrwa”</dc:subject>
  <dc:creator>kleszczynska</dc:creator>
  <cp:lastModifiedBy>kleszczynska</cp:lastModifiedBy>
  <cp:revision>1</cp:revision>
  <dcterms:created xsi:type="dcterms:W3CDTF">2024-12-23T13:02:46Z</dcterms:created>
  <dcterms:modified xsi:type="dcterms:W3CDTF">2024-12-23T13:02:46Z</dcterms:modified>
  <cp:category>Akt prawny</cp:category>
</cp:coreProperties>
</file>