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left"/>
      </w:pPr>
      <w:bookmarkStart w:id="0" w:name="bookmark0"/>
      <w:r>
        <w:rPr>
          <w:rStyle w:val="CharStyle3"/>
        </w:rPr>
        <w:t>Ministerstwo</w:t>
      </w:r>
      <w:bookmarkEnd w:id="0"/>
    </w:p>
    <w:p>
      <w:pPr>
        <w:pStyle w:val="Style2"/>
        <w:keepNext/>
        <w:keepLines/>
        <w:widowControl w:val="0"/>
        <w:shd w:val="clear" w:color="auto" w:fill="auto"/>
        <w:bidi w:val="0"/>
        <w:spacing w:before="0" w:after="500" w:line="214" w:lineRule="auto"/>
        <w:ind w:left="0" w:right="0" w:firstLine="0"/>
        <w:jc w:val="left"/>
      </w:pPr>
      <w:r>
        <w:rPr>
          <w:rStyle w:val="CharStyle3"/>
        </w:rPr>
        <w:t>Klimatu i Środowiska</w:t>
      </w:r>
    </w:p>
    <w:p>
      <w:pPr>
        <w:pStyle w:val="Style4"/>
        <w:keepNext w:val="0"/>
        <w:keepLines w:val="0"/>
        <w:widowControl w:val="0"/>
        <w:shd w:val="clear" w:color="auto" w:fill="auto"/>
        <w:bidi w:val="0"/>
        <w:spacing w:before="0" w:after="700" w:line="240" w:lineRule="auto"/>
        <w:ind w:left="0" w:right="0" w:firstLine="0"/>
        <w:jc w:val="left"/>
      </w:pPr>
      <w:r>
        <w:rPr>
          <w:rStyle w:val="CharStyle5"/>
        </w:rPr>
        <w:t>Departament Odnawialnych Źródeł Energii</w:t>
      </w:r>
    </w:p>
    <w:p>
      <w:pPr>
        <w:pStyle w:val="Style4"/>
        <w:keepNext w:val="0"/>
        <w:keepLines w:val="0"/>
        <w:widowControl w:val="0"/>
        <w:shd w:val="clear" w:color="auto" w:fill="auto"/>
        <w:bidi w:val="0"/>
        <w:spacing w:before="0" w:after="0" w:line="240" w:lineRule="auto"/>
        <w:ind w:left="0" w:right="0" w:firstLine="0"/>
        <w:jc w:val="left"/>
      </w:pPr>
      <w:r>
        <w:rPr>
          <w:rStyle w:val="CharStyle5"/>
        </w:rPr>
        <w:t>DOZE-I.053.1.2025.MG</w:t>
      </w:r>
    </w:p>
    <w:p>
      <w:pPr>
        <w:pStyle w:val="Style4"/>
        <w:keepNext w:val="0"/>
        <w:keepLines w:val="0"/>
        <w:widowControl w:val="0"/>
        <w:shd w:val="clear" w:color="auto" w:fill="auto"/>
        <w:bidi w:val="0"/>
        <w:spacing w:before="0" w:after="0" w:line="240" w:lineRule="auto"/>
        <w:ind w:left="0" w:right="0" w:firstLine="0"/>
        <w:jc w:val="left"/>
        <w:rPr>
          <w:sz w:val="18"/>
          <w:szCs w:val="18"/>
        </w:rPr>
      </w:pPr>
      <w:r>
        <w:rPr>
          <w:rStyle w:val="CharStyle5"/>
          <w:sz w:val="18"/>
          <w:szCs w:val="18"/>
        </w:rPr>
        <w:t>3596732.14347250.11591940</w:t>
      </w:r>
    </w:p>
    <w:p>
      <w:pPr>
        <w:pStyle w:val="Style4"/>
        <w:keepNext w:val="0"/>
        <w:keepLines w:val="0"/>
        <w:widowControl w:val="0"/>
        <w:shd w:val="clear" w:color="auto" w:fill="auto"/>
        <w:bidi w:val="0"/>
        <w:spacing w:before="0" w:after="460" w:line="240" w:lineRule="auto"/>
        <w:ind w:left="0" w:right="0" w:firstLine="0"/>
        <w:jc w:val="left"/>
      </w:pPr>
      <w:r>
        <w:rPr>
          <w:rStyle w:val="CharStyle5"/>
        </w:rPr>
        <w:t>Warszawa, 12-02-2025</w:t>
      </w:r>
    </w:p>
    <w:p>
      <w:pPr>
        <w:pStyle w:val="Style4"/>
        <w:keepNext w:val="0"/>
        <w:keepLines w:val="0"/>
        <w:widowControl w:val="0"/>
        <w:shd w:val="clear" w:color="auto" w:fill="auto"/>
        <w:bidi w:val="0"/>
        <w:spacing w:before="0" w:after="700" w:line="240" w:lineRule="auto"/>
        <w:ind w:left="0" w:right="0" w:firstLine="0"/>
        <w:jc w:val="left"/>
      </w:pPr>
      <w:r>
        <w:rPr>
          <w:rStyle w:val="CharStyle5"/>
          <w:b/>
          <w:bCs/>
        </w:rPr>
        <w:t>Pan</w:t>
      </w:r>
    </w:p>
    <w:p>
      <w:pPr>
        <w:pStyle w:val="Style8"/>
        <w:keepNext/>
        <w:keepLines/>
        <w:widowControl w:val="0"/>
        <w:shd w:val="clear" w:color="auto" w:fill="auto"/>
        <w:bidi w:val="0"/>
        <w:spacing w:before="0" w:after="1180" w:line="240" w:lineRule="auto"/>
        <w:ind w:left="0" w:right="0" w:firstLine="0"/>
        <w:jc w:val="left"/>
      </w:pPr>
      <w:bookmarkStart w:id="3" w:name="bookmark3"/>
      <w:r>
        <w:rPr>
          <w:rStyle w:val="CharStyle9"/>
          <w:b/>
          <w:bCs/>
        </w:rPr>
        <w:t>Pan</w:t>
      </w:r>
      <w:bookmarkEnd w:id="3"/>
    </w:p>
    <w:p>
      <w:pPr>
        <w:pStyle w:val="Style4"/>
        <w:keepNext w:val="0"/>
        <w:keepLines w:val="0"/>
        <w:widowControl w:val="0"/>
        <w:shd w:val="clear" w:color="auto" w:fill="auto"/>
        <w:bidi w:val="0"/>
        <w:spacing w:before="0" w:after="120" w:line="271" w:lineRule="auto"/>
        <w:ind w:left="0" w:right="0" w:firstLine="0"/>
        <w:jc w:val="left"/>
        <w:rPr>
          <w:sz w:val="20"/>
          <w:szCs w:val="20"/>
        </w:rPr>
      </w:pPr>
      <w:r>
        <w:rPr>
          <w:rStyle w:val="CharStyle5"/>
          <w:i/>
          <w:iCs/>
          <w:sz w:val="20"/>
          <w:szCs w:val="20"/>
        </w:rPr>
        <w:t>Szanowny Panie Przewodniczący,</w:t>
      </w:r>
    </w:p>
    <w:p>
      <w:pPr>
        <w:pStyle w:val="Style4"/>
        <w:keepNext w:val="0"/>
        <w:keepLines w:val="0"/>
        <w:widowControl w:val="0"/>
        <w:shd w:val="clear" w:color="auto" w:fill="auto"/>
        <w:bidi w:val="0"/>
        <w:spacing w:before="0" w:after="120" w:line="271" w:lineRule="auto"/>
        <w:ind w:left="0" w:right="0" w:firstLine="0"/>
        <w:jc w:val="left"/>
        <w:rPr>
          <w:sz w:val="20"/>
          <w:szCs w:val="20"/>
        </w:rPr>
      </w:pPr>
      <w:r>
        <w:rPr>
          <w:rStyle w:val="CharStyle5"/>
          <w:i/>
          <w:iCs/>
          <w:sz w:val="20"/>
          <w:szCs w:val="20"/>
        </w:rPr>
        <w:t>Szanowny Panie Prezesie,</w:t>
      </w:r>
    </w:p>
    <w:p>
      <w:pPr>
        <w:pStyle w:val="Style4"/>
        <w:keepNext w:val="0"/>
        <w:keepLines w:val="0"/>
        <w:widowControl w:val="0"/>
        <w:shd w:val="clear" w:color="auto" w:fill="auto"/>
        <w:bidi w:val="0"/>
        <w:spacing w:before="0" w:after="120" w:line="264" w:lineRule="auto"/>
        <w:ind w:left="0" w:right="0" w:firstLine="0"/>
        <w:jc w:val="both"/>
      </w:pPr>
      <w:r>
        <w:rPr>
          <w:rStyle w:val="CharStyle5"/>
        </w:rPr>
        <w:t>w odpowiedzi na pismo nr SP/63/2024/MW z dnia 23 grudnia 2024 roku, zawierające apel o pilne dokonanie zmian w aktach prawnych regulujących powstawanie i funkcjonowanie spółdzielni energetycznych, skierowane przez Kancelarię Sejmu do Ministerstwa Klimatu i Środowiska, przekazuję poniższe stanowisko w odniesieniu do postulatów w nim zawartych.</w:t>
      </w:r>
    </w:p>
    <w:p>
      <w:pPr>
        <w:pStyle w:val="Style8"/>
        <w:keepNext/>
        <w:keepLines/>
        <w:widowControl w:val="0"/>
        <w:numPr>
          <w:ilvl w:val="0"/>
          <w:numId w:val="1"/>
        </w:numPr>
        <w:shd w:val="clear" w:color="auto" w:fill="auto"/>
        <w:tabs>
          <w:tab w:pos="745" w:val="left"/>
        </w:tabs>
        <w:bidi w:val="0"/>
        <w:spacing w:before="0" w:after="120" w:line="286" w:lineRule="auto"/>
        <w:ind w:left="0" w:right="0" w:firstLine="380"/>
        <w:jc w:val="both"/>
      </w:pPr>
      <w:bookmarkStart w:id="5" w:name="bookmark5"/>
      <w:r>
        <w:rPr>
          <w:rStyle w:val="CharStyle9"/>
          <w:b/>
          <w:bCs/>
        </w:rPr>
        <w:t>Umożliwienie powstawania spółdzielni energetycznych na terenach miejskich</w:t>
      </w:r>
      <w:bookmarkEnd w:id="5"/>
    </w:p>
    <w:p>
      <w:pPr>
        <w:pStyle w:val="Style4"/>
        <w:keepNext w:val="0"/>
        <w:keepLines w:val="0"/>
        <w:widowControl w:val="0"/>
        <w:shd w:val="clear" w:color="auto" w:fill="auto"/>
        <w:bidi w:val="0"/>
        <w:spacing w:before="0" w:after="120"/>
        <w:ind w:left="0" w:right="0" w:firstLine="0"/>
        <w:jc w:val="both"/>
      </w:pPr>
      <w:r>
        <w:rPr>
          <w:rStyle w:val="CharStyle5"/>
        </w:rPr>
        <w:t>Ministerstwo Klimatu i Środowiska, mając na uwadze postulaty dotyczące rozszerzenia obszaru działania spółdzielni energetycznych na obszary gmin miejskich, w ramach prac nad projektem ustawy o zmianie ustawy o inwestycjach w zakresie elektrowni wiatrowych oraz niektórych innych ustaw (UD89), zaproponowało stosowną zmianę w art. 38e ustęp 1 pkt 1 ustawy OZE.</w:t>
      </w:r>
    </w:p>
    <w:p>
      <w:pPr>
        <w:pStyle w:val="Style4"/>
        <w:keepNext w:val="0"/>
        <w:keepLines w:val="0"/>
        <w:widowControl w:val="0"/>
        <w:shd w:val="clear" w:color="auto" w:fill="auto"/>
        <w:bidi w:val="0"/>
        <w:spacing w:before="0" w:after="120"/>
        <w:ind w:left="0" w:right="0" w:firstLine="0"/>
        <w:jc w:val="both"/>
      </w:pPr>
      <w:r>
        <w:rPr>
          <w:rStyle w:val="CharStyle5"/>
        </w:rPr>
        <w:t>W toku prac legislacyjnych nad projektem ustawy, ta inicjatywa ustawodawcza Ministerstwa Klimatu i Środowiska otrzymała negatywną opinię ze strony Ministerstwa Rolnictwa i Rozwoju Wsi.</w:t>
      </w:r>
    </w:p>
    <w:p>
      <w:pPr>
        <w:pStyle w:val="Style4"/>
        <w:keepNext w:val="0"/>
        <w:keepLines w:val="0"/>
        <w:widowControl w:val="0"/>
        <w:shd w:val="clear" w:color="auto" w:fill="auto"/>
        <w:bidi w:val="0"/>
        <w:spacing w:before="0" w:after="120"/>
        <w:ind w:left="0" w:right="0" w:firstLine="0"/>
        <w:jc w:val="both"/>
      </w:pPr>
      <w:r>
        <w:rPr>
          <w:rStyle w:val="CharStyle5"/>
        </w:rPr>
        <w:t>Propozycja przepisów dotyczących rozszerzenia obszaru działania spółdzielni energetycznych na obszary gmin miejskich została zawarta w projekcie ustawy o zmianie ustawy o promowaniu wytwarzania energii elektrycznej w morskich farmach wiatrowych oraz niektórych innych ustaw (nr UD162 w wykazie prac legislacyjnych i programowych Rady Ministrów), którego konsultacje obecnie trwają.</w:t>
      </w:r>
    </w:p>
    <w:p>
      <w:pPr>
        <w:pStyle w:val="Style4"/>
        <w:keepNext w:val="0"/>
        <w:keepLines w:val="0"/>
        <w:widowControl w:val="0"/>
        <w:shd w:val="clear" w:color="auto" w:fill="auto"/>
        <w:bidi w:val="0"/>
        <w:spacing w:before="0" w:after="1380"/>
        <w:ind w:left="0" w:right="0" w:firstLine="0"/>
        <w:jc w:val="both"/>
      </w:pPr>
      <w:r>
        <w:rPr>
          <w:rStyle w:val="CharStyle5"/>
        </w:rPr>
        <w:t xml:space="preserve">Szczegółowe informacje o możliwości udziału w konsultacjach znajdują się pod adresem: </w:t>
      </w:r>
      <w:r>
        <w:fldChar w:fldCharType="begin"/>
      </w:r>
      <w:r>
        <w:rPr/>
        <w:instrText> HYPERLINK "https://legislacja.rcl.gov.pl/projekt/12394351/" </w:instrText>
      </w:r>
      <w:r>
        <w:fldChar w:fldCharType="separate"/>
      </w:r>
      <w:r>
        <w:rPr>
          <w:rStyle w:val="CharStyle5"/>
          <w:color w:val="0563C1"/>
          <w:u w:val="single"/>
        </w:rPr>
        <w:t>https://legislacja.rcl.gov.pl/projekt/12394351/</w:t>
      </w:r>
      <w:r>
        <w:fldChar w:fldCharType="end"/>
      </w:r>
      <w:r>
        <w:rPr>
          <w:rStyle w:val="CharStyle5"/>
        </w:rPr>
        <w:t>.</w:t>
      </w:r>
    </w:p>
    <w:p>
      <w:pPr>
        <w:pStyle w:val="Style12"/>
        <w:keepNext w:val="0"/>
        <w:keepLines w:val="0"/>
        <w:widowControl w:val="0"/>
        <w:shd w:val="clear" w:color="auto" w:fill="auto"/>
        <w:bidi w:val="0"/>
        <w:spacing w:before="0" w:after="0" w:line="240" w:lineRule="auto"/>
        <w:ind w:left="0" w:right="0" w:firstLine="0"/>
        <w:jc w:val="both"/>
      </w:pPr>
      <w:r>
        <w:rPr>
          <w:rStyle w:val="CharStyle13"/>
        </w:rPr>
        <w:t xml:space="preserve">Telefon: (+48) 223-691-035 ul. Wawelska 52/54, 00-922 Warszawa </w:t>
      </w:r>
      <w:r>
        <w:fldChar w:fldCharType="begin"/>
      </w:r>
      <w:r>
        <w:rPr/>
        <w:instrText> HYPERLINK "mailto:departament.odnawialnych.zrodel.energii@klimat.gov.pl" </w:instrText>
      </w:r>
      <w:r>
        <w:fldChar w:fldCharType="separate"/>
      </w:r>
      <w:r>
        <w:rPr>
          <w:rStyle w:val="CharStyle13"/>
        </w:rPr>
        <w:t>departament.odnawialnych.zrodel.energii@klimat.gov.pl</w:t>
      </w:r>
      <w:r>
        <w:fldChar w:fldCharType="end"/>
      </w:r>
      <w:r>
        <w:rPr>
          <w:rStyle w:val="CharStyle13"/>
        </w:rPr>
        <w:t xml:space="preserve"> Ministerstwo Klimatu i Środowiska </w:t>
      </w:r>
      <w:r>
        <w:fldChar w:fldCharType="begin"/>
      </w:r>
      <w:r>
        <w:rPr/>
        <w:instrText> HYPERLINK "http://www.gov.pl/klimat" </w:instrText>
      </w:r>
      <w:r>
        <w:fldChar w:fldCharType="separate"/>
      </w:r>
      <w:r>
        <w:rPr>
          <w:rStyle w:val="CharStyle13"/>
        </w:rPr>
        <w:t>www.gov.pl/klimat</w:t>
      </w:r>
      <w:r>
        <w:fldChar w:fldCharType="end"/>
      </w:r>
    </w:p>
    <w:p>
      <w:pPr>
        <w:pStyle w:val="Style14"/>
        <w:keepNext w:val="0"/>
        <w:keepLines w:val="0"/>
        <w:widowControl w:val="0"/>
        <w:shd w:val="clear" w:color="auto" w:fill="auto"/>
        <w:bidi w:val="0"/>
        <w:spacing w:before="0" w:line="240" w:lineRule="auto"/>
        <w:ind w:left="0" w:right="0" w:firstLine="0"/>
        <w:jc w:val="center"/>
      </w:pPr>
      <w:r>
        <w:rPr>
          <w:rStyle w:val="CharStyle15"/>
        </w:rPr>
        <w:t>Działamy zgodnie z EMAS - zarządzając instytucją, dbamy o środowisko</w:t>
      </w:r>
    </w:p>
    <w:p>
      <w:pPr>
        <w:pStyle w:val="Style8"/>
        <w:keepNext/>
        <w:keepLines/>
        <w:widowControl w:val="0"/>
        <w:numPr>
          <w:ilvl w:val="0"/>
          <w:numId w:val="1"/>
        </w:numPr>
        <w:shd w:val="clear" w:color="auto" w:fill="auto"/>
        <w:tabs>
          <w:tab w:pos="745" w:val="left"/>
        </w:tabs>
        <w:bidi w:val="0"/>
        <w:spacing w:before="0"/>
        <w:ind w:left="740" w:right="0" w:hanging="360"/>
        <w:jc w:val="both"/>
      </w:pPr>
      <w:bookmarkStart w:id="7" w:name="bookmark7"/>
      <w:r>
        <w:rPr>
          <w:rStyle w:val="CharStyle9"/>
          <w:b/>
          <w:bCs/>
        </w:rPr>
        <w:t>Usunięcie kryterium związanego z pokryciem w ciągu roku nie mniej niż 70% potrzeb własnych spółdzielni energetycznej i jej członków</w:t>
      </w:r>
      <w:bookmarkEnd w:id="7"/>
    </w:p>
    <w:p>
      <w:pPr>
        <w:pStyle w:val="Style4"/>
        <w:keepNext w:val="0"/>
        <w:keepLines w:val="0"/>
        <w:widowControl w:val="0"/>
        <w:shd w:val="clear" w:color="auto" w:fill="auto"/>
        <w:bidi w:val="0"/>
        <w:spacing w:before="0" w:line="264" w:lineRule="auto"/>
        <w:ind w:left="0" w:right="0" w:firstLine="0"/>
        <w:jc w:val="both"/>
      </w:pPr>
      <w:r>
        <w:rPr>
          <w:rStyle w:val="CharStyle5"/>
        </w:rPr>
        <w:t xml:space="preserve">Oceniając zasadność tego postulatu należy wziąć pod uwagę, że przedmiotem działalności spółdzielni energetycznej jest wytwarzanie energii elektrycznej i równoważenie zapotrzebowania energii elektrycznej </w:t>
      </w:r>
      <w:r>
        <w:rPr>
          <w:rStyle w:val="CharStyle5"/>
          <w:b/>
          <w:bCs/>
        </w:rPr>
        <w:t xml:space="preserve">na potrzeby własne spółdzielni energetycznej i jej członków. </w:t>
      </w:r>
      <w:r>
        <w:rPr>
          <w:rStyle w:val="CharStyle5"/>
        </w:rPr>
        <w:t>Mając powyższe na uwadze ustawodawca założył, że korzystanie z preferencyjnego systemu wsparcia będzie możliwe w przypadku, gdy energia elektryczna produkowana w ramach spółdzielni zapewni pokrycie w ciągu roku nie mniej niż 70% potrzeb własnych spółdzielni energetycznej oraz jej członków. Należy zaznaczyć, że nadwyżki energii elektrycznej produkowanej przez spółdzielnię energetyczną są wprowadzane do sieci elektroenergetycznej, która stanowi „wirtualny magazyn”. Źle dobrana moc instalacji do potrzeb spółdzielni energetycznej i jej członków będzie skutkowała wprowadzaniem do sieci elektroenergetycznej dużych nadwyżek energii, podczas gdy celem tej współpracy powinno być dążenie do jak najwyższej autokonsumpcji energii wytwarzanej lokalnie na małym obszarze.</w:t>
      </w:r>
    </w:p>
    <w:p>
      <w:pPr>
        <w:pStyle w:val="Style4"/>
        <w:keepNext w:val="0"/>
        <w:keepLines w:val="0"/>
        <w:widowControl w:val="0"/>
        <w:shd w:val="clear" w:color="auto" w:fill="auto"/>
        <w:bidi w:val="0"/>
        <w:spacing w:before="0"/>
        <w:ind w:left="0" w:right="0" w:firstLine="0"/>
        <w:jc w:val="both"/>
      </w:pPr>
      <w:r>
        <w:rPr>
          <w:rStyle w:val="CharStyle5"/>
        </w:rPr>
        <w:t>Mając jednak na względzie postulaty dotyczące złagodzenia tego warunku, w ustawie z dnia 17 sierpnia 2023 r. o zmianie ustawy o odnawialnych źródłach energii oraz niektórych innych ustaw (Dz.U. 2023 poz. 1762) wprowadzono rozwiązanie mające służyć zachęceniu społeczności lokalnych do tworzenia spółdzielni energetycznych, polegające na czasowym obniżeniu tego progu do 40%. Ewentualne dalsze zmiany w tym zakresie powinny być poprzedzone analizami uzasadniającymi takie rozwiązania.</w:t>
      </w:r>
    </w:p>
    <w:p>
      <w:pPr>
        <w:pStyle w:val="Style4"/>
        <w:keepNext w:val="0"/>
        <w:keepLines w:val="0"/>
        <w:widowControl w:val="0"/>
        <w:numPr>
          <w:ilvl w:val="0"/>
          <w:numId w:val="1"/>
        </w:numPr>
        <w:shd w:val="clear" w:color="auto" w:fill="auto"/>
        <w:tabs>
          <w:tab w:pos="745" w:val="left"/>
        </w:tabs>
        <w:bidi w:val="0"/>
        <w:spacing w:before="0" w:line="264" w:lineRule="auto"/>
        <w:ind w:left="740" w:right="0" w:hanging="360"/>
        <w:jc w:val="both"/>
      </w:pPr>
      <w:r>
        <w:rPr>
          <w:rStyle w:val="CharStyle5"/>
          <w:b/>
          <w:bCs/>
        </w:rPr>
        <w:t>Zniesienie ograniczeń lokalizacyjnych do obszaru 3 gmin w celu umożliwienia prowadzenia działalności spółdzielni energetycznych na większym obszarze, to znaczy przynajmniej obszarze funkcjonowania danego Operatora Systemu Dystrybucji.</w:t>
      </w:r>
    </w:p>
    <w:p>
      <w:pPr>
        <w:pStyle w:val="Style4"/>
        <w:keepNext w:val="0"/>
        <w:keepLines w:val="0"/>
        <w:widowControl w:val="0"/>
        <w:shd w:val="clear" w:color="auto" w:fill="auto"/>
        <w:bidi w:val="0"/>
        <w:spacing w:before="0" w:line="302" w:lineRule="auto"/>
        <w:ind w:left="0" w:right="0" w:firstLine="0"/>
        <w:jc w:val="both"/>
      </w:pPr>
      <w:r>
        <w:rPr>
          <w:rStyle w:val="CharStyle5"/>
        </w:rPr>
        <w:t>Uprzejmie wyjaśniam, że ograniczenie możliwości działania spółdzielni do obszaru trzech gmin wynika z roli jaką ustawodawca przewidział dla spółdzielni energetycznych w rozwoju energetyki lokalnej.</w:t>
      </w:r>
    </w:p>
    <w:p>
      <w:pPr>
        <w:pStyle w:val="Style4"/>
        <w:keepNext w:val="0"/>
        <w:keepLines w:val="0"/>
        <w:widowControl w:val="0"/>
        <w:shd w:val="clear" w:color="auto" w:fill="auto"/>
        <w:bidi w:val="0"/>
        <w:spacing w:before="0" w:line="302" w:lineRule="auto"/>
        <w:ind w:left="0" w:right="0" w:firstLine="0"/>
        <w:jc w:val="both"/>
      </w:pPr>
      <w:r>
        <w:rPr>
          <w:rStyle w:val="CharStyle5"/>
        </w:rPr>
        <w:t>Ideą spółdzielni energetycznych jest zapewnienie korzyści jej członkom, w tym energii tańszej niż na rynku poprzez wykorzystanie lokalnie dostępnych zasobów energetycznych. W wyniku współpracy prowadzonej w ramach spółdzielni energetycznej zwiększa się bezpieczeństwo energetyczne jej członków, gdyż energia zużywana i bilansowana jest lokalnie, na małym obszarze. Współpraca członków polegająca na wspólnym użytkowaniu instalacji OZE, w przypadku energii elektrycznej pozwala na znaczące obniżenie ich dotychczasowych rachunków za energię. Dzieje się tak, z uwagi na szereg bonifikat przewidzianych w ustawie z dnia 20 lutego 2015 roku o odnawialnych źródłach energii (Dz.U. z 2024 r. poz. 1361 z późn. zm.), którymi objęte jest korzystanie z energii elektrycznej wytworzonej w ramach spółdzielni. Bonifikaty te dotyczą zarówno opłat zmiennych za usługę dystrybucyjną jak i zwolnienia z obowiązku przedstawiania do umorzenia prezesowi URE, świadectw pochodzenia. Bardzo istotnym elementem wsparcia funkcjonowania spółdzielni energetycznych, jest system opustów. System ten pozwala na magazynowanie nadmiaru energii elektrycznej wyprodukowanej we własnych źródłach OZE w sieci energetycznej i odbieranie jej w okresie 12 miesięcy od momentu wprowadzenia do sieci. W przypadku wystąpienia w danej godzinie nadwyżki produkcji</w:t>
      </w:r>
    </w:p>
    <w:p>
      <w:pPr>
        <w:pStyle w:val="Style4"/>
        <w:keepNext w:val="0"/>
        <w:keepLines w:val="0"/>
        <w:widowControl w:val="0"/>
        <w:shd w:val="clear" w:color="auto" w:fill="auto"/>
        <w:bidi w:val="0"/>
        <w:spacing w:before="0" w:after="120" w:line="302" w:lineRule="auto"/>
        <w:ind w:left="0" w:right="0" w:firstLine="0"/>
        <w:jc w:val="both"/>
      </w:pPr>
      <w:r>
        <w:rPr>
          <w:rStyle w:val="CharStyle5"/>
        </w:rPr>
        <w:t>energii nad jej zużyciem, jest ona rozliczana ze sprzedawcą energii w stosunku ilościowym 1 do 0,6. Oznacza to, że w ramach nadwyżki za każdą jednostkę energii wprowadzonej do sieci, spółdzielnia energetyczna odbiera z powrotem 0,6 jednostki.</w:t>
      </w:r>
    </w:p>
    <w:p>
      <w:pPr>
        <w:pStyle w:val="Style4"/>
        <w:keepNext w:val="0"/>
        <w:keepLines w:val="0"/>
        <w:widowControl w:val="0"/>
        <w:shd w:val="clear" w:color="auto" w:fill="auto"/>
        <w:bidi w:val="0"/>
        <w:spacing w:before="0" w:after="120" w:line="302" w:lineRule="auto"/>
        <w:ind w:left="0" w:right="0" w:firstLine="0"/>
        <w:jc w:val="both"/>
      </w:pPr>
      <w:r>
        <w:rPr>
          <w:rStyle w:val="CharStyle5"/>
        </w:rPr>
        <w:t xml:space="preserve">Jak wynika z powyższego opisu </w:t>
      </w:r>
      <w:r>
        <w:rPr>
          <w:rStyle w:val="CharStyle5"/>
          <w:b/>
          <w:bCs/>
        </w:rPr>
        <w:t>spółdzielnie energetyczne korzystają z preferencyjnego systemu wsparcia</w:t>
      </w:r>
      <w:r>
        <w:rPr>
          <w:rStyle w:val="CharStyle5"/>
        </w:rPr>
        <w:t xml:space="preserve">, którego celem jest stymulowanie współpracy na poziomie gmin, </w:t>
      </w:r>
      <w:r>
        <w:rPr>
          <w:rStyle w:val="CharStyle5"/>
          <w:b/>
          <w:bCs/>
        </w:rPr>
        <w:t xml:space="preserve">na lokalnych obszarach, gdzie stała dostępność taniej energii jest szczególnie ważna ze względu na często trudne uwarunkowania społeczno-gospodarcze. </w:t>
      </w:r>
      <w:r>
        <w:rPr>
          <w:rStyle w:val="CharStyle5"/>
        </w:rPr>
        <w:t>Mając na uwadze powyższe uwarunkowania ten postulat nie może zostać uwzględniony.</w:t>
      </w:r>
    </w:p>
    <w:p>
      <w:pPr>
        <w:pStyle w:val="Style4"/>
        <w:keepNext w:val="0"/>
        <w:keepLines w:val="0"/>
        <w:widowControl w:val="0"/>
        <w:shd w:val="clear" w:color="auto" w:fill="auto"/>
        <w:bidi w:val="0"/>
        <w:spacing w:before="0" w:after="560" w:line="302" w:lineRule="auto"/>
        <w:ind w:left="0" w:right="0" w:firstLine="0"/>
        <w:jc w:val="both"/>
      </w:pPr>
      <w:r>
        <w:rPr>
          <w:rStyle w:val="CharStyle5"/>
        </w:rPr>
        <w:t>Chcę także podkreślić, że Ministerstwo Klimatu i Środowiska stale monitoruje funkcjonowanie spółdzielni energetycznych i tworzy korzystne ramy prawne do ich dynamicznego rozwoju, a niezbędne zmiany w regulacjach prawnych będą dokonywane wraz z rozwojem tego rynku.</w:t>
      </w:r>
    </w:p>
    <w:p>
      <w:pPr>
        <w:pStyle w:val="Style4"/>
        <w:keepNext w:val="0"/>
        <w:keepLines w:val="0"/>
        <w:widowControl w:val="0"/>
        <w:shd w:val="clear" w:color="auto" w:fill="auto"/>
        <w:bidi w:val="0"/>
        <w:spacing w:before="0" w:after="600" w:line="302" w:lineRule="auto"/>
        <w:ind w:left="0" w:right="0" w:firstLine="0"/>
        <w:jc w:val="both"/>
      </w:pPr>
      <w:r>
        <w:rPr>
          <w:rStyle w:val="CharStyle5"/>
        </w:rPr>
        <w:t>Z wyrazami szacunku</w:t>
      </w:r>
    </w:p>
    <w:p>
      <w:pPr>
        <w:pStyle w:val="Style4"/>
        <w:keepNext w:val="0"/>
        <w:keepLines w:val="0"/>
        <w:widowControl w:val="0"/>
        <w:shd w:val="clear" w:color="auto" w:fill="auto"/>
        <w:bidi w:val="0"/>
        <w:spacing w:before="0" w:after="0" w:line="240" w:lineRule="auto"/>
        <w:ind w:left="0" w:right="0" w:firstLine="0"/>
        <w:jc w:val="both"/>
      </w:pPr>
      <w:r>
        <w:rPr>
          <w:rStyle w:val="CharStyle5"/>
        </w:rPr>
        <w:t>Departament Odnawialnych Źródeł Energii</w:t>
      </w:r>
    </w:p>
    <w:p>
      <w:pPr>
        <w:pStyle w:val="Style4"/>
        <w:keepNext w:val="0"/>
        <w:keepLines w:val="0"/>
        <w:widowControl w:val="0"/>
        <w:shd w:val="clear" w:color="auto" w:fill="auto"/>
        <w:bidi w:val="0"/>
        <w:spacing w:before="0" w:after="0" w:line="240" w:lineRule="auto"/>
        <w:ind w:left="0" w:right="0" w:firstLine="0"/>
        <w:jc w:val="both"/>
      </w:pPr>
      <w:r>
        <w:rPr>
          <w:rStyle w:val="CharStyle5"/>
        </w:rPr>
        <w:t>Ministerstwo Klimatu i Środowiska</w:t>
      </w:r>
    </w:p>
    <w:p>
      <w:pPr>
        <w:pStyle w:val="Style4"/>
        <w:keepNext w:val="0"/>
        <w:keepLines w:val="0"/>
        <w:widowControl w:val="0"/>
        <w:shd w:val="clear" w:color="auto" w:fill="auto"/>
        <w:bidi w:val="0"/>
        <w:spacing w:before="0" w:after="460" w:line="240" w:lineRule="auto"/>
        <w:ind w:left="0" w:right="0" w:firstLine="0"/>
        <w:jc w:val="both"/>
      </w:pPr>
      <w:r>
        <w:rPr>
          <w:rStyle w:val="CharStyle5"/>
        </w:rPr>
        <w:t>/ – podpisany cyfrowo/</w:t>
      </w:r>
    </w:p>
    <w:p>
      <w:pPr>
        <w:pStyle w:val="Style4"/>
        <w:keepNext w:val="0"/>
        <w:keepLines w:val="0"/>
        <w:widowControl w:val="0"/>
        <w:shd w:val="clear" w:color="auto" w:fill="auto"/>
        <w:bidi w:val="0"/>
        <w:spacing w:before="0" w:after="500" w:line="240" w:lineRule="auto"/>
        <w:ind w:left="0" w:right="0" w:firstLine="0"/>
        <w:jc w:val="both"/>
      </w:pPr>
      <w:r>
        <w:rPr>
          <w:rStyle w:val="CharStyle5"/>
        </w:rPr>
        <w:t>Do wiadomości:</w:t>
      </w:r>
    </w:p>
    <w:sectPr>
      <w:footnotePr>
        <w:pos w:val="pageBottom"/>
        <w:numFmt w:val="decimal"/>
        <w:numRestart w:val="continuous"/>
      </w:footnotePr>
      <w:pgSz w:w="11900" w:h="16840"/>
      <w:pgMar w:top="754" w:right="1952" w:bottom="751" w:left="1952" w:header="326" w:footer="32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Nagłówek #1_"/>
    <w:basedOn w:val="DefaultParagraphFont"/>
    <w:link w:val="Style2"/>
    <w:rPr>
      <w:rFonts w:ascii="Corbel" w:eastAsia="Corbel" w:hAnsi="Corbel" w:cs="Corbel"/>
      <w:b w:val="0"/>
      <w:bCs w:val="0"/>
      <w:i w:val="0"/>
      <w:iCs w:val="0"/>
      <w:smallCaps w:val="0"/>
      <w:strike w:val="0"/>
      <w:sz w:val="36"/>
      <w:szCs w:val="36"/>
      <w:u w:val="none"/>
    </w:rPr>
  </w:style>
  <w:style w:type="character" w:customStyle="1" w:styleId="CharStyle5">
    <w:name w:val="Tekst treści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9">
    <w:name w:val="Nagłówek #2_"/>
    <w:basedOn w:val="DefaultParagraphFont"/>
    <w:link w:val="Style8"/>
    <w:rPr>
      <w:rFonts w:ascii="Arial" w:eastAsia="Arial" w:hAnsi="Arial" w:cs="Arial"/>
      <w:b/>
      <w:bCs/>
      <w:i w:val="0"/>
      <w:iCs w:val="0"/>
      <w:smallCaps w:val="0"/>
      <w:strike w:val="0"/>
      <w:sz w:val="19"/>
      <w:szCs w:val="19"/>
      <w:u w:val="none"/>
    </w:rPr>
  </w:style>
  <w:style w:type="character" w:customStyle="1" w:styleId="CharStyle13">
    <w:name w:val="Tekst treści (2)_"/>
    <w:basedOn w:val="DefaultParagraphFont"/>
    <w:link w:val="Style12"/>
    <w:rPr>
      <w:rFonts w:ascii="Arial" w:eastAsia="Arial" w:hAnsi="Arial" w:cs="Arial"/>
      <w:b w:val="0"/>
      <w:bCs w:val="0"/>
      <w:i w:val="0"/>
      <w:iCs w:val="0"/>
      <w:smallCaps w:val="0"/>
      <w:strike w:val="0"/>
      <w:sz w:val="16"/>
      <w:szCs w:val="16"/>
      <w:u w:val="none"/>
    </w:rPr>
  </w:style>
  <w:style w:type="character" w:customStyle="1" w:styleId="CharStyle15">
    <w:name w:val="Tekst treści (3)_"/>
    <w:basedOn w:val="DefaultParagraphFont"/>
    <w:link w:val="Style14"/>
    <w:rPr>
      <w:rFonts w:ascii="Arial" w:eastAsia="Arial" w:hAnsi="Arial" w:cs="Arial"/>
      <w:b w:val="0"/>
      <w:bCs w:val="0"/>
      <w:i w:val="0"/>
      <w:iCs w:val="0"/>
      <w:smallCaps w:val="0"/>
      <w:strike w:val="0"/>
      <w:sz w:val="13"/>
      <w:szCs w:val="13"/>
      <w:u w:val="none"/>
    </w:rPr>
  </w:style>
  <w:style w:type="paragraph" w:customStyle="1" w:styleId="Style2">
    <w:name w:val="Nagłówek #1"/>
    <w:basedOn w:val="Normal"/>
    <w:link w:val="CharStyle3"/>
    <w:pPr>
      <w:widowControl w:val="0"/>
      <w:shd w:val="clear" w:color="auto" w:fill="auto"/>
      <w:spacing w:after="250" w:line="226" w:lineRule="auto"/>
      <w:outlineLvl w:val="0"/>
    </w:pPr>
    <w:rPr>
      <w:rFonts w:ascii="Corbel" w:eastAsia="Corbel" w:hAnsi="Corbel" w:cs="Corbel"/>
      <w:b w:val="0"/>
      <w:bCs w:val="0"/>
      <w:i w:val="0"/>
      <w:iCs w:val="0"/>
      <w:smallCaps w:val="0"/>
      <w:strike w:val="0"/>
      <w:sz w:val="36"/>
      <w:szCs w:val="36"/>
      <w:u w:val="none"/>
    </w:rPr>
  </w:style>
  <w:style w:type="paragraph" w:customStyle="1" w:styleId="Style4">
    <w:name w:val="Tekst treści"/>
    <w:basedOn w:val="Normal"/>
    <w:link w:val="CharStyle5"/>
    <w:pPr>
      <w:widowControl w:val="0"/>
      <w:shd w:val="clear" w:color="auto" w:fill="auto"/>
      <w:spacing w:after="140" w:line="286" w:lineRule="auto"/>
    </w:pPr>
    <w:rPr>
      <w:rFonts w:ascii="Arial" w:eastAsia="Arial" w:hAnsi="Arial" w:cs="Arial"/>
      <w:b w:val="0"/>
      <w:bCs w:val="0"/>
      <w:i w:val="0"/>
      <w:iCs w:val="0"/>
      <w:smallCaps w:val="0"/>
      <w:strike w:val="0"/>
      <w:sz w:val="19"/>
      <w:szCs w:val="19"/>
      <w:u w:val="none"/>
    </w:rPr>
  </w:style>
  <w:style w:type="paragraph" w:customStyle="1" w:styleId="Style8">
    <w:name w:val="Nagłówek #2"/>
    <w:basedOn w:val="Normal"/>
    <w:link w:val="CharStyle9"/>
    <w:pPr>
      <w:widowControl w:val="0"/>
      <w:shd w:val="clear" w:color="auto" w:fill="auto"/>
      <w:spacing w:after="140" w:line="264" w:lineRule="auto"/>
      <w:ind w:left="370" w:hanging="180"/>
      <w:outlineLvl w:val="1"/>
    </w:pPr>
    <w:rPr>
      <w:rFonts w:ascii="Arial" w:eastAsia="Arial" w:hAnsi="Arial" w:cs="Arial"/>
      <w:b/>
      <w:bCs/>
      <w:i w:val="0"/>
      <w:iCs w:val="0"/>
      <w:smallCaps w:val="0"/>
      <w:strike w:val="0"/>
      <w:sz w:val="19"/>
      <w:szCs w:val="19"/>
      <w:u w:val="none"/>
    </w:rPr>
  </w:style>
  <w:style w:type="paragraph" w:customStyle="1" w:styleId="Style12">
    <w:name w:val="Tekst treści (2)"/>
    <w:basedOn w:val="Normal"/>
    <w:link w:val="CharStyle13"/>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14">
    <w:name w:val="Tekst treści (3)"/>
    <w:basedOn w:val="Normal"/>
    <w:link w:val="CharStyle15"/>
    <w:pPr>
      <w:widowControl w:val="0"/>
      <w:shd w:val="clear" w:color="auto" w:fill="auto"/>
      <w:spacing w:after="280"/>
      <w:jc w:val="center"/>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Uniwersalny szablondepartamentu/biura kolor</dc:title>
  <dc:subject/>
  <dc:creator/>
  <cp:keywords>PL, KOLOR</cp:keywords>
</cp:coreProperties>
</file>