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28" w:rsidRDefault="00BA6928" w:rsidP="00BA6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Kodyfikacyjna Prawa Karnego                           Warszawa</w:t>
      </w:r>
      <w:r w:rsidR="00021C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26 sierpnia 2014 r. </w:t>
      </w:r>
    </w:p>
    <w:p w:rsidR="00BA6928" w:rsidRDefault="00BA6928" w:rsidP="00BA6928">
      <w:pPr>
        <w:rPr>
          <w:rFonts w:ascii="Times New Roman" w:hAnsi="Times New Roman" w:cs="Times New Roman"/>
          <w:sz w:val="24"/>
          <w:szCs w:val="24"/>
        </w:rPr>
      </w:pPr>
    </w:p>
    <w:p w:rsidR="00BA6928" w:rsidRDefault="00BA6928" w:rsidP="00BA692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</w:t>
      </w:r>
    </w:p>
    <w:p w:rsidR="00BA6928" w:rsidRDefault="00BA6928" w:rsidP="00BA692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określenia podmiotu czynu zabronionego w typie przestępstwa z art. 269b § 1 k.k.</w:t>
      </w:r>
    </w:p>
    <w:p w:rsidR="00BA6928" w:rsidRDefault="00BA6928" w:rsidP="00BA692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A6928" w:rsidRDefault="00BA6928" w:rsidP="00BA692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Rzecznik Praw Obywatelskich pani Irena Lipowicz zwróciła się do Ministra Sprawiedliwości pana Marka Biernackiego o zajęcie stanowiska w sprawie wątpliwości interpretacyjnych  wynikających z treści art. 269b § 1 k.k. Zdaniem Rzecznik Praw Obywatelskich nie jest precyzyjne określenie podmiotu czynu zabronionego realizującego znamiona typu przestępstwa opisanego w art. 269b § 1 k.k. Jedynie odnośnie do czynności sprawczych wymienionych w części pierwszej tego przepisu określenie podmiotu jest jednoznaczne, gdyż ustawodawca tworzy w tym wypadku tzw. przestępstwo powszechne, a więc każda osoba realizująca znamiona wymienione w ustawie dopuszcza się czynu zabronionego.  Inaczej jest – według oceny Rzecznik Praw Obywatelskich – w odniesieniu do podmiotu realizującego czynności sprawcze określone w części drugiej tego przepisu. Z punktu widzenia językowego trudno doszukać się elementów ograniczających także w tym wypadku zakres podmiotów mogących realizować znamiona typu czynu zabronionego z art. 269b § 1 k.k.. Przyjęcie w tym wypadku przestępstwa powszechnego miałoby być niczym nie uzasadnione i prowadziłoby do możliwości pociągnięcia do odpowiedzialności karnej np. osoby, która będąc uprawnioną przekazała innej osobie hasła do systemu komputerowego.  Zdaniem Rzecznik Praw Obywatelskich jedynie osoba nieuprawniona do dokonania czynności opisanych w art. 269b § 1 k.k.</w:t>
      </w:r>
      <w:r w:rsidR="00A87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powinna być podmiotem typu przestępstwa określonego w tym przepisie. </w:t>
      </w:r>
    </w:p>
    <w:p w:rsidR="00BA6928" w:rsidRDefault="00BA6928" w:rsidP="00BA692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odpowiedzi z dnia 22 lipca 2014 r. na pismo Rzecznik Praw Obywatelskich Minister Sprawiedliwości przyznał zasadność wątpliwości interpretacyjnych wskazanych przez Rzecznik Praw Obywatelskich jednakże wskazał na potrzebę interpretacji art. 269b § 1 k.k. w kontekście postanowień Konwencji Rady Europy o cyberprzestępczości podpisanej w dniu 23 listopada 2001 r.. Z kontekstu tego wynika – zdaniem Ministra Sprawiedliwości – jednoznaczne wyłącze</w:t>
      </w:r>
      <w:r w:rsidR="00A87868">
        <w:rPr>
          <w:rFonts w:ascii="Times New Roman" w:hAnsi="Times New Roman" w:cs="Times New Roman"/>
          <w:sz w:val="24"/>
          <w:szCs w:val="24"/>
        </w:rPr>
        <w:t>nie penalizacji osób podejmujących</w:t>
      </w:r>
      <w:r>
        <w:rPr>
          <w:rFonts w:ascii="Times New Roman" w:hAnsi="Times New Roman" w:cs="Times New Roman"/>
          <w:sz w:val="24"/>
          <w:szCs w:val="24"/>
        </w:rPr>
        <w:t xml:space="preserve"> zachowania określone w art. 269b </w:t>
      </w:r>
      <w:r w:rsidR="00A87868">
        <w:rPr>
          <w:rFonts w:ascii="Times New Roman" w:hAnsi="Times New Roman" w:cs="Times New Roman"/>
          <w:sz w:val="24"/>
          <w:szCs w:val="24"/>
        </w:rPr>
        <w:t>§ 1 k.k.  do tego uprawnionych</w:t>
      </w:r>
      <w:r>
        <w:rPr>
          <w:rFonts w:ascii="Times New Roman" w:hAnsi="Times New Roman" w:cs="Times New Roman"/>
          <w:sz w:val="24"/>
          <w:szCs w:val="24"/>
        </w:rPr>
        <w:t xml:space="preserve"> (art. 6 ust. 2 Konwencji).  Także tytuł rozdziału XXXIII Kodeksu karnego (Przestępstwa przeciwko ochronie informacji), w którym jest zamieszczony art. 269b § 1 k.k. wskazuje na to, że </w:t>
      </w:r>
      <w:r w:rsidR="00A87868">
        <w:rPr>
          <w:rFonts w:ascii="Times New Roman" w:hAnsi="Times New Roman" w:cs="Times New Roman"/>
          <w:sz w:val="24"/>
          <w:szCs w:val="24"/>
        </w:rPr>
        <w:t>zachowania te muszą być skierowane</w:t>
      </w:r>
      <w:r>
        <w:rPr>
          <w:rFonts w:ascii="Times New Roman" w:hAnsi="Times New Roman" w:cs="Times New Roman"/>
          <w:sz w:val="24"/>
          <w:szCs w:val="24"/>
        </w:rPr>
        <w:t xml:space="preserve"> przeciwko ochronie </w:t>
      </w:r>
      <w:r>
        <w:rPr>
          <w:rFonts w:ascii="Times New Roman" w:hAnsi="Times New Roman" w:cs="Times New Roman"/>
          <w:sz w:val="24"/>
          <w:szCs w:val="24"/>
        </w:rPr>
        <w:lastRenderedPageBreak/>
        <w:t>informacji. Osoby uprawnione dokonujące taki</w:t>
      </w:r>
      <w:r w:rsidR="00A87868">
        <w:rPr>
          <w:rFonts w:ascii="Times New Roman" w:hAnsi="Times New Roman" w:cs="Times New Roman"/>
          <w:sz w:val="24"/>
          <w:szCs w:val="24"/>
        </w:rPr>
        <w:t xml:space="preserve">ch </w:t>
      </w:r>
      <w:proofErr w:type="spellStart"/>
      <w:r w:rsidR="00A8786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A87868">
        <w:rPr>
          <w:rFonts w:ascii="Times New Roman" w:hAnsi="Times New Roman" w:cs="Times New Roman"/>
          <w:sz w:val="24"/>
          <w:szCs w:val="24"/>
        </w:rPr>
        <w:t xml:space="preserve"> nie atakują </w:t>
      </w:r>
      <w:r>
        <w:rPr>
          <w:rFonts w:ascii="Times New Roman" w:hAnsi="Times New Roman" w:cs="Times New Roman"/>
          <w:sz w:val="24"/>
          <w:szCs w:val="24"/>
        </w:rPr>
        <w:t xml:space="preserve"> dobra chronionego tym przepisem</w:t>
      </w:r>
      <w:r w:rsidR="00A87868">
        <w:rPr>
          <w:rFonts w:ascii="Times New Roman" w:hAnsi="Times New Roman" w:cs="Times New Roman"/>
          <w:sz w:val="24"/>
          <w:szCs w:val="24"/>
        </w:rPr>
        <w:t xml:space="preserve"> i tym samym nie realizują znamion czynu zabronionego.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2B1" w:rsidRDefault="00BA6928" w:rsidP="00BA692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Odnosząc się do problemu interpretacji art. 269b § 1 k.k., Komisja Kodyfikacyjna Prawa Karnego podziela negatywną ocenę poprawności legislacyjnej tego przepisu. W szczególności razi podzielenie wyliczenia czynności sprawczych na dwie grupy. Nie można znaleźć racjonalnego uzasadnienia dla takiego uformowania zespołu znamion art. 269b § 1 k.k..</w:t>
      </w:r>
      <w:r w:rsidR="007552B1">
        <w:rPr>
          <w:rFonts w:ascii="Times New Roman" w:hAnsi="Times New Roman" w:cs="Times New Roman"/>
          <w:sz w:val="24"/>
          <w:szCs w:val="24"/>
        </w:rPr>
        <w:t xml:space="preserve"> Wad w określeniu znamion w tym przepisie jest znacznie więcej.</w:t>
      </w:r>
    </w:p>
    <w:p w:rsidR="00DF05D9" w:rsidRDefault="007552B1" w:rsidP="00BA692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6928">
        <w:rPr>
          <w:rFonts w:ascii="Times New Roman" w:hAnsi="Times New Roman" w:cs="Times New Roman"/>
          <w:sz w:val="24"/>
          <w:szCs w:val="24"/>
        </w:rPr>
        <w:t xml:space="preserve">  N</w:t>
      </w:r>
      <w:r w:rsidR="00984892">
        <w:rPr>
          <w:rFonts w:ascii="Times New Roman" w:hAnsi="Times New Roman" w:cs="Times New Roman"/>
          <w:sz w:val="24"/>
          <w:szCs w:val="24"/>
        </w:rPr>
        <w:t>iewątpliwie wprowadzenie art. 2</w:t>
      </w:r>
      <w:r w:rsidR="00BA6928">
        <w:rPr>
          <w:rFonts w:ascii="Times New Roman" w:hAnsi="Times New Roman" w:cs="Times New Roman"/>
          <w:sz w:val="24"/>
          <w:szCs w:val="24"/>
        </w:rPr>
        <w:t>6</w:t>
      </w:r>
      <w:r w:rsidR="00984892">
        <w:rPr>
          <w:rFonts w:ascii="Times New Roman" w:hAnsi="Times New Roman" w:cs="Times New Roman"/>
          <w:sz w:val="24"/>
          <w:szCs w:val="24"/>
        </w:rPr>
        <w:t>9</w:t>
      </w:r>
      <w:r w:rsidR="00BA6928">
        <w:rPr>
          <w:rFonts w:ascii="Times New Roman" w:hAnsi="Times New Roman" w:cs="Times New Roman"/>
          <w:sz w:val="24"/>
          <w:szCs w:val="24"/>
        </w:rPr>
        <w:t>b k.k. ustawą z dnia 18 marca 2004 r. o zmianie ustawy – Kodeks karny, ustawy – Kodeks postępowania karnego oraz ustawy – Kodeks wykroczeń (Dz. U. Nr 69, poz. 626) miało na celu dostosowanie polskiego prawa karnego do postanowień Konwencji Rady Europy o cyberprzestępczości</w:t>
      </w:r>
      <w:r w:rsidR="00984892">
        <w:rPr>
          <w:rFonts w:ascii="Times New Roman" w:hAnsi="Times New Roman" w:cs="Times New Roman"/>
          <w:sz w:val="24"/>
          <w:szCs w:val="24"/>
        </w:rPr>
        <w:t xml:space="preserve">. Objęcie penalizacją </w:t>
      </w:r>
      <w:proofErr w:type="spellStart"/>
      <w:r w:rsidR="0098489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984892">
        <w:rPr>
          <w:rFonts w:ascii="Times New Roman" w:hAnsi="Times New Roman" w:cs="Times New Roman"/>
          <w:sz w:val="24"/>
          <w:szCs w:val="24"/>
        </w:rPr>
        <w:t xml:space="preserve"> określonych w omawianym przepisie ma spełniać też wymagania wynikające z Dyrektywy Unii Europejskiej z dnia 12 sierpnia 2013 r. (2013/40, </w:t>
      </w:r>
      <w:proofErr w:type="spellStart"/>
      <w:r w:rsidR="00984892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84892">
        <w:rPr>
          <w:rFonts w:ascii="Times New Roman" w:hAnsi="Times New Roman" w:cs="Times New Roman"/>
          <w:sz w:val="24"/>
          <w:szCs w:val="24"/>
        </w:rPr>
        <w:t>. UE z 14.08.2013, L 218/8)</w:t>
      </w:r>
      <w:r w:rsidR="00BA6928">
        <w:rPr>
          <w:rFonts w:ascii="Times New Roman" w:hAnsi="Times New Roman" w:cs="Times New Roman"/>
          <w:sz w:val="24"/>
          <w:szCs w:val="24"/>
        </w:rPr>
        <w:t>.  Uczyniono to jednak wyjątkowo nieudolnie i to nie tylko w zakresie wskazania podmiotu realizującego znamiona czynności sprawczej</w:t>
      </w:r>
      <w:r w:rsidR="00BF049C">
        <w:rPr>
          <w:rFonts w:ascii="Times New Roman" w:hAnsi="Times New Roman" w:cs="Times New Roman"/>
          <w:sz w:val="24"/>
          <w:szCs w:val="24"/>
        </w:rPr>
        <w:t>.</w:t>
      </w:r>
      <w:r w:rsidR="00BA6928">
        <w:rPr>
          <w:rFonts w:ascii="Times New Roman" w:hAnsi="Times New Roman" w:cs="Times New Roman"/>
          <w:sz w:val="24"/>
          <w:szCs w:val="24"/>
        </w:rPr>
        <w:t xml:space="preserve"> </w:t>
      </w:r>
      <w:r w:rsidR="00BF049C">
        <w:rPr>
          <w:rFonts w:ascii="Times New Roman" w:hAnsi="Times New Roman" w:cs="Times New Roman"/>
          <w:sz w:val="24"/>
          <w:szCs w:val="24"/>
        </w:rPr>
        <w:t xml:space="preserve"> Budzi także</w:t>
      </w:r>
      <w:r w:rsidR="00BA6928">
        <w:rPr>
          <w:rFonts w:ascii="Times New Roman" w:hAnsi="Times New Roman" w:cs="Times New Roman"/>
          <w:sz w:val="24"/>
          <w:szCs w:val="24"/>
        </w:rPr>
        <w:t xml:space="preserve"> powa</w:t>
      </w:r>
      <w:r w:rsidR="00BF049C">
        <w:rPr>
          <w:rFonts w:ascii="Times New Roman" w:hAnsi="Times New Roman" w:cs="Times New Roman"/>
          <w:sz w:val="24"/>
          <w:szCs w:val="24"/>
        </w:rPr>
        <w:t xml:space="preserve">żne wątpliwości relacja opisanych w </w:t>
      </w:r>
      <w:r w:rsidR="00BA6928">
        <w:rPr>
          <w:rFonts w:ascii="Times New Roman" w:hAnsi="Times New Roman" w:cs="Times New Roman"/>
          <w:sz w:val="24"/>
          <w:szCs w:val="24"/>
        </w:rPr>
        <w:t xml:space="preserve"> art. 269b§ 1 k.k. </w:t>
      </w:r>
      <w:r w:rsidR="00BF049C">
        <w:rPr>
          <w:rFonts w:ascii="Times New Roman" w:hAnsi="Times New Roman" w:cs="Times New Roman"/>
          <w:sz w:val="24"/>
          <w:szCs w:val="24"/>
        </w:rPr>
        <w:t xml:space="preserve">form </w:t>
      </w:r>
      <w:proofErr w:type="spellStart"/>
      <w:r w:rsidR="00BF049C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BF049C">
        <w:rPr>
          <w:rFonts w:ascii="Times New Roman" w:hAnsi="Times New Roman" w:cs="Times New Roman"/>
          <w:sz w:val="24"/>
          <w:szCs w:val="24"/>
        </w:rPr>
        <w:t xml:space="preserve"> sprawczych</w:t>
      </w:r>
      <w:r w:rsidR="00BA6928">
        <w:rPr>
          <w:rFonts w:ascii="Times New Roman" w:hAnsi="Times New Roman" w:cs="Times New Roman"/>
          <w:sz w:val="24"/>
          <w:szCs w:val="24"/>
        </w:rPr>
        <w:t xml:space="preserve"> do znamion pomocnictwa do przestępstw wymienionych w art. 269b § 1 k.k..</w:t>
      </w:r>
      <w:r w:rsidR="00BF049C">
        <w:rPr>
          <w:rFonts w:ascii="Times New Roman" w:hAnsi="Times New Roman" w:cs="Times New Roman"/>
          <w:sz w:val="24"/>
          <w:szCs w:val="24"/>
        </w:rPr>
        <w:t xml:space="preserve"> W sytuacji, gdy sprawca przestępstwa z art. 269b § 1 k.k. działa z zamiarem (bezpośrednim</w:t>
      </w:r>
      <w:r>
        <w:rPr>
          <w:rFonts w:ascii="Times New Roman" w:hAnsi="Times New Roman" w:cs="Times New Roman"/>
          <w:sz w:val="24"/>
          <w:szCs w:val="24"/>
        </w:rPr>
        <w:t xml:space="preserve"> lub wynikowym), aby inna osoba</w:t>
      </w:r>
      <w:r w:rsidR="00BF049C">
        <w:rPr>
          <w:rFonts w:ascii="Times New Roman" w:hAnsi="Times New Roman" w:cs="Times New Roman"/>
          <w:sz w:val="24"/>
          <w:szCs w:val="24"/>
        </w:rPr>
        <w:t xml:space="preserve"> popełniła jedno z wymienionych w tym przepisie przestępstw, to dopuszcza się p</w:t>
      </w:r>
      <w:r w:rsidR="005C188E">
        <w:rPr>
          <w:rFonts w:ascii="Times New Roman" w:hAnsi="Times New Roman" w:cs="Times New Roman"/>
          <w:sz w:val="24"/>
          <w:szCs w:val="24"/>
        </w:rPr>
        <w:t>omocnictwa do tego przestępstwa (art. 18 § 3 k.k.</w:t>
      </w:r>
      <w:r w:rsidR="00DF05D9">
        <w:rPr>
          <w:rFonts w:ascii="Times New Roman" w:hAnsi="Times New Roman" w:cs="Times New Roman"/>
          <w:sz w:val="24"/>
          <w:szCs w:val="24"/>
        </w:rPr>
        <w:t>)  i odpowiada, zgodnie z art. 19 § 1k.k. w granicach zagrożenia przewidzianego dla sprawstwa, z możliwością nadzwyczajnego złagodzenia kary (art. 19 § 2 k.k</w:t>
      </w:r>
      <w:r w:rsidR="00A742DA">
        <w:rPr>
          <w:rFonts w:ascii="Times New Roman" w:hAnsi="Times New Roman" w:cs="Times New Roman"/>
          <w:sz w:val="24"/>
          <w:szCs w:val="24"/>
        </w:rPr>
        <w:t xml:space="preserve">. Znamiona typu z art.. 269b § 1 k.k., oprócz postaci pomocnictwa do określonych w tym przepisie przestępstw, realizują też zachowania stanowiące formę czynności przygotowawczych do sprawstwa (wytwarzanie, pozyskiwanie urządzeń lub programów komputerowych) lub do pomocnictwa (pozostałe formy sprawcze określone w omawianym przepisie). Jak jeszcze będzie o tym mowa, ujęcie czynności przygotowawczych w art. 269b § 1 k.k. nie odpowiada konstrukcji karalności czynności przygotowawczych przyjętych w polskim kodeksie karnym (art. 16 k.k.).  </w:t>
      </w:r>
    </w:p>
    <w:p w:rsidR="00DE3F32" w:rsidRDefault="00DE3F32" w:rsidP="00DE3F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Kwestionowany przez Rzecznik Praw Obywatelskich opis czynności sprawczej w drugiej części przepisu z art. 269b § 1k.k. jest rzeczywiście kuriozalny. W części tej nie tylko brak jest określenia podmiotu ale także brakuje określenia samej czynności realizującej znamiona czynu zabronionego. By uczynić ten przepis w ogóle sensownym, musi się uznać, że zarówno podmiot, jak i czynności sprawcze zawarte w pierwszej części odnoszą się także do części drugiej. Przyjęcie takiej interpretacji oznacza, że także w tym wypadku „hasła komputerowe,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kody dostępu lub inne dane umożliwiające dostęp do informacji przechowywanych w systemie komputerowym lub sieci teleinformatycznej przystosowane są do popełnienia przestępstwa określonego w jednym z artykułów wymienionych w art. 269b § 1 k.k.. Oznaczałoby to, że także w tym wypadku ustawodawca nie wprowadził żadnego ograniczenia podmiotowego i art. 269b § 1 k.k. część druga zawiera także przestępstwo powszechne. </w:t>
      </w:r>
    </w:p>
    <w:p w:rsidR="00DE3F32" w:rsidRDefault="00DE3F32" w:rsidP="00DE3F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Wniosek taki, na co słusznie zwraca uwagę Rzecznik Praw Obywatelskich, prowadzi do rezultatów trudnych do przyjęcia. Odnosić jednak trzeba ten zarzut zarówno do określenia podmiotu w części pierwszej, jak i w drugiej. Także wątpliwości odnoszące się do relacji czynności sprawczej określonej w części drugiej przepisu do podstaw odpowiedzialności za pomocnictwo są identyczne, jak w wypadku określenia czynności sprawczej w części pierwszej.</w:t>
      </w:r>
    </w:p>
    <w:p w:rsidR="00DE3F32" w:rsidRDefault="00DE3F32" w:rsidP="00DE3F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 podstawowych założeń struktury przestępstwa wynika, że czyn realizujący znamiona typu czynu zabronionego (czyn karalny) musi być czynem bezprawnym, a więc naruszać normę sankcjonowaną w sytuacji braku zezwolenia na naruszenie tej normy (braku kontratypu). Także czyny opisane w art. 269b § 1 k.k., by uznać je za karalne, muszą naruszać normę sankcjonowaną w warunkach braku kontratypu. Jeżeli w porządku prawnym występuje upoważnienie, wynikające z normy abstrakcyjnej lub konkretnej, na dokonanie czynności, o których jest mowa w art. 269b § 1 k.k. (w obu częściach tego przepisu), to czynność taka nie może być uznana za karalną, nie realizuje znamion typu czynu zabronionego. Jest więc oczywiste, że osoba, która działa z upoważnieniem opartym na normie abstrakcyjnej lub konkretnej i realizuje czynności, o których jest mowa w omawianym przepisie, nie dopuszcza się czynu zabronionego i nie podlega odpowiedzialności karnej. </w:t>
      </w:r>
    </w:p>
    <w:p w:rsidR="00DE3F32" w:rsidRDefault="00DE3F32" w:rsidP="00DE3F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Przyjęcie takiego wniosku nie może oznaczać, że Komisja Kodyfikacyjna nie zauważa potrzeby zmiany wadliwie ukształtowanego art. 269b § 1 k.k..</w:t>
      </w:r>
    </w:p>
    <w:p w:rsidR="00BA6928" w:rsidRDefault="00DE3F32" w:rsidP="00DE3F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06FA">
        <w:rPr>
          <w:rFonts w:ascii="Times New Roman" w:hAnsi="Times New Roman" w:cs="Times New Roman"/>
          <w:sz w:val="24"/>
          <w:szCs w:val="24"/>
        </w:rPr>
        <w:t xml:space="preserve">Z samego określenia czynności sprawczych w art. 269b § 1 k.k. nie wynika jeszcze atak na dobra chronione normami sankcjonowanymi leżącymi u podstaw przepisów karnych zawartych w Rozdziale XXXIII k.k.. Praktycznie każdy wytworzony komputer lub program komputerowy może być przystosowany do popełnienia przestępstwa wymienionego w omawianym przepisie. Także dostarczanie kodów dostępu umożliwiających dostęp do informacji przechowywanych w systemie komputerowym są czynnościami dnia codziennego nie zawierającymi z reguły znamion ataku na ochronę informacji. Dlatego konieczne jest nawet nie tyle ograniczenie zakresu podmiotów zdolnych do popełnienia przestępstwa z art. 269b § 1 k.k., co niezbędne jest zawężenie strony podmiotowej do działań podejmowanych celem popełnienia wymienionych w tym przepisie przestępstw. </w:t>
      </w:r>
      <w:r w:rsidR="006B7365">
        <w:rPr>
          <w:rFonts w:ascii="Times New Roman" w:hAnsi="Times New Roman" w:cs="Times New Roman"/>
          <w:sz w:val="24"/>
          <w:szCs w:val="24"/>
        </w:rPr>
        <w:t xml:space="preserve">Przypomnieć należy, że w art. </w:t>
      </w:r>
      <w:r w:rsidR="006B7365">
        <w:rPr>
          <w:rFonts w:ascii="Times New Roman" w:hAnsi="Times New Roman" w:cs="Times New Roman"/>
          <w:sz w:val="24"/>
          <w:szCs w:val="24"/>
        </w:rPr>
        <w:lastRenderedPageBreak/>
        <w:t xml:space="preserve">16 § 1k.k. czynność przygotowawcza charakteryzowana jest, od strony podmiotowej, działaniem celem popełnienia przestępstwa. </w:t>
      </w:r>
      <w:r w:rsidR="006D7E20">
        <w:rPr>
          <w:rFonts w:ascii="Times New Roman" w:hAnsi="Times New Roman" w:cs="Times New Roman"/>
          <w:sz w:val="24"/>
          <w:szCs w:val="24"/>
        </w:rPr>
        <w:t xml:space="preserve">Wprowadzenie ograniczenia strony podmiotowej czynu zabronionego do zamiaru bezpośredniego powodowałoby także wyraźne rozróżnienie zakresu karalności za przestępstwo z art. 269b § 1 k.k. od wypadków odpowiedzialności za pomocnictwo do przestępstw wymienionych w tym przepisie. </w:t>
      </w:r>
    </w:p>
    <w:p w:rsidR="006D7E20" w:rsidRDefault="006D7E20" w:rsidP="00DE3F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81256">
        <w:rPr>
          <w:rFonts w:ascii="Times New Roman" w:hAnsi="Times New Roman" w:cs="Times New Roman"/>
          <w:sz w:val="24"/>
          <w:szCs w:val="24"/>
        </w:rPr>
        <w:t>Komisja Kodyfikacyjna Prawa Karnego zwraca uwagę, że w przedstawionym Ministrowi Sprawiedliwości w dniu 5 listopada 2013 r. projekcie nowelizacji kodeksu karnego przewidziana jest nowelizacja art. 269b</w:t>
      </w:r>
      <w:r w:rsidR="00A75909">
        <w:rPr>
          <w:rFonts w:ascii="Times New Roman" w:hAnsi="Times New Roman" w:cs="Times New Roman"/>
          <w:sz w:val="24"/>
          <w:szCs w:val="24"/>
        </w:rPr>
        <w:t xml:space="preserve"> § 1k.k.</w:t>
      </w:r>
      <w:r w:rsidR="00381256">
        <w:rPr>
          <w:rFonts w:ascii="Times New Roman" w:hAnsi="Times New Roman" w:cs="Times New Roman"/>
          <w:sz w:val="24"/>
          <w:szCs w:val="24"/>
        </w:rPr>
        <w:t xml:space="preserve">. Projektowany przepis usuwa przedstawione wyżej wątpliwości. </w:t>
      </w:r>
    </w:p>
    <w:p w:rsidR="00381256" w:rsidRPr="00A75909" w:rsidRDefault="00A75909" w:rsidP="003812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   </w:t>
      </w:r>
      <w:r w:rsidR="00381256" w:rsidRPr="00A7590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 xml:space="preserve">„§ 1. Kto w celu popełnienia przestępstwa określonego w art. 165 § 1 pkt 4, art. 267 § 3, art. 268a, 269 lub art. 269a, wytwarza, pozyskuje, zbywa lub udostępnia innym osobom: </w:t>
      </w:r>
    </w:p>
    <w:p w:rsidR="00381256" w:rsidRPr="00A75909" w:rsidRDefault="00381256" w:rsidP="003812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5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1) urządzenia lub oprogramowanie informatyczne, przystosowane do popełnienia takiego czynu zabronionego; </w:t>
      </w:r>
    </w:p>
    <w:p w:rsidR="00381256" w:rsidRDefault="00381256" w:rsidP="003812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5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 hasła lub kody dostępu albo inne dane umożliwiające bezprawny dostęp do informacji przechowywanych w systemie informatycznym lub sieci telekomunikacyjnej, podlega grzywnie, karze ograniczenia wolności albo karze pozbawienia wolności do lat 2.”;</w:t>
      </w:r>
    </w:p>
    <w:p w:rsidR="00A75909" w:rsidRPr="00A75909" w:rsidRDefault="00A75909" w:rsidP="003812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przygotowaniu tej propozycji zrezygnowano z zawężenia znamienia podmiotu jedynie do osób działających bez upoważnienia. Czynności sprawcze określone w art. 269b § 1 k.k. nie wymagają z reguły żadnych szczególnych uprawnień. Karalność tych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tak, jak w wypadku wszystkich czynności przygotowawczych, wynika z celu w jakim działa sprawca i ten cel został w proponowanej treści przepisu wyraź</w:t>
      </w:r>
      <w:r w:rsidR="005E477C">
        <w:rPr>
          <w:rFonts w:ascii="Times New Roman" w:eastAsia="Times New Roman" w:hAnsi="Times New Roman" w:cs="Times New Roman"/>
          <w:sz w:val="24"/>
          <w:szCs w:val="24"/>
          <w:lang w:eastAsia="pl-PL"/>
        </w:rPr>
        <w:t>nie określony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75909" w:rsidRPr="00A75909" w:rsidRDefault="00A75909" w:rsidP="003812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:rsidR="00381256" w:rsidRDefault="00381256" w:rsidP="00DE3F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909" w:rsidRDefault="00BA6928" w:rsidP="00A75909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6928" w:rsidRDefault="00BA6928" w:rsidP="00A759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22F1" w:rsidRDefault="001C428D" w:rsidP="001C428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C428D" w:rsidRDefault="001C428D" w:rsidP="001C428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28D" w:rsidRDefault="001C428D" w:rsidP="001C428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28D" w:rsidRDefault="001C428D" w:rsidP="001C428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28D" w:rsidRDefault="001C428D" w:rsidP="001C428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28D" w:rsidRDefault="001C428D" w:rsidP="001C428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28D" w:rsidRPr="001C428D" w:rsidRDefault="001C428D" w:rsidP="001C428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Andrzej Zoll </w:t>
      </w:r>
    </w:p>
    <w:sectPr w:rsidR="001C428D" w:rsidRPr="001C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5023"/>
    <w:multiLevelType w:val="hybridMultilevel"/>
    <w:tmpl w:val="78DAA73E"/>
    <w:lvl w:ilvl="0" w:tplc="A824F832">
      <w:start w:val="1"/>
      <w:numFmt w:val="decimal"/>
      <w:pStyle w:val="Akapitzlist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28"/>
    <w:rsid w:val="00021C04"/>
    <w:rsid w:val="00094E42"/>
    <w:rsid w:val="00124564"/>
    <w:rsid w:val="001C428D"/>
    <w:rsid w:val="002106FA"/>
    <w:rsid w:val="002A4718"/>
    <w:rsid w:val="00381256"/>
    <w:rsid w:val="004D3B46"/>
    <w:rsid w:val="005122F1"/>
    <w:rsid w:val="005C188E"/>
    <w:rsid w:val="005E477C"/>
    <w:rsid w:val="006B7365"/>
    <w:rsid w:val="006D7E20"/>
    <w:rsid w:val="007552B1"/>
    <w:rsid w:val="00984892"/>
    <w:rsid w:val="00A742DA"/>
    <w:rsid w:val="00A75909"/>
    <w:rsid w:val="00A87868"/>
    <w:rsid w:val="00BA6928"/>
    <w:rsid w:val="00BF049C"/>
    <w:rsid w:val="00DE3F32"/>
    <w:rsid w:val="00DF05D9"/>
    <w:rsid w:val="00E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ACJAA"/>
    <w:basedOn w:val="Normalny"/>
    <w:uiPriority w:val="99"/>
    <w:qFormat/>
    <w:rsid w:val="00381256"/>
    <w:pPr>
      <w:numPr>
        <w:numId w:val="1"/>
      </w:numPr>
      <w:autoSpaceDE w:val="0"/>
      <w:autoSpaceDN w:val="0"/>
      <w:adjustRightInd w:val="0"/>
      <w:spacing w:before="120" w:after="0" w:line="360" w:lineRule="auto"/>
      <w:ind w:left="1134" w:hanging="567"/>
      <w:contextualSpacing/>
      <w:jc w:val="both"/>
    </w:pPr>
    <w:rPr>
      <w:rFonts w:ascii="Arial" w:eastAsia="Calibri" w:hAnsi="Arial" w:cs="Arial"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ACJAA"/>
    <w:basedOn w:val="Normalny"/>
    <w:uiPriority w:val="99"/>
    <w:qFormat/>
    <w:rsid w:val="00381256"/>
    <w:pPr>
      <w:numPr>
        <w:numId w:val="1"/>
      </w:numPr>
      <w:autoSpaceDE w:val="0"/>
      <w:autoSpaceDN w:val="0"/>
      <w:adjustRightInd w:val="0"/>
      <w:spacing w:before="120" w:after="0" w:line="360" w:lineRule="auto"/>
      <w:ind w:left="1134" w:hanging="567"/>
      <w:contextualSpacing/>
      <w:jc w:val="both"/>
    </w:pPr>
    <w:rPr>
      <w:rFonts w:ascii="Arial" w:eastAsia="Calibri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1398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Beata Wiraszka-Bereza</cp:lastModifiedBy>
  <cp:revision>11</cp:revision>
  <dcterms:created xsi:type="dcterms:W3CDTF">2014-08-19T08:28:00Z</dcterms:created>
  <dcterms:modified xsi:type="dcterms:W3CDTF">2014-09-12T13:20:00Z</dcterms:modified>
</cp:coreProperties>
</file>