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5575"/>
        <w:gridCol w:w="1287"/>
        <w:gridCol w:w="841"/>
        <w:gridCol w:w="1368"/>
        <w:gridCol w:w="1497"/>
        <w:gridCol w:w="1810"/>
        <w:gridCol w:w="2175"/>
        <w:gridCol w:w="146"/>
      </w:tblGrid>
      <w:tr w:rsidR="001C58D3" w:rsidRPr="001C58D3" w:rsidTr="001C58D3">
        <w:trPr>
          <w:trHeight w:val="58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58D3" w:rsidRPr="001C58D3" w:rsidRDefault="005C511C" w:rsidP="00A93C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H13"/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4 do U</w:t>
            </w:r>
            <w:r w:rsidR="00A93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mowy. </w:t>
            </w:r>
            <w:r w:rsidR="001C58D3" w:rsidRPr="001C58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DEKLARACJA PAKIETÓW / WYMOGÓW W ZAKRESIE „WSPARCIA WYKORZYSTANIA TRADYCYJNYCH LUB PRZYJAZNYCH ŚRODOWISKU PRAKTYK I TECHNIK W  CHOWIE I HODOWLI RYB” </w:t>
            </w:r>
            <w:bookmarkEnd w:id="0"/>
            <w:r w:rsidR="00A93C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latach 20…..- 20….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C58D3" w:rsidRPr="001C58D3" w:rsidTr="001C58D3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STAWKA/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zł/ha/rok albo zł/rok/ścieżkę edukacyjną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Deklarowana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realizacja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wymogu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footnoteReference w:id="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Deklarowana powierzchnia realizacji wymogu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 roku składania wniosku (ha)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Wartość rekompensaty w pierwszym roku realizacji 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(w zł)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Wartość rekompensaty od drugiego do piątego roku realizacji wymogu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Iloczyn wartości podanej w 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kol. 3 i 5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(w zł)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Wnioskowana kwota rekompensaty za 5 lat realizacji wymogów (kolumna 6a i kolumny 6b*4)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(w zł)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- 1 -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- 2 -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- 3 -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- 4 -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- 5 -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- 6a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- 6b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- 7 -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Pakiet 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Realizacja łącznie wszystkich wymogów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1) Roczny całkowity przyrost masy ryb poniżej 1500 kg/ha powierzchni </w:t>
            </w:r>
            <w:proofErr w:type="spellStart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ogroblowanej</w:t>
            </w:r>
            <w:proofErr w:type="spellEnd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obiektu chowu lub hodowli ryb.</w:t>
            </w: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2) Wykaszanie nie mniej niż ½ długości koron grobli na szerokość nie mniejszą niż 1 metr, co najmniej dwukrotnie w sezonie, w terminie do dnia 15 września.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478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239 000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Pakiet 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Realizacja co najmniej jednego z poniższych wymogów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Produkcja dodatkowych cennych gatunków ryb, wymienionych w załączniku nr 2 do rozporządzenia wykonawczego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w ilości co najmniej 3% masy rocznej produkcji karpi w danym obiekcie chowu lub hodowli ryb.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301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150 500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Wapnowanie wapnem palonym (tlenkowym) o zawartości nie mniejszej niż 60% </w:t>
            </w:r>
            <w:proofErr w:type="spellStart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CaO</w:t>
            </w:r>
            <w:proofErr w:type="spellEnd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ilości co najmniej 0,5 t/ha powierzchni </w:t>
            </w:r>
            <w:proofErr w:type="spellStart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ogroblowanej</w:t>
            </w:r>
            <w:proofErr w:type="spellEnd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stawu.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181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90 500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Utrzymywanie i udostępnianie co najmniej jednej ścieżki edukacyjnej nie krótszej niż 2 tys. metrów bieżących łącznie, na której jest zlokalizowanych co najmniej 5 przystanków edukacyjnych.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10 056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Utrzymywanie nie mniej niż 50% powierzchni lustra wody wolnej od porostu roślinności wynurzonej (twardej) w okresie od dnia 1 czerwca do dnia 31 lipca.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124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62 000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Pakiet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NATURA 2000, obejmujący wypełnianie wymogu położenia stawów na obszarze NATURA 2000 w rozumieniu ustawy z dnia 16 kwietnia 2004 r. o ochronie przyrody  (Dz. U. z 2018 r. poz. 142).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223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111 500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480"/>
        </w:trPr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:rsidR="00EE77A1" w:rsidRDefault="00EE77A1"/>
    <w:sectPr w:rsidR="00EE77A1" w:rsidSect="006E5FFD">
      <w:pgSz w:w="16838" w:h="11906" w:orient="landscape"/>
      <w:pgMar w:top="284" w:right="992" w:bottom="1418" w:left="42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E8" w:rsidRDefault="00CF34E8" w:rsidP="001C58D3">
      <w:pPr>
        <w:spacing w:after="0" w:line="240" w:lineRule="auto"/>
      </w:pPr>
      <w:r>
        <w:separator/>
      </w:r>
    </w:p>
  </w:endnote>
  <w:endnote w:type="continuationSeparator" w:id="0">
    <w:p w:rsidR="00CF34E8" w:rsidRDefault="00CF34E8" w:rsidP="001C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E8" w:rsidRDefault="00CF34E8" w:rsidP="001C58D3">
      <w:pPr>
        <w:spacing w:after="0" w:line="240" w:lineRule="auto"/>
      </w:pPr>
      <w:r>
        <w:separator/>
      </w:r>
    </w:p>
  </w:footnote>
  <w:footnote w:type="continuationSeparator" w:id="0">
    <w:p w:rsidR="00CF34E8" w:rsidRDefault="00CF34E8" w:rsidP="001C58D3">
      <w:pPr>
        <w:spacing w:after="0" w:line="240" w:lineRule="auto"/>
      </w:pPr>
      <w:r>
        <w:continuationSeparator/>
      </w:r>
    </w:p>
  </w:footnote>
  <w:footnote w:id="1">
    <w:p w:rsidR="001C58D3" w:rsidRPr="001C58D3" w:rsidRDefault="001C58D3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C58D3">
        <w:rPr>
          <w:rFonts w:ascii="Arial" w:hAnsi="Arial" w:cs="Arial"/>
          <w:i/>
          <w:sz w:val="14"/>
          <w:szCs w:val="14"/>
        </w:rPr>
        <w:t>właściwe zaznaczyć znakiem „x”</w:t>
      </w:r>
    </w:p>
  </w:footnote>
  <w:footnote w:id="2">
    <w:p w:rsidR="001C58D3" w:rsidRDefault="001C5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58D3">
        <w:rPr>
          <w:rFonts w:ascii="Arial" w:eastAsia="Times New Roman" w:hAnsi="Arial" w:cs="Arial"/>
          <w:sz w:val="14"/>
          <w:szCs w:val="14"/>
          <w:vertAlign w:val="superscript"/>
          <w:lang w:eastAsia="pl-PL"/>
        </w:rPr>
        <w:t xml:space="preserve"> </w:t>
      </w:r>
      <w:r w:rsidRPr="001C58D3">
        <w:rPr>
          <w:rFonts w:ascii="Arial" w:eastAsia="Times New Roman" w:hAnsi="Arial" w:cs="Arial"/>
          <w:sz w:val="14"/>
          <w:szCs w:val="14"/>
          <w:lang w:eastAsia="pl-PL"/>
        </w:rPr>
        <w:t xml:space="preserve">rozporządzeniu Ministra Gospodarki Morskiej i Żeglugi Śródlądowej z dnia 28 lutego 2017 r. w sprawie szczegółowych warunków i trybu przyznawania, wypłaty i zwrotu pomocy finansowej oraz wysokości stawek tej pomocy na realizację działań w ramach Priorytetu 2 - Wspieranie akwakultury zrównoważonej środowiskowo, </w:t>
      </w:r>
      <w:proofErr w:type="spellStart"/>
      <w:r w:rsidRPr="001C58D3">
        <w:rPr>
          <w:rFonts w:ascii="Arial" w:eastAsia="Times New Roman" w:hAnsi="Arial" w:cs="Arial"/>
          <w:sz w:val="14"/>
          <w:szCs w:val="14"/>
          <w:lang w:eastAsia="pl-PL"/>
        </w:rPr>
        <w:t>zasobooszczędnej</w:t>
      </w:r>
      <w:proofErr w:type="spellEnd"/>
      <w:r w:rsidRPr="001C58D3">
        <w:rPr>
          <w:rFonts w:ascii="Arial" w:eastAsia="Times New Roman" w:hAnsi="Arial" w:cs="Arial"/>
          <w:sz w:val="14"/>
          <w:szCs w:val="14"/>
          <w:lang w:eastAsia="pl-PL"/>
        </w:rPr>
        <w:t xml:space="preserve">, innowacyjnej, konkurencyjnej i opartej na wiedzy, zawartego w Programie Operacyjnym „Rybactwo i Morze” (Dz. U. poz. </w:t>
      </w:r>
      <w:r w:rsidR="00FF2801">
        <w:rPr>
          <w:rFonts w:ascii="Arial" w:eastAsia="Times New Roman" w:hAnsi="Arial" w:cs="Arial"/>
          <w:sz w:val="14"/>
          <w:szCs w:val="14"/>
          <w:lang w:eastAsia="pl-PL"/>
        </w:rPr>
        <w:t xml:space="preserve">1146 oraz </w:t>
      </w:r>
      <w:r w:rsidRPr="001C58D3">
        <w:rPr>
          <w:rFonts w:ascii="Arial" w:eastAsia="Times New Roman" w:hAnsi="Arial" w:cs="Arial"/>
          <w:sz w:val="14"/>
          <w:szCs w:val="14"/>
          <w:lang w:eastAsia="pl-PL"/>
        </w:rPr>
        <w:t>515).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D3"/>
    <w:rsid w:val="0003315B"/>
    <w:rsid w:val="00127926"/>
    <w:rsid w:val="001C58D3"/>
    <w:rsid w:val="00331BF2"/>
    <w:rsid w:val="005C511C"/>
    <w:rsid w:val="006E5FFD"/>
    <w:rsid w:val="00772C45"/>
    <w:rsid w:val="00844971"/>
    <w:rsid w:val="00A93CF4"/>
    <w:rsid w:val="00BD1DCD"/>
    <w:rsid w:val="00BE14E1"/>
    <w:rsid w:val="00CF34E8"/>
    <w:rsid w:val="00D0023A"/>
    <w:rsid w:val="00D70D28"/>
    <w:rsid w:val="00EE77A1"/>
    <w:rsid w:val="00F05CC5"/>
    <w:rsid w:val="00F75897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59D5D-2557-422C-BAC8-959A66D8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8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CF4"/>
  </w:style>
  <w:style w:type="paragraph" w:styleId="Stopka">
    <w:name w:val="footer"/>
    <w:basedOn w:val="Normalny"/>
    <w:link w:val="StopkaZnak"/>
    <w:uiPriority w:val="99"/>
    <w:unhideWhenUsed/>
    <w:rsid w:val="00A9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Mizak Tomasz</dc:creator>
  <cp:keywords/>
  <dc:description/>
  <cp:lastModifiedBy>Mizak Tomasz</cp:lastModifiedBy>
  <cp:revision>2</cp:revision>
  <cp:lastPrinted>2018-06-18T11:11:00Z</cp:lastPrinted>
  <dcterms:created xsi:type="dcterms:W3CDTF">2018-06-19T09:44:00Z</dcterms:created>
  <dcterms:modified xsi:type="dcterms:W3CDTF">2018-06-19T09:44:00Z</dcterms:modified>
</cp:coreProperties>
</file>