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570" w:rsidRPr="00FF2570" w:rsidRDefault="00FF2570" w:rsidP="00FF2570">
      <w:pPr>
        <w:autoSpaceDE w:val="0"/>
        <w:autoSpaceDN w:val="0"/>
        <w:adjustRightInd w:val="0"/>
        <w:spacing w:after="0"/>
        <w:rPr>
          <w:rFonts w:ascii="Times New Roman" w:hAnsi="Times New Roman"/>
          <w:sz w:val="22"/>
          <w:szCs w:val="22"/>
        </w:rPr>
      </w:pPr>
      <w:r w:rsidRPr="00FF2570">
        <w:rPr>
          <w:rFonts w:ascii="Times New Roman" w:hAnsi="Times New Roman"/>
          <w:sz w:val="22"/>
          <w:szCs w:val="22"/>
        </w:rPr>
        <w:t xml:space="preserve">Załącznik </w:t>
      </w:r>
      <w:r w:rsidRPr="00FF2570">
        <w:rPr>
          <w:rFonts w:ascii="Times New Roman" w:hAnsi="Times New Roman"/>
          <w:sz w:val="22"/>
          <w:szCs w:val="22"/>
        </w:rPr>
        <w:fldChar w:fldCharType="begin"/>
      </w:r>
      <w:r w:rsidRPr="00FF2570">
        <w:rPr>
          <w:rFonts w:ascii="Times New Roman" w:hAnsi="Times New Roman"/>
          <w:sz w:val="22"/>
          <w:szCs w:val="22"/>
        </w:rPr>
        <w:instrText xml:space="preserve"> FILENAME   \* MERGEFORMAT </w:instrText>
      </w:r>
      <w:r w:rsidRPr="00FF2570">
        <w:rPr>
          <w:rFonts w:ascii="Times New Roman" w:hAnsi="Times New Roman"/>
          <w:sz w:val="22"/>
          <w:szCs w:val="22"/>
        </w:rPr>
        <w:fldChar w:fldCharType="separate"/>
      </w:r>
      <w:r>
        <w:rPr>
          <w:rFonts w:ascii="Times New Roman" w:hAnsi="Times New Roman"/>
          <w:noProof/>
          <w:sz w:val="22"/>
          <w:szCs w:val="22"/>
        </w:rPr>
        <w:t>B.53</w:t>
      </w:r>
      <w:r w:rsidRPr="00FF2570">
        <w:rPr>
          <w:rFonts w:ascii="Times New Roman" w:hAnsi="Times New Roman"/>
          <w:noProof/>
          <w:sz w:val="22"/>
          <w:szCs w:val="22"/>
        </w:rPr>
        <w:t>.</w:t>
      </w:r>
      <w:r w:rsidRPr="00FF2570">
        <w:rPr>
          <w:rFonts w:ascii="Times New Roman" w:hAnsi="Times New Roman"/>
          <w:sz w:val="22"/>
          <w:szCs w:val="22"/>
        </w:rPr>
        <w:fldChar w:fldCharType="end"/>
      </w:r>
    </w:p>
    <w:p w:rsidR="00FF2570" w:rsidRPr="00FF2570" w:rsidRDefault="00FF2570" w:rsidP="00FF2570">
      <w:pPr>
        <w:spacing w:after="0"/>
        <w:rPr>
          <w:rFonts w:ascii="Times New Roman" w:hAnsi="Times New Roman"/>
          <w:b/>
          <w:sz w:val="22"/>
          <w:szCs w:val="22"/>
        </w:rPr>
      </w:pPr>
    </w:p>
    <w:p w:rsidR="00654DC5" w:rsidRPr="00FF2570" w:rsidRDefault="00FF2570">
      <w:pPr>
        <w:rPr>
          <w:sz w:val="28"/>
          <w:szCs w:val="28"/>
        </w:rPr>
      </w:pPr>
      <w:r w:rsidRPr="00FF2570">
        <w:rPr>
          <w:rFonts w:ascii="Times New Roman" w:hAnsi="Times New Roman"/>
          <w:b/>
          <w:sz w:val="28"/>
          <w:szCs w:val="28"/>
        </w:rPr>
        <w:t>LECZENIE WYSOKO ZRÓŻNICOWANEGO</w:t>
      </w:r>
      <w:r>
        <w:rPr>
          <w:rFonts w:ascii="Times New Roman" w:hAnsi="Times New Roman"/>
          <w:b/>
          <w:sz w:val="28"/>
          <w:szCs w:val="28"/>
        </w:rPr>
        <w:t xml:space="preserve"> </w:t>
      </w:r>
      <w:r w:rsidRPr="00FF2570">
        <w:rPr>
          <w:rFonts w:ascii="Times New Roman" w:hAnsi="Times New Roman"/>
          <w:b/>
          <w:sz w:val="28"/>
          <w:szCs w:val="28"/>
        </w:rPr>
        <w:t xml:space="preserve"> NOWOTWORU</w:t>
      </w:r>
      <w:r>
        <w:rPr>
          <w:rFonts w:ascii="Times New Roman" w:hAnsi="Times New Roman"/>
          <w:b/>
          <w:sz w:val="28"/>
          <w:szCs w:val="28"/>
        </w:rPr>
        <w:t xml:space="preserve">  </w:t>
      </w:r>
      <w:r w:rsidRPr="00FF2570">
        <w:rPr>
          <w:rFonts w:ascii="Times New Roman" w:hAnsi="Times New Roman"/>
          <w:b/>
          <w:sz w:val="28"/>
          <w:szCs w:val="28"/>
        </w:rPr>
        <w:t xml:space="preserve">NEUROENDOKRYNNEGO </w:t>
      </w:r>
      <w:r>
        <w:rPr>
          <w:rFonts w:ascii="Times New Roman" w:hAnsi="Times New Roman"/>
          <w:b/>
          <w:sz w:val="28"/>
          <w:szCs w:val="28"/>
        </w:rPr>
        <w:t xml:space="preserve"> </w:t>
      </w:r>
      <w:r w:rsidRPr="00FF2570">
        <w:rPr>
          <w:rFonts w:ascii="Times New Roman" w:hAnsi="Times New Roman"/>
          <w:b/>
          <w:sz w:val="28"/>
          <w:szCs w:val="28"/>
        </w:rPr>
        <w:t>TRZUSTKI (ICD-10</w:t>
      </w:r>
      <w:r>
        <w:rPr>
          <w:rFonts w:ascii="Times New Roman" w:hAnsi="Times New Roman"/>
          <w:b/>
          <w:sz w:val="28"/>
          <w:szCs w:val="28"/>
        </w:rPr>
        <w:t xml:space="preserve"> </w:t>
      </w:r>
      <w:r w:rsidR="00564129">
        <w:rPr>
          <w:rFonts w:ascii="Times New Roman" w:hAnsi="Times New Roman"/>
          <w:b/>
          <w:sz w:val="28"/>
          <w:szCs w:val="28"/>
        </w:rPr>
        <w:t xml:space="preserve"> C</w:t>
      </w:r>
      <w:r w:rsidRPr="00FF2570">
        <w:rPr>
          <w:rFonts w:ascii="Times New Roman" w:hAnsi="Times New Roman"/>
          <w:b/>
          <w:sz w:val="28"/>
          <w:szCs w:val="28"/>
        </w:rPr>
        <w:t>25.4)</w:t>
      </w: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36"/>
        <w:gridCol w:w="4535"/>
        <w:gridCol w:w="5662"/>
      </w:tblGrid>
      <w:tr w:rsidR="00E5276E" w:rsidRPr="00FF2570" w:rsidTr="00654DC5">
        <w:trPr>
          <w:trHeight w:val="579"/>
        </w:trPr>
        <w:tc>
          <w:tcPr>
            <w:tcW w:w="5000" w:type="pct"/>
            <w:gridSpan w:val="3"/>
            <w:tcBorders>
              <w:top w:val="single" w:sz="4" w:space="0" w:color="auto"/>
              <w:left w:val="single" w:sz="4" w:space="0" w:color="auto"/>
              <w:bottom w:val="single" w:sz="4" w:space="0" w:color="auto"/>
              <w:right w:val="single" w:sz="4" w:space="0" w:color="auto"/>
            </w:tcBorders>
            <w:vAlign w:val="center"/>
          </w:tcPr>
          <w:p w:rsidR="00516B89" w:rsidRPr="00FF2570" w:rsidRDefault="00E5276E" w:rsidP="00FF2570">
            <w:pPr>
              <w:spacing w:before="60" w:after="60" w:line="276" w:lineRule="auto"/>
              <w:jc w:val="center"/>
              <w:rPr>
                <w:rFonts w:ascii="Times New Roman" w:hAnsi="Times New Roman"/>
                <w:b/>
                <w:sz w:val="20"/>
                <w:szCs w:val="20"/>
              </w:rPr>
            </w:pPr>
            <w:r w:rsidRPr="00FF2570">
              <w:rPr>
                <w:rFonts w:ascii="Times New Roman" w:hAnsi="Times New Roman"/>
                <w:b/>
                <w:sz w:val="20"/>
                <w:szCs w:val="20"/>
              </w:rPr>
              <w:t>ZAKRES ŚWIADCZENIA GWARANTOWANEGO</w:t>
            </w:r>
          </w:p>
        </w:tc>
      </w:tr>
      <w:tr w:rsidR="00E5276E" w:rsidRPr="00FF2570" w:rsidTr="00FF2570">
        <w:trPr>
          <w:trHeight w:val="607"/>
        </w:trPr>
        <w:tc>
          <w:tcPr>
            <w:tcW w:w="1780" w:type="pct"/>
            <w:tcBorders>
              <w:top w:val="single" w:sz="4" w:space="0" w:color="auto"/>
            </w:tcBorders>
            <w:vAlign w:val="center"/>
          </w:tcPr>
          <w:p w:rsidR="00E5276E" w:rsidRPr="00FF2570" w:rsidRDefault="00E5276E" w:rsidP="00FF2570">
            <w:pPr>
              <w:spacing w:before="60" w:after="60" w:line="276" w:lineRule="auto"/>
              <w:jc w:val="center"/>
              <w:rPr>
                <w:rFonts w:ascii="Times New Roman" w:hAnsi="Times New Roman"/>
                <w:b/>
                <w:sz w:val="20"/>
                <w:szCs w:val="20"/>
              </w:rPr>
            </w:pPr>
            <w:r w:rsidRPr="00FF2570">
              <w:rPr>
                <w:rFonts w:ascii="Times New Roman" w:hAnsi="Times New Roman"/>
                <w:b/>
                <w:sz w:val="20"/>
                <w:szCs w:val="20"/>
              </w:rPr>
              <w:t>ŚWIADCZENIOBIORCY</w:t>
            </w:r>
          </w:p>
        </w:tc>
        <w:tc>
          <w:tcPr>
            <w:tcW w:w="1432" w:type="pct"/>
            <w:tcBorders>
              <w:top w:val="single" w:sz="4" w:space="0" w:color="auto"/>
            </w:tcBorders>
            <w:vAlign w:val="center"/>
          </w:tcPr>
          <w:p w:rsidR="00E5276E" w:rsidRPr="00FF2570" w:rsidRDefault="00E5276E" w:rsidP="00FF2570">
            <w:pPr>
              <w:spacing w:before="60" w:after="60" w:line="276" w:lineRule="auto"/>
              <w:jc w:val="center"/>
              <w:rPr>
                <w:rFonts w:ascii="Times New Roman" w:hAnsi="Times New Roman"/>
                <w:b/>
                <w:sz w:val="20"/>
                <w:szCs w:val="20"/>
              </w:rPr>
            </w:pPr>
            <w:r w:rsidRPr="00FF2570">
              <w:rPr>
                <w:rFonts w:ascii="Times New Roman" w:hAnsi="Times New Roman"/>
                <w:b/>
                <w:sz w:val="20"/>
                <w:szCs w:val="20"/>
              </w:rPr>
              <w:t>SCHEMAT DAWKOWANIA LEKU</w:t>
            </w:r>
            <w:r w:rsidRPr="00FF2570">
              <w:rPr>
                <w:rFonts w:ascii="Times New Roman" w:hAnsi="Times New Roman"/>
                <w:b/>
                <w:sz w:val="20"/>
                <w:szCs w:val="20"/>
              </w:rPr>
              <w:br/>
              <w:t>W PROGRAMIE</w:t>
            </w:r>
          </w:p>
        </w:tc>
        <w:tc>
          <w:tcPr>
            <w:tcW w:w="1787" w:type="pct"/>
            <w:tcBorders>
              <w:top w:val="single" w:sz="4" w:space="0" w:color="auto"/>
            </w:tcBorders>
            <w:vAlign w:val="center"/>
          </w:tcPr>
          <w:p w:rsidR="00E5276E" w:rsidRPr="00FF2570" w:rsidRDefault="00E5276E" w:rsidP="00FF2570">
            <w:pPr>
              <w:spacing w:before="60" w:after="60" w:line="276" w:lineRule="auto"/>
              <w:jc w:val="center"/>
              <w:rPr>
                <w:rFonts w:ascii="Times New Roman" w:hAnsi="Times New Roman"/>
                <w:b/>
                <w:sz w:val="20"/>
                <w:szCs w:val="20"/>
              </w:rPr>
            </w:pPr>
            <w:r w:rsidRPr="00FF2570">
              <w:rPr>
                <w:rFonts w:ascii="Times New Roman" w:hAnsi="Times New Roman"/>
                <w:b/>
                <w:sz w:val="20"/>
                <w:szCs w:val="20"/>
              </w:rPr>
              <w:t>BAD</w:t>
            </w:r>
            <w:r w:rsidR="00736021" w:rsidRPr="00FF2570">
              <w:rPr>
                <w:rFonts w:ascii="Times New Roman" w:hAnsi="Times New Roman"/>
                <w:b/>
                <w:sz w:val="20"/>
                <w:szCs w:val="20"/>
              </w:rPr>
              <w:t>ANIA DIAGNOSTYCZNE WYKONYWANE W </w:t>
            </w:r>
            <w:r w:rsidRPr="00FF2570">
              <w:rPr>
                <w:rFonts w:ascii="Times New Roman" w:hAnsi="Times New Roman"/>
                <w:b/>
                <w:sz w:val="20"/>
                <w:szCs w:val="20"/>
              </w:rPr>
              <w:t>RAMACH PROGRAMU</w:t>
            </w:r>
          </w:p>
        </w:tc>
      </w:tr>
      <w:tr w:rsidR="00E5276E" w:rsidRPr="00FF2570" w:rsidTr="00FF2570">
        <w:trPr>
          <w:trHeight w:val="2394"/>
        </w:trPr>
        <w:tc>
          <w:tcPr>
            <w:tcW w:w="1780" w:type="pct"/>
          </w:tcPr>
          <w:p w:rsidR="00830CA2" w:rsidRPr="00FF2570" w:rsidRDefault="004E11B7" w:rsidP="00544044">
            <w:pPr>
              <w:autoSpaceDE w:val="0"/>
              <w:autoSpaceDN w:val="0"/>
              <w:adjustRightInd w:val="0"/>
              <w:spacing w:before="120" w:after="120" w:line="276" w:lineRule="auto"/>
              <w:rPr>
                <w:rFonts w:ascii="Times New Roman" w:hAnsi="Times New Roman"/>
                <w:b/>
                <w:bCs/>
                <w:sz w:val="20"/>
                <w:szCs w:val="20"/>
                <w:lang w:eastAsia="pl-PL"/>
              </w:rPr>
            </w:pPr>
            <w:r w:rsidRPr="00FF2570">
              <w:rPr>
                <w:rFonts w:ascii="Times New Roman" w:hAnsi="Times New Roman"/>
                <w:b/>
                <w:bCs/>
                <w:sz w:val="20"/>
                <w:szCs w:val="20"/>
                <w:lang w:eastAsia="pl-PL"/>
              </w:rPr>
              <w:t xml:space="preserve">1. </w:t>
            </w:r>
            <w:r w:rsidR="00830CA2" w:rsidRPr="00FF2570">
              <w:rPr>
                <w:rFonts w:ascii="Times New Roman" w:hAnsi="Times New Roman"/>
                <w:b/>
                <w:bCs/>
                <w:sz w:val="20"/>
                <w:szCs w:val="20"/>
                <w:lang w:eastAsia="pl-PL"/>
              </w:rPr>
              <w:t xml:space="preserve"> </w:t>
            </w:r>
            <w:r w:rsidRPr="00FF2570">
              <w:rPr>
                <w:rFonts w:ascii="Times New Roman" w:hAnsi="Times New Roman"/>
                <w:b/>
                <w:bCs/>
                <w:sz w:val="20"/>
                <w:szCs w:val="20"/>
                <w:lang w:eastAsia="pl-PL"/>
              </w:rPr>
              <w:t>Leczenie</w:t>
            </w:r>
            <w:r w:rsidR="002B0BAF" w:rsidRPr="00FF2570">
              <w:rPr>
                <w:rFonts w:ascii="Times New Roman" w:hAnsi="Times New Roman"/>
                <w:b/>
                <w:bCs/>
                <w:sz w:val="20"/>
                <w:szCs w:val="20"/>
                <w:lang w:eastAsia="pl-PL"/>
              </w:rPr>
              <w:t xml:space="preserve"> wysoko zróżnicowanego nowotworu neuroendokrynnego trzustki</w:t>
            </w:r>
            <w:r w:rsidRPr="00FF2570">
              <w:rPr>
                <w:rFonts w:ascii="Times New Roman" w:hAnsi="Times New Roman"/>
                <w:b/>
                <w:bCs/>
                <w:sz w:val="20"/>
                <w:szCs w:val="20"/>
                <w:lang w:eastAsia="pl-PL"/>
              </w:rPr>
              <w:t xml:space="preserve"> ewerolimus</w:t>
            </w:r>
            <w:r w:rsidR="002B0BAF" w:rsidRPr="00FF2570">
              <w:rPr>
                <w:rFonts w:ascii="Times New Roman" w:hAnsi="Times New Roman"/>
                <w:b/>
                <w:bCs/>
                <w:sz w:val="20"/>
                <w:szCs w:val="20"/>
                <w:lang w:eastAsia="pl-PL"/>
              </w:rPr>
              <w:t>em</w:t>
            </w:r>
          </w:p>
          <w:p w:rsidR="00E5276E" w:rsidRPr="00FF2570" w:rsidRDefault="00E5276E" w:rsidP="00544044">
            <w:pPr>
              <w:autoSpaceDE w:val="0"/>
              <w:autoSpaceDN w:val="0"/>
              <w:adjustRightInd w:val="0"/>
              <w:spacing w:before="120" w:after="120" w:line="276" w:lineRule="auto"/>
              <w:ind w:left="284" w:hanging="284"/>
              <w:rPr>
                <w:rFonts w:ascii="Times New Roman" w:hAnsi="Times New Roman"/>
                <w:b/>
                <w:bCs/>
                <w:sz w:val="20"/>
                <w:szCs w:val="20"/>
                <w:lang w:eastAsia="pl-PL"/>
              </w:rPr>
            </w:pPr>
            <w:r w:rsidRPr="00FF2570">
              <w:rPr>
                <w:rFonts w:ascii="Times New Roman" w:hAnsi="Times New Roman"/>
                <w:b/>
                <w:bCs/>
                <w:sz w:val="20"/>
                <w:szCs w:val="20"/>
                <w:lang w:eastAsia="pl-PL"/>
              </w:rPr>
              <w:t>1</w:t>
            </w:r>
            <w:r w:rsidR="004E11B7" w:rsidRPr="00FF2570">
              <w:rPr>
                <w:rFonts w:ascii="Times New Roman" w:hAnsi="Times New Roman"/>
                <w:b/>
                <w:bCs/>
                <w:sz w:val="20"/>
                <w:szCs w:val="20"/>
                <w:lang w:eastAsia="pl-PL"/>
              </w:rPr>
              <w:t>.1</w:t>
            </w:r>
            <w:r w:rsidR="003A1DCD" w:rsidRPr="00FF2570">
              <w:rPr>
                <w:rFonts w:ascii="Times New Roman" w:hAnsi="Times New Roman"/>
                <w:b/>
                <w:bCs/>
                <w:sz w:val="20"/>
                <w:szCs w:val="20"/>
                <w:lang w:eastAsia="pl-PL"/>
              </w:rPr>
              <w:t>.</w:t>
            </w:r>
            <w:r w:rsidRPr="00FF2570">
              <w:rPr>
                <w:rFonts w:ascii="Times New Roman" w:hAnsi="Times New Roman"/>
                <w:b/>
                <w:bCs/>
                <w:sz w:val="20"/>
                <w:szCs w:val="20"/>
                <w:lang w:eastAsia="pl-PL"/>
              </w:rPr>
              <w:t xml:space="preserve"> Kryteria kwalifikacji</w:t>
            </w:r>
          </w:p>
          <w:p w:rsidR="00DE51E0" w:rsidRPr="00FF2570" w:rsidRDefault="00825E5B" w:rsidP="00544044">
            <w:pPr>
              <w:pStyle w:val="Akapitzlist"/>
              <w:keepLines/>
              <w:widowControl w:val="0"/>
              <w:numPr>
                <w:ilvl w:val="0"/>
                <w:numId w:val="1"/>
              </w:numPr>
              <w:spacing w:before="120" w:line="276" w:lineRule="auto"/>
              <w:ind w:left="426" w:hanging="142"/>
              <w:jc w:val="left"/>
              <w:rPr>
                <w:rFonts w:ascii="Times New Roman" w:hAnsi="Times New Roman"/>
                <w:sz w:val="20"/>
                <w:szCs w:val="20"/>
              </w:rPr>
            </w:pPr>
            <w:r w:rsidRPr="00FF2570">
              <w:rPr>
                <w:rFonts w:ascii="Times New Roman" w:hAnsi="Times New Roman"/>
                <w:sz w:val="20"/>
                <w:szCs w:val="20"/>
              </w:rPr>
              <w:t>h</w:t>
            </w:r>
            <w:r w:rsidR="00DE51E0" w:rsidRPr="00FF2570">
              <w:rPr>
                <w:rFonts w:ascii="Times New Roman" w:hAnsi="Times New Roman"/>
                <w:sz w:val="20"/>
                <w:szCs w:val="20"/>
              </w:rPr>
              <w:t>istologiczne rozpoznanie</w:t>
            </w:r>
            <w:r w:rsidR="00471A86" w:rsidRPr="00FF2570">
              <w:rPr>
                <w:rFonts w:ascii="Times New Roman" w:hAnsi="Times New Roman"/>
                <w:sz w:val="20"/>
                <w:szCs w:val="20"/>
              </w:rPr>
              <w:t xml:space="preserve"> wysoko zróżnicowanego</w:t>
            </w:r>
            <w:r w:rsidR="00DE51E0" w:rsidRPr="00FF2570">
              <w:rPr>
                <w:rFonts w:ascii="Times New Roman" w:hAnsi="Times New Roman"/>
                <w:sz w:val="20"/>
                <w:szCs w:val="20"/>
              </w:rPr>
              <w:t xml:space="preserve"> nowotworu neuroendokrynnego trzustki</w:t>
            </w:r>
            <w:r w:rsidR="00471A86" w:rsidRPr="00FF2570">
              <w:rPr>
                <w:rFonts w:ascii="Times New Roman" w:hAnsi="Times New Roman"/>
                <w:sz w:val="20"/>
                <w:szCs w:val="20"/>
              </w:rPr>
              <w:t xml:space="preserve"> (stopień G1 lub G2 według klasyfikacji WHO z 2010 roku)</w:t>
            </w:r>
            <w:r w:rsidR="00D63586" w:rsidRPr="00FF2570">
              <w:rPr>
                <w:rFonts w:ascii="Times New Roman" w:hAnsi="Times New Roman"/>
                <w:sz w:val="20"/>
                <w:szCs w:val="20"/>
              </w:rPr>
              <w:t>;</w:t>
            </w:r>
          </w:p>
          <w:p w:rsidR="00DE51E0" w:rsidRPr="00FF2570" w:rsidRDefault="00825E5B" w:rsidP="00544044">
            <w:pPr>
              <w:pStyle w:val="Akapitzlist"/>
              <w:keepLines/>
              <w:widowControl w:val="0"/>
              <w:numPr>
                <w:ilvl w:val="0"/>
                <w:numId w:val="1"/>
              </w:numPr>
              <w:spacing w:before="120" w:line="276" w:lineRule="auto"/>
              <w:ind w:left="426" w:hanging="142"/>
              <w:jc w:val="left"/>
              <w:rPr>
                <w:rFonts w:ascii="Times New Roman" w:hAnsi="Times New Roman"/>
                <w:sz w:val="20"/>
                <w:szCs w:val="20"/>
              </w:rPr>
            </w:pPr>
            <w:r w:rsidRPr="00FF2570">
              <w:rPr>
                <w:rFonts w:ascii="Times New Roman" w:hAnsi="Times New Roman"/>
                <w:sz w:val="20"/>
                <w:szCs w:val="20"/>
              </w:rPr>
              <w:t>n</w:t>
            </w:r>
            <w:r w:rsidR="00DE51E0" w:rsidRPr="00FF2570">
              <w:rPr>
                <w:rFonts w:ascii="Times New Roman" w:hAnsi="Times New Roman"/>
                <w:sz w:val="20"/>
                <w:szCs w:val="20"/>
              </w:rPr>
              <w:t>owotwór w stadium miejscowo zaawansowanym</w:t>
            </w:r>
            <w:r w:rsidR="00E4220B" w:rsidRPr="00FF2570">
              <w:rPr>
                <w:rFonts w:ascii="Times New Roman" w:hAnsi="Times New Roman"/>
                <w:sz w:val="20"/>
                <w:szCs w:val="20"/>
              </w:rPr>
              <w:t xml:space="preserve"> </w:t>
            </w:r>
            <w:r w:rsidR="00DE51E0" w:rsidRPr="00FF2570">
              <w:rPr>
                <w:rFonts w:ascii="Times New Roman" w:hAnsi="Times New Roman"/>
                <w:sz w:val="20"/>
                <w:szCs w:val="20"/>
              </w:rPr>
              <w:t xml:space="preserve"> lub uogólnionym (IIIB i IV)</w:t>
            </w:r>
            <w:r w:rsidR="00D63586" w:rsidRPr="00FF2570">
              <w:rPr>
                <w:rFonts w:ascii="Times New Roman" w:hAnsi="Times New Roman"/>
                <w:sz w:val="20"/>
                <w:szCs w:val="20"/>
              </w:rPr>
              <w:t>;</w:t>
            </w:r>
          </w:p>
          <w:p w:rsidR="00DE51E0" w:rsidRPr="00FF2570" w:rsidRDefault="00825E5B" w:rsidP="00544044">
            <w:pPr>
              <w:pStyle w:val="Akapitzlist"/>
              <w:keepLines/>
              <w:widowControl w:val="0"/>
              <w:numPr>
                <w:ilvl w:val="0"/>
                <w:numId w:val="1"/>
              </w:numPr>
              <w:spacing w:before="120" w:line="276" w:lineRule="auto"/>
              <w:ind w:left="426" w:hanging="142"/>
              <w:jc w:val="left"/>
              <w:rPr>
                <w:rFonts w:ascii="Times New Roman" w:hAnsi="Times New Roman"/>
                <w:sz w:val="20"/>
                <w:szCs w:val="20"/>
              </w:rPr>
            </w:pPr>
            <w:r w:rsidRPr="00FF2570">
              <w:rPr>
                <w:rFonts w:ascii="Times New Roman" w:hAnsi="Times New Roman"/>
                <w:sz w:val="20"/>
                <w:szCs w:val="20"/>
              </w:rPr>
              <w:t>z</w:t>
            </w:r>
            <w:r w:rsidR="00DE51E0" w:rsidRPr="00FF2570">
              <w:rPr>
                <w:rFonts w:ascii="Times New Roman" w:hAnsi="Times New Roman"/>
                <w:sz w:val="20"/>
                <w:szCs w:val="20"/>
              </w:rPr>
              <w:t>aawansowanie uniemożliwiające radykalne leczenie metodami chirurgicznymi</w:t>
            </w:r>
            <w:r w:rsidR="00D63586" w:rsidRPr="00FF2570">
              <w:rPr>
                <w:rFonts w:ascii="Times New Roman" w:hAnsi="Times New Roman"/>
                <w:sz w:val="20"/>
                <w:szCs w:val="20"/>
              </w:rPr>
              <w:t>;</w:t>
            </w:r>
            <w:r w:rsidR="00DE51E0" w:rsidRPr="00FF2570">
              <w:rPr>
                <w:rFonts w:ascii="Times New Roman" w:hAnsi="Times New Roman"/>
                <w:sz w:val="20"/>
                <w:szCs w:val="20"/>
              </w:rPr>
              <w:t xml:space="preserve"> </w:t>
            </w:r>
          </w:p>
          <w:p w:rsidR="00DE51E0" w:rsidRPr="00FF2570" w:rsidRDefault="00825E5B" w:rsidP="00544044">
            <w:pPr>
              <w:pStyle w:val="Akapitzlist"/>
              <w:keepLines/>
              <w:widowControl w:val="0"/>
              <w:numPr>
                <w:ilvl w:val="0"/>
                <w:numId w:val="1"/>
              </w:numPr>
              <w:spacing w:before="120" w:line="276" w:lineRule="auto"/>
              <w:ind w:left="426" w:hanging="142"/>
              <w:jc w:val="left"/>
              <w:rPr>
                <w:rFonts w:ascii="Times New Roman" w:hAnsi="Times New Roman"/>
                <w:sz w:val="20"/>
                <w:szCs w:val="20"/>
              </w:rPr>
            </w:pPr>
            <w:r w:rsidRPr="00FF2570">
              <w:rPr>
                <w:rFonts w:ascii="Times New Roman" w:hAnsi="Times New Roman"/>
                <w:sz w:val="20"/>
                <w:szCs w:val="20"/>
              </w:rPr>
              <w:t>u</w:t>
            </w:r>
            <w:r w:rsidR="00DE51E0" w:rsidRPr="00FF2570">
              <w:rPr>
                <w:rFonts w:ascii="Times New Roman" w:hAnsi="Times New Roman"/>
                <w:sz w:val="20"/>
                <w:szCs w:val="20"/>
              </w:rPr>
              <w:t>dokumentowana progresja choroby w ciągu 12 mi</w:t>
            </w:r>
            <w:r w:rsidR="00D63586" w:rsidRPr="00FF2570">
              <w:rPr>
                <w:rFonts w:ascii="Times New Roman" w:hAnsi="Times New Roman"/>
                <w:sz w:val="20"/>
                <w:szCs w:val="20"/>
              </w:rPr>
              <w:t>esięcy do włączenia do programu;</w:t>
            </w:r>
          </w:p>
          <w:p w:rsidR="00B622F4" w:rsidRPr="00FF2570" w:rsidRDefault="00B622F4" w:rsidP="00544044">
            <w:pPr>
              <w:pStyle w:val="Akapitzlist"/>
              <w:keepLines/>
              <w:widowControl w:val="0"/>
              <w:numPr>
                <w:ilvl w:val="0"/>
                <w:numId w:val="1"/>
              </w:numPr>
              <w:spacing w:before="120" w:line="276" w:lineRule="auto"/>
              <w:ind w:left="426" w:hanging="142"/>
              <w:jc w:val="left"/>
              <w:rPr>
                <w:rFonts w:ascii="Times New Roman" w:hAnsi="Times New Roman"/>
                <w:sz w:val="20"/>
                <w:szCs w:val="20"/>
              </w:rPr>
            </w:pPr>
            <w:r w:rsidRPr="00FF2570">
              <w:rPr>
                <w:rFonts w:ascii="Times New Roman" w:hAnsi="Times New Roman"/>
                <w:sz w:val="20"/>
                <w:szCs w:val="20"/>
              </w:rPr>
              <w:t xml:space="preserve">odpowiednia </w:t>
            </w:r>
            <w:r w:rsidR="00297E93" w:rsidRPr="00FF2570">
              <w:rPr>
                <w:rFonts w:ascii="Times New Roman" w:hAnsi="Times New Roman"/>
                <w:sz w:val="20"/>
                <w:szCs w:val="20"/>
              </w:rPr>
              <w:t>czynność szpiku kostnego i </w:t>
            </w:r>
            <w:r w:rsidR="00DE51E0" w:rsidRPr="00FF2570">
              <w:rPr>
                <w:rFonts w:ascii="Times New Roman" w:hAnsi="Times New Roman"/>
                <w:sz w:val="20"/>
                <w:szCs w:val="20"/>
              </w:rPr>
              <w:t>parametrów krzepnięcia krwi</w:t>
            </w:r>
            <w:r w:rsidRPr="00FF2570">
              <w:rPr>
                <w:rFonts w:ascii="Times New Roman" w:hAnsi="Times New Roman"/>
                <w:sz w:val="20"/>
                <w:szCs w:val="20"/>
              </w:rPr>
              <w:t xml:space="preserve">: </w:t>
            </w:r>
          </w:p>
          <w:p w:rsidR="00B622F4" w:rsidRPr="00FF2570" w:rsidRDefault="00B622F4" w:rsidP="00544044">
            <w:pPr>
              <w:pStyle w:val="Akapitzlist"/>
              <w:keepLines/>
              <w:widowControl w:val="0"/>
              <w:numPr>
                <w:ilvl w:val="0"/>
                <w:numId w:val="25"/>
              </w:numPr>
              <w:spacing w:before="120" w:line="276" w:lineRule="auto"/>
              <w:jc w:val="left"/>
              <w:rPr>
                <w:rFonts w:ascii="Times New Roman" w:hAnsi="Times New Roman"/>
                <w:sz w:val="20"/>
                <w:szCs w:val="20"/>
              </w:rPr>
            </w:pPr>
            <w:r w:rsidRPr="00FF2570">
              <w:rPr>
                <w:rFonts w:ascii="Times New Roman" w:hAnsi="Times New Roman"/>
                <w:sz w:val="20"/>
                <w:szCs w:val="20"/>
              </w:rPr>
              <w:t>liczba płytek krwi większa lub równa 10</w:t>
            </w:r>
            <w:r w:rsidRPr="00FF2570">
              <w:rPr>
                <w:rFonts w:ascii="Times New Roman" w:hAnsi="Times New Roman"/>
                <w:sz w:val="20"/>
                <w:szCs w:val="20"/>
                <w:vertAlign w:val="superscript"/>
              </w:rPr>
              <w:t>5</w:t>
            </w:r>
            <w:r w:rsidRPr="00FF2570">
              <w:rPr>
                <w:rFonts w:ascii="Times New Roman" w:hAnsi="Times New Roman"/>
                <w:sz w:val="20"/>
                <w:szCs w:val="20"/>
              </w:rPr>
              <w:t>/mm</w:t>
            </w:r>
            <w:r w:rsidRPr="00FF2570">
              <w:rPr>
                <w:rFonts w:ascii="Times New Roman" w:hAnsi="Times New Roman"/>
                <w:sz w:val="20"/>
                <w:szCs w:val="20"/>
                <w:vertAlign w:val="superscript"/>
              </w:rPr>
              <w:t>3</w:t>
            </w:r>
            <w:r w:rsidRPr="00FF2570">
              <w:rPr>
                <w:rFonts w:ascii="Times New Roman" w:hAnsi="Times New Roman"/>
                <w:sz w:val="20"/>
                <w:szCs w:val="20"/>
              </w:rPr>
              <w:t>,</w:t>
            </w:r>
          </w:p>
          <w:p w:rsidR="00B622F4" w:rsidRPr="00FF2570" w:rsidRDefault="00B622F4" w:rsidP="00544044">
            <w:pPr>
              <w:pStyle w:val="Akapitzlist"/>
              <w:keepLines/>
              <w:widowControl w:val="0"/>
              <w:numPr>
                <w:ilvl w:val="0"/>
                <w:numId w:val="25"/>
              </w:numPr>
              <w:spacing w:before="120" w:line="276" w:lineRule="auto"/>
              <w:jc w:val="left"/>
              <w:rPr>
                <w:rFonts w:ascii="Times New Roman" w:hAnsi="Times New Roman"/>
                <w:sz w:val="20"/>
                <w:szCs w:val="20"/>
              </w:rPr>
            </w:pPr>
            <w:r w:rsidRPr="00FF2570">
              <w:rPr>
                <w:rFonts w:ascii="Times New Roman" w:hAnsi="Times New Roman"/>
                <w:sz w:val="20"/>
                <w:szCs w:val="20"/>
              </w:rPr>
              <w:t>bezwzględna liczba granulocytów obojętnochłonnych większa lub równa 1500/mm</w:t>
            </w:r>
            <w:r w:rsidRPr="00FF2570">
              <w:rPr>
                <w:rFonts w:ascii="Times New Roman" w:hAnsi="Times New Roman"/>
                <w:sz w:val="20"/>
                <w:szCs w:val="20"/>
                <w:vertAlign w:val="superscript"/>
              </w:rPr>
              <w:t>3</w:t>
            </w:r>
            <w:r w:rsidRPr="00FF2570">
              <w:rPr>
                <w:rFonts w:ascii="Times New Roman" w:hAnsi="Times New Roman"/>
                <w:sz w:val="20"/>
                <w:szCs w:val="20"/>
              </w:rPr>
              <w:t>,</w:t>
            </w:r>
          </w:p>
          <w:p w:rsidR="00B622F4" w:rsidRPr="00FF2570" w:rsidRDefault="00B622F4" w:rsidP="00544044">
            <w:pPr>
              <w:pStyle w:val="Akapitzlist"/>
              <w:keepLines/>
              <w:widowControl w:val="0"/>
              <w:numPr>
                <w:ilvl w:val="0"/>
                <w:numId w:val="25"/>
              </w:numPr>
              <w:spacing w:before="120" w:line="276" w:lineRule="auto"/>
              <w:jc w:val="left"/>
              <w:rPr>
                <w:rFonts w:ascii="Times New Roman" w:hAnsi="Times New Roman"/>
                <w:sz w:val="20"/>
                <w:szCs w:val="20"/>
              </w:rPr>
            </w:pPr>
            <w:r w:rsidRPr="00FF2570">
              <w:rPr>
                <w:rFonts w:ascii="Times New Roman" w:hAnsi="Times New Roman"/>
                <w:sz w:val="20"/>
                <w:szCs w:val="20"/>
              </w:rPr>
              <w:t>stężenie hemoglobiny większe lub równe 10 g/dl,</w:t>
            </w:r>
          </w:p>
          <w:p w:rsidR="00DE51E0" w:rsidRPr="00FF2570" w:rsidRDefault="00824922" w:rsidP="00544044">
            <w:pPr>
              <w:pStyle w:val="Akapitzlist"/>
              <w:keepLines/>
              <w:widowControl w:val="0"/>
              <w:numPr>
                <w:ilvl w:val="0"/>
                <w:numId w:val="25"/>
              </w:numPr>
              <w:spacing w:before="120" w:line="276" w:lineRule="auto"/>
              <w:jc w:val="left"/>
              <w:rPr>
                <w:rFonts w:ascii="Times New Roman" w:hAnsi="Times New Roman"/>
                <w:sz w:val="20"/>
                <w:szCs w:val="20"/>
              </w:rPr>
            </w:pPr>
            <w:r w:rsidRPr="00FF2570">
              <w:rPr>
                <w:rFonts w:ascii="Times New Roman" w:hAnsi="Times New Roman"/>
                <w:sz w:val="20"/>
                <w:szCs w:val="20"/>
              </w:rPr>
              <w:t xml:space="preserve">międzynarodowy współczynnik znormalizowany </w:t>
            </w:r>
            <w:r w:rsidR="00B622F4" w:rsidRPr="00FF2570">
              <w:rPr>
                <w:rFonts w:ascii="Times New Roman" w:hAnsi="Times New Roman"/>
                <w:sz w:val="20"/>
                <w:szCs w:val="20"/>
              </w:rPr>
              <w:t>(INR) czasu</w:t>
            </w:r>
            <w:r w:rsidR="00971D28" w:rsidRPr="00FF2570">
              <w:rPr>
                <w:rFonts w:ascii="Times New Roman" w:hAnsi="Times New Roman"/>
                <w:sz w:val="20"/>
                <w:szCs w:val="20"/>
              </w:rPr>
              <w:t xml:space="preserve">  </w:t>
            </w:r>
            <w:r w:rsidR="00B622F4" w:rsidRPr="00FF2570">
              <w:rPr>
                <w:rFonts w:ascii="Times New Roman" w:hAnsi="Times New Roman"/>
                <w:sz w:val="20"/>
                <w:szCs w:val="20"/>
              </w:rPr>
              <w:t>protrombinowego w granicach 0,85-1,15</w:t>
            </w:r>
            <w:r w:rsidR="00237D15" w:rsidRPr="00FF2570">
              <w:rPr>
                <w:rFonts w:ascii="Times New Roman" w:hAnsi="Times New Roman"/>
                <w:sz w:val="20"/>
                <w:szCs w:val="20"/>
              </w:rPr>
              <w:t>;</w:t>
            </w:r>
          </w:p>
          <w:p w:rsidR="00DE51E0" w:rsidRPr="00FF2570" w:rsidRDefault="00825E5B" w:rsidP="00544044">
            <w:pPr>
              <w:pStyle w:val="Akapitzlist"/>
              <w:keepLines/>
              <w:widowControl w:val="0"/>
              <w:numPr>
                <w:ilvl w:val="0"/>
                <w:numId w:val="1"/>
              </w:numPr>
              <w:spacing w:before="120" w:line="276" w:lineRule="auto"/>
              <w:ind w:left="426" w:hanging="142"/>
              <w:jc w:val="left"/>
              <w:rPr>
                <w:rFonts w:ascii="Times New Roman" w:hAnsi="Times New Roman"/>
                <w:sz w:val="20"/>
                <w:szCs w:val="20"/>
              </w:rPr>
            </w:pPr>
            <w:r w:rsidRPr="00FF2570">
              <w:rPr>
                <w:rFonts w:ascii="Times New Roman" w:hAnsi="Times New Roman"/>
                <w:sz w:val="20"/>
                <w:szCs w:val="20"/>
              </w:rPr>
              <w:t>o</w:t>
            </w:r>
            <w:r w:rsidR="00DE51E0" w:rsidRPr="00FF2570">
              <w:rPr>
                <w:rFonts w:ascii="Times New Roman" w:hAnsi="Times New Roman"/>
                <w:sz w:val="20"/>
                <w:szCs w:val="20"/>
              </w:rPr>
              <w:t xml:space="preserve">dpowiednia czynność </w:t>
            </w:r>
            <w:r w:rsidR="00601DE4" w:rsidRPr="00FF2570">
              <w:rPr>
                <w:rFonts w:ascii="Times New Roman" w:hAnsi="Times New Roman"/>
                <w:sz w:val="20"/>
                <w:szCs w:val="20"/>
              </w:rPr>
              <w:t xml:space="preserve">nerek i </w:t>
            </w:r>
            <w:r w:rsidR="00DE51E0" w:rsidRPr="00FF2570">
              <w:rPr>
                <w:rFonts w:ascii="Times New Roman" w:hAnsi="Times New Roman"/>
                <w:sz w:val="20"/>
                <w:szCs w:val="20"/>
              </w:rPr>
              <w:t>wątroby</w:t>
            </w:r>
            <w:r w:rsidR="00587E61" w:rsidRPr="00FF2570">
              <w:rPr>
                <w:rFonts w:ascii="Times New Roman" w:hAnsi="Times New Roman"/>
                <w:sz w:val="20"/>
                <w:szCs w:val="20"/>
              </w:rPr>
              <w:t xml:space="preserve"> (stosowanie ewerolimusu nie jest zalecane u</w:t>
            </w:r>
            <w:r w:rsidR="00601DE4" w:rsidRPr="00FF2570">
              <w:rPr>
                <w:rFonts w:ascii="Times New Roman" w:hAnsi="Times New Roman"/>
                <w:sz w:val="20"/>
                <w:szCs w:val="20"/>
              </w:rPr>
              <w:t> </w:t>
            </w:r>
            <w:r w:rsidR="00587E61" w:rsidRPr="00FF2570">
              <w:rPr>
                <w:rFonts w:ascii="Times New Roman" w:hAnsi="Times New Roman"/>
                <w:sz w:val="20"/>
                <w:szCs w:val="20"/>
              </w:rPr>
              <w:t xml:space="preserve">chorych z ciężkimi zaburzeniami czynności wątroby – C według czynnościowej </w:t>
            </w:r>
            <w:r w:rsidR="00587E61" w:rsidRPr="00FF2570">
              <w:rPr>
                <w:rFonts w:ascii="Times New Roman" w:hAnsi="Times New Roman"/>
                <w:sz w:val="20"/>
                <w:szCs w:val="20"/>
              </w:rPr>
              <w:lastRenderedPageBreak/>
              <w:t>skali Child-Pugh)</w:t>
            </w:r>
            <w:r w:rsidR="00D63586" w:rsidRPr="00FF2570">
              <w:rPr>
                <w:rFonts w:ascii="Times New Roman" w:hAnsi="Times New Roman"/>
                <w:sz w:val="20"/>
                <w:szCs w:val="20"/>
              </w:rPr>
              <w:t>;</w:t>
            </w:r>
          </w:p>
          <w:p w:rsidR="00DE51E0" w:rsidRPr="00FF2570" w:rsidRDefault="00587E61" w:rsidP="00544044">
            <w:pPr>
              <w:pStyle w:val="Akapitzlist"/>
              <w:keepLines/>
              <w:widowControl w:val="0"/>
              <w:numPr>
                <w:ilvl w:val="0"/>
                <w:numId w:val="1"/>
              </w:numPr>
              <w:spacing w:before="120" w:line="276" w:lineRule="auto"/>
              <w:ind w:left="426" w:hanging="142"/>
              <w:jc w:val="left"/>
              <w:rPr>
                <w:rFonts w:ascii="Times New Roman" w:hAnsi="Times New Roman"/>
                <w:sz w:val="20"/>
                <w:szCs w:val="20"/>
              </w:rPr>
            </w:pPr>
            <w:r w:rsidRPr="00FF2570">
              <w:rPr>
                <w:rFonts w:ascii="Times New Roman" w:hAnsi="Times New Roman"/>
                <w:sz w:val="20"/>
                <w:szCs w:val="20"/>
              </w:rPr>
              <w:t xml:space="preserve">stała i na właściwym poziomie </w:t>
            </w:r>
            <w:r w:rsidR="00DE51E0" w:rsidRPr="00FF2570">
              <w:rPr>
                <w:rFonts w:ascii="Times New Roman" w:hAnsi="Times New Roman"/>
                <w:sz w:val="20"/>
                <w:szCs w:val="20"/>
              </w:rPr>
              <w:t>kontrola glukozy</w:t>
            </w:r>
            <w:r w:rsidR="001B2428" w:rsidRPr="00FF2570">
              <w:rPr>
                <w:rFonts w:ascii="Times New Roman" w:hAnsi="Times New Roman"/>
                <w:sz w:val="20"/>
                <w:szCs w:val="20"/>
              </w:rPr>
              <w:t>, cholesterolu</w:t>
            </w:r>
            <w:r w:rsidR="00D04FDE" w:rsidRPr="00FF2570">
              <w:rPr>
                <w:rFonts w:ascii="Times New Roman" w:hAnsi="Times New Roman"/>
                <w:sz w:val="20"/>
                <w:szCs w:val="20"/>
              </w:rPr>
              <w:t xml:space="preserve"> oraz trój</w:t>
            </w:r>
            <w:r w:rsidR="00DE51E0" w:rsidRPr="00FF2570">
              <w:rPr>
                <w:rFonts w:ascii="Times New Roman" w:hAnsi="Times New Roman"/>
                <w:sz w:val="20"/>
                <w:szCs w:val="20"/>
              </w:rPr>
              <w:t>glicerydów</w:t>
            </w:r>
            <w:r w:rsidR="00D63586" w:rsidRPr="00FF2570">
              <w:rPr>
                <w:rFonts w:ascii="Times New Roman" w:hAnsi="Times New Roman"/>
                <w:sz w:val="20"/>
                <w:szCs w:val="20"/>
              </w:rPr>
              <w:t>;</w:t>
            </w:r>
            <w:r w:rsidR="00DE51E0" w:rsidRPr="00FF2570">
              <w:rPr>
                <w:rFonts w:ascii="Times New Roman" w:hAnsi="Times New Roman"/>
                <w:sz w:val="20"/>
                <w:szCs w:val="20"/>
              </w:rPr>
              <w:t xml:space="preserve"> </w:t>
            </w:r>
          </w:p>
          <w:p w:rsidR="00DE51E0" w:rsidRPr="00FF2570" w:rsidRDefault="00F30199" w:rsidP="00544044">
            <w:pPr>
              <w:pStyle w:val="Akapitzlist"/>
              <w:keepLines/>
              <w:widowControl w:val="0"/>
              <w:numPr>
                <w:ilvl w:val="0"/>
                <w:numId w:val="1"/>
              </w:numPr>
              <w:spacing w:before="120" w:line="276" w:lineRule="auto"/>
              <w:jc w:val="left"/>
              <w:rPr>
                <w:rFonts w:ascii="Times New Roman" w:hAnsi="Times New Roman"/>
                <w:sz w:val="20"/>
                <w:szCs w:val="20"/>
              </w:rPr>
            </w:pPr>
            <w:r w:rsidRPr="00FF2570">
              <w:rPr>
                <w:rFonts w:ascii="Times New Roman" w:hAnsi="Times New Roman"/>
                <w:sz w:val="20"/>
                <w:szCs w:val="20"/>
              </w:rPr>
              <w:t xml:space="preserve">stan </w:t>
            </w:r>
            <w:r w:rsidR="00DE51E0" w:rsidRPr="00FF2570">
              <w:rPr>
                <w:rFonts w:ascii="Times New Roman" w:hAnsi="Times New Roman"/>
                <w:sz w:val="20"/>
                <w:szCs w:val="20"/>
              </w:rPr>
              <w:t>sprawności</w:t>
            </w:r>
            <w:r w:rsidRPr="00FF2570">
              <w:rPr>
                <w:rFonts w:ascii="Times New Roman" w:hAnsi="Times New Roman"/>
                <w:sz w:val="20"/>
                <w:szCs w:val="20"/>
              </w:rPr>
              <w:t xml:space="preserve"> 0-2</w:t>
            </w:r>
            <w:r w:rsidR="00DE51E0" w:rsidRPr="00FF2570">
              <w:rPr>
                <w:rFonts w:ascii="Times New Roman" w:hAnsi="Times New Roman"/>
                <w:sz w:val="20"/>
                <w:szCs w:val="20"/>
              </w:rPr>
              <w:t xml:space="preserve"> w</w:t>
            </w:r>
            <w:r w:rsidR="00A839F4" w:rsidRPr="00FF2570">
              <w:rPr>
                <w:rFonts w:ascii="Times New Roman" w:hAnsi="Times New Roman"/>
                <w:sz w:val="20"/>
                <w:szCs w:val="20"/>
              </w:rPr>
              <w:t>edłu</w:t>
            </w:r>
            <w:r w:rsidR="00DE51E0" w:rsidRPr="00FF2570">
              <w:rPr>
                <w:rFonts w:ascii="Times New Roman" w:hAnsi="Times New Roman"/>
                <w:sz w:val="20"/>
                <w:szCs w:val="20"/>
              </w:rPr>
              <w:t xml:space="preserve">g </w:t>
            </w:r>
            <w:r w:rsidRPr="00FF2570">
              <w:rPr>
                <w:rFonts w:ascii="Times New Roman" w:hAnsi="Times New Roman"/>
                <w:sz w:val="20"/>
                <w:szCs w:val="20"/>
              </w:rPr>
              <w:t xml:space="preserve">klasyfikacji  </w:t>
            </w:r>
            <w:r w:rsidR="00DE51E0" w:rsidRPr="00FF2570">
              <w:rPr>
                <w:rFonts w:ascii="Times New Roman" w:hAnsi="Times New Roman"/>
                <w:sz w:val="20"/>
                <w:szCs w:val="20"/>
              </w:rPr>
              <w:t>ECOG</w:t>
            </w:r>
            <w:r w:rsidR="00F21968" w:rsidRPr="00FF2570">
              <w:rPr>
                <w:rFonts w:ascii="Times New Roman" w:hAnsi="Times New Roman"/>
                <w:sz w:val="20"/>
                <w:szCs w:val="20"/>
              </w:rPr>
              <w:t xml:space="preserve"> (Eastern Cooperative Oncology Group)</w:t>
            </w:r>
            <w:r w:rsidR="00D63586" w:rsidRPr="00FF2570">
              <w:rPr>
                <w:rFonts w:ascii="Times New Roman" w:hAnsi="Times New Roman"/>
                <w:sz w:val="20"/>
                <w:szCs w:val="20"/>
              </w:rPr>
              <w:t xml:space="preserve"> lub WHO;</w:t>
            </w:r>
          </w:p>
          <w:p w:rsidR="0084391C" w:rsidRPr="00FF2570" w:rsidRDefault="00601DE4" w:rsidP="00544044">
            <w:pPr>
              <w:pStyle w:val="Akapitzlist"/>
              <w:keepLines/>
              <w:widowControl w:val="0"/>
              <w:numPr>
                <w:ilvl w:val="0"/>
                <w:numId w:val="1"/>
              </w:numPr>
              <w:spacing w:before="120" w:line="276" w:lineRule="auto"/>
              <w:jc w:val="left"/>
              <w:rPr>
                <w:rFonts w:ascii="Times New Roman" w:hAnsi="Times New Roman"/>
                <w:bCs/>
                <w:sz w:val="20"/>
                <w:szCs w:val="20"/>
                <w:lang w:eastAsia="pl-PL"/>
              </w:rPr>
            </w:pPr>
            <w:r w:rsidRPr="00FF2570">
              <w:rPr>
                <w:rFonts w:ascii="Times New Roman" w:hAnsi="Times New Roman"/>
                <w:sz w:val="20"/>
                <w:szCs w:val="20"/>
              </w:rPr>
              <w:t>m</w:t>
            </w:r>
            <w:r w:rsidR="00F30199" w:rsidRPr="00FF2570">
              <w:rPr>
                <w:rFonts w:ascii="Times New Roman" w:hAnsi="Times New Roman"/>
                <w:sz w:val="20"/>
                <w:szCs w:val="20"/>
              </w:rPr>
              <w:t>ożliwość określenia wymiarów zmian chorobowych według kryteriów klasyfikacji RECIST 1.1.</w:t>
            </w:r>
            <w:r w:rsidR="00F21968" w:rsidRPr="00FF2570">
              <w:rPr>
                <w:rFonts w:ascii="Times New Roman" w:hAnsi="Times New Roman"/>
                <w:sz w:val="20"/>
                <w:szCs w:val="20"/>
              </w:rPr>
              <w:t xml:space="preserve"> (Response Evaluation Criteria in Solid Tumors)</w:t>
            </w:r>
            <w:r w:rsidR="00D63586" w:rsidRPr="00FF2570">
              <w:rPr>
                <w:rFonts w:ascii="Times New Roman" w:hAnsi="Times New Roman"/>
                <w:sz w:val="20"/>
                <w:szCs w:val="20"/>
              </w:rPr>
              <w:t>;</w:t>
            </w:r>
          </w:p>
          <w:p w:rsidR="00D63586" w:rsidRPr="00FF2570" w:rsidRDefault="00D63586" w:rsidP="00544044">
            <w:pPr>
              <w:pStyle w:val="Akapitzlist"/>
              <w:keepLines/>
              <w:widowControl w:val="0"/>
              <w:numPr>
                <w:ilvl w:val="0"/>
                <w:numId w:val="1"/>
              </w:numPr>
              <w:spacing w:before="120" w:line="276" w:lineRule="auto"/>
              <w:ind w:left="426" w:hanging="142"/>
              <w:jc w:val="left"/>
              <w:rPr>
                <w:rFonts w:ascii="Times New Roman" w:hAnsi="Times New Roman"/>
                <w:bCs/>
                <w:sz w:val="20"/>
                <w:szCs w:val="20"/>
                <w:lang w:eastAsia="pl-PL"/>
              </w:rPr>
            </w:pPr>
            <w:r w:rsidRPr="00FF2570">
              <w:rPr>
                <w:rFonts w:ascii="Times New Roman" w:hAnsi="Times New Roman"/>
                <w:bCs/>
                <w:sz w:val="20"/>
                <w:szCs w:val="20"/>
                <w:lang w:eastAsia="pl-PL"/>
              </w:rPr>
              <w:t>wiek powyżej 18  roku życia.</w:t>
            </w:r>
          </w:p>
          <w:p w:rsidR="0084391C" w:rsidRPr="00FF2570" w:rsidRDefault="00DC029D" w:rsidP="00544044">
            <w:pPr>
              <w:keepLines/>
              <w:widowControl w:val="0"/>
              <w:spacing w:before="120" w:after="120" w:line="276" w:lineRule="auto"/>
              <w:contextualSpacing/>
              <w:rPr>
                <w:rFonts w:ascii="Times New Roman" w:hAnsi="Times New Roman"/>
                <w:sz w:val="20"/>
                <w:szCs w:val="20"/>
              </w:rPr>
            </w:pPr>
            <w:r w:rsidRPr="00FF2570">
              <w:rPr>
                <w:rFonts w:ascii="Times New Roman" w:hAnsi="Times New Roman"/>
                <w:sz w:val="20"/>
                <w:szCs w:val="20"/>
              </w:rPr>
              <w:t>Kryteria kwalifikacji muszą być spełnione łącznie.</w:t>
            </w:r>
          </w:p>
          <w:p w:rsidR="00830CA2" w:rsidRPr="00FF2570" w:rsidRDefault="00830CA2" w:rsidP="00544044">
            <w:pPr>
              <w:keepLines/>
              <w:widowControl w:val="0"/>
              <w:spacing w:before="120" w:after="120" w:line="276" w:lineRule="auto"/>
              <w:contextualSpacing/>
              <w:rPr>
                <w:rFonts w:ascii="Times New Roman" w:hAnsi="Times New Roman"/>
                <w:b/>
                <w:bCs/>
                <w:sz w:val="20"/>
                <w:szCs w:val="20"/>
                <w:lang w:eastAsia="pl-PL"/>
              </w:rPr>
            </w:pPr>
          </w:p>
          <w:p w:rsidR="00DE51E0" w:rsidRPr="00FF2570" w:rsidRDefault="004E11B7" w:rsidP="00544044">
            <w:pPr>
              <w:keepLines/>
              <w:widowControl w:val="0"/>
              <w:spacing w:before="120" w:after="120" w:line="276" w:lineRule="auto"/>
              <w:ind w:left="284" w:hanging="284"/>
              <w:rPr>
                <w:rFonts w:ascii="Times New Roman" w:hAnsi="Times New Roman"/>
                <w:b/>
                <w:bCs/>
                <w:sz w:val="20"/>
                <w:szCs w:val="20"/>
                <w:lang w:eastAsia="pl-PL"/>
              </w:rPr>
            </w:pPr>
            <w:r w:rsidRPr="00FF2570">
              <w:rPr>
                <w:rFonts w:ascii="Times New Roman" w:hAnsi="Times New Roman"/>
                <w:b/>
                <w:bCs/>
                <w:sz w:val="20"/>
                <w:szCs w:val="20"/>
                <w:lang w:eastAsia="pl-PL"/>
              </w:rPr>
              <w:t>1.</w:t>
            </w:r>
            <w:r w:rsidR="00E5276E" w:rsidRPr="00FF2570">
              <w:rPr>
                <w:rFonts w:ascii="Times New Roman" w:hAnsi="Times New Roman"/>
                <w:b/>
                <w:bCs/>
                <w:sz w:val="20"/>
                <w:szCs w:val="20"/>
                <w:lang w:eastAsia="pl-PL"/>
              </w:rPr>
              <w:t>2. Określenie czasu leczenia w programie</w:t>
            </w:r>
          </w:p>
          <w:p w:rsidR="002875B2" w:rsidRPr="00FF2570" w:rsidRDefault="005A2276" w:rsidP="00544044">
            <w:pPr>
              <w:keepLines/>
              <w:widowControl w:val="0"/>
              <w:autoSpaceDE w:val="0"/>
              <w:autoSpaceDN w:val="0"/>
              <w:adjustRightInd w:val="0"/>
              <w:spacing w:before="120" w:after="120" w:line="276" w:lineRule="auto"/>
              <w:rPr>
                <w:rFonts w:ascii="Times New Roman" w:hAnsi="Times New Roman"/>
                <w:bCs/>
                <w:sz w:val="20"/>
                <w:szCs w:val="20"/>
                <w:lang w:eastAsia="pl-PL"/>
              </w:rPr>
            </w:pPr>
            <w:r w:rsidRPr="00FF2570">
              <w:rPr>
                <w:rFonts w:ascii="Times New Roman" w:hAnsi="Times New Roman"/>
                <w:bCs/>
                <w:sz w:val="20"/>
                <w:szCs w:val="20"/>
                <w:lang w:eastAsia="pl-PL"/>
              </w:rPr>
              <w:t>Leczenie ewerolimusem należy kontynuować do wystąpienia progresji choroby lub działań niepożądany</w:t>
            </w:r>
            <w:r w:rsidR="00A839F4" w:rsidRPr="00FF2570">
              <w:rPr>
                <w:rFonts w:ascii="Times New Roman" w:hAnsi="Times New Roman"/>
                <w:bCs/>
                <w:sz w:val="20"/>
                <w:szCs w:val="20"/>
                <w:lang w:eastAsia="pl-PL"/>
              </w:rPr>
              <w:t>ch, które w ocenie lekarza lub</w:t>
            </w:r>
            <w:r w:rsidRPr="00FF2570">
              <w:rPr>
                <w:rFonts w:ascii="Times New Roman" w:hAnsi="Times New Roman"/>
                <w:bCs/>
                <w:sz w:val="20"/>
                <w:szCs w:val="20"/>
                <w:lang w:eastAsia="pl-PL"/>
              </w:rPr>
              <w:t xml:space="preserve"> chorego uniemożliwiają dalsze stosowanie leku</w:t>
            </w:r>
            <w:r w:rsidR="00736021" w:rsidRPr="00FF2570">
              <w:rPr>
                <w:rFonts w:ascii="Times New Roman" w:hAnsi="Times New Roman"/>
                <w:bCs/>
                <w:sz w:val="20"/>
                <w:szCs w:val="20"/>
                <w:lang w:eastAsia="pl-PL"/>
              </w:rPr>
              <w:t>.</w:t>
            </w:r>
          </w:p>
          <w:p w:rsidR="00E5276E" w:rsidRPr="00FF2570" w:rsidRDefault="004E11B7" w:rsidP="00544044">
            <w:pPr>
              <w:keepLines/>
              <w:widowControl w:val="0"/>
              <w:autoSpaceDE w:val="0"/>
              <w:autoSpaceDN w:val="0"/>
              <w:adjustRightInd w:val="0"/>
              <w:spacing w:before="120" w:after="120" w:line="276" w:lineRule="auto"/>
              <w:ind w:left="284" w:hanging="284"/>
              <w:contextualSpacing/>
              <w:rPr>
                <w:rFonts w:ascii="Times New Roman" w:hAnsi="Times New Roman"/>
                <w:b/>
                <w:bCs/>
                <w:sz w:val="20"/>
                <w:szCs w:val="20"/>
                <w:lang w:eastAsia="pl-PL"/>
              </w:rPr>
            </w:pPr>
            <w:r w:rsidRPr="00FF2570">
              <w:rPr>
                <w:rFonts w:ascii="Times New Roman" w:hAnsi="Times New Roman"/>
                <w:b/>
                <w:bCs/>
                <w:sz w:val="20"/>
                <w:szCs w:val="20"/>
                <w:lang w:eastAsia="pl-PL"/>
              </w:rPr>
              <w:t>1.</w:t>
            </w:r>
            <w:r w:rsidR="00E5276E" w:rsidRPr="00FF2570">
              <w:rPr>
                <w:rFonts w:ascii="Times New Roman" w:hAnsi="Times New Roman"/>
                <w:b/>
                <w:bCs/>
                <w:sz w:val="20"/>
                <w:szCs w:val="20"/>
                <w:lang w:eastAsia="pl-PL"/>
              </w:rPr>
              <w:t>3. Kryteria wyłączenia</w:t>
            </w:r>
          </w:p>
          <w:p w:rsidR="00DE51E0" w:rsidRPr="00FF2570" w:rsidRDefault="00B303CA" w:rsidP="00544044">
            <w:pPr>
              <w:pStyle w:val="Akapitzlist"/>
              <w:keepLines/>
              <w:widowControl w:val="0"/>
              <w:numPr>
                <w:ilvl w:val="0"/>
                <w:numId w:val="2"/>
              </w:numPr>
              <w:spacing w:before="120" w:line="276" w:lineRule="auto"/>
              <w:ind w:left="426" w:hanging="284"/>
              <w:jc w:val="left"/>
              <w:rPr>
                <w:rFonts w:ascii="Times New Roman" w:hAnsi="Times New Roman"/>
                <w:sz w:val="20"/>
                <w:szCs w:val="20"/>
              </w:rPr>
            </w:pPr>
            <w:r w:rsidRPr="00FF2570">
              <w:rPr>
                <w:rFonts w:ascii="Times New Roman" w:hAnsi="Times New Roman"/>
                <w:sz w:val="20"/>
                <w:szCs w:val="20"/>
              </w:rPr>
              <w:t>n</w:t>
            </w:r>
            <w:r w:rsidR="00DE51E0" w:rsidRPr="00FF2570">
              <w:rPr>
                <w:rFonts w:ascii="Times New Roman" w:hAnsi="Times New Roman"/>
                <w:sz w:val="20"/>
                <w:szCs w:val="20"/>
              </w:rPr>
              <w:t>isko zróżnicowany nowotwór neuroendokrynny trzustki</w:t>
            </w:r>
            <w:r w:rsidR="008B6C3E" w:rsidRPr="00FF2570">
              <w:rPr>
                <w:rFonts w:ascii="Times New Roman" w:hAnsi="Times New Roman"/>
                <w:sz w:val="20"/>
                <w:szCs w:val="20"/>
              </w:rPr>
              <w:t>;</w:t>
            </w:r>
          </w:p>
          <w:p w:rsidR="00DE51E0" w:rsidRPr="00FF2570" w:rsidRDefault="00B303CA" w:rsidP="00544044">
            <w:pPr>
              <w:pStyle w:val="Akapitzlist"/>
              <w:keepLines/>
              <w:widowControl w:val="0"/>
              <w:numPr>
                <w:ilvl w:val="0"/>
                <w:numId w:val="2"/>
              </w:numPr>
              <w:spacing w:before="120" w:line="276" w:lineRule="auto"/>
              <w:ind w:left="426" w:hanging="284"/>
              <w:jc w:val="left"/>
              <w:rPr>
                <w:rFonts w:ascii="Times New Roman" w:hAnsi="Times New Roman"/>
                <w:sz w:val="20"/>
                <w:szCs w:val="20"/>
              </w:rPr>
            </w:pPr>
            <w:r w:rsidRPr="00FF2570">
              <w:rPr>
                <w:rFonts w:ascii="Times New Roman" w:hAnsi="Times New Roman"/>
                <w:sz w:val="20"/>
                <w:szCs w:val="20"/>
              </w:rPr>
              <w:t>e</w:t>
            </w:r>
            <w:r w:rsidR="00DE51E0" w:rsidRPr="00FF2570">
              <w:rPr>
                <w:rFonts w:ascii="Times New Roman" w:hAnsi="Times New Roman"/>
                <w:sz w:val="20"/>
                <w:szCs w:val="20"/>
              </w:rPr>
              <w:t>mbolizacja tętnicy w</w:t>
            </w:r>
            <w:r w:rsidR="00E4220B" w:rsidRPr="00FF2570">
              <w:rPr>
                <w:rFonts w:ascii="Times New Roman" w:hAnsi="Times New Roman"/>
                <w:sz w:val="20"/>
                <w:szCs w:val="20"/>
              </w:rPr>
              <w:t>ątrobowej w ciągu 6 miesięcy do</w:t>
            </w:r>
            <w:r w:rsidR="00DE51E0" w:rsidRPr="00FF2570">
              <w:rPr>
                <w:rFonts w:ascii="Times New Roman" w:hAnsi="Times New Roman"/>
                <w:sz w:val="20"/>
                <w:szCs w:val="20"/>
              </w:rPr>
              <w:t xml:space="preserve"> włączenia do programu</w:t>
            </w:r>
            <w:r w:rsidR="008B6C3E" w:rsidRPr="00FF2570">
              <w:rPr>
                <w:rFonts w:ascii="Times New Roman" w:hAnsi="Times New Roman"/>
                <w:sz w:val="20"/>
                <w:szCs w:val="20"/>
              </w:rPr>
              <w:t>;</w:t>
            </w:r>
          </w:p>
          <w:p w:rsidR="00DE51E0" w:rsidRPr="00FF2570" w:rsidRDefault="00B303CA" w:rsidP="00544044">
            <w:pPr>
              <w:pStyle w:val="Akapitzlist"/>
              <w:keepLines/>
              <w:widowControl w:val="0"/>
              <w:numPr>
                <w:ilvl w:val="0"/>
                <w:numId w:val="2"/>
              </w:numPr>
              <w:spacing w:before="120" w:line="276" w:lineRule="auto"/>
              <w:ind w:left="426" w:hanging="284"/>
              <w:jc w:val="left"/>
              <w:rPr>
                <w:rFonts w:ascii="Times New Roman" w:hAnsi="Times New Roman"/>
                <w:sz w:val="20"/>
                <w:szCs w:val="20"/>
              </w:rPr>
            </w:pPr>
            <w:r w:rsidRPr="00FF2570">
              <w:rPr>
                <w:rFonts w:ascii="Times New Roman" w:hAnsi="Times New Roman"/>
                <w:sz w:val="20"/>
                <w:szCs w:val="20"/>
              </w:rPr>
              <w:t>k</w:t>
            </w:r>
            <w:r w:rsidR="00DE51E0" w:rsidRPr="00FF2570">
              <w:rPr>
                <w:rFonts w:ascii="Times New Roman" w:hAnsi="Times New Roman"/>
                <w:sz w:val="20"/>
                <w:szCs w:val="20"/>
              </w:rPr>
              <w:t xml:space="preserve">rioablacja bądź ablacja falami o częstotliwości radiowej przerzutów </w:t>
            </w:r>
            <w:r w:rsidR="00E4220B" w:rsidRPr="00FF2570">
              <w:rPr>
                <w:rFonts w:ascii="Times New Roman" w:hAnsi="Times New Roman"/>
                <w:sz w:val="20"/>
                <w:szCs w:val="20"/>
              </w:rPr>
              <w:t>w wątrobie w ciągu 2 miesięcy do</w:t>
            </w:r>
            <w:r w:rsidR="00DE51E0" w:rsidRPr="00FF2570">
              <w:rPr>
                <w:rFonts w:ascii="Times New Roman" w:hAnsi="Times New Roman"/>
                <w:sz w:val="20"/>
                <w:szCs w:val="20"/>
              </w:rPr>
              <w:t xml:space="preserve"> włączenia do programu</w:t>
            </w:r>
            <w:r w:rsidR="008B6C3E" w:rsidRPr="00FF2570">
              <w:rPr>
                <w:rFonts w:ascii="Times New Roman" w:hAnsi="Times New Roman"/>
                <w:sz w:val="20"/>
                <w:szCs w:val="20"/>
              </w:rPr>
              <w:t>;</w:t>
            </w:r>
          </w:p>
          <w:p w:rsidR="00DE51E0" w:rsidRPr="00FF2570" w:rsidRDefault="00B303CA" w:rsidP="00544044">
            <w:pPr>
              <w:pStyle w:val="Akapitzlist"/>
              <w:keepLines/>
              <w:widowControl w:val="0"/>
              <w:numPr>
                <w:ilvl w:val="0"/>
                <w:numId w:val="2"/>
              </w:numPr>
              <w:spacing w:before="120" w:line="276" w:lineRule="auto"/>
              <w:ind w:left="426" w:hanging="284"/>
              <w:jc w:val="left"/>
              <w:rPr>
                <w:rFonts w:ascii="Times New Roman" w:hAnsi="Times New Roman"/>
                <w:sz w:val="20"/>
                <w:szCs w:val="20"/>
              </w:rPr>
            </w:pPr>
            <w:r w:rsidRPr="00FF2570">
              <w:rPr>
                <w:rFonts w:ascii="Times New Roman" w:hAnsi="Times New Roman"/>
                <w:sz w:val="20"/>
                <w:szCs w:val="20"/>
              </w:rPr>
              <w:t>c</w:t>
            </w:r>
            <w:r w:rsidR="00DE51E0" w:rsidRPr="00FF2570">
              <w:rPr>
                <w:rFonts w:ascii="Times New Roman" w:hAnsi="Times New Roman"/>
                <w:sz w:val="20"/>
                <w:szCs w:val="20"/>
              </w:rPr>
              <w:t>iężkie lub niekontrolowane (</w:t>
            </w:r>
            <w:r w:rsidR="00DC029D" w:rsidRPr="00FF2570">
              <w:rPr>
                <w:rFonts w:ascii="Times New Roman" w:hAnsi="Times New Roman"/>
                <w:sz w:val="20"/>
                <w:szCs w:val="20"/>
              </w:rPr>
              <w:t xml:space="preserve">w ocenie </w:t>
            </w:r>
            <w:r w:rsidR="00DE51E0" w:rsidRPr="00FF2570">
              <w:rPr>
                <w:rFonts w:ascii="Times New Roman" w:hAnsi="Times New Roman"/>
                <w:sz w:val="20"/>
                <w:szCs w:val="20"/>
              </w:rPr>
              <w:t>lekarza prowadzącego)</w:t>
            </w:r>
            <w:r w:rsidR="00DC029D" w:rsidRPr="00FF2570">
              <w:rPr>
                <w:rFonts w:ascii="Times New Roman" w:hAnsi="Times New Roman"/>
                <w:sz w:val="20"/>
                <w:szCs w:val="20"/>
              </w:rPr>
              <w:t xml:space="preserve"> choroby towarzyszące (w tym – poważne za</w:t>
            </w:r>
            <w:r w:rsidR="00A96DBE" w:rsidRPr="00FF2570">
              <w:rPr>
                <w:rFonts w:ascii="Times New Roman" w:hAnsi="Times New Roman"/>
                <w:sz w:val="20"/>
                <w:szCs w:val="20"/>
              </w:rPr>
              <w:t>każenia, niewydolność wątroby w </w:t>
            </w:r>
            <w:r w:rsidR="00DC029D" w:rsidRPr="00FF2570">
              <w:rPr>
                <w:rFonts w:ascii="Times New Roman" w:hAnsi="Times New Roman"/>
                <w:sz w:val="20"/>
                <w:szCs w:val="20"/>
              </w:rPr>
              <w:t>stopniu C według skali Child-Pugh, niekontrolowana hiperg</w:t>
            </w:r>
            <w:r w:rsidR="00071779" w:rsidRPr="00FF2570">
              <w:rPr>
                <w:rFonts w:ascii="Times New Roman" w:hAnsi="Times New Roman"/>
                <w:sz w:val="20"/>
                <w:szCs w:val="20"/>
              </w:rPr>
              <w:t>likemia, hipercholesterolemia i </w:t>
            </w:r>
            <w:r w:rsidR="00DC029D" w:rsidRPr="00FF2570">
              <w:rPr>
                <w:rFonts w:ascii="Times New Roman" w:hAnsi="Times New Roman"/>
                <w:sz w:val="20"/>
                <w:szCs w:val="20"/>
              </w:rPr>
              <w:t>hipertrójglicerydemi</w:t>
            </w:r>
            <w:r w:rsidR="008B6C3E" w:rsidRPr="00FF2570">
              <w:rPr>
                <w:rFonts w:ascii="Times New Roman" w:hAnsi="Times New Roman"/>
                <w:sz w:val="20"/>
                <w:szCs w:val="20"/>
              </w:rPr>
              <w:t>a, nasilona niewydolność nerek);</w:t>
            </w:r>
          </w:p>
          <w:p w:rsidR="003F0C38" w:rsidRPr="00FF2570" w:rsidRDefault="00B303CA" w:rsidP="00544044">
            <w:pPr>
              <w:pStyle w:val="Akapitzlist"/>
              <w:keepLines/>
              <w:widowControl w:val="0"/>
              <w:numPr>
                <w:ilvl w:val="0"/>
                <w:numId w:val="2"/>
              </w:numPr>
              <w:spacing w:before="120" w:line="276" w:lineRule="auto"/>
              <w:ind w:left="426" w:hanging="284"/>
              <w:jc w:val="left"/>
              <w:rPr>
                <w:rFonts w:ascii="Times New Roman" w:hAnsi="Times New Roman"/>
                <w:sz w:val="20"/>
                <w:szCs w:val="20"/>
              </w:rPr>
            </w:pPr>
            <w:r w:rsidRPr="00FF2570">
              <w:rPr>
                <w:rFonts w:ascii="Times New Roman" w:hAnsi="Times New Roman"/>
                <w:sz w:val="20"/>
                <w:szCs w:val="20"/>
              </w:rPr>
              <w:t>w</w:t>
            </w:r>
            <w:r w:rsidR="00DE51E0" w:rsidRPr="00FF2570">
              <w:rPr>
                <w:rFonts w:ascii="Times New Roman" w:hAnsi="Times New Roman"/>
                <w:sz w:val="20"/>
                <w:szCs w:val="20"/>
              </w:rPr>
              <w:t>cześniejsze leczenie inhibitorem mTOR</w:t>
            </w:r>
            <w:r w:rsidRPr="00FF2570">
              <w:rPr>
                <w:rFonts w:ascii="Times New Roman" w:hAnsi="Times New Roman"/>
                <w:sz w:val="20"/>
                <w:szCs w:val="20"/>
              </w:rPr>
              <w:t>.</w:t>
            </w:r>
          </w:p>
          <w:p w:rsidR="004E11B7" w:rsidRPr="00FF2570" w:rsidRDefault="004E11B7" w:rsidP="00544044">
            <w:pPr>
              <w:keepLines/>
              <w:widowControl w:val="0"/>
              <w:spacing w:before="120" w:after="120" w:line="276" w:lineRule="auto"/>
              <w:contextualSpacing/>
              <w:rPr>
                <w:rFonts w:ascii="Times New Roman" w:hAnsi="Times New Roman"/>
                <w:sz w:val="20"/>
                <w:szCs w:val="20"/>
              </w:rPr>
            </w:pPr>
            <w:r w:rsidRPr="00FF2570">
              <w:rPr>
                <w:rFonts w:ascii="Times New Roman" w:hAnsi="Times New Roman"/>
                <w:b/>
                <w:bCs/>
                <w:sz w:val="20"/>
                <w:szCs w:val="20"/>
                <w:lang w:eastAsia="pl-PL"/>
              </w:rPr>
              <w:t xml:space="preserve">2. Leczenie </w:t>
            </w:r>
            <w:r w:rsidR="002B0BAF" w:rsidRPr="00FF2570">
              <w:rPr>
                <w:rFonts w:ascii="Times New Roman" w:hAnsi="Times New Roman"/>
                <w:sz w:val="20"/>
                <w:szCs w:val="20"/>
              </w:rPr>
              <w:t xml:space="preserve"> </w:t>
            </w:r>
            <w:r w:rsidR="002B0BAF" w:rsidRPr="00FF2570">
              <w:rPr>
                <w:rFonts w:ascii="Times New Roman" w:hAnsi="Times New Roman"/>
                <w:b/>
                <w:bCs/>
                <w:sz w:val="20"/>
                <w:szCs w:val="20"/>
                <w:lang w:eastAsia="pl-PL"/>
              </w:rPr>
              <w:t xml:space="preserve">wysoko zróżnicowanego nowotworu </w:t>
            </w:r>
            <w:r w:rsidR="002B0BAF" w:rsidRPr="00FF2570">
              <w:rPr>
                <w:rFonts w:ascii="Times New Roman" w:hAnsi="Times New Roman"/>
                <w:b/>
                <w:bCs/>
                <w:sz w:val="20"/>
                <w:szCs w:val="20"/>
                <w:lang w:eastAsia="pl-PL"/>
              </w:rPr>
              <w:lastRenderedPageBreak/>
              <w:t xml:space="preserve">neuroendokrynnego trzustki sunitynibem </w:t>
            </w:r>
          </w:p>
          <w:p w:rsidR="004E11B7" w:rsidRPr="00FF2570" w:rsidRDefault="004E11B7" w:rsidP="00544044">
            <w:pPr>
              <w:pStyle w:val="Akapitzlist"/>
              <w:keepLines/>
              <w:widowControl w:val="0"/>
              <w:numPr>
                <w:ilvl w:val="1"/>
                <w:numId w:val="8"/>
              </w:numPr>
              <w:spacing w:before="120" w:line="276" w:lineRule="auto"/>
              <w:jc w:val="left"/>
              <w:rPr>
                <w:rFonts w:ascii="Times New Roman" w:hAnsi="Times New Roman"/>
                <w:b/>
                <w:bCs/>
                <w:spacing w:val="4"/>
                <w:sz w:val="20"/>
                <w:szCs w:val="20"/>
              </w:rPr>
            </w:pPr>
            <w:r w:rsidRPr="00FF2570">
              <w:rPr>
                <w:rFonts w:ascii="Times New Roman" w:hAnsi="Times New Roman"/>
                <w:b/>
                <w:bCs/>
                <w:spacing w:val="4"/>
                <w:sz w:val="20"/>
                <w:szCs w:val="20"/>
              </w:rPr>
              <w:t>Kryteria kwalifikacji</w:t>
            </w:r>
          </w:p>
          <w:p w:rsidR="004E11B7" w:rsidRPr="00FF2570" w:rsidRDefault="004E11B7" w:rsidP="00544044">
            <w:pPr>
              <w:keepLines/>
              <w:widowControl w:val="0"/>
              <w:spacing w:before="120" w:after="120" w:line="276" w:lineRule="auto"/>
              <w:ind w:left="426" w:hanging="284"/>
              <w:contextualSpacing/>
              <w:rPr>
                <w:rFonts w:ascii="Times New Roman" w:hAnsi="Times New Roman"/>
                <w:bCs/>
                <w:spacing w:val="4"/>
                <w:sz w:val="20"/>
                <w:szCs w:val="20"/>
              </w:rPr>
            </w:pPr>
            <w:r w:rsidRPr="00FF2570">
              <w:rPr>
                <w:rFonts w:ascii="Times New Roman" w:hAnsi="Times New Roman"/>
                <w:bCs/>
                <w:spacing w:val="4"/>
                <w:sz w:val="20"/>
                <w:szCs w:val="20"/>
              </w:rPr>
              <w:t xml:space="preserve">1) </w:t>
            </w:r>
            <w:r w:rsidR="008E1B78" w:rsidRPr="00FF2570">
              <w:rPr>
                <w:rFonts w:ascii="Times New Roman" w:hAnsi="Times New Roman"/>
                <w:bCs/>
                <w:spacing w:val="4"/>
                <w:sz w:val="20"/>
                <w:szCs w:val="20"/>
              </w:rPr>
              <w:t xml:space="preserve"> </w:t>
            </w:r>
            <w:r w:rsidRPr="00FF2570">
              <w:rPr>
                <w:rFonts w:ascii="Times New Roman" w:hAnsi="Times New Roman"/>
                <w:bCs/>
                <w:spacing w:val="4"/>
                <w:sz w:val="20"/>
                <w:szCs w:val="20"/>
              </w:rPr>
              <w:t>wiek powyżej 18 lat;</w:t>
            </w:r>
          </w:p>
          <w:p w:rsidR="004E11B7" w:rsidRPr="00FF2570" w:rsidRDefault="004E11B7" w:rsidP="00544044">
            <w:pPr>
              <w:keepLines/>
              <w:widowControl w:val="0"/>
              <w:spacing w:before="120" w:after="120" w:line="276" w:lineRule="auto"/>
              <w:ind w:left="426" w:hanging="284"/>
              <w:contextualSpacing/>
              <w:rPr>
                <w:rFonts w:ascii="Times New Roman" w:hAnsi="Times New Roman"/>
                <w:bCs/>
                <w:spacing w:val="4"/>
                <w:sz w:val="20"/>
                <w:szCs w:val="20"/>
              </w:rPr>
            </w:pPr>
            <w:r w:rsidRPr="00FF2570">
              <w:rPr>
                <w:rFonts w:ascii="Times New Roman" w:hAnsi="Times New Roman"/>
                <w:bCs/>
                <w:spacing w:val="4"/>
                <w:sz w:val="20"/>
                <w:szCs w:val="20"/>
              </w:rPr>
              <w:t>2)</w:t>
            </w:r>
            <w:r w:rsidR="008E1B78" w:rsidRPr="00FF2570">
              <w:rPr>
                <w:rFonts w:ascii="Times New Roman" w:hAnsi="Times New Roman"/>
                <w:bCs/>
                <w:spacing w:val="4"/>
                <w:sz w:val="20"/>
                <w:szCs w:val="20"/>
              </w:rPr>
              <w:t xml:space="preserve"> </w:t>
            </w:r>
            <w:r w:rsidRPr="00FF2570">
              <w:rPr>
                <w:rFonts w:ascii="Times New Roman" w:hAnsi="Times New Roman"/>
                <w:bCs/>
                <w:spacing w:val="4"/>
                <w:sz w:val="20"/>
                <w:szCs w:val="20"/>
              </w:rPr>
              <w:t xml:space="preserve"> potwierdzone patomorfologicznie rozpoznanie nieoperacyjnego, wysoko zróżnicowanego (stopień G1 lub G2) nowotworu neuroendokrynnego trzustki (według klasyfikacji WHO z 2010 roku) w stadium miejscowo zaawansowanym lub z przerzutami; </w:t>
            </w:r>
          </w:p>
          <w:p w:rsidR="004E11B7" w:rsidRPr="00FF2570" w:rsidRDefault="004E11B7" w:rsidP="00544044">
            <w:pPr>
              <w:keepLines/>
              <w:widowControl w:val="0"/>
              <w:spacing w:before="120" w:after="120" w:line="276" w:lineRule="auto"/>
              <w:ind w:left="426" w:hanging="284"/>
              <w:contextualSpacing/>
              <w:rPr>
                <w:rFonts w:ascii="Times New Roman" w:hAnsi="Times New Roman"/>
                <w:bCs/>
                <w:spacing w:val="4"/>
                <w:sz w:val="20"/>
                <w:szCs w:val="20"/>
              </w:rPr>
            </w:pPr>
            <w:r w:rsidRPr="00FF2570">
              <w:rPr>
                <w:rFonts w:ascii="Times New Roman" w:hAnsi="Times New Roman"/>
                <w:bCs/>
                <w:spacing w:val="4"/>
                <w:sz w:val="20"/>
                <w:szCs w:val="20"/>
              </w:rPr>
              <w:t xml:space="preserve">3) </w:t>
            </w:r>
            <w:r w:rsidR="008E1B78" w:rsidRPr="00FF2570">
              <w:rPr>
                <w:rFonts w:ascii="Times New Roman" w:hAnsi="Times New Roman"/>
                <w:bCs/>
                <w:spacing w:val="4"/>
                <w:sz w:val="20"/>
                <w:szCs w:val="20"/>
              </w:rPr>
              <w:t xml:space="preserve"> </w:t>
            </w:r>
            <w:r w:rsidRPr="00FF2570">
              <w:rPr>
                <w:rFonts w:ascii="Times New Roman" w:hAnsi="Times New Roman"/>
                <w:bCs/>
                <w:spacing w:val="4"/>
                <w:sz w:val="20"/>
                <w:szCs w:val="20"/>
              </w:rPr>
              <w:t>udokumentowana progresja choroby w czasie 12 miesięcy przed włączeniem do programu, określo</w:t>
            </w:r>
            <w:r w:rsidR="00F21968" w:rsidRPr="00FF2570">
              <w:rPr>
                <w:rFonts w:ascii="Times New Roman" w:hAnsi="Times New Roman"/>
                <w:bCs/>
                <w:spacing w:val="4"/>
                <w:sz w:val="20"/>
                <w:szCs w:val="20"/>
              </w:rPr>
              <w:t>na według kryteriów RECIST (</w:t>
            </w:r>
            <w:r w:rsidRPr="00FF2570">
              <w:rPr>
                <w:rFonts w:ascii="Times New Roman" w:hAnsi="Times New Roman"/>
                <w:bCs/>
                <w:spacing w:val="4"/>
                <w:sz w:val="20"/>
                <w:szCs w:val="20"/>
              </w:rPr>
              <w:t>Response Evaluation Criteria in Solid Tumors);</w:t>
            </w:r>
          </w:p>
          <w:p w:rsidR="004E11B7" w:rsidRPr="00FF2570" w:rsidRDefault="004E11B7" w:rsidP="00544044">
            <w:pPr>
              <w:keepLines/>
              <w:widowControl w:val="0"/>
              <w:spacing w:before="120" w:after="120" w:line="276" w:lineRule="auto"/>
              <w:ind w:left="426" w:hanging="284"/>
              <w:contextualSpacing/>
              <w:rPr>
                <w:rFonts w:ascii="Times New Roman" w:hAnsi="Times New Roman"/>
                <w:bCs/>
                <w:spacing w:val="4"/>
                <w:sz w:val="20"/>
                <w:szCs w:val="20"/>
              </w:rPr>
            </w:pPr>
            <w:r w:rsidRPr="00FF2570">
              <w:rPr>
                <w:rFonts w:ascii="Times New Roman" w:hAnsi="Times New Roman"/>
                <w:bCs/>
                <w:spacing w:val="4"/>
                <w:sz w:val="20"/>
                <w:szCs w:val="20"/>
              </w:rPr>
              <w:t>4)</w:t>
            </w:r>
            <w:r w:rsidR="008E1B78" w:rsidRPr="00FF2570">
              <w:rPr>
                <w:rFonts w:ascii="Times New Roman" w:hAnsi="Times New Roman"/>
                <w:bCs/>
                <w:spacing w:val="4"/>
                <w:sz w:val="20"/>
                <w:szCs w:val="20"/>
              </w:rPr>
              <w:t xml:space="preserve"> </w:t>
            </w:r>
            <w:r w:rsidR="00A83F3D" w:rsidRPr="00FF2570">
              <w:rPr>
                <w:rFonts w:ascii="Times New Roman" w:hAnsi="Times New Roman"/>
                <w:bCs/>
                <w:spacing w:val="4"/>
                <w:sz w:val="20"/>
                <w:szCs w:val="20"/>
              </w:rPr>
              <w:t xml:space="preserve"> </w:t>
            </w:r>
            <w:r w:rsidRPr="00FF2570">
              <w:rPr>
                <w:rFonts w:ascii="Times New Roman" w:hAnsi="Times New Roman"/>
                <w:bCs/>
                <w:spacing w:val="4"/>
                <w:sz w:val="20"/>
                <w:szCs w:val="20"/>
              </w:rPr>
              <w:t>możliwość obiektywnej oceny wielkości zmian w badaniach obrazowych metodą KT lub MR z zastrzeżeniem konieczności potwierdzenia zmian w układzie kostnym przy użyciu konwencjonalnej rentgenografii (RTG) lub MR;</w:t>
            </w:r>
          </w:p>
          <w:p w:rsidR="004E11B7" w:rsidRPr="00FF2570" w:rsidRDefault="004E11B7" w:rsidP="00544044">
            <w:pPr>
              <w:keepLines/>
              <w:widowControl w:val="0"/>
              <w:spacing w:before="120" w:after="120" w:line="276" w:lineRule="auto"/>
              <w:ind w:left="426" w:hanging="284"/>
              <w:contextualSpacing/>
              <w:rPr>
                <w:rFonts w:ascii="Times New Roman" w:hAnsi="Times New Roman"/>
                <w:bCs/>
                <w:spacing w:val="4"/>
                <w:sz w:val="20"/>
                <w:szCs w:val="20"/>
              </w:rPr>
            </w:pPr>
            <w:r w:rsidRPr="00FF2570">
              <w:rPr>
                <w:rFonts w:ascii="Times New Roman" w:hAnsi="Times New Roman"/>
                <w:bCs/>
                <w:spacing w:val="4"/>
                <w:sz w:val="20"/>
                <w:szCs w:val="20"/>
              </w:rPr>
              <w:t xml:space="preserve">5) </w:t>
            </w:r>
            <w:r w:rsidR="008E1B78" w:rsidRPr="00FF2570">
              <w:rPr>
                <w:rFonts w:ascii="Times New Roman" w:hAnsi="Times New Roman"/>
                <w:bCs/>
                <w:spacing w:val="4"/>
                <w:sz w:val="20"/>
                <w:szCs w:val="20"/>
              </w:rPr>
              <w:t xml:space="preserve"> </w:t>
            </w:r>
            <w:r w:rsidRPr="00FF2570">
              <w:rPr>
                <w:rFonts w:ascii="Times New Roman" w:hAnsi="Times New Roman"/>
                <w:bCs/>
                <w:spacing w:val="4"/>
                <w:sz w:val="20"/>
                <w:szCs w:val="20"/>
              </w:rPr>
              <w:t xml:space="preserve">sprawność w stopniach 0 lub 1 według skali ECOG (Eastern Cooperative Oncology Group); </w:t>
            </w:r>
          </w:p>
          <w:p w:rsidR="004E11B7" w:rsidRPr="00FF2570" w:rsidRDefault="004E11B7" w:rsidP="00544044">
            <w:pPr>
              <w:keepLines/>
              <w:widowControl w:val="0"/>
              <w:spacing w:before="120" w:after="120" w:line="276" w:lineRule="auto"/>
              <w:ind w:left="426" w:hanging="284"/>
              <w:contextualSpacing/>
              <w:rPr>
                <w:rFonts w:ascii="Times New Roman" w:hAnsi="Times New Roman"/>
                <w:bCs/>
                <w:spacing w:val="4"/>
                <w:sz w:val="20"/>
                <w:szCs w:val="20"/>
              </w:rPr>
            </w:pPr>
            <w:r w:rsidRPr="00FF2570">
              <w:rPr>
                <w:rFonts w:ascii="Times New Roman" w:hAnsi="Times New Roman"/>
                <w:bCs/>
                <w:spacing w:val="4"/>
                <w:sz w:val="20"/>
                <w:szCs w:val="20"/>
              </w:rPr>
              <w:t xml:space="preserve">6) </w:t>
            </w:r>
            <w:r w:rsidR="008E1B78" w:rsidRPr="00FF2570">
              <w:rPr>
                <w:rFonts w:ascii="Times New Roman" w:hAnsi="Times New Roman"/>
                <w:bCs/>
                <w:spacing w:val="4"/>
                <w:sz w:val="20"/>
                <w:szCs w:val="20"/>
              </w:rPr>
              <w:t xml:space="preserve"> </w:t>
            </w:r>
            <w:r w:rsidRPr="00FF2570">
              <w:rPr>
                <w:rFonts w:ascii="Times New Roman" w:hAnsi="Times New Roman"/>
                <w:bCs/>
                <w:spacing w:val="4"/>
                <w:sz w:val="20"/>
                <w:szCs w:val="20"/>
              </w:rPr>
              <w:t xml:space="preserve">wykluczenie ciąży i okresu karmienia piersią; </w:t>
            </w:r>
          </w:p>
          <w:p w:rsidR="004E11B7" w:rsidRPr="00FF2570" w:rsidRDefault="009C5B10" w:rsidP="00544044">
            <w:pPr>
              <w:keepLines/>
              <w:widowControl w:val="0"/>
              <w:spacing w:before="120" w:after="0" w:line="276" w:lineRule="auto"/>
              <w:ind w:left="426" w:hanging="284"/>
              <w:contextualSpacing/>
              <w:rPr>
                <w:rFonts w:ascii="Times New Roman" w:hAnsi="Times New Roman"/>
                <w:bCs/>
                <w:spacing w:val="4"/>
                <w:sz w:val="20"/>
                <w:szCs w:val="20"/>
              </w:rPr>
            </w:pPr>
            <w:r w:rsidRPr="00FF2570">
              <w:rPr>
                <w:rFonts w:ascii="Times New Roman" w:hAnsi="Times New Roman"/>
                <w:bCs/>
                <w:spacing w:val="4"/>
                <w:sz w:val="20"/>
                <w:szCs w:val="20"/>
              </w:rPr>
              <w:t>7</w:t>
            </w:r>
            <w:r w:rsidR="004E11B7" w:rsidRPr="00FF2570">
              <w:rPr>
                <w:rFonts w:ascii="Times New Roman" w:hAnsi="Times New Roman"/>
                <w:bCs/>
                <w:spacing w:val="4"/>
                <w:sz w:val="20"/>
                <w:szCs w:val="20"/>
              </w:rPr>
              <w:t>)</w:t>
            </w:r>
            <w:r w:rsidR="008E1B78" w:rsidRPr="00FF2570">
              <w:rPr>
                <w:rFonts w:ascii="Times New Roman" w:hAnsi="Times New Roman"/>
                <w:bCs/>
                <w:spacing w:val="4"/>
                <w:sz w:val="20"/>
                <w:szCs w:val="20"/>
              </w:rPr>
              <w:t xml:space="preserve"> </w:t>
            </w:r>
            <w:r w:rsidR="004E11B7" w:rsidRPr="00FF2570">
              <w:rPr>
                <w:rFonts w:ascii="Times New Roman" w:hAnsi="Times New Roman"/>
                <w:bCs/>
                <w:spacing w:val="4"/>
                <w:sz w:val="20"/>
                <w:szCs w:val="20"/>
              </w:rPr>
              <w:t xml:space="preserve"> prawidłowa czynność narządów określona na podstawie badań laboratoryjnych krwi:</w:t>
            </w:r>
          </w:p>
          <w:p w:rsidR="004E11B7" w:rsidRPr="00544044" w:rsidRDefault="004E11B7" w:rsidP="00544044">
            <w:pPr>
              <w:pStyle w:val="Akapitzlist"/>
              <w:keepLines/>
              <w:widowControl w:val="0"/>
              <w:numPr>
                <w:ilvl w:val="0"/>
                <w:numId w:val="26"/>
              </w:numPr>
              <w:spacing w:before="0" w:line="276" w:lineRule="auto"/>
              <w:jc w:val="left"/>
              <w:rPr>
                <w:rFonts w:ascii="Times New Roman" w:hAnsi="Times New Roman"/>
                <w:bCs/>
                <w:spacing w:val="4"/>
                <w:sz w:val="20"/>
                <w:szCs w:val="20"/>
              </w:rPr>
            </w:pPr>
            <w:r w:rsidRPr="00544044">
              <w:rPr>
                <w:rFonts w:ascii="Times New Roman" w:hAnsi="Times New Roman"/>
                <w:bCs/>
                <w:spacing w:val="4"/>
                <w:sz w:val="20"/>
                <w:szCs w:val="20"/>
              </w:rPr>
              <w:t>wyniki badań czynności wątroby:</w:t>
            </w:r>
          </w:p>
          <w:p w:rsidR="004E11B7" w:rsidRPr="00544044" w:rsidRDefault="004E11B7" w:rsidP="00544044">
            <w:pPr>
              <w:pStyle w:val="Akapitzlist"/>
              <w:keepLines/>
              <w:widowControl w:val="0"/>
              <w:numPr>
                <w:ilvl w:val="1"/>
                <w:numId w:val="27"/>
              </w:numPr>
              <w:spacing w:before="120" w:line="276" w:lineRule="auto"/>
              <w:ind w:left="1134"/>
              <w:jc w:val="left"/>
              <w:rPr>
                <w:rFonts w:ascii="Times New Roman" w:hAnsi="Times New Roman"/>
                <w:bCs/>
                <w:spacing w:val="4"/>
                <w:sz w:val="20"/>
                <w:szCs w:val="20"/>
              </w:rPr>
            </w:pPr>
            <w:r w:rsidRPr="00544044">
              <w:rPr>
                <w:rFonts w:ascii="Times New Roman" w:hAnsi="Times New Roman"/>
                <w:bCs/>
                <w:spacing w:val="4"/>
                <w:sz w:val="20"/>
                <w:szCs w:val="20"/>
              </w:rPr>
              <w:t xml:space="preserve">stężenie bilirubiny całkowitej nieprzekraczające </w:t>
            </w:r>
            <w:r w:rsidR="00544044">
              <w:rPr>
                <w:rFonts w:ascii="Times New Roman" w:hAnsi="Times New Roman"/>
                <w:bCs/>
                <w:spacing w:val="4"/>
                <w:sz w:val="20"/>
                <w:szCs w:val="20"/>
              </w:rPr>
              <w:t xml:space="preserve"> </w:t>
            </w:r>
            <w:r w:rsidRPr="00544044">
              <w:rPr>
                <w:rFonts w:ascii="Times New Roman" w:hAnsi="Times New Roman"/>
                <w:bCs/>
                <w:spacing w:val="4"/>
                <w:sz w:val="20"/>
                <w:szCs w:val="20"/>
              </w:rPr>
              <w:t xml:space="preserve">2-krotnie górnej granicy normy (z wyjątkiem pacjentów z zespołem Gilberta), </w:t>
            </w:r>
          </w:p>
          <w:p w:rsidR="004E11B7" w:rsidRPr="00544044" w:rsidRDefault="004E11B7" w:rsidP="00544044">
            <w:pPr>
              <w:pStyle w:val="Akapitzlist"/>
              <w:keepLines/>
              <w:widowControl w:val="0"/>
              <w:numPr>
                <w:ilvl w:val="1"/>
                <w:numId w:val="27"/>
              </w:numPr>
              <w:spacing w:before="120" w:line="276" w:lineRule="auto"/>
              <w:ind w:left="1134"/>
              <w:jc w:val="left"/>
              <w:rPr>
                <w:rFonts w:ascii="Times New Roman" w:hAnsi="Times New Roman"/>
                <w:bCs/>
                <w:spacing w:val="4"/>
                <w:sz w:val="20"/>
                <w:szCs w:val="20"/>
              </w:rPr>
            </w:pPr>
            <w:r w:rsidRPr="00544044">
              <w:rPr>
                <w:rFonts w:ascii="Times New Roman" w:hAnsi="Times New Roman"/>
                <w:bCs/>
                <w:spacing w:val="4"/>
                <w:sz w:val="20"/>
                <w:szCs w:val="20"/>
              </w:rPr>
              <w:t>aktywność transaminaz (alaninowej i asparaginowej) w surowicy nieprzekraczające</w:t>
            </w:r>
            <w:r w:rsidR="007961C5" w:rsidRPr="00544044">
              <w:rPr>
                <w:rFonts w:ascii="Times New Roman" w:hAnsi="Times New Roman"/>
                <w:bCs/>
                <w:spacing w:val="4"/>
                <w:sz w:val="20"/>
                <w:szCs w:val="20"/>
              </w:rPr>
              <w:t xml:space="preserve"> </w:t>
            </w:r>
            <w:r w:rsidR="00544044">
              <w:rPr>
                <w:rFonts w:ascii="Times New Roman" w:hAnsi="Times New Roman"/>
                <w:bCs/>
                <w:spacing w:val="4"/>
                <w:sz w:val="20"/>
                <w:szCs w:val="20"/>
              </w:rPr>
              <w:t xml:space="preserve">  </w:t>
            </w:r>
            <w:r w:rsidR="007961C5" w:rsidRPr="00544044">
              <w:rPr>
                <w:rFonts w:ascii="Times New Roman" w:hAnsi="Times New Roman"/>
                <w:bCs/>
                <w:spacing w:val="4"/>
                <w:sz w:val="20"/>
                <w:szCs w:val="20"/>
              </w:rPr>
              <w:t>5-krotnie górnej granicy normy,</w:t>
            </w:r>
          </w:p>
          <w:p w:rsidR="004E11B7" w:rsidRPr="00544044" w:rsidRDefault="004E11B7" w:rsidP="00544044">
            <w:pPr>
              <w:pStyle w:val="Akapitzlist"/>
              <w:keepLines/>
              <w:widowControl w:val="0"/>
              <w:numPr>
                <w:ilvl w:val="0"/>
                <w:numId w:val="26"/>
              </w:numPr>
              <w:spacing w:before="120" w:line="276" w:lineRule="auto"/>
              <w:jc w:val="left"/>
              <w:rPr>
                <w:rFonts w:ascii="Times New Roman" w:hAnsi="Times New Roman"/>
                <w:bCs/>
                <w:spacing w:val="4"/>
                <w:sz w:val="20"/>
                <w:szCs w:val="20"/>
              </w:rPr>
            </w:pPr>
            <w:r w:rsidRPr="00544044">
              <w:rPr>
                <w:rFonts w:ascii="Times New Roman" w:hAnsi="Times New Roman"/>
                <w:bCs/>
                <w:spacing w:val="4"/>
                <w:sz w:val="20"/>
                <w:szCs w:val="20"/>
              </w:rPr>
              <w:t>stężenie kreatyniny nieprzekraczające</w:t>
            </w:r>
            <w:r w:rsidR="007961C5" w:rsidRPr="00544044">
              <w:rPr>
                <w:rFonts w:ascii="Times New Roman" w:hAnsi="Times New Roman"/>
                <w:bCs/>
                <w:spacing w:val="4"/>
                <w:sz w:val="20"/>
                <w:szCs w:val="20"/>
              </w:rPr>
              <w:t xml:space="preserve"> 2-krotnie górnej granicy normy,</w:t>
            </w:r>
          </w:p>
          <w:p w:rsidR="004E11B7" w:rsidRPr="00544044" w:rsidRDefault="004E11B7" w:rsidP="00544044">
            <w:pPr>
              <w:pStyle w:val="Akapitzlist"/>
              <w:keepLines/>
              <w:widowControl w:val="0"/>
              <w:numPr>
                <w:ilvl w:val="0"/>
                <w:numId w:val="26"/>
              </w:numPr>
              <w:spacing w:before="120" w:line="276" w:lineRule="auto"/>
              <w:jc w:val="left"/>
              <w:rPr>
                <w:rFonts w:ascii="Times New Roman" w:hAnsi="Times New Roman"/>
                <w:bCs/>
                <w:spacing w:val="4"/>
                <w:sz w:val="20"/>
                <w:szCs w:val="20"/>
              </w:rPr>
            </w:pPr>
            <w:r w:rsidRPr="00544044">
              <w:rPr>
                <w:rFonts w:ascii="Times New Roman" w:hAnsi="Times New Roman"/>
                <w:bCs/>
                <w:spacing w:val="4"/>
                <w:sz w:val="20"/>
                <w:szCs w:val="20"/>
              </w:rPr>
              <w:t>wyniki badania morfologii krwi z rozmazem:</w:t>
            </w:r>
          </w:p>
          <w:p w:rsidR="004E11B7" w:rsidRPr="00544044" w:rsidRDefault="004E11B7" w:rsidP="00544044">
            <w:pPr>
              <w:pStyle w:val="Akapitzlist"/>
              <w:keepLines/>
              <w:widowControl w:val="0"/>
              <w:numPr>
                <w:ilvl w:val="1"/>
                <w:numId w:val="27"/>
              </w:numPr>
              <w:spacing w:before="120" w:line="276" w:lineRule="auto"/>
              <w:ind w:left="1134"/>
              <w:jc w:val="left"/>
              <w:rPr>
                <w:rFonts w:ascii="Times New Roman" w:hAnsi="Times New Roman"/>
                <w:bCs/>
                <w:spacing w:val="4"/>
                <w:sz w:val="20"/>
                <w:szCs w:val="20"/>
              </w:rPr>
            </w:pPr>
            <w:r w:rsidRPr="00544044">
              <w:rPr>
                <w:rFonts w:ascii="Times New Roman" w:hAnsi="Times New Roman"/>
                <w:bCs/>
                <w:spacing w:val="4"/>
                <w:sz w:val="20"/>
                <w:szCs w:val="20"/>
              </w:rPr>
              <w:lastRenderedPageBreak/>
              <w:t>liczba płytek krwi większa lub równa 10</w:t>
            </w:r>
            <w:r w:rsidRPr="004A1773">
              <w:rPr>
                <w:rFonts w:ascii="Times New Roman" w:hAnsi="Times New Roman"/>
                <w:bCs/>
                <w:spacing w:val="4"/>
                <w:sz w:val="20"/>
                <w:szCs w:val="20"/>
                <w:vertAlign w:val="superscript"/>
              </w:rPr>
              <w:t>5</w:t>
            </w:r>
            <w:r w:rsidRPr="00544044">
              <w:rPr>
                <w:rFonts w:ascii="Times New Roman" w:hAnsi="Times New Roman"/>
                <w:bCs/>
                <w:spacing w:val="4"/>
                <w:sz w:val="20"/>
                <w:szCs w:val="20"/>
              </w:rPr>
              <w:t>/mm</w:t>
            </w:r>
            <w:r w:rsidRPr="004A1773">
              <w:rPr>
                <w:rFonts w:ascii="Times New Roman" w:hAnsi="Times New Roman"/>
                <w:bCs/>
                <w:spacing w:val="4"/>
                <w:sz w:val="20"/>
                <w:szCs w:val="20"/>
                <w:vertAlign w:val="superscript"/>
              </w:rPr>
              <w:t>3</w:t>
            </w:r>
            <w:r w:rsidRPr="00544044">
              <w:rPr>
                <w:rFonts w:ascii="Times New Roman" w:hAnsi="Times New Roman"/>
                <w:bCs/>
                <w:spacing w:val="4"/>
                <w:sz w:val="20"/>
                <w:szCs w:val="20"/>
              </w:rPr>
              <w:t>,</w:t>
            </w:r>
          </w:p>
          <w:p w:rsidR="004E11B7" w:rsidRPr="00544044" w:rsidRDefault="004E11B7" w:rsidP="00544044">
            <w:pPr>
              <w:pStyle w:val="Akapitzlist"/>
              <w:keepLines/>
              <w:widowControl w:val="0"/>
              <w:numPr>
                <w:ilvl w:val="1"/>
                <w:numId w:val="27"/>
              </w:numPr>
              <w:spacing w:before="120" w:line="276" w:lineRule="auto"/>
              <w:ind w:left="1134"/>
              <w:jc w:val="left"/>
              <w:rPr>
                <w:rFonts w:ascii="Times New Roman" w:hAnsi="Times New Roman"/>
                <w:bCs/>
                <w:spacing w:val="4"/>
                <w:sz w:val="20"/>
                <w:szCs w:val="20"/>
              </w:rPr>
            </w:pPr>
            <w:r w:rsidRPr="00544044">
              <w:rPr>
                <w:rFonts w:ascii="Times New Roman" w:hAnsi="Times New Roman"/>
                <w:bCs/>
                <w:spacing w:val="4"/>
                <w:sz w:val="20"/>
                <w:szCs w:val="20"/>
              </w:rPr>
              <w:t>bezwzględna liczba granulocytów obojętnochłonnych większa lub równa 1500/mm</w:t>
            </w:r>
            <w:r w:rsidRPr="004A1773">
              <w:rPr>
                <w:rFonts w:ascii="Times New Roman" w:hAnsi="Times New Roman"/>
                <w:bCs/>
                <w:spacing w:val="4"/>
                <w:sz w:val="20"/>
                <w:szCs w:val="20"/>
                <w:vertAlign w:val="superscript"/>
              </w:rPr>
              <w:t>3</w:t>
            </w:r>
            <w:r w:rsidRPr="00544044">
              <w:rPr>
                <w:rFonts w:ascii="Times New Roman" w:hAnsi="Times New Roman"/>
                <w:bCs/>
                <w:spacing w:val="4"/>
                <w:sz w:val="20"/>
                <w:szCs w:val="20"/>
              </w:rPr>
              <w:t xml:space="preserve">, </w:t>
            </w:r>
          </w:p>
          <w:p w:rsidR="004E11B7" w:rsidRPr="00544044" w:rsidRDefault="004E11B7" w:rsidP="00544044">
            <w:pPr>
              <w:pStyle w:val="Akapitzlist"/>
              <w:keepLines/>
              <w:widowControl w:val="0"/>
              <w:numPr>
                <w:ilvl w:val="1"/>
                <w:numId w:val="27"/>
              </w:numPr>
              <w:spacing w:before="120" w:line="276" w:lineRule="auto"/>
              <w:ind w:left="1134"/>
              <w:jc w:val="left"/>
              <w:rPr>
                <w:rFonts w:ascii="Times New Roman" w:hAnsi="Times New Roman"/>
                <w:bCs/>
                <w:spacing w:val="4"/>
                <w:sz w:val="20"/>
                <w:szCs w:val="20"/>
              </w:rPr>
            </w:pPr>
            <w:r w:rsidRPr="00544044">
              <w:rPr>
                <w:rFonts w:ascii="Times New Roman" w:hAnsi="Times New Roman"/>
                <w:bCs/>
                <w:spacing w:val="4"/>
                <w:sz w:val="20"/>
                <w:szCs w:val="20"/>
              </w:rPr>
              <w:t>stężenie hemoglobiny większe lub równe 9,0 g/dl;</w:t>
            </w:r>
          </w:p>
          <w:p w:rsidR="004E11B7" w:rsidRPr="00544044" w:rsidRDefault="004E11B7" w:rsidP="00544044">
            <w:pPr>
              <w:pStyle w:val="Akapitzlist"/>
              <w:keepLines/>
              <w:widowControl w:val="0"/>
              <w:numPr>
                <w:ilvl w:val="0"/>
                <w:numId w:val="30"/>
              </w:numPr>
              <w:spacing w:before="120" w:line="276" w:lineRule="auto"/>
              <w:jc w:val="left"/>
              <w:rPr>
                <w:rFonts w:ascii="Times New Roman" w:eastAsia="Cambria" w:hAnsi="Times New Roman"/>
                <w:bCs/>
                <w:spacing w:val="4"/>
                <w:sz w:val="20"/>
                <w:szCs w:val="20"/>
              </w:rPr>
            </w:pPr>
            <w:r w:rsidRPr="00544044">
              <w:rPr>
                <w:rFonts w:ascii="Times New Roman" w:eastAsia="Cambria" w:hAnsi="Times New Roman"/>
                <w:bCs/>
                <w:spacing w:val="4"/>
                <w:sz w:val="20"/>
                <w:szCs w:val="20"/>
              </w:rPr>
              <w:t xml:space="preserve">czynność tarczycy prawidłowa lub wyrównana farmakologicznie; </w:t>
            </w:r>
          </w:p>
          <w:p w:rsidR="00384E44" w:rsidRPr="00544044" w:rsidRDefault="004E11B7" w:rsidP="00544044">
            <w:pPr>
              <w:pStyle w:val="Akapitzlist"/>
              <w:keepLines/>
              <w:widowControl w:val="0"/>
              <w:numPr>
                <w:ilvl w:val="0"/>
                <w:numId w:val="30"/>
              </w:numPr>
              <w:spacing w:before="120" w:line="276" w:lineRule="auto"/>
              <w:jc w:val="left"/>
              <w:rPr>
                <w:rFonts w:ascii="Times New Roman" w:eastAsia="Cambria" w:hAnsi="Times New Roman"/>
                <w:bCs/>
                <w:spacing w:val="4"/>
                <w:sz w:val="20"/>
                <w:szCs w:val="20"/>
              </w:rPr>
            </w:pPr>
            <w:r w:rsidRPr="00544044">
              <w:rPr>
                <w:rFonts w:ascii="Times New Roman" w:eastAsia="Cambria" w:hAnsi="Times New Roman"/>
                <w:bCs/>
                <w:spacing w:val="4"/>
                <w:sz w:val="20"/>
                <w:szCs w:val="20"/>
              </w:rPr>
              <w:t>nieobecność niekontrolowanych chorób układu sercowo-naczyniowego.</w:t>
            </w:r>
          </w:p>
          <w:p w:rsidR="003A1DCD" w:rsidRPr="00FF2570" w:rsidRDefault="004E11B7" w:rsidP="00544044">
            <w:pPr>
              <w:keepLines/>
              <w:widowControl w:val="0"/>
              <w:spacing w:before="120" w:after="120" w:line="276" w:lineRule="auto"/>
              <w:contextualSpacing/>
              <w:rPr>
                <w:rFonts w:ascii="Times New Roman" w:hAnsi="Times New Roman"/>
                <w:bCs/>
                <w:spacing w:val="4"/>
                <w:sz w:val="20"/>
                <w:szCs w:val="20"/>
              </w:rPr>
            </w:pPr>
            <w:r w:rsidRPr="00FF2570">
              <w:rPr>
                <w:rFonts w:ascii="Times New Roman" w:hAnsi="Times New Roman"/>
                <w:bCs/>
                <w:spacing w:val="4"/>
                <w:sz w:val="20"/>
                <w:szCs w:val="20"/>
              </w:rPr>
              <w:t>Kryteria kwalifikacji muszą być spełnione łącznie.</w:t>
            </w:r>
          </w:p>
          <w:p w:rsidR="004E11B7" w:rsidRPr="00FF2570" w:rsidRDefault="004E11B7" w:rsidP="00FF2570">
            <w:pPr>
              <w:pStyle w:val="Akapitzlist"/>
              <w:keepLines/>
              <w:widowControl w:val="0"/>
              <w:numPr>
                <w:ilvl w:val="1"/>
                <w:numId w:val="8"/>
              </w:numPr>
              <w:spacing w:before="120" w:line="276" w:lineRule="auto"/>
              <w:ind w:left="357" w:hanging="357"/>
              <w:jc w:val="left"/>
              <w:rPr>
                <w:rFonts w:ascii="Times New Roman" w:eastAsia="Times New Roman" w:hAnsi="Times New Roman"/>
                <w:b/>
                <w:sz w:val="20"/>
                <w:szCs w:val="20"/>
                <w:lang w:eastAsia="pl-PL"/>
              </w:rPr>
            </w:pPr>
            <w:r w:rsidRPr="00FF2570">
              <w:rPr>
                <w:rFonts w:ascii="Times New Roman" w:eastAsia="Times New Roman" w:hAnsi="Times New Roman"/>
                <w:b/>
                <w:sz w:val="20"/>
                <w:szCs w:val="20"/>
                <w:lang w:eastAsia="pl-PL"/>
              </w:rPr>
              <w:t>Określenie czasu leczenia w programie</w:t>
            </w:r>
          </w:p>
          <w:p w:rsidR="004E11B7" w:rsidRPr="00FF2570" w:rsidRDefault="004E11B7" w:rsidP="00FF2570">
            <w:pPr>
              <w:keepLines/>
              <w:widowControl w:val="0"/>
              <w:spacing w:before="120" w:after="120" w:line="276" w:lineRule="auto"/>
              <w:contextualSpacing/>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Leczenie trwa do czasu podjęcia przez lekarza prowadzącego decyzji o</w:t>
            </w:r>
            <w:r w:rsidR="00AF2B92" w:rsidRPr="00FF2570">
              <w:rPr>
                <w:rFonts w:ascii="Times New Roman" w:eastAsia="Times New Roman" w:hAnsi="Times New Roman"/>
                <w:sz w:val="20"/>
                <w:szCs w:val="20"/>
                <w:lang w:eastAsia="pl-PL"/>
              </w:rPr>
              <w:t> </w:t>
            </w:r>
            <w:r w:rsidRPr="00FF2570">
              <w:rPr>
                <w:rFonts w:ascii="Times New Roman" w:eastAsia="Times New Roman" w:hAnsi="Times New Roman"/>
                <w:sz w:val="20"/>
                <w:szCs w:val="20"/>
                <w:lang w:eastAsia="pl-PL"/>
              </w:rPr>
              <w:t>wyłączeniu świadcze</w:t>
            </w:r>
            <w:r w:rsidR="00544044">
              <w:rPr>
                <w:rFonts w:ascii="Times New Roman" w:eastAsia="Times New Roman" w:hAnsi="Times New Roman"/>
                <w:sz w:val="20"/>
                <w:szCs w:val="20"/>
                <w:lang w:eastAsia="pl-PL"/>
              </w:rPr>
              <w:t>niobiorcy z programu, zgodnie z  </w:t>
            </w:r>
            <w:r w:rsidRPr="00FF2570">
              <w:rPr>
                <w:rFonts w:ascii="Times New Roman" w:eastAsia="Times New Roman" w:hAnsi="Times New Roman"/>
                <w:sz w:val="20"/>
                <w:szCs w:val="20"/>
                <w:lang w:eastAsia="pl-PL"/>
              </w:rPr>
              <w:t>kryteriami wyłączenia.</w:t>
            </w:r>
          </w:p>
          <w:p w:rsidR="004E11B7" w:rsidRPr="00FF2570" w:rsidRDefault="004E11B7" w:rsidP="00FF2570">
            <w:pPr>
              <w:pStyle w:val="Akapitzlist"/>
              <w:keepLines/>
              <w:widowControl w:val="0"/>
              <w:numPr>
                <w:ilvl w:val="1"/>
                <w:numId w:val="9"/>
              </w:numPr>
              <w:spacing w:before="120" w:line="276" w:lineRule="auto"/>
              <w:ind w:left="357" w:hanging="357"/>
              <w:contextualSpacing w:val="0"/>
              <w:jc w:val="left"/>
              <w:rPr>
                <w:rFonts w:ascii="Times New Roman" w:eastAsia="Times New Roman" w:hAnsi="Times New Roman"/>
                <w:b/>
                <w:sz w:val="20"/>
                <w:szCs w:val="20"/>
                <w:lang w:eastAsia="pl-PL"/>
              </w:rPr>
            </w:pPr>
            <w:r w:rsidRPr="00FF2570">
              <w:rPr>
                <w:rFonts w:ascii="Times New Roman" w:eastAsia="Times New Roman" w:hAnsi="Times New Roman"/>
                <w:b/>
                <w:sz w:val="20"/>
                <w:szCs w:val="20"/>
                <w:lang w:eastAsia="pl-PL"/>
              </w:rPr>
              <w:t>Kryteria wyłączenia pacjenta z programu</w:t>
            </w:r>
          </w:p>
          <w:p w:rsidR="004E11B7" w:rsidRPr="00FF2570" w:rsidRDefault="004E11B7" w:rsidP="00FF2570">
            <w:pPr>
              <w:pStyle w:val="Akapitzlist"/>
              <w:keepLines/>
              <w:widowControl w:val="0"/>
              <w:numPr>
                <w:ilvl w:val="0"/>
                <w:numId w:val="7"/>
              </w:numPr>
              <w:spacing w:before="120" w:line="276" w:lineRule="auto"/>
              <w:ind w:left="426" w:hanging="284"/>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udokumentowana progresja choroby w trakcie stosowania leku;</w:t>
            </w:r>
          </w:p>
          <w:p w:rsidR="004E11B7" w:rsidRPr="00FF2570" w:rsidRDefault="004E11B7" w:rsidP="00FF2570">
            <w:pPr>
              <w:pStyle w:val="Akapitzlist"/>
              <w:keepLines/>
              <w:widowControl w:val="0"/>
              <w:numPr>
                <w:ilvl w:val="0"/>
                <w:numId w:val="7"/>
              </w:numPr>
              <w:spacing w:before="120" w:line="276" w:lineRule="auto"/>
              <w:ind w:left="426" w:hanging="284"/>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wystąpienie objawów nadwrażliwości na sunitynib lub na którąkolwiek substancję pomocniczą;</w:t>
            </w:r>
          </w:p>
          <w:p w:rsidR="004E11B7" w:rsidRPr="00FF2570" w:rsidRDefault="004E11B7" w:rsidP="00FF2570">
            <w:pPr>
              <w:pStyle w:val="Akapitzlist"/>
              <w:keepLines/>
              <w:widowControl w:val="0"/>
              <w:numPr>
                <w:ilvl w:val="0"/>
                <w:numId w:val="7"/>
              </w:numPr>
              <w:spacing w:before="120" w:line="276" w:lineRule="auto"/>
              <w:ind w:left="426" w:hanging="284"/>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nawracająca lub nieak</w:t>
            </w:r>
            <w:r w:rsidR="00544044">
              <w:rPr>
                <w:rFonts w:ascii="Times New Roman" w:eastAsia="Times New Roman" w:hAnsi="Times New Roman"/>
                <w:sz w:val="20"/>
                <w:szCs w:val="20"/>
                <w:lang w:eastAsia="pl-PL"/>
              </w:rPr>
              <w:t>ceptowana toksyczność powyżej 3  </w:t>
            </w:r>
            <w:r w:rsidRPr="00FF2570">
              <w:rPr>
                <w:rFonts w:ascii="Times New Roman" w:eastAsia="Times New Roman" w:hAnsi="Times New Roman"/>
                <w:sz w:val="20"/>
                <w:szCs w:val="20"/>
                <w:lang w:eastAsia="pl-PL"/>
              </w:rPr>
              <w:t>stopnia według skali WHO;</w:t>
            </w:r>
          </w:p>
          <w:p w:rsidR="004E11B7" w:rsidRPr="00FF2570" w:rsidRDefault="004E11B7" w:rsidP="00FF2570">
            <w:pPr>
              <w:pStyle w:val="Akapitzlist"/>
              <w:keepLines/>
              <w:widowControl w:val="0"/>
              <w:numPr>
                <w:ilvl w:val="0"/>
                <w:numId w:val="7"/>
              </w:numPr>
              <w:spacing w:before="120" w:line="276" w:lineRule="auto"/>
              <w:ind w:left="426" w:hanging="284"/>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utrzymujący się stan sprawności 70 lub niższy według skali Karnofsky’ego;</w:t>
            </w:r>
          </w:p>
          <w:p w:rsidR="004E11B7" w:rsidRPr="005B782E" w:rsidRDefault="004E11B7" w:rsidP="005B782E">
            <w:pPr>
              <w:pStyle w:val="Akapitzlist"/>
              <w:keepLines/>
              <w:widowControl w:val="0"/>
              <w:numPr>
                <w:ilvl w:val="0"/>
                <w:numId w:val="7"/>
              </w:numPr>
              <w:spacing w:before="120" w:line="276" w:lineRule="auto"/>
              <w:ind w:left="426" w:hanging="284"/>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wystąpienie objawów zastoinowej niewydolności serca, ostrych incy</w:t>
            </w:r>
            <w:r w:rsidR="00544044">
              <w:rPr>
                <w:rFonts w:ascii="Times New Roman" w:eastAsia="Times New Roman" w:hAnsi="Times New Roman"/>
                <w:sz w:val="20"/>
                <w:szCs w:val="20"/>
                <w:lang w:eastAsia="pl-PL"/>
              </w:rPr>
              <w:t>dentów niewydolności wieńcowej</w:t>
            </w:r>
            <w:r w:rsidR="005B782E">
              <w:rPr>
                <w:rFonts w:ascii="Times New Roman" w:eastAsia="Times New Roman" w:hAnsi="Times New Roman"/>
                <w:sz w:val="20"/>
                <w:szCs w:val="20"/>
                <w:lang w:eastAsia="pl-PL"/>
              </w:rPr>
              <w:t xml:space="preserve">, </w:t>
            </w:r>
            <w:r w:rsidRPr="005B782E">
              <w:rPr>
                <w:rFonts w:ascii="Times New Roman" w:eastAsia="Times New Roman" w:hAnsi="Times New Roman"/>
                <w:sz w:val="20"/>
                <w:szCs w:val="20"/>
                <w:lang w:eastAsia="pl-PL"/>
              </w:rPr>
              <w:t>niekontrolowanego nadciśnienia tętniczego oraz niestabilnych zaburzeń rytmu serca wymagających leczenia;</w:t>
            </w:r>
          </w:p>
          <w:p w:rsidR="004E11B7" w:rsidRPr="00766D67" w:rsidRDefault="004E11B7" w:rsidP="00FF2570">
            <w:pPr>
              <w:pStyle w:val="Akapitzlist"/>
              <w:keepLines/>
              <w:widowControl w:val="0"/>
              <w:numPr>
                <w:ilvl w:val="0"/>
                <w:numId w:val="7"/>
              </w:numPr>
              <w:spacing w:before="120" w:line="276" w:lineRule="auto"/>
              <w:ind w:left="426" w:hanging="284"/>
              <w:jc w:val="left"/>
              <w:rPr>
                <w:rFonts w:ascii="Times New Roman" w:hAnsi="Times New Roman"/>
                <w:sz w:val="20"/>
                <w:szCs w:val="20"/>
              </w:rPr>
            </w:pPr>
            <w:r w:rsidRPr="00FF2570">
              <w:rPr>
                <w:rFonts w:ascii="Times New Roman" w:eastAsia="Times New Roman" w:hAnsi="Times New Roman"/>
                <w:sz w:val="20"/>
                <w:szCs w:val="20"/>
                <w:lang w:eastAsia="pl-PL"/>
              </w:rPr>
              <w:t>istotne pogorszenie jakości życia w trakcie stosowania leku.</w:t>
            </w:r>
          </w:p>
          <w:p w:rsidR="00766D67" w:rsidRDefault="00BB22FA" w:rsidP="00766D67">
            <w:pPr>
              <w:keepLines/>
              <w:widowControl w:val="0"/>
              <w:spacing w:before="120" w:line="276" w:lineRule="auto"/>
              <w:rPr>
                <w:b/>
                <w:sz w:val="20"/>
                <w:szCs w:val="20"/>
              </w:rPr>
            </w:pPr>
            <w:r>
              <w:rPr>
                <w:rFonts w:ascii="Times New Roman" w:hAnsi="Times New Roman"/>
                <w:b/>
                <w:sz w:val="20"/>
                <w:szCs w:val="20"/>
              </w:rPr>
              <w:t>3.</w:t>
            </w:r>
            <w:r w:rsidR="00766D67">
              <w:rPr>
                <w:rFonts w:ascii="Times New Roman" w:hAnsi="Times New Roman"/>
                <w:b/>
                <w:sz w:val="20"/>
                <w:szCs w:val="20"/>
              </w:rPr>
              <w:t xml:space="preserve"> </w:t>
            </w:r>
            <w:r w:rsidR="00766D67" w:rsidRPr="005D0985">
              <w:rPr>
                <w:b/>
                <w:sz w:val="20"/>
                <w:szCs w:val="20"/>
              </w:rPr>
              <w:t>Kontynuacja leczenia pacjentów po zakończeniu finansowania w ramach chemioterapii niestandardowej</w:t>
            </w:r>
          </w:p>
          <w:p w:rsidR="00766D67" w:rsidRPr="00D77BBE" w:rsidRDefault="00766D67" w:rsidP="00766D67">
            <w:pPr>
              <w:numPr>
                <w:ilvl w:val="0"/>
                <w:numId w:val="31"/>
              </w:numPr>
              <w:autoSpaceDE w:val="0"/>
              <w:autoSpaceDN w:val="0"/>
              <w:adjustRightInd w:val="0"/>
              <w:spacing w:after="0" w:line="276" w:lineRule="auto"/>
              <w:contextualSpacing/>
              <w:rPr>
                <w:sz w:val="20"/>
                <w:szCs w:val="20"/>
              </w:rPr>
            </w:pPr>
            <w:r w:rsidRPr="00D77BBE">
              <w:rPr>
                <w:sz w:val="20"/>
                <w:szCs w:val="20"/>
              </w:rPr>
              <w:lastRenderedPageBreak/>
              <w:t>Z dniem 1 kwietnia 2018 roku do programu kwalifikowani mogą być pacjenci, których leczenie było finansowane do tego dnia w ramach programu chemioterapii niestandardowej.</w:t>
            </w:r>
          </w:p>
          <w:p w:rsidR="00766D67" w:rsidRPr="00D77BBE" w:rsidRDefault="00766D67" w:rsidP="00766D67">
            <w:pPr>
              <w:numPr>
                <w:ilvl w:val="0"/>
                <w:numId w:val="31"/>
              </w:numPr>
              <w:autoSpaceDE w:val="0"/>
              <w:autoSpaceDN w:val="0"/>
              <w:adjustRightInd w:val="0"/>
              <w:spacing w:after="0" w:line="276" w:lineRule="auto"/>
              <w:contextualSpacing/>
              <w:rPr>
                <w:sz w:val="20"/>
                <w:szCs w:val="20"/>
              </w:rPr>
            </w:pPr>
            <w:r w:rsidRPr="00D77BBE">
              <w:rPr>
                <w:sz w:val="20"/>
                <w:szCs w:val="20"/>
              </w:rPr>
              <w:t>Kwalifikacja, o której mowa w pkt. 1, dotyczy leczenia tą samą substancją czynną, która była finansowana w ramach programu chemioterapii niestandardowej.</w:t>
            </w:r>
          </w:p>
          <w:p w:rsidR="00766D67" w:rsidRPr="00D77BBE" w:rsidRDefault="00766D67" w:rsidP="00766D67">
            <w:pPr>
              <w:numPr>
                <w:ilvl w:val="0"/>
                <w:numId w:val="31"/>
              </w:numPr>
              <w:autoSpaceDE w:val="0"/>
              <w:autoSpaceDN w:val="0"/>
              <w:adjustRightInd w:val="0"/>
              <w:spacing w:after="0" w:line="276" w:lineRule="auto"/>
              <w:contextualSpacing/>
              <w:rPr>
                <w:sz w:val="20"/>
                <w:szCs w:val="20"/>
              </w:rPr>
            </w:pPr>
            <w:r w:rsidRPr="00D77BBE">
              <w:rPr>
                <w:sz w:val="20"/>
                <w:szCs w:val="20"/>
              </w:rPr>
              <w:t>Pacjenci, o których mowa w pkt. 1 nie muszą spełniać w chwili kwalifikacji, innych kryteriów wymaganych do włączenia do programu.</w:t>
            </w:r>
          </w:p>
          <w:p w:rsidR="00766D67" w:rsidRPr="00766D67" w:rsidRDefault="00766D67" w:rsidP="00766D67">
            <w:pPr>
              <w:numPr>
                <w:ilvl w:val="0"/>
                <w:numId w:val="31"/>
              </w:numPr>
              <w:autoSpaceDE w:val="0"/>
              <w:autoSpaceDN w:val="0"/>
              <w:adjustRightInd w:val="0"/>
              <w:spacing w:after="0" w:line="276" w:lineRule="auto"/>
              <w:contextualSpacing/>
              <w:rPr>
                <w:sz w:val="20"/>
                <w:szCs w:val="20"/>
              </w:rPr>
            </w:pPr>
            <w:r w:rsidRPr="00D77BBE">
              <w:rPr>
                <w:sz w:val="20"/>
                <w:szCs w:val="20"/>
              </w:rPr>
              <w:t>Pacjenci, o których mowa w pkt. 1 kontynuują leczenie w ramach programu do momentu podjęcia decyzji przez lekarza prowadzącego o zakończeniu leczenia danym lekiem.</w:t>
            </w:r>
          </w:p>
        </w:tc>
        <w:tc>
          <w:tcPr>
            <w:tcW w:w="1432" w:type="pct"/>
          </w:tcPr>
          <w:p w:rsidR="00E5276E" w:rsidRPr="00FF2570" w:rsidRDefault="00053AFF" w:rsidP="009D6A82">
            <w:pPr>
              <w:pStyle w:val="Akapitzlist"/>
              <w:numPr>
                <w:ilvl w:val="0"/>
                <w:numId w:val="10"/>
              </w:numPr>
              <w:autoSpaceDE w:val="0"/>
              <w:autoSpaceDN w:val="0"/>
              <w:adjustRightInd w:val="0"/>
              <w:spacing w:before="120" w:after="60" w:line="276" w:lineRule="auto"/>
              <w:ind w:left="34" w:firstLine="0"/>
              <w:jc w:val="left"/>
              <w:rPr>
                <w:rFonts w:ascii="Times New Roman" w:hAnsi="Times New Roman"/>
                <w:b/>
                <w:bCs/>
                <w:sz w:val="20"/>
                <w:szCs w:val="20"/>
                <w:lang w:eastAsia="pl-PL"/>
              </w:rPr>
            </w:pPr>
            <w:bookmarkStart w:id="0" w:name="_GoBack"/>
            <w:r w:rsidRPr="00FF2570">
              <w:rPr>
                <w:rFonts w:ascii="Times New Roman" w:hAnsi="Times New Roman"/>
                <w:b/>
                <w:bCs/>
                <w:sz w:val="20"/>
                <w:szCs w:val="20"/>
                <w:lang w:eastAsia="pl-PL"/>
              </w:rPr>
              <w:lastRenderedPageBreak/>
              <w:t>Dawkowanie</w:t>
            </w:r>
            <w:bookmarkEnd w:id="0"/>
            <w:r w:rsidRPr="00FF2570">
              <w:rPr>
                <w:rFonts w:ascii="Times New Roman" w:hAnsi="Times New Roman"/>
                <w:b/>
                <w:bCs/>
                <w:sz w:val="20"/>
                <w:szCs w:val="20"/>
                <w:lang w:eastAsia="pl-PL"/>
              </w:rPr>
              <w:t xml:space="preserve"> e</w:t>
            </w:r>
            <w:r w:rsidR="003A1DCD" w:rsidRPr="00FF2570">
              <w:rPr>
                <w:rFonts w:ascii="Times New Roman" w:hAnsi="Times New Roman"/>
                <w:b/>
                <w:bCs/>
                <w:sz w:val="20"/>
                <w:szCs w:val="20"/>
                <w:lang w:eastAsia="pl-PL"/>
              </w:rPr>
              <w:t>werolimus</w:t>
            </w:r>
            <w:r w:rsidRPr="00FF2570">
              <w:rPr>
                <w:rFonts w:ascii="Times New Roman" w:hAnsi="Times New Roman"/>
                <w:b/>
                <w:bCs/>
                <w:sz w:val="20"/>
                <w:szCs w:val="20"/>
                <w:lang w:eastAsia="pl-PL"/>
              </w:rPr>
              <w:t>u</w:t>
            </w:r>
          </w:p>
          <w:p w:rsidR="00DE0140" w:rsidRPr="00FF2570" w:rsidRDefault="00DE51E0" w:rsidP="00FF2570">
            <w:pPr>
              <w:spacing w:line="276" w:lineRule="auto"/>
              <w:rPr>
                <w:rFonts w:ascii="Times New Roman" w:hAnsi="Times New Roman"/>
                <w:sz w:val="20"/>
                <w:szCs w:val="20"/>
              </w:rPr>
            </w:pPr>
            <w:r w:rsidRPr="00FF2570">
              <w:rPr>
                <w:rFonts w:ascii="Times New Roman" w:hAnsi="Times New Roman"/>
                <w:sz w:val="20"/>
                <w:szCs w:val="20"/>
              </w:rPr>
              <w:t xml:space="preserve">Zalecana dawka ewerolimusu wynosi 10 mg raz na dobę. Leczenie należy kontynuować </w:t>
            </w:r>
            <w:r w:rsidR="00A77268" w:rsidRPr="00FF2570">
              <w:rPr>
                <w:rFonts w:ascii="Times New Roman" w:hAnsi="Times New Roman"/>
                <w:sz w:val="20"/>
                <w:szCs w:val="20"/>
              </w:rPr>
              <w:t>do momentu, gdy</w:t>
            </w:r>
            <w:r w:rsidRPr="00FF2570">
              <w:rPr>
                <w:rFonts w:ascii="Times New Roman" w:hAnsi="Times New Roman"/>
                <w:sz w:val="20"/>
                <w:szCs w:val="20"/>
              </w:rPr>
              <w:t xml:space="preserve"> obserwuje się korzyści kliniczne lub do wystąpienia objawów znacznej toksyczności.</w:t>
            </w:r>
            <w:r w:rsidR="00824922" w:rsidRPr="00FF2570">
              <w:rPr>
                <w:rFonts w:ascii="Times New Roman" w:hAnsi="Times New Roman"/>
                <w:sz w:val="20"/>
                <w:szCs w:val="20"/>
              </w:rPr>
              <w:t xml:space="preserve"> W </w:t>
            </w:r>
            <w:r w:rsidR="00A96DBE" w:rsidRPr="00FF2570">
              <w:rPr>
                <w:rFonts w:ascii="Times New Roman" w:hAnsi="Times New Roman"/>
                <w:sz w:val="20"/>
                <w:szCs w:val="20"/>
              </w:rPr>
              <w:t xml:space="preserve">przypadku pominięcia dawki </w:t>
            </w:r>
            <w:r w:rsidRPr="00FF2570">
              <w:rPr>
                <w:rFonts w:ascii="Times New Roman" w:hAnsi="Times New Roman"/>
                <w:sz w:val="20"/>
                <w:szCs w:val="20"/>
              </w:rPr>
              <w:t xml:space="preserve"> nie należy przyjmować dodatkowej dawki, ale przyjąć kolejną dawkę o zwykłej porze.</w:t>
            </w:r>
          </w:p>
          <w:p w:rsidR="005B0E68" w:rsidRPr="00FF2570" w:rsidRDefault="00DE51E0" w:rsidP="00FF2570">
            <w:pPr>
              <w:pStyle w:val="Akapitzlist"/>
              <w:numPr>
                <w:ilvl w:val="1"/>
                <w:numId w:val="11"/>
              </w:numPr>
              <w:spacing w:before="120" w:after="0" w:line="276" w:lineRule="auto"/>
              <w:jc w:val="left"/>
              <w:rPr>
                <w:rFonts w:ascii="Times New Roman" w:hAnsi="Times New Roman"/>
                <w:b/>
                <w:sz w:val="20"/>
                <w:szCs w:val="20"/>
              </w:rPr>
            </w:pPr>
            <w:r w:rsidRPr="00FF2570">
              <w:rPr>
                <w:rFonts w:ascii="Times New Roman" w:hAnsi="Times New Roman"/>
                <w:b/>
                <w:sz w:val="20"/>
                <w:szCs w:val="20"/>
              </w:rPr>
              <w:t>Dostosowanie dawkowania ze względu na działania niepożądane</w:t>
            </w:r>
          </w:p>
          <w:p w:rsidR="002C7006" w:rsidRPr="00FF2570" w:rsidRDefault="00DE51E0" w:rsidP="00FF2570">
            <w:pPr>
              <w:spacing w:after="0" w:line="276" w:lineRule="auto"/>
              <w:rPr>
                <w:rFonts w:ascii="Times New Roman" w:hAnsi="Times New Roman"/>
                <w:sz w:val="20"/>
                <w:szCs w:val="20"/>
              </w:rPr>
            </w:pPr>
            <w:r w:rsidRPr="00FF2570">
              <w:rPr>
                <w:rFonts w:ascii="Times New Roman" w:hAnsi="Times New Roman"/>
                <w:sz w:val="20"/>
                <w:szCs w:val="20"/>
              </w:rPr>
              <w:t xml:space="preserve">W przypadku wystąpienia poważnych </w:t>
            </w:r>
            <w:r w:rsidR="005C2C9D" w:rsidRPr="00FF2570">
              <w:rPr>
                <w:rFonts w:ascii="Times New Roman" w:hAnsi="Times New Roman"/>
                <w:sz w:val="20"/>
                <w:szCs w:val="20"/>
              </w:rPr>
              <w:t xml:space="preserve"> </w:t>
            </w:r>
            <w:r w:rsidR="00A96DBE" w:rsidRPr="00FF2570">
              <w:rPr>
                <w:rFonts w:ascii="Times New Roman" w:hAnsi="Times New Roman"/>
                <w:sz w:val="20"/>
                <w:szCs w:val="20"/>
              </w:rPr>
              <w:t>lub</w:t>
            </w:r>
            <w:r w:rsidRPr="00FF2570">
              <w:rPr>
                <w:rFonts w:ascii="Times New Roman" w:hAnsi="Times New Roman"/>
                <w:sz w:val="20"/>
                <w:szCs w:val="20"/>
              </w:rPr>
              <w:t xml:space="preserve"> niemożliwych do zaakceptowania działań niepożądanych może zajść konieczność zmiany dawkowania. Możliwe jest zmniejszenie dawki lub zaprzestanie podawania (np. przez tydzień) </w:t>
            </w:r>
            <w:r w:rsidR="00204845" w:rsidRPr="00FF2570">
              <w:rPr>
                <w:rFonts w:ascii="Times New Roman" w:hAnsi="Times New Roman"/>
                <w:sz w:val="20"/>
                <w:szCs w:val="20"/>
              </w:rPr>
              <w:t>ewerolimusu</w:t>
            </w:r>
            <w:r w:rsidRPr="00FF2570">
              <w:rPr>
                <w:rFonts w:ascii="Times New Roman" w:hAnsi="Times New Roman"/>
                <w:sz w:val="20"/>
                <w:szCs w:val="20"/>
              </w:rPr>
              <w:t>, a następnie rozpoczęcie podawania od dawki 5 mg. Jeżeli konieczne jest zmniejszenie dawki,</w:t>
            </w:r>
            <w:r w:rsidR="00A96DBE" w:rsidRPr="00FF2570">
              <w:rPr>
                <w:rFonts w:ascii="Times New Roman" w:hAnsi="Times New Roman"/>
                <w:sz w:val="20"/>
                <w:szCs w:val="20"/>
              </w:rPr>
              <w:t xml:space="preserve"> wówczas</w:t>
            </w:r>
            <w:r w:rsidRPr="00FF2570">
              <w:rPr>
                <w:rFonts w:ascii="Times New Roman" w:hAnsi="Times New Roman"/>
                <w:sz w:val="20"/>
                <w:szCs w:val="20"/>
              </w:rPr>
              <w:t xml:space="preserve"> sugerowana dawka </w:t>
            </w:r>
            <w:r w:rsidR="00A96DBE" w:rsidRPr="00FF2570">
              <w:rPr>
                <w:rFonts w:ascii="Times New Roman" w:hAnsi="Times New Roman"/>
                <w:sz w:val="20"/>
                <w:szCs w:val="20"/>
              </w:rPr>
              <w:t>wynosi</w:t>
            </w:r>
            <w:r w:rsidRPr="00FF2570">
              <w:rPr>
                <w:rFonts w:ascii="Times New Roman" w:hAnsi="Times New Roman"/>
                <w:sz w:val="20"/>
                <w:szCs w:val="20"/>
              </w:rPr>
              <w:t xml:space="preserve"> 5 mg na dobę. </w:t>
            </w:r>
          </w:p>
          <w:p w:rsidR="002C7006" w:rsidRPr="00FF2570" w:rsidRDefault="00C56998" w:rsidP="00FF2570">
            <w:pPr>
              <w:pStyle w:val="Akapitzlist"/>
              <w:numPr>
                <w:ilvl w:val="1"/>
                <w:numId w:val="11"/>
              </w:numPr>
              <w:spacing w:before="120" w:line="276" w:lineRule="auto"/>
              <w:ind w:left="357" w:hanging="357"/>
              <w:jc w:val="left"/>
              <w:rPr>
                <w:rFonts w:ascii="Times New Roman" w:hAnsi="Times New Roman"/>
                <w:b/>
                <w:sz w:val="20"/>
                <w:szCs w:val="20"/>
              </w:rPr>
            </w:pPr>
            <w:r w:rsidRPr="00FF2570">
              <w:rPr>
                <w:rFonts w:ascii="Times New Roman" w:hAnsi="Times New Roman"/>
                <w:b/>
                <w:sz w:val="20"/>
                <w:szCs w:val="20"/>
              </w:rPr>
              <w:t>Pacjenci z zaburzeniami czynności wątroby</w:t>
            </w:r>
            <w:r w:rsidR="00DE0140" w:rsidRPr="00FF2570">
              <w:rPr>
                <w:rFonts w:ascii="Times New Roman" w:hAnsi="Times New Roman"/>
                <w:b/>
                <w:sz w:val="20"/>
                <w:szCs w:val="20"/>
              </w:rPr>
              <w:t>:</w:t>
            </w:r>
          </w:p>
          <w:p w:rsidR="00C56998" w:rsidRPr="00FF2570" w:rsidRDefault="001409B9" w:rsidP="00CB1B66">
            <w:pPr>
              <w:pStyle w:val="Akapitzlist"/>
              <w:numPr>
                <w:ilvl w:val="0"/>
                <w:numId w:val="6"/>
              </w:numPr>
              <w:tabs>
                <w:tab w:val="left" w:pos="460"/>
              </w:tabs>
              <w:spacing w:after="0" w:line="276" w:lineRule="auto"/>
              <w:ind w:left="460" w:hanging="284"/>
              <w:jc w:val="left"/>
              <w:rPr>
                <w:rFonts w:ascii="Times New Roman" w:hAnsi="Times New Roman"/>
                <w:sz w:val="20"/>
                <w:szCs w:val="20"/>
                <w:lang w:val="cs-CZ"/>
              </w:rPr>
            </w:pPr>
            <w:r w:rsidRPr="00FF2570">
              <w:rPr>
                <w:rFonts w:ascii="Times New Roman" w:hAnsi="Times New Roman"/>
                <w:iCs/>
                <w:sz w:val="20"/>
                <w:szCs w:val="20"/>
              </w:rPr>
              <w:t>ł</w:t>
            </w:r>
            <w:r w:rsidR="00C56998" w:rsidRPr="00FF2570">
              <w:rPr>
                <w:rFonts w:ascii="Times New Roman" w:hAnsi="Times New Roman"/>
                <w:iCs/>
                <w:sz w:val="20"/>
                <w:szCs w:val="20"/>
              </w:rPr>
              <w:t xml:space="preserve">agodne </w:t>
            </w:r>
            <w:r w:rsidR="00D04FDE" w:rsidRPr="00FF2570">
              <w:rPr>
                <w:rFonts w:ascii="Times New Roman" w:hAnsi="Times New Roman"/>
                <w:iCs/>
                <w:sz w:val="20"/>
                <w:szCs w:val="20"/>
              </w:rPr>
              <w:t>zaburzenia czynności wątroby (A </w:t>
            </w:r>
            <w:r w:rsidR="00C56998" w:rsidRPr="00FF2570">
              <w:rPr>
                <w:rFonts w:ascii="Times New Roman" w:hAnsi="Times New Roman"/>
                <w:iCs/>
                <w:sz w:val="20"/>
                <w:szCs w:val="20"/>
              </w:rPr>
              <w:t>wg skali Child-Pugh) – z</w:t>
            </w:r>
            <w:r w:rsidRPr="00FF2570">
              <w:rPr>
                <w:rFonts w:ascii="Times New Roman" w:hAnsi="Times New Roman"/>
                <w:iCs/>
                <w:sz w:val="20"/>
                <w:szCs w:val="20"/>
              </w:rPr>
              <w:t>alecana dawka to 7,5 mg na dobę;</w:t>
            </w:r>
          </w:p>
          <w:p w:rsidR="00C56998" w:rsidRPr="00CB1B66" w:rsidRDefault="006A7E72" w:rsidP="00CB1B66">
            <w:pPr>
              <w:pStyle w:val="Akapitzlist"/>
              <w:numPr>
                <w:ilvl w:val="0"/>
                <w:numId w:val="6"/>
              </w:numPr>
              <w:tabs>
                <w:tab w:val="left" w:pos="460"/>
              </w:tabs>
              <w:spacing w:after="0" w:line="276" w:lineRule="auto"/>
              <w:ind w:left="460" w:hanging="284"/>
              <w:jc w:val="left"/>
              <w:rPr>
                <w:rFonts w:ascii="Times New Roman" w:hAnsi="Times New Roman"/>
                <w:sz w:val="20"/>
                <w:szCs w:val="20"/>
                <w:lang w:val="cs-CZ"/>
              </w:rPr>
            </w:pPr>
            <w:r w:rsidRPr="00FF2570">
              <w:rPr>
                <w:rFonts w:ascii="Times New Roman" w:hAnsi="Times New Roman"/>
                <w:iCs/>
                <w:sz w:val="20"/>
                <w:szCs w:val="20"/>
                <w:lang w:val="cs-CZ"/>
              </w:rPr>
              <w:lastRenderedPageBreak/>
              <w:t>u</w:t>
            </w:r>
            <w:r w:rsidR="00C56998" w:rsidRPr="00FF2570">
              <w:rPr>
                <w:rFonts w:ascii="Times New Roman" w:hAnsi="Times New Roman"/>
                <w:iCs/>
                <w:sz w:val="20"/>
                <w:szCs w:val="20"/>
              </w:rPr>
              <w:t>miarkowane zaburzenia czynności wątroby (B wg skali Child-Pugh) –</w:t>
            </w:r>
            <w:r w:rsidR="00C728DC" w:rsidRPr="00FF2570">
              <w:rPr>
                <w:rFonts w:ascii="Times New Roman" w:hAnsi="Times New Roman"/>
                <w:iCs/>
                <w:sz w:val="20"/>
                <w:szCs w:val="20"/>
              </w:rPr>
              <w:t xml:space="preserve"> zalecana dawka to 5 mg </w:t>
            </w:r>
            <w:r w:rsidR="00DE0140" w:rsidRPr="00FF2570">
              <w:rPr>
                <w:rFonts w:ascii="Times New Roman" w:hAnsi="Times New Roman"/>
                <w:iCs/>
                <w:sz w:val="20"/>
                <w:szCs w:val="20"/>
              </w:rPr>
              <w:t>na dobę;</w:t>
            </w:r>
          </w:p>
          <w:p w:rsidR="00AD6A24" w:rsidRPr="00CB1B66" w:rsidRDefault="00FF2570" w:rsidP="00CB1B66">
            <w:pPr>
              <w:pStyle w:val="Akapitzlist"/>
              <w:numPr>
                <w:ilvl w:val="0"/>
                <w:numId w:val="6"/>
              </w:numPr>
              <w:tabs>
                <w:tab w:val="left" w:pos="460"/>
              </w:tabs>
              <w:spacing w:after="0" w:line="276" w:lineRule="auto"/>
              <w:ind w:left="460" w:hanging="284"/>
              <w:jc w:val="left"/>
              <w:rPr>
                <w:rFonts w:ascii="Times New Roman" w:hAnsi="Times New Roman"/>
                <w:sz w:val="20"/>
                <w:szCs w:val="20"/>
                <w:lang w:val="cs-CZ"/>
              </w:rPr>
            </w:pPr>
            <w:r w:rsidRPr="00CB1B66">
              <w:rPr>
                <w:rFonts w:ascii="Times New Roman" w:hAnsi="Times New Roman"/>
                <w:iCs/>
                <w:sz w:val="20"/>
                <w:szCs w:val="20"/>
                <w:lang w:val="cs-CZ"/>
              </w:rPr>
              <w:t>ciężkie</w:t>
            </w:r>
            <w:r w:rsidR="00C56998" w:rsidRPr="00CB1B66">
              <w:rPr>
                <w:rFonts w:ascii="Times New Roman" w:hAnsi="Times New Roman"/>
                <w:iCs/>
                <w:sz w:val="20"/>
                <w:szCs w:val="20"/>
              </w:rPr>
              <w:t xml:space="preserve"> </w:t>
            </w:r>
            <w:r w:rsidR="00DE0140" w:rsidRPr="00CB1B66">
              <w:rPr>
                <w:rFonts w:ascii="Times New Roman" w:hAnsi="Times New Roman"/>
                <w:iCs/>
                <w:sz w:val="20"/>
                <w:szCs w:val="20"/>
              </w:rPr>
              <w:t>zaburzenia czynności wątroby (C </w:t>
            </w:r>
            <w:r w:rsidR="00C56998" w:rsidRPr="00CB1B66">
              <w:rPr>
                <w:rFonts w:ascii="Times New Roman" w:hAnsi="Times New Roman"/>
                <w:iCs/>
                <w:sz w:val="20"/>
                <w:szCs w:val="20"/>
              </w:rPr>
              <w:t xml:space="preserve">wg skali Child-Pugh) </w:t>
            </w:r>
            <w:r w:rsidR="00DC029D" w:rsidRPr="00CB1B66">
              <w:rPr>
                <w:rFonts w:ascii="Times New Roman" w:hAnsi="Times New Roman"/>
                <w:iCs/>
                <w:sz w:val="20"/>
                <w:szCs w:val="20"/>
              </w:rPr>
              <w:t>stanowią przeciwwskazanie do stosowania ewerolimusu</w:t>
            </w:r>
            <w:r w:rsidR="006E0113" w:rsidRPr="00CB1B66">
              <w:rPr>
                <w:rFonts w:ascii="Times New Roman" w:hAnsi="Times New Roman"/>
                <w:iCs/>
                <w:sz w:val="20"/>
                <w:szCs w:val="20"/>
              </w:rPr>
              <w:t>.</w:t>
            </w:r>
          </w:p>
          <w:p w:rsidR="003A1DCD" w:rsidRPr="00FF2570" w:rsidRDefault="00C56998" w:rsidP="00FF2570">
            <w:pPr>
              <w:spacing w:before="120" w:after="120" w:line="276" w:lineRule="auto"/>
              <w:rPr>
                <w:rFonts w:ascii="Times New Roman" w:hAnsi="Times New Roman"/>
                <w:sz w:val="20"/>
                <w:szCs w:val="20"/>
              </w:rPr>
            </w:pPr>
            <w:r w:rsidRPr="00FF2570">
              <w:rPr>
                <w:rFonts w:ascii="Times New Roman" w:hAnsi="Times New Roman"/>
                <w:iCs/>
                <w:sz w:val="20"/>
                <w:szCs w:val="20"/>
              </w:rPr>
              <w:t>Jeśli w trakcie leczenia stan wątroby pacjenta (wg skali Child-Pugh) ulegnie zmianie, dawkowanie należy dostosować.</w:t>
            </w:r>
            <w:r w:rsidR="003A1DCD" w:rsidRPr="00FF2570">
              <w:rPr>
                <w:rFonts w:ascii="Times New Roman" w:hAnsi="Times New Roman"/>
                <w:sz w:val="20"/>
                <w:szCs w:val="20"/>
              </w:rPr>
              <w:t xml:space="preserve"> </w:t>
            </w:r>
            <w:r w:rsidR="00DE51E0" w:rsidRPr="00FF2570">
              <w:rPr>
                <w:rFonts w:ascii="Times New Roman" w:hAnsi="Times New Roman"/>
                <w:sz w:val="20"/>
                <w:szCs w:val="20"/>
              </w:rPr>
              <w:t>Leczenie powinno być kontynuowane do stwierdzenia progresji choroby lub nieakceptowanych toksyczności</w:t>
            </w:r>
            <w:r w:rsidR="00204845" w:rsidRPr="00FF2570">
              <w:rPr>
                <w:rFonts w:ascii="Times New Roman" w:hAnsi="Times New Roman"/>
                <w:sz w:val="20"/>
                <w:szCs w:val="20"/>
              </w:rPr>
              <w:t>.</w:t>
            </w:r>
          </w:p>
          <w:p w:rsidR="006A099D" w:rsidRPr="00FF2570" w:rsidRDefault="00053AFF" w:rsidP="00FF2570">
            <w:pPr>
              <w:pStyle w:val="Akapitzlist"/>
              <w:numPr>
                <w:ilvl w:val="0"/>
                <w:numId w:val="11"/>
              </w:numPr>
              <w:spacing w:before="120" w:line="276" w:lineRule="auto"/>
              <w:ind w:left="0" w:firstLine="0"/>
              <w:jc w:val="left"/>
              <w:rPr>
                <w:rFonts w:ascii="Times New Roman" w:hAnsi="Times New Roman"/>
                <w:b/>
                <w:sz w:val="20"/>
                <w:szCs w:val="20"/>
              </w:rPr>
            </w:pPr>
            <w:r w:rsidRPr="00FF2570">
              <w:rPr>
                <w:rFonts w:ascii="Times New Roman" w:hAnsi="Times New Roman"/>
                <w:b/>
                <w:sz w:val="20"/>
                <w:szCs w:val="20"/>
              </w:rPr>
              <w:t>Dawkowanie s</w:t>
            </w:r>
            <w:r w:rsidR="006A099D" w:rsidRPr="00FF2570">
              <w:rPr>
                <w:rFonts w:ascii="Times New Roman" w:hAnsi="Times New Roman"/>
                <w:b/>
                <w:sz w:val="20"/>
                <w:szCs w:val="20"/>
              </w:rPr>
              <w:t>unitynib</w:t>
            </w:r>
            <w:r w:rsidRPr="00FF2570">
              <w:rPr>
                <w:rFonts w:ascii="Times New Roman" w:hAnsi="Times New Roman"/>
                <w:b/>
                <w:sz w:val="20"/>
                <w:szCs w:val="20"/>
              </w:rPr>
              <w:t>u</w:t>
            </w:r>
          </w:p>
          <w:p w:rsidR="00053AFF" w:rsidRPr="00FF2570" w:rsidRDefault="003A1DCD" w:rsidP="00FF2570">
            <w:pPr>
              <w:spacing w:before="120" w:after="120" w:line="276" w:lineRule="auto"/>
              <w:rPr>
                <w:rFonts w:ascii="Times New Roman" w:hAnsi="Times New Roman"/>
                <w:b/>
                <w:sz w:val="20"/>
                <w:szCs w:val="20"/>
              </w:rPr>
            </w:pPr>
            <w:r w:rsidRPr="00FF2570">
              <w:rPr>
                <w:rFonts w:ascii="Times New Roman" w:hAnsi="Times New Roman"/>
                <w:sz w:val="20"/>
                <w:szCs w:val="20"/>
              </w:rPr>
              <w:t xml:space="preserve">Zalecana dawka </w:t>
            </w:r>
            <w:r w:rsidR="006A099D" w:rsidRPr="00FF2570">
              <w:rPr>
                <w:rFonts w:ascii="Times New Roman" w:hAnsi="Times New Roman"/>
                <w:sz w:val="20"/>
                <w:szCs w:val="20"/>
              </w:rPr>
              <w:t xml:space="preserve">sunitynibu wynosi 37,5 </w:t>
            </w:r>
            <w:r w:rsidRPr="00FF2570">
              <w:rPr>
                <w:rFonts w:ascii="Times New Roman" w:hAnsi="Times New Roman"/>
                <w:sz w:val="20"/>
                <w:szCs w:val="20"/>
              </w:rPr>
              <w:t>mg raz na dobę, przyjmo</w:t>
            </w:r>
            <w:r w:rsidR="00FC5D97" w:rsidRPr="00FF2570">
              <w:rPr>
                <w:rFonts w:ascii="Times New Roman" w:hAnsi="Times New Roman"/>
                <w:sz w:val="20"/>
                <w:szCs w:val="20"/>
              </w:rPr>
              <w:t>wana doustnie w </w:t>
            </w:r>
            <w:r w:rsidRPr="00FF2570">
              <w:rPr>
                <w:rFonts w:ascii="Times New Roman" w:hAnsi="Times New Roman"/>
                <w:sz w:val="20"/>
                <w:szCs w:val="20"/>
              </w:rPr>
              <w:t xml:space="preserve">sposób ciągły. </w:t>
            </w:r>
          </w:p>
          <w:p w:rsidR="003A1DCD" w:rsidRPr="00FF2570" w:rsidRDefault="003A1DCD" w:rsidP="00FF2570">
            <w:pPr>
              <w:spacing w:before="120" w:after="120" w:line="276" w:lineRule="auto"/>
              <w:rPr>
                <w:rFonts w:ascii="Times New Roman" w:hAnsi="Times New Roman"/>
                <w:b/>
                <w:sz w:val="20"/>
                <w:szCs w:val="20"/>
              </w:rPr>
            </w:pPr>
            <w:r w:rsidRPr="00FF2570">
              <w:rPr>
                <w:rFonts w:ascii="Times New Roman" w:hAnsi="Times New Roman"/>
                <w:sz w:val="20"/>
                <w:szCs w:val="20"/>
              </w:rPr>
              <w:t>Możliwe jest stopniowe dokonywanie zmi</w:t>
            </w:r>
            <w:r w:rsidR="00326444" w:rsidRPr="00FF2570">
              <w:rPr>
                <w:rFonts w:ascii="Times New Roman" w:hAnsi="Times New Roman"/>
                <w:sz w:val="20"/>
                <w:szCs w:val="20"/>
              </w:rPr>
              <w:t>an dawkowania za każdym razem o </w:t>
            </w:r>
            <w:r w:rsidRPr="00FF2570">
              <w:rPr>
                <w:rFonts w:ascii="Times New Roman" w:hAnsi="Times New Roman"/>
                <w:sz w:val="20"/>
                <w:szCs w:val="20"/>
              </w:rPr>
              <w:t>12,5 mg, zależnie od indywidualnie ocenianego bezpieczeństwa i tolerancji.</w:t>
            </w:r>
          </w:p>
          <w:p w:rsidR="003A1DCD" w:rsidRPr="00FF2570" w:rsidRDefault="003A1DCD" w:rsidP="00FF2570">
            <w:pPr>
              <w:spacing w:line="276" w:lineRule="auto"/>
              <w:rPr>
                <w:rFonts w:ascii="Times New Roman" w:hAnsi="Times New Roman"/>
                <w:sz w:val="20"/>
                <w:szCs w:val="20"/>
              </w:rPr>
            </w:pPr>
          </w:p>
        </w:tc>
        <w:tc>
          <w:tcPr>
            <w:tcW w:w="1787" w:type="pct"/>
          </w:tcPr>
          <w:p w:rsidR="0090064C" w:rsidRPr="00FF2570" w:rsidRDefault="001409B9" w:rsidP="00FF2570">
            <w:pPr>
              <w:autoSpaceDE w:val="0"/>
              <w:autoSpaceDN w:val="0"/>
              <w:adjustRightInd w:val="0"/>
              <w:spacing w:before="120" w:after="120" w:line="276" w:lineRule="auto"/>
              <w:rPr>
                <w:rFonts w:ascii="Times New Roman" w:hAnsi="Times New Roman"/>
                <w:b/>
                <w:bCs/>
                <w:sz w:val="20"/>
                <w:szCs w:val="20"/>
                <w:lang w:eastAsia="pl-PL"/>
              </w:rPr>
            </w:pPr>
            <w:r w:rsidRPr="00FF2570">
              <w:rPr>
                <w:rFonts w:ascii="Times New Roman" w:hAnsi="Times New Roman"/>
                <w:b/>
                <w:bCs/>
                <w:sz w:val="20"/>
                <w:szCs w:val="20"/>
                <w:lang w:eastAsia="pl-PL"/>
              </w:rPr>
              <w:lastRenderedPageBreak/>
              <w:t xml:space="preserve">1. </w:t>
            </w:r>
            <w:r w:rsidR="0090064C" w:rsidRPr="00FF2570">
              <w:rPr>
                <w:rFonts w:ascii="Times New Roman" w:hAnsi="Times New Roman"/>
                <w:sz w:val="20"/>
                <w:szCs w:val="20"/>
              </w:rPr>
              <w:t xml:space="preserve"> </w:t>
            </w:r>
            <w:r w:rsidR="0090064C" w:rsidRPr="00FF2570">
              <w:rPr>
                <w:rFonts w:ascii="Times New Roman" w:hAnsi="Times New Roman"/>
                <w:b/>
                <w:bCs/>
                <w:sz w:val="20"/>
                <w:szCs w:val="20"/>
                <w:lang w:eastAsia="pl-PL"/>
              </w:rPr>
              <w:t xml:space="preserve">Leczenie wysoko zróżnicowanego nowotworu neuroendokrynnego trzustki ewerolimusem </w:t>
            </w:r>
          </w:p>
          <w:p w:rsidR="00E5276E" w:rsidRPr="00FF2570" w:rsidRDefault="0090064C" w:rsidP="00FF2570">
            <w:pPr>
              <w:autoSpaceDE w:val="0"/>
              <w:autoSpaceDN w:val="0"/>
              <w:adjustRightInd w:val="0"/>
              <w:spacing w:before="120" w:after="120" w:line="276" w:lineRule="auto"/>
              <w:rPr>
                <w:rFonts w:ascii="Times New Roman" w:hAnsi="Times New Roman"/>
                <w:b/>
                <w:bCs/>
                <w:sz w:val="20"/>
                <w:szCs w:val="20"/>
                <w:lang w:eastAsia="pl-PL"/>
              </w:rPr>
            </w:pPr>
            <w:r w:rsidRPr="00FF2570">
              <w:rPr>
                <w:rFonts w:ascii="Times New Roman" w:hAnsi="Times New Roman"/>
                <w:b/>
                <w:bCs/>
                <w:sz w:val="20"/>
                <w:szCs w:val="20"/>
                <w:lang w:eastAsia="pl-PL"/>
              </w:rPr>
              <w:t xml:space="preserve">1.1. </w:t>
            </w:r>
            <w:r w:rsidR="001409B9" w:rsidRPr="00FF2570">
              <w:rPr>
                <w:rFonts w:ascii="Times New Roman" w:hAnsi="Times New Roman"/>
                <w:b/>
                <w:bCs/>
                <w:sz w:val="20"/>
                <w:szCs w:val="20"/>
                <w:lang w:eastAsia="pl-PL"/>
              </w:rPr>
              <w:t>Badania przy kwalifikacj</w:t>
            </w:r>
            <w:r w:rsidR="00F246D7" w:rsidRPr="00FF2570">
              <w:rPr>
                <w:rFonts w:ascii="Times New Roman" w:hAnsi="Times New Roman"/>
                <w:b/>
                <w:bCs/>
                <w:sz w:val="20"/>
                <w:szCs w:val="20"/>
                <w:lang w:eastAsia="pl-PL"/>
              </w:rPr>
              <w:t>i</w:t>
            </w:r>
            <w:r w:rsidR="00053AFF" w:rsidRPr="00FF2570">
              <w:rPr>
                <w:rFonts w:ascii="Times New Roman" w:hAnsi="Times New Roman"/>
                <w:b/>
                <w:bCs/>
                <w:sz w:val="20"/>
                <w:szCs w:val="20"/>
                <w:lang w:eastAsia="pl-PL"/>
              </w:rPr>
              <w:t xml:space="preserve"> do leczenia </w:t>
            </w:r>
          </w:p>
          <w:p w:rsidR="00DE51E0" w:rsidRPr="00FF2570" w:rsidRDefault="00DE51E0" w:rsidP="00FF2570">
            <w:pPr>
              <w:pStyle w:val="Akapitzlist"/>
              <w:numPr>
                <w:ilvl w:val="0"/>
                <w:numId w:val="3"/>
              </w:numPr>
              <w:spacing w:before="120" w:line="276" w:lineRule="auto"/>
              <w:ind w:left="459" w:hanging="142"/>
              <w:jc w:val="left"/>
              <w:rPr>
                <w:rFonts w:ascii="Times New Roman" w:hAnsi="Times New Roman"/>
                <w:sz w:val="20"/>
                <w:szCs w:val="20"/>
              </w:rPr>
            </w:pPr>
            <w:r w:rsidRPr="00FF2570">
              <w:rPr>
                <w:rFonts w:ascii="Times New Roman" w:hAnsi="Times New Roman"/>
                <w:sz w:val="20"/>
                <w:szCs w:val="20"/>
              </w:rPr>
              <w:t>badanie histopatologiczne oraz ocena stopnia złośliwości</w:t>
            </w:r>
            <w:r w:rsidR="005168DA" w:rsidRPr="00FF2570">
              <w:rPr>
                <w:rFonts w:ascii="Times New Roman" w:hAnsi="Times New Roman"/>
                <w:sz w:val="20"/>
                <w:szCs w:val="20"/>
              </w:rPr>
              <w:t>;</w:t>
            </w:r>
          </w:p>
          <w:p w:rsidR="00D72EEF" w:rsidRPr="00FF2570" w:rsidRDefault="005168DA" w:rsidP="00FF2570">
            <w:pPr>
              <w:pStyle w:val="Akapitzlist"/>
              <w:numPr>
                <w:ilvl w:val="0"/>
                <w:numId w:val="3"/>
              </w:numPr>
              <w:spacing w:before="120" w:line="276" w:lineRule="auto"/>
              <w:ind w:left="459" w:hanging="142"/>
              <w:jc w:val="left"/>
              <w:rPr>
                <w:rFonts w:ascii="Times New Roman" w:hAnsi="Times New Roman"/>
                <w:sz w:val="20"/>
                <w:szCs w:val="20"/>
              </w:rPr>
            </w:pPr>
            <w:r w:rsidRPr="00FF2570">
              <w:rPr>
                <w:rFonts w:ascii="Times New Roman" w:hAnsi="Times New Roman"/>
                <w:sz w:val="20"/>
                <w:szCs w:val="20"/>
              </w:rPr>
              <w:t>morfologia krwi z rozmazem;</w:t>
            </w:r>
            <w:r w:rsidR="00D72EEF" w:rsidRPr="00FF2570">
              <w:rPr>
                <w:rFonts w:ascii="Times New Roman" w:hAnsi="Times New Roman"/>
                <w:sz w:val="20"/>
                <w:szCs w:val="20"/>
              </w:rPr>
              <w:t xml:space="preserve"> </w:t>
            </w:r>
          </w:p>
          <w:p w:rsidR="00D72EEF" w:rsidRPr="00FF2570" w:rsidRDefault="00D72EEF" w:rsidP="00FF2570">
            <w:pPr>
              <w:pStyle w:val="Akapitzlist"/>
              <w:numPr>
                <w:ilvl w:val="0"/>
                <w:numId w:val="3"/>
              </w:numPr>
              <w:spacing w:before="120" w:line="276" w:lineRule="auto"/>
              <w:ind w:left="459" w:hanging="142"/>
              <w:jc w:val="left"/>
              <w:rPr>
                <w:rFonts w:ascii="Times New Roman" w:hAnsi="Times New Roman"/>
                <w:sz w:val="20"/>
                <w:szCs w:val="20"/>
              </w:rPr>
            </w:pPr>
            <w:r w:rsidRPr="00FF2570">
              <w:rPr>
                <w:rFonts w:ascii="Times New Roman" w:hAnsi="Times New Roman"/>
                <w:sz w:val="20"/>
                <w:szCs w:val="20"/>
              </w:rPr>
              <w:t>oznaczenie aktywnoś</w:t>
            </w:r>
            <w:r w:rsidR="005168DA" w:rsidRPr="00FF2570">
              <w:rPr>
                <w:rFonts w:ascii="Times New Roman" w:hAnsi="Times New Roman"/>
                <w:sz w:val="20"/>
                <w:szCs w:val="20"/>
              </w:rPr>
              <w:t>ci aminotransferazy alaninowej;</w:t>
            </w:r>
          </w:p>
          <w:p w:rsidR="00D72EEF" w:rsidRPr="00FF2570" w:rsidRDefault="00D72EEF" w:rsidP="00FF2570">
            <w:pPr>
              <w:pStyle w:val="Akapitzlist"/>
              <w:numPr>
                <w:ilvl w:val="0"/>
                <w:numId w:val="3"/>
              </w:numPr>
              <w:spacing w:before="120" w:line="276" w:lineRule="auto"/>
              <w:ind w:left="459" w:hanging="142"/>
              <w:jc w:val="left"/>
              <w:rPr>
                <w:rFonts w:ascii="Times New Roman" w:hAnsi="Times New Roman"/>
                <w:sz w:val="20"/>
                <w:szCs w:val="20"/>
              </w:rPr>
            </w:pPr>
            <w:r w:rsidRPr="00FF2570">
              <w:rPr>
                <w:rFonts w:ascii="Times New Roman" w:hAnsi="Times New Roman"/>
                <w:sz w:val="20"/>
                <w:szCs w:val="20"/>
              </w:rPr>
              <w:t>oznaczenie aktywności am</w:t>
            </w:r>
            <w:r w:rsidR="001409B9" w:rsidRPr="00FF2570">
              <w:rPr>
                <w:rFonts w:ascii="Times New Roman" w:hAnsi="Times New Roman"/>
                <w:sz w:val="20"/>
                <w:szCs w:val="20"/>
              </w:rPr>
              <w:t>inotransferazy asparaginianowej,</w:t>
            </w:r>
          </w:p>
          <w:p w:rsidR="00D72EEF" w:rsidRPr="00FF2570" w:rsidRDefault="005168DA" w:rsidP="00FF2570">
            <w:pPr>
              <w:pStyle w:val="Akapitzlist"/>
              <w:numPr>
                <w:ilvl w:val="0"/>
                <w:numId w:val="3"/>
              </w:numPr>
              <w:spacing w:before="120" w:line="276" w:lineRule="auto"/>
              <w:ind w:left="459" w:hanging="142"/>
              <w:jc w:val="left"/>
              <w:rPr>
                <w:rFonts w:ascii="Times New Roman" w:hAnsi="Times New Roman"/>
                <w:sz w:val="20"/>
                <w:szCs w:val="20"/>
              </w:rPr>
            </w:pPr>
            <w:r w:rsidRPr="00FF2570">
              <w:rPr>
                <w:rFonts w:ascii="Times New Roman" w:hAnsi="Times New Roman"/>
                <w:sz w:val="20"/>
                <w:szCs w:val="20"/>
              </w:rPr>
              <w:t>oznaczenie stężenia bilirubiny;</w:t>
            </w:r>
          </w:p>
          <w:p w:rsidR="00D72EEF" w:rsidRPr="00FF2570" w:rsidRDefault="00F246D7" w:rsidP="00FF2570">
            <w:pPr>
              <w:pStyle w:val="Akapitzlist"/>
              <w:numPr>
                <w:ilvl w:val="0"/>
                <w:numId w:val="3"/>
              </w:numPr>
              <w:spacing w:before="120" w:line="276" w:lineRule="auto"/>
              <w:ind w:left="459" w:hanging="142"/>
              <w:jc w:val="left"/>
              <w:rPr>
                <w:rFonts w:ascii="Times New Roman" w:hAnsi="Times New Roman"/>
                <w:sz w:val="20"/>
                <w:szCs w:val="20"/>
              </w:rPr>
            </w:pPr>
            <w:r w:rsidRPr="00FF2570">
              <w:rPr>
                <w:rFonts w:ascii="Times New Roman" w:hAnsi="Times New Roman"/>
                <w:sz w:val="20"/>
                <w:szCs w:val="20"/>
              </w:rPr>
              <w:t>oznaczenie</w:t>
            </w:r>
            <w:r w:rsidR="005168DA" w:rsidRPr="00FF2570">
              <w:rPr>
                <w:rFonts w:ascii="Times New Roman" w:hAnsi="Times New Roman"/>
                <w:sz w:val="20"/>
                <w:szCs w:val="20"/>
              </w:rPr>
              <w:t xml:space="preserve"> stężenia kreatyniny;</w:t>
            </w:r>
          </w:p>
          <w:p w:rsidR="00D72EEF" w:rsidRPr="00FF2570" w:rsidRDefault="00D72EEF" w:rsidP="00FF2570">
            <w:pPr>
              <w:pStyle w:val="Akapitzlist"/>
              <w:numPr>
                <w:ilvl w:val="0"/>
                <w:numId w:val="3"/>
              </w:numPr>
              <w:spacing w:before="120" w:line="276" w:lineRule="auto"/>
              <w:ind w:left="459" w:hanging="142"/>
              <w:jc w:val="left"/>
              <w:rPr>
                <w:rFonts w:ascii="Times New Roman" w:hAnsi="Times New Roman"/>
                <w:sz w:val="20"/>
                <w:szCs w:val="20"/>
              </w:rPr>
            </w:pPr>
            <w:r w:rsidRPr="00FF2570">
              <w:rPr>
                <w:rFonts w:ascii="Times New Roman" w:hAnsi="Times New Roman"/>
                <w:sz w:val="20"/>
                <w:szCs w:val="20"/>
              </w:rPr>
              <w:t>oznaczenie stężenia glukozy</w:t>
            </w:r>
            <w:r w:rsidR="005168DA" w:rsidRPr="00FF2570">
              <w:rPr>
                <w:rFonts w:ascii="Times New Roman" w:hAnsi="Times New Roman"/>
                <w:sz w:val="20"/>
                <w:szCs w:val="20"/>
              </w:rPr>
              <w:t>;</w:t>
            </w:r>
          </w:p>
          <w:p w:rsidR="00D72EEF" w:rsidRPr="00FF2570" w:rsidRDefault="00D72EEF" w:rsidP="00FF2570">
            <w:pPr>
              <w:pStyle w:val="Akapitzlist"/>
              <w:numPr>
                <w:ilvl w:val="0"/>
                <w:numId w:val="3"/>
              </w:numPr>
              <w:spacing w:before="120" w:line="276" w:lineRule="auto"/>
              <w:ind w:left="459" w:hanging="142"/>
              <w:jc w:val="left"/>
              <w:rPr>
                <w:rFonts w:ascii="Times New Roman" w:hAnsi="Times New Roman"/>
                <w:sz w:val="20"/>
                <w:szCs w:val="20"/>
              </w:rPr>
            </w:pPr>
            <w:r w:rsidRPr="00FF2570">
              <w:rPr>
                <w:rFonts w:ascii="Times New Roman" w:hAnsi="Times New Roman"/>
                <w:sz w:val="20"/>
                <w:szCs w:val="20"/>
              </w:rPr>
              <w:t>oznaczenie stężenia cholesterolu</w:t>
            </w:r>
            <w:r w:rsidR="005168DA" w:rsidRPr="00FF2570">
              <w:rPr>
                <w:rFonts w:ascii="Times New Roman" w:hAnsi="Times New Roman"/>
                <w:sz w:val="20"/>
                <w:szCs w:val="20"/>
              </w:rPr>
              <w:t>;</w:t>
            </w:r>
            <w:r w:rsidRPr="00FF2570">
              <w:rPr>
                <w:rFonts w:ascii="Times New Roman" w:hAnsi="Times New Roman"/>
                <w:sz w:val="20"/>
                <w:szCs w:val="20"/>
              </w:rPr>
              <w:t xml:space="preserve"> </w:t>
            </w:r>
          </w:p>
          <w:p w:rsidR="00D72EEF" w:rsidRPr="00FF2570" w:rsidRDefault="00D72EEF" w:rsidP="00FF2570">
            <w:pPr>
              <w:pStyle w:val="Akapitzlist"/>
              <w:numPr>
                <w:ilvl w:val="0"/>
                <w:numId w:val="3"/>
              </w:numPr>
              <w:spacing w:before="120" w:line="276" w:lineRule="auto"/>
              <w:ind w:left="459" w:hanging="142"/>
              <w:jc w:val="left"/>
              <w:rPr>
                <w:rFonts w:ascii="Times New Roman" w:hAnsi="Times New Roman"/>
                <w:sz w:val="20"/>
                <w:szCs w:val="20"/>
              </w:rPr>
            </w:pPr>
            <w:r w:rsidRPr="00FF2570">
              <w:rPr>
                <w:rFonts w:ascii="Times New Roman" w:hAnsi="Times New Roman"/>
                <w:sz w:val="20"/>
                <w:szCs w:val="20"/>
              </w:rPr>
              <w:t>oznaczenie stężenia trój</w:t>
            </w:r>
            <w:r w:rsidR="005168DA" w:rsidRPr="00FF2570">
              <w:rPr>
                <w:rFonts w:ascii="Times New Roman" w:hAnsi="Times New Roman"/>
                <w:sz w:val="20"/>
                <w:szCs w:val="20"/>
              </w:rPr>
              <w:t>glicerydów;</w:t>
            </w:r>
          </w:p>
          <w:p w:rsidR="003D36D7" w:rsidRPr="00FF2570" w:rsidRDefault="000309DD" w:rsidP="00FF2570">
            <w:pPr>
              <w:pStyle w:val="Akapitzlist"/>
              <w:numPr>
                <w:ilvl w:val="0"/>
                <w:numId w:val="3"/>
              </w:numPr>
              <w:spacing w:before="120" w:line="276" w:lineRule="auto"/>
              <w:ind w:left="459" w:hanging="142"/>
              <w:jc w:val="left"/>
              <w:rPr>
                <w:rFonts w:ascii="Times New Roman" w:hAnsi="Times New Roman"/>
                <w:sz w:val="20"/>
                <w:szCs w:val="20"/>
              </w:rPr>
            </w:pPr>
            <w:r w:rsidRPr="00FF2570">
              <w:rPr>
                <w:rFonts w:ascii="Times New Roman" w:hAnsi="Times New Roman"/>
                <w:sz w:val="20"/>
                <w:szCs w:val="20"/>
              </w:rPr>
              <w:t>RTG</w:t>
            </w:r>
            <w:r w:rsidR="00D04FDE" w:rsidRPr="00FF2570">
              <w:rPr>
                <w:rFonts w:ascii="Times New Roman" w:hAnsi="Times New Roman"/>
                <w:sz w:val="20"/>
                <w:szCs w:val="20"/>
              </w:rPr>
              <w:t xml:space="preserve"> klatki piersiowej</w:t>
            </w:r>
            <w:r w:rsidR="00204845" w:rsidRPr="00FF2570">
              <w:rPr>
                <w:rFonts w:ascii="Times New Roman" w:hAnsi="Times New Roman"/>
                <w:sz w:val="20"/>
                <w:szCs w:val="20"/>
              </w:rPr>
              <w:t>,</w:t>
            </w:r>
            <w:r w:rsidR="00DE51E0" w:rsidRPr="00FF2570">
              <w:rPr>
                <w:rFonts w:ascii="Times New Roman" w:hAnsi="Times New Roman"/>
                <w:sz w:val="20"/>
                <w:szCs w:val="20"/>
              </w:rPr>
              <w:t xml:space="preserve"> </w:t>
            </w:r>
            <w:r w:rsidR="00497806" w:rsidRPr="00FF2570">
              <w:rPr>
                <w:rFonts w:ascii="Times New Roman" w:eastAsiaTheme="minorEastAsia" w:hAnsi="Times New Roman"/>
                <w:sz w:val="20"/>
                <w:szCs w:val="20"/>
              </w:rPr>
              <w:t xml:space="preserve"> </w:t>
            </w:r>
            <w:r w:rsidR="00ED4B39" w:rsidRPr="00FF2570">
              <w:rPr>
                <w:rFonts w:ascii="Times New Roman" w:hAnsi="Times New Roman"/>
                <w:sz w:val="20"/>
                <w:szCs w:val="20"/>
              </w:rPr>
              <w:t>RTG/</w:t>
            </w:r>
            <w:r w:rsidRPr="00FF2570">
              <w:rPr>
                <w:rFonts w:ascii="Times New Roman" w:hAnsi="Times New Roman"/>
                <w:sz w:val="20"/>
                <w:szCs w:val="20"/>
              </w:rPr>
              <w:t xml:space="preserve">KT </w:t>
            </w:r>
            <w:r w:rsidR="00497806" w:rsidRPr="00FF2570">
              <w:rPr>
                <w:rFonts w:ascii="Times New Roman" w:hAnsi="Times New Roman"/>
                <w:sz w:val="20"/>
                <w:szCs w:val="20"/>
              </w:rPr>
              <w:t xml:space="preserve"> klatki piersiowej</w:t>
            </w:r>
            <w:r w:rsidR="00D72EEF" w:rsidRPr="00FF2570">
              <w:rPr>
                <w:rFonts w:ascii="Times New Roman" w:hAnsi="Times New Roman"/>
                <w:sz w:val="20"/>
                <w:szCs w:val="20"/>
              </w:rPr>
              <w:t xml:space="preserve"> lub </w:t>
            </w:r>
            <w:r w:rsidR="00ED4B39" w:rsidRPr="00FF2570">
              <w:rPr>
                <w:rFonts w:ascii="Times New Roman" w:hAnsi="Times New Roman"/>
                <w:sz w:val="20"/>
                <w:szCs w:val="20"/>
              </w:rPr>
              <w:t>KT/</w:t>
            </w:r>
            <w:r w:rsidR="00C70CC7" w:rsidRPr="00FF2570">
              <w:rPr>
                <w:rFonts w:ascii="Times New Roman" w:hAnsi="Times New Roman"/>
                <w:sz w:val="20"/>
                <w:szCs w:val="20"/>
              </w:rPr>
              <w:t>USG</w:t>
            </w:r>
            <w:r w:rsidR="00D72EEF" w:rsidRPr="00FF2570">
              <w:rPr>
                <w:rFonts w:ascii="Times New Roman" w:hAnsi="Times New Roman"/>
                <w:sz w:val="20"/>
                <w:szCs w:val="20"/>
              </w:rPr>
              <w:t xml:space="preserve"> jamy brzusznej w </w:t>
            </w:r>
            <w:r w:rsidR="00497806" w:rsidRPr="00FF2570">
              <w:rPr>
                <w:rFonts w:ascii="Times New Roman" w:hAnsi="Times New Roman"/>
                <w:sz w:val="20"/>
                <w:szCs w:val="20"/>
              </w:rPr>
              <w:t>zależności od umiejscowienia przerzutów</w:t>
            </w:r>
            <w:r w:rsidR="00A012B6" w:rsidRPr="00FF2570">
              <w:rPr>
                <w:rFonts w:ascii="Times New Roman" w:hAnsi="Times New Roman"/>
                <w:sz w:val="20"/>
                <w:szCs w:val="20"/>
              </w:rPr>
              <w:t xml:space="preserve"> oraz możliwości przeprowadzenia oceny wymiarów  leczonych  zmian w celu określenia odpowiedzi</w:t>
            </w:r>
            <w:r w:rsidR="005168DA" w:rsidRPr="00FF2570">
              <w:rPr>
                <w:rFonts w:ascii="Times New Roman" w:hAnsi="Times New Roman"/>
                <w:sz w:val="20"/>
                <w:szCs w:val="20"/>
              </w:rPr>
              <w:t>;</w:t>
            </w:r>
          </w:p>
          <w:p w:rsidR="00ED24A7" w:rsidRPr="00FF2570" w:rsidRDefault="005168DA" w:rsidP="00FF2570">
            <w:pPr>
              <w:pStyle w:val="Akapitzlist"/>
              <w:numPr>
                <w:ilvl w:val="0"/>
                <w:numId w:val="3"/>
              </w:numPr>
              <w:spacing w:before="120" w:line="276" w:lineRule="auto"/>
              <w:ind w:left="459" w:hanging="142"/>
              <w:jc w:val="left"/>
              <w:rPr>
                <w:rFonts w:ascii="Times New Roman" w:hAnsi="Times New Roman"/>
                <w:sz w:val="20"/>
                <w:szCs w:val="20"/>
              </w:rPr>
            </w:pPr>
            <w:r w:rsidRPr="00FF2570">
              <w:rPr>
                <w:rFonts w:ascii="Times New Roman" w:hAnsi="Times New Roman"/>
                <w:sz w:val="20"/>
                <w:szCs w:val="20"/>
              </w:rPr>
              <w:t>t</w:t>
            </w:r>
            <w:r w:rsidR="00A012B6" w:rsidRPr="00FF2570">
              <w:rPr>
                <w:rFonts w:ascii="Times New Roman" w:hAnsi="Times New Roman"/>
                <w:sz w:val="20"/>
                <w:szCs w:val="20"/>
              </w:rPr>
              <w:t>est ciążowy u kobiet w wieku rozrodczym</w:t>
            </w:r>
            <w:r w:rsidRPr="00FF2570">
              <w:rPr>
                <w:rFonts w:ascii="Times New Roman" w:hAnsi="Times New Roman"/>
                <w:sz w:val="20"/>
                <w:szCs w:val="20"/>
              </w:rPr>
              <w:t>.</w:t>
            </w:r>
          </w:p>
          <w:p w:rsidR="0090064C" w:rsidRPr="00FF2570" w:rsidRDefault="0090064C" w:rsidP="00FF2570">
            <w:pPr>
              <w:autoSpaceDE w:val="0"/>
              <w:autoSpaceDN w:val="0"/>
              <w:adjustRightInd w:val="0"/>
              <w:spacing w:before="60" w:after="60" w:line="276" w:lineRule="auto"/>
              <w:ind w:left="34"/>
              <w:rPr>
                <w:rFonts w:ascii="Times New Roman" w:hAnsi="Times New Roman"/>
                <w:b/>
                <w:bCs/>
                <w:sz w:val="20"/>
                <w:szCs w:val="20"/>
                <w:lang w:eastAsia="pl-PL"/>
              </w:rPr>
            </w:pPr>
            <w:r w:rsidRPr="00FF2570">
              <w:rPr>
                <w:rFonts w:ascii="Times New Roman" w:hAnsi="Times New Roman"/>
                <w:b/>
                <w:bCs/>
                <w:sz w:val="20"/>
                <w:szCs w:val="20"/>
                <w:lang w:eastAsia="pl-PL"/>
              </w:rPr>
              <w:t xml:space="preserve">1.2. Monitorowanie leczenia </w:t>
            </w:r>
            <w:r w:rsidR="00763C27" w:rsidRPr="00FF2570">
              <w:rPr>
                <w:rFonts w:ascii="Times New Roman" w:hAnsi="Times New Roman"/>
                <w:b/>
                <w:bCs/>
                <w:sz w:val="20"/>
                <w:szCs w:val="20"/>
                <w:lang w:eastAsia="pl-PL"/>
              </w:rPr>
              <w:t>ewerolimusem</w:t>
            </w:r>
          </w:p>
          <w:p w:rsidR="0090064C" w:rsidRPr="00FF2570" w:rsidRDefault="0090064C" w:rsidP="00CB1B66">
            <w:pPr>
              <w:autoSpaceDE w:val="0"/>
              <w:autoSpaceDN w:val="0"/>
              <w:adjustRightInd w:val="0"/>
              <w:spacing w:before="120" w:after="0" w:line="276" w:lineRule="auto"/>
              <w:rPr>
                <w:rFonts w:ascii="Times New Roman" w:hAnsi="Times New Roman"/>
                <w:bCs/>
                <w:sz w:val="20"/>
                <w:szCs w:val="20"/>
                <w:lang w:eastAsia="pl-PL"/>
              </w:rPr>
            </w:pPr>
            <w:r w:rsidRPr="00FF2570">
              <w:rPr>
                <w:rFonts w:ascii="Times New Roman" w:hAnsi="Times New Roman"/>
                <w:bCs/>
                <w:sz w:val="20"/>
                <w:szCs w:val="20"/>
                <w:lang w:eastAsia="pl-PL"/>
              </w:rPr>
              <w:t xml:space="preserve">1) </w:t>
            </w:r>
            <w:r w:rsidR="00763C27" w:rsidRPr="00FF2570">
              <w:rPr>
                <w:rFonts w:ascii="Times New Roman" w:hAnsi="Times New Roman"/>
                <w:bCs/>
                <w:sz w:val="20"/>
                <w:szCs w:val="20"/>
                <w:lang w:eastAsia="pl-PL"/>
              </w:rPr>
              <w:t>b</w:t>
            </w:r>
            <w:r w:rsidRPr="00FF2570">
              <w:rPr>
                <w:rFonts w:ascii="Times New Roman" w:hAnsi="Times New Roman"/>
                <w:bCs/>
                <w:sz w:val="20"/>
                <w:szCs w:val="20"/>
                <w:lang w:eastAsia="pl-PL"/>
              </w:rPr>
              <w:t>adania wykonywane co miesiąc:</w:t>
            </w:r>
          </w:p>
          <w:p w:rsidR="0090064C" w:rsidRPr="00FF2570" w:rsidRDefault="00763C27" w:rsidP="00CB1B66">
            <w:pPr>
              <w:pStyle w:val="Akapitzlist"/>
              <w:numPr>
                <w:ilvl w:val="0"/>
                <w:numId w:val="19"/>
              </w:numPr>
              <w:autoSpaceDE w:val="0"/>
              <w:autoSpaceDN w:val="0"/>
              <w:adjustRightInd w:val="0"/>
              <w:spacing w:before="0" w:line="276" w:lineRule="auto"/>
              <w:jc w:val="left"/>
              <w:rPr>
                <w:rFonts w:ascii="Times New Roman" w:hAnsi="Times New Roman"/>
                <w:bCs/>
                <w:sz w:val="20"/>
                <w:szCs w:val="20"/>
                <w:lang w:eastAsia="pl-PL"/>
              </w:rPr>
            </w:pPr>
            <w:r w:rsidRPr="00FF2570">
              <w:rPr>
                <w:rFonts w:ascii="Times New Roman" w:hAnsi="Times New Roman"/>
                <w:sz w:val="20"/>
                <w:szCs w:val="20"/>
              </w:rPr>
              <w:t>morfologia krwi z rozmazem,</w:t>
            </w:r>
          </w:p>
          <w:p w:rsidR="0090064C" w:rsidRPr="00FF2570" w:rsidRDefault="0090064C" w:rsidP="00FF2570">
            <w:pPr>
              <w:pStyle w:val="Akapitzlist"/>
              <w:numPr>
                <w:ilvl w:val="0"/>
                <w:numId w:val="19"/>
              </w:numPr>
              <w:spacing w:before="120" w:line="276" w:lineRule="auto"/>
              <w:jc w:val="left"/>
              <w:rPr>
                <w:rFonts w:ascii="Times New Roman" w:hAnsi="Times New Roman"/>
                <w:sz w:val="20"/>
                <w:szCs w:val="20"/>
              </w:rPr>
            </w:pPr>
            <w:r w:rsidRPr="00FF2570">
              <w:rPr>
                <w:rFonts w:ascii="Times New Roman" w:hAnsi="Times New Roman"/>
                <w:sz w:val="20"/>
                <w:szCs w:val="20"/>
              </w:rPr>
              <w:t>oznaczenie aktywności aminotransf</w:t>
            </w:r>
            <w:r w:rsidR="00763C27" w:rsidRPr="00FF2570">
              <w:rPr>
                <w:rFonts w:ascii="Times New Roman" w:hAnsi="Times New Roman"/>
                <w:sz w:val="20"/>
                <w:szCs w:val="20"/>
              </w:rPr>
              <w:t>erazy alaninowej,</w:t>
            </w:r>
          </w:p>
          <w:p w:rsidR="0090064C" w:rsidRPr="00FF2570" w:rsidRDefault="0090064C" w:rsidP="00FF2570">
            <w:pPr>
              <w:pStyle w:val="Akapitzlist"/>
              <w:numPr>
                <w:ilvl w:val="0"/>
                <w:numId w:val="19"/>
              </w:numPr>
              <w:spacing w:before="120" w:line="276" w:lineRule="auto"/>
              <w:jc w:val="left"/>
              <w:rPr>
                <w:rFonts w:ascii="Times New Roman" w:hAnsi="Times New Roman"/>
                <w:sz w:val="20"/>
                <w:szCs w:val="20"/>
              </w:rPr>
            </w:pPr>
            <w:r w:rsidRPr="00FF2570">
              <w:rPr>
                <w:rFonts w:ascii="Times New Roman" w:hAnsi="Times New Roman"/>
                <w:sz w:val="20"/>
                <w:szCs w:val="20"/>
              </w:rPr>
              <w:t>oznaczenie aktywności am</w:t>
            </w:r>
            <w:r w:rsidR="00763C27" w:rsidRPr="00FF2570">
              <w:rPr>
                <w:rFonts w:ascii="Times New Roman" w:hAnsi="Times New Roman"/>
                <w:sz w:val="20"/>
                <w:szCs w:val="20"/>
              </w:rPr>
              <w:t xml:space="preserve">inotransferazy </w:t>
            </w:r>
            <w:r w:rsidR="00763C27" w:rsidRPr="00FF2570">
              <w:rPr>
                <w:rFonts w:ascii="Times New Roman" w:hAnsi="Times New Roman"/>
                <w:sz w:val="20"/>
                <w:szCs w:val="20"/>
              </w:rPr>
              <w:lastRenderedPageBreak/>
              <w:t>asparaginianowej,</w:t>
            </w:r>
          </w:p>
          <w:p w:rsidR="0090064C" w:rsidRPr="00FF2570" w:rsidRDefault="00763C27" w:rsidP="00FF2570">
            <w:pPr>
              <w:pStyle w:val="Akapitzlist"/>
              <w:numPr>
                <w:ilvl w:val="0"/>
                <w:numId w:val="19"/>
              </w:numPr>
              <w:spacing w:before="120" w:line="276" w:lineRule="auto"/>
              <w:jc w:val="left"/>
              <w:rPr>
                <w:rFonts w:ascii="Times New Roman" w:hAnsi="Times New Roman"/>
                <w:sz w:val="20"/>
                <w:szCs w:val="20"/>
              </w:rPr>
            </w:pPr>
            <w:r w:rsidRPr="00FF2570">
              <w:rPr>
                <w:rFonts w:ascii="Times New Roman" w:hAnsi="Times New Roman"/>
                <w:sz w:val="20"/>
                <w:szCs w:val="20"/>
              </w:rPr>
              <w:t>oznaczenie stężenia bilirubiny,</w:t>
            </w:r>
          </w:p>
          <w:p w:rsidR="0090064C" w:rsidRPr="00FF2570" w:rsidRDefault="0090064C" w:rsidP="00FF2570">
            <w:pPr>
              <w:pStyle w:val="Akapitzlist"/>
              <w:numPr>
                <w:ilvl w:val="0"/>
                <w:numId w:val="19"/>
              </w:numPr>
              <w:spacing w:before="120" w:line="276" w:lineRule="auto"/>
              <w:jc w:val="left"/>
              <w:rPr>
                <w:rFonts w:ascii="Times New Roman" w:hAnsi="Times New Roman"/>
                <w:sz w:val="20"/>
                <w:szCs w:val="20"/>
              </w:rPr>
            </w:pPr>
            <w:r w:rsidRPr="00FF2570">
              <w:rPr>
                <w:rFonts w:ascii="Times New Roman" w:hAnsi="Times New Roman"/>
                <w:sz w:val="20"/>
                <w:szCs w:val="20"/>
              </w:rPr>
              <w:t>oznaczenie</w:t>
            </w:r>
            <w:r w:rsidR="00763C27" w:rsidRPr="00FF2570">
              <w:rPr>
                <w:rFonts w:ascii="Times New Roman" w:hAnsi="Times New Roman"/>
                <w:sz w:val="20"/>
                <w:szCs w:val="20"/>
              </w:rPr>
              <w:t xml:space="preserve"> stężenia kreatyniny,</w:t>
            </w:r>
          </w:p>
          <w:p w:rsidR="0090064C" w:rsidRPr="00FF2570" w:rsidRDefault="0090064C" w:rsidP="00FF2570">
            <w:pPr>
              <w:pStyle w:val="Akapitzlist"/>
              <w:numPr>
                <w:ilvl w:val="0"/>
                <w:numId w:val="19"/>
              </w:numPr>
              <w:spacing w:before="120" w:line="276" w:lineRule="auto"/>
              <w:jc w:val="left"/>
              <w:rPr>
                <w:rFonts w:ascii="Times New Roman" w:hAnsi="Times New Roman"/>
                <w:sz w:val="20"/>
                <w:szCs w:val="20"/>
              </w:rPr>
            </w:pPr>
            <w:r w:rsidRPr="00FF2570">
              <w:rPr>
                <w:rFonts w:ascii="Times New Roman" w:hAnsi="Times New Roman"/>
                <w:sz w:val="20"/>
                <w:szCs w:val="20"/>
              </w:rPr>
              <w:t>oznaczenie stężenia glukozy</w:t>
            </w:r>
            <w:r w:rsidR="00763C27" w:rsidRPr="00FF2570">
              <w:rPr>
                <w:rFonts w:ascii="Times New Roman" w:hAnsi="Times New Roman"/>
                <w:sz w:val="20"/>
                <w:szCs w:val="20"/>
              </w:rPr>
              <w:t>,</w:t>
            </w:r>
          </w:p>
          <w:p w:rsidR="0090064C" w:rsidRPr="00FF2570" w:rsidRDefault="0090064C" w:rsidP="00FF2570">
            <w:pPr>
              <w:pStyle w:val="Akapitzlist"/>
              <w:numPr>
                <w:ilvl w:val="0"/>
                <w:numId w:val="19"/>
              </w:numPr>
              <w:spacing w:before="120" w:line="276" w:lineRule="auto"/>
              <w:jc w:val="left"/>
              <w:rPr>
                <w:rFonts w:ascii="Times New Roman" w:hAnsi="Times New Roman"/>
                <w:sz w:val="20"/>
                <w:szCs w:val="20"/>
              </w:rPr>
            </w:pPr>
            <w:r w:rsidRPr="00FF2570">
              <w:rPr>
                <w:rFonts w:ascii="Times New Roman" w:hAnsi="Times New Roman"/>
                <w:sz w:val="20"/>
                <w:szCs w:val="20"/>
              </w:rPr>
              <w:t>oznaczenie stężenia cholesterolu</w:t>
            </w:r>
            <w:r w:rsidR="00763C27" w:rsidRPr="00FF2570">
              <w:rPr>
                <w:rFonts w:ascii="Times New Roman" w:hAnsi="Times New Roman"/>
                <w:sz w:val="20"/>
                <w:szCs w:val="20"/>
              </w:rPr>
              <w:t>,</w:t>
            </w:r>
          </w:p>
          <w:p w:rsidR="0090064C" w:rsidRPr="00FF2570" w:rsidRDefault="0090064C" w:rsidP="00FF2570">
            <w:pPr>
              <w:pStyle w:val="Akapitzlist"/>
              <w:numPr>
                <w:ilvl w:val="0"/>
                <w:numId w:val="19"/>
              </w:numPr>
              <w:spacing w:before="120" w:line="276" w:lineRule="auto"/>
              <w:jc w:val="left"/>
              <w:rPr>
                <w:rFonts w:ascii="Times New Roman" w:hAnsi="Times New Roman"/>
                <w:sz w:val="20"/>
                <w:szCs w:val="20"/>
              </w:rPr>
            </w:pPr>
            <w:r w:rsidRPr="00FF2570">
              <w:rPr>
                <w:rFonts w:ascii="Times New Roman" w:hAnsi="Times New Roman"/>
                <w:sz w:val="20"/>
                <w:szCs w:val="20"/>
              </w:rPr>
              <w:t>ozn</w:t>
            </w:r>
            <w:r w:rsidR="00763C27" w:rsidRPr="00FF2570">
              <w:rPr>
                <w:rFonts w:ascii="Times New Roman" w:hAnsi="Times New Roman"/>
                <w:sz w:val="20"/>
                <w:szCs w:val="20"/>
              </w:rPr>
              <w:t>aczenie stężenia trójglicerydów;</w:t>
            </w:r>
          </w:p>
          <w:p w:rsidR="0090064C" w:rsidRPr="00FF2570" w:rsidRDefault="0090064C" w:rsidP="00544044">
            <w:pPr>
              <w:autoSpaceDE w:val="0"/>
              <w:autoSpaceDN w:val="0"/>
              <w:adjustRightInd w:val="0"/>
              <w:spacing w:before="120" w:after="0" w:line="276" w:lineRule="auto"/>
              <w:rPr>
                <w:rFonts w:ascii="Times New Roman" w:hAnsi="Times New Roman"/>
                <w:bCs/>
                <w:sz w:val="20"/>
                <w:szCs w:val="20"/>
                <w:lang w:eastAsia="pl-PL"/>
              </w:rPr>
            </w:pPr>
            <w:r w:rsidRPr="00FF2570">
              <w:rPr>
                <w:rFonts w:ascii="Times New Roman" w:hAnsi="Times New Roman"/>
                <w:bCs/>
                <w:sz w:val="20"/>
                <w:szCs w:val="20"/>
                <w:lang w:eastAsia="pl-PL"/>
              </w:rPr>
              <w:t>2)</w:t>
            </w:r>
            <w:r w:rsidR="00763C27" w:rsidRPr="00FF2570">
              <w:rPr>
                <w:rFonts w:ascii="Times New Roman" w:hAnsi="Times New Roman"/>
                <w:bCs/>
                <w:sz w:val="20"/>
                <w:szCs w:val="20"/>
                <w:lang w:eastAsia="pl-PL"/>
              </w:rPr>
              <w:t xml:space="preserve"> b</w:t>
            </w:r>
            <w:r w:rsidRPr="00FF2570">
              <w:rPr>
                <w:rFonts w:ascii="Times New Roman" w:hAnsi="Times New Roman"/>
                <w:bCs/>
                <w:sz w:val="20"/>
                <w:szCs w:val="20"/>
                <w:lang w:eastAsia="pl-PL"/>
              </w:rPr>
              <w:t>adania wykonywane co 3 kursy leczenia:</w:t>
            </w:r>
          </w:p>
          <w:p w:rsidR="0090064C" w:rsidRPr="00FF2570" w:rsidRDefault="0090064C" w:rsidP="00544044">
            <w:pPr>
              <w:pStyle w:val="Akapitzlist"/>
              <w:numPr>
                <w:ilvl w:val="0"/>
                <w:numId w:val="4"/>
              </w:numPr>
              <w:spacing w:before="0" w:line="276" w:lineRule="auto"/>
              <w:ind w:left="459" w:hanging="142"/>
              <w:jc w:val="left"/>
              <w:rPr>
                <w:rFonts w:ascii="Times New Roman" w:eastAsia="SimSun" w:hAnsi="Times New Roman"/>
                <w:sz w:val="20"/>
                <w:szCs w:val="20"/>
              </w:rPr>
            </w:pPr>
            <w:r w:rsidRPr="00FF2570">
              <w:rPr>
                <w:rFonts w:ascii="Times New Roman" w:eastAsia="SimSun" w:hAnsi="Times New Roman"/>
                <w:sz w:val="20"/>
                <w:szCs w:val="20"/>
              </w:rPr>
              <w:t>wybór metody obrazowania w zależności od wykorzystanej przy kwalifikacji do programu.</w:t>
            </w:r>
          </w:p>
          <w:p w:rsidR="00763C27" w:rsidRPr="00FF2570" w:rsidRDefault="00763C27" w:rsidP="00FF2570">
            <w:pPr>
              <w:pStyle w:val="Akapitzlist"/>
              <w:spacing w:before="120" w:line="276" w:lineRule="auto"/>
              <w:ind w:left="459"/>
              <w:jc w:val="left"/>
              <w:rPr>
                <w:rFonts w:ascii="Times New Roman" w:eastAsia="SimSun" w:hAnsi="Times New Roman"/>
                <w:sz w:val="20"/>
                <w:szCs w:val="20"/>
              </w:rPr>
            </w:pPr>
          </w:p>
          <w:p w:rsidR="0090064C" w:rsidRPr="00FF2570" w:rsidRDefault="00763C27" w:rsidP="00FF2570">
            <w:pPr>
              <w:pStyle w:val="Akapitzlist"/>
              <w:numPr>
                <w:ilvl w:val="0"/>
                <w:numId w:val="21"/>
              </w:numPr>
              <w:autoSpaceDE w:val="0"/>
              <w:autoSpaceDN w:val="0"/>
              <w:adjustRightInd w:val="0"/>
              <w:spacing w:before="120" w:line="276" w:lineRule="auto"/>
              <w:ind w:left="0" w:firstLine="0"/>
              <w:contextualSpacing w:val="0"/>
              <w:jc w:val="left"/>
              <w:rPr>
                <w:rFonts w:ascii="Times New Roman" w:hAnsi="Times New Roman"/>
                <w:b/>
                <w:bCs/>
                <w:sz w:val="20"/>
                <w:szCs w:val="20"/>
                <w:lang w:eastAsia="pl-PL"/>
              </w:rPr>
            </w:pPr>
            <w:r w:rsidRPr="00FF2570">
              <w:rPr>
                <w:rFonts w:ascii="Times New Roman" w:hAnsi="Times New Roman"/>
                <w:b/>
                <w:bCs/>
                <w:sz w:val="20"/>
                <w:szCs w:val="20"/>
                <w:lang w:eastAsia="pl-PL"/>
              </w:rPr>
              <w:t xml:space="preserve">Leczenie wysoko zróżnicowanego nowotworu neuroendokrynnego trzustki sunitynibem </w:t>
            </w:r>
          </w:p>
          <w:p w:rsidR="000E623B" w:rsidRPr="00FF2570" w:rsidRDefault="000E623B" w:rsidP="00FF2570">
            <w:pPr>
              <w:pStyle w:val="Akapitzlist"/>
              <w:widowControl w:val="0"/>
              <w:numPr>
                <w:ilvl w:val="1"/>
                <w:numId w:val="21"/>
              </w:numPr>
              <w:spacing w:before="120" w:line="276" w:lineRule="auto"/>
              <w:contextualSpacing w:val="0"/>
              <w:jc w:val="left"/>
              <w:rPr>
                <w:rFonts w:ascii="Times New Roman" w:eastAsia="Times New Roman" w:hAnsi="Times New Roman"/>
                <w:b/>
                <w:sz w:val="20"/>
                <w:szCs w:val="20"/>
                <w:lang w:eastAsia="pl-PL"/>
              </w:rPr>
            </w:pPr>
            <w:r w:rsidRPr="00FF2570">
              <w:rPr>
                <w:rFonts w:ascii="Times New Roman" w:eastAsia="Times New Roman" w:hAnsi="Times New Roman"/>
                <w:b/>
                <w:sz w:val="20"/>
                <w:szCs w:val="20"/>
                <w:lang w:eastAsia="pl-PL"/>
              </w:rPr>
              <w:t xml:space="preserve">Badania przy kwalifikacji do leczenia </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patomorfologiczne rozpoznanie nieoperacyjnego, wysoko zróżnicowanego (stopień G1 lub G2) nowotworu neuroendokrynnego trzustki (według kl</w:t>
            </w:r>
            <w:r w:rsidR="005B782E">
              <w:rPr>
                <w:rFonts w:ascii="Times New Roman" w:eastAsia="Times New Roman" w:hAnsi="Times New Roman"/>
                <w:sz w:val="20"/>
                <w:szCs w:val="20"/>
                <w:lang w:eastAsia="pl-PL"/>
              </w:rPr>
              <w:t>asyfikacji WHO z  </w:t>
            </w:r>
            <w:r w:rsidRPr="00FF2570">
              <w:rPr>
                <w:rFonts w:ascii="Times New Roman" w:eastAsia="Times New Roman" w:hAnsi="Times New Roman"/>
                <w:sz w:val="20"/>
                <w:szCs w:val="20"/>
                <w:lang w:eastAsia="pl-PL"/>
              </w:rPr>
              <w:t xml:space="preserve">2010 r.); </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morfologia krwi z rozmazem;</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 xml:space="preserve">oznaczenie stężenia hemoglobiny; </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 xml:space="preserve">oznaczenie stężenia mocznika; </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 xml:space="preserve">oznaczenie stężenia kreatyniny; </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oznaczenie stężenia bilirubiny;</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 xml:space="preserve">oznaczenie aktywności aminotransferazy alaninowej; </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oznaczenie aktywności aminotransferazy asparaginianowej;</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oznaczenie aktywności hormonu tyreotropowego (TSH);</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 xml:space="preserve">inne badania laboratoryjne w razie wskazań klinicznych; </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test ciążowy u kobiet w wieku rozrodczym;</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 xml:space="preserve">badanie KT klatki piersiowej i jamy brzusznej; </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badanie elektrokardiograficzne (EKG);</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pomiar ciśnienia tętniczego;</w:t>
            </w:r>
          </w:p>
          <w:p w:rsidR="000E623B" w:rsidRPr="00FF2570" w:rsidRDefault="000E623B" w:rsidP="00FF2570">
            <w:pPr>
              <w:pStyle w:val="Akapitzlist"/>
              <w:widowControl w:val="0"/>
              <w:numPr>
                <w:ilvl w:val="0"/>
                <w:numId w:val="12"/>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inne badania obrazowe</w:t>
            </w:r>
            <w:r w:rsidR="00E0360A" w:rsidRPr="00FF2570">
              <w:rPr>
                <w:rFonts w:ascii="Times New Roman" w:eastAsia="Times New Roman" w:hAnsi="Times New Roman"/>
                <w:sz w:val="20"/>
                <w:szCs w:val="20"/>
                <w:lang w:eastAsia="pl-PL"/>
              </w:rPr>
              <w:t xml:space="preserve"> w razie wskazań klinicznych.  </w:t>
            </w:r>
          </w:p>
          <w:p w:rsidR="00690D3E" w:rsidRPr="00FF2570" w:rsidRDefault="000E623B" w:rsidP="00FF2570">
            <w:pPr>
              <w:widowControl w:val="0"/>
              <w:spacing w:line="276" w:lineRule="auto"/>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lastRenderedPageBreak/>
              <w:t>Wstępne badania obrazowe muszą umożliwić późniejszą obiektywną ocenę odpowiedzi na leczenie.</w:t>
            </w:r>
          </w:p>
          <w:p w:rsidR="00783B4B" w:rsidRPr="00FF2570" w:rsidRDefault="00783B4B" w:rsidP="00FF2570">
            <w:pPr>
              <w:pStyle w:val="Akapitzlist"/>
              <w:widowControl w:val="0"/>
              <w:numPr>
                <w:ilvl w:val="1"/>
                <w:numId w:val="21"/>
              </w:numPr>
              <w:spacing w:before="120" w:line="276" w:lineRule="auto"/>
              <w:ind w:left="357" w:hanging="357"/>
              <w:contextualSpacing w:val="0"/>
              <w:jc w:val="left"/>
              <w:rPr>
                <w:rFonts w:ascii="Times New Roman" w:eastAsia="Times New Roman" w:hAnsi="Times New Roman"/>
                <w:b/>
                <w:sz w:val="20"/>
                <w:szCs w:val="20"/>
                <w:lang w:eastAsia="pl-PL"/>
              </w:rPr>
            </w:pPr>
            <w:r w:rsidRPr="00FF2570">
              <w:rPr>
                <w:rFonts w:ascii="Times New Roman" w:eastAsia="Times New Roman" w:hAnsi="Times New Roman"/>
                <w:b/>
                <w:sz w:val="20"/>
                <w:szCs w:val="20"/>
                <w:lang w:eastAsia="pl-PL"/>
              </w:rPr>
              <w:t>Monitorowanie leczenia</w:t>
            </w:r>
            <w:r w:rsidR="00833483" w:rsidRPr="00FF2570">
              <w:rPr>
                <w:rFonts w:ascii="Times New Roman" w:eastAsia="Times New Roman" w:hAnsi="Times New Roman"/>
                <w:b/>
                <w:sz w:val="20"/>
                <w:szCs w:val="20"/>
                <w:lang w:eastAsia="pl-PL"/>
              </w:rPr>
              <w:t xml:space="preserve"> sunitynibem</w:t>
            </w:r>
          </w:p>
          <w:p w:rsidR="00783B4B" w:rsidRPr="00FF2570" w:rsidRDefault="00763C27" w:rsidP="00FF2570">
            <w:pPr>
              <w:pStyle w:val="Akapitzlist"/>
              <w:widowControl w:val="0"/>
              <w:numPr>
                <w:ilvl w:val="0"/>
                <w:numId w:val="14"/>
              </w:numPr>
              <w:spacing w:before="120" w:line="276" w:lineRule="auto"/>
              <w:ind w:left="398"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b</w:t>
            </w:r>
            <w:r w:rsidR="00783B4B" w:rsidRPr="00FF2570">
              <w:rPr>
                <w:rFonts w:ascii="Times New Roman" w:eastAsia="Times New Roman" w:hAnsi="Times New Roman"/>
                <w:sz w:val="20"/>
                <w:szCs w:val="20"/>
                <w:lang w:eastAsia="pl-PL"/>
              </w:rPr>
              <w:t>adania wykonywane co 6 tygodni:</w:t>
            </w:r>
          </w:p>
          <w:p w:rsidR="00783B4B" w:rsidRPr="00FF2570" w:rsidRDefault="00763C27" w:rsidP="00FF2570">
            <w:pPr>
              <w:pStyle w:val="Akapitzlist"/>
              <w:widowControl w:val="0"/>
              <w:numPr>
                <w:ilvl w:val="0"/>
                <w:numId w:val="22"/>
              </w:numPr>
              <w:spacing w:before="120" w:line="276" w:lineRule="auto"/>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morfologia krwi z rozmazem,</w:t>
            </w:r>
          </w:p>
          <w:p w:rsidR="00783B4B" w:rsidRPr="00FF2570" w:rsidRDefault="00763C27" w:rsidP="00FF2570">
            <w:pPr>
              <w:pStyle w:val="Akapitzlist"/>
              <w:widowControl w:val="0"/>
              <w:numPr>
                <w:ilvl w:val="0"/>
                <w:numId w:val="22"/>
              </w:numPr>
              <w:spacing w:before="120" w:line="276" w:lineRule="auto"/>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oznaczenie stężenia hemoglobiny,</w:t>
            </w:r>
          </w:p>
          <w:p w:rsidR="00783B4B" w:rsidRPr="00FF2570" w:rsidRDefault="00763C27" w:rsidP="00FF2570">
            <w:pPr>
              <w:pStyle w:val="Akapitzlist"/>
              <w:widowControl w:val="0"/>
              <w:numPr>
                <w:ilvl w:val="0"/>
                <w:numId w:val="22"/>
              </w:numPr>
              <w:spacing w:before="120" w:line="276" w:lineRule="auto"/>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oznaczenie stężenia kreatyniny,</w:t>
            </w:r>
          </w:p>
          <w:p w:rsidR="00783B4B" w:rsidRPr="00FF2570" w:rsidRDefault="00763C27" w:rsidP="00FF2570">
            <w:pPr>
              <w:pStyle w:val="Akapitzlist"/>
              <w:widowControl w:val="0"/>
              <w:numPr>
                <w:ilvl w:val="0"/>
                <w:numId w:val="22"/>
              </w:numPr>
              <w:spacing w:before="120" w:line="276" w:lineRule="auto"/>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oznaczenie stężenia bilirubiny,</w:t>
            </w:r>
          </w:p>
          <w:p w:rsidR="00783B4B" w:rsidRPr="00FF2570" w:rsidRDefault="00783B4B" w:rsidP="00FF2570">
            <w:pPr>
              <w:pStyle w:val="Akapitzlist"/>
              <w:widowControl w:val="0"/>
              <w:numPr>
                <w:ilvl w:val="0"/>
                <w:numId w:val="22"/>
              </w:numPr>
              <w:spacing w:before="120" w:line="276" w:lineRule="auto"/>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oznaczenie aktywno</w:t>
            </w:r>
            <w:r w:rsidR="00763C27" w:rsidRPr="00FF2570">
              <w:rPr>
                <w:rFonts w:ascii="Times New Roman" w:eastAsia="Times New Roman" w:hAnsi="Times New Roman"/>
                <w:sz w:val="20"/>
                <w:szCs w:val="20"/>
                <w:lang w:eastAsia="pl-PL"/>
              </w:rPr>
              <w:t>ści aminotransferazy alaninowej,</w:t>
            </w:r>
          </w:p>
          <w:p w:rsidR="00783B4B" w:rsidRPr="00FF2570" w:rsidRDefault="00783B4B" w:rsidP="00FF2570">
            <w:pPr>
              <w:pStyle w:val="Akapitzlist"/>
              <w:widowControl w:val="0"/>
              <w:numPr>
                <w:ilvl w:val="0"/>
                <w:numId w:val="22"/>
              </w:numPr>
              <w:spacing w:before="120" w:line="276" w:lineRule="auto"/>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oznaczenie aktywności am</w:t>
            </w:r>
            <w:r w:rsidR="00763C27" w:rsidRPr="00FF2570">
              <w:rPr>
                <w:rFonts w:ascii="Times New Roman" w:eastAsia="Times New Roman" w:hAnsi="Times New Roman"/>
                <w:sz w:val="20"/>
                <w:szCs w:val="20"/>
                <w:lang w:eastAsia="pl-PL"/>
              </w:rPr>
              <w:t>inotransferazy asparaginianowej,</w:t>
            </w:r>
          </w:p>
          <w:p w:rsidR="00783B4B" w:rsidRPr="00FF2570" w:rsidRDefault="00783B4B" w:rsidP="00FF2570">
            <w:pPr>
              <w:pStyle w:val="Akapitzlist"/>
              <w:widowControl w:val="0"/>
              <w:numPr>
                <w:ilvl w:val="0"/>
                <w:numId w:val="22"/>
              </w:numPr>
              <w:spacing w:before="120" w:line="276" w:lineRule="auto"/>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oznaczenie a</w:t>
            </w:r>
            <w:r w:rsidR="00763C27" w:rsidRPr="00FF2570">
              <w:rPr>
                <w:rFonts w:ascii="Times New Roman" w:eastAsia="Times New Roman" w:hAnsi="Times New Roman"/>
                <w:sz w:val="20"/>
                <w:szCs w:val="20"/>
                <w:lang w:eastAsia="pl-PL"/>
              </w:rPr>
              <w:t>ktywności fosfatazy alkalicznej,</w:t>
            </w:r>
          </w:p>
          <w:p w:rsidR="00544044" w:rsidRDefault="00763C27" w:rsidP="00544044">
            <w:pPr>
              <w:pStyle w:val="Akapitzlist"/>
              <w:widowControl w:val="0"/>
              <w:numPr>
                <w:ilvl w:val="0"/>
                <w:numId w:val="22"/>
              </w:numPr>
              <w:spacing w:before="120" w:line="276" w:lineRule="auto"/>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EKG;</w:t>
            </w:r>
          </w:p>
          <w:p w:rsidR="00544044" w:rsidRPr="00544044" w:rsidRDefault="00544044" w:rsidP="00544044">
            <w:pPr>
              <w:pStyle w:val="Akapitzlist"/>
              <w:widowControl w:val="0"/>
              <w:spacing w:before="120" w:line="276" w:lineRule="auto"/>
              <w:jc w:val="left"/>
              <w:rPr>
                <w:rFonts w:ascii="Times New Roman" w:eastAsia="Times New Roman" w:hAnsi="Times New Roman"/>
                <w:sz w:val="10"/>
                <w:szCs w:val="20"/>
                <w:lang w:eastAsia="pl-PL"/>
              </w:rPr>
            </w:pPr>
          </w:p>
          <w:p w:rsidR="00783B4B" w:rsidRPr="00FF2570" w:rsidRDefault="00763C27" w:rsidP="00FF2570">
            <w:pPr>
              <w:pStyle w:val="Akapitzlist"/>
              <w:widowControl w:val="0"/>
              <w:numPr>
                <w:ilvl w:val="0"/>
                <w:numId w:val="14"/>
              </w:numPr>
              <w:spacing w:before="120" w:after="0" w:line="276" w:lineRule="auto"/>
              <w:ind w:left="398"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 xml:space="preserve"> b</w:t>
            </w:r>
            <w:r w:rsidR="00783B4B" w:rsidRPr="00FF2570">
              <w:rPr>
                <w:rFonts w:ascii="Times New Roman" w:eastAsia="Times New Roman" w:hAnsi="Times New Roman"/>
                <w:sz w:val="20"/>
                <w:szCs w:val="20"/>
                <w:lang w:eastAsia="pl-PL"/>
              </w:rPr>
              <w:t>adania wy</w:t>
            </w:r>
            <w:r w:rsidRPr="00FF2570">
              <w:rPr>
                <w:rFonts w:ascii="Times New Roman" w:eastAsia="Times New Roman" w:hAnsi="Times New Roman"/>
                <w:sz w:val="20"/>
                <w:szCs w:val="20"/>
                <w:lang w:eastAsia="pl-PL"/>
              </w:rPr>
              <w:t>konywane nie rzadziej niż co 12 </w:t>
            </w:r>
            <w:r w:rsidR="00783B4B" w:rsidRPr="00FF2570">
              <w:rPr>
                <w:rFonts w:ascii="Times New Roman" w:eastAsia="Times New Roman" w:hAnsi="Times New Roman"/>
                <w:sz w:val="20"/>
                <w:szCs w:val="20"/>
                <w:lang w:eastAsia="pl-PL"/>
              </w:rPr>
              <w:t>tygodni:</w:t>
            </w:r>
          </w:p>
          <w:p w:rsidR="00783B4B" w:rsidRPr="00FF2570" w:rsidRDefault="00783B4B" w:rsidP="00FF2570">
            <w:pPr>
              <w:pStyle w:val="Akapitzlist"/>
              <w:widowControl w:val="0"/>
              <w:numPr>
                <w:ilvl w:val="0"/>
                <w:numId w:val="23"/>
              </w:numPr>
              <w:spacing w:before="120" w:after="0" w:line="276" w:lineRule="auto"/>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 xml:space="preserve">badanie </w:t>
            </w:r>
            <w:r w:rsidR="00763C27" w:rsidRPr="00FF2570">
              <w:rPr>
                <w:rFonts w:ascii="Times New Roman" w:eastAsia="Times New Roman" w:hAnsi="Times New Roman"/>
                <w:sz w:val="20"/>
                <w:szCs w:val="20"/>
                <w:lang w:eastAsia="pl-PL"/>
              </w:rPr>
              <w:t>KT lub MR odpowiedniego obszaru,</w:t>
            </w:r>
          </w:p>
          <w:p w:rsidR="00783B4B" w:rsidRPr="00FF2570" w:rsidRDefault="00783B4B" w:rsidP="00FF2570">
            <w:pPr>
              <w:pStyle w:val="Akapitzlist"/>
              <w:widowControl w:val="0"/>
              <w:numPr>
                <w:ilvl w:val="0"/>
                <w:numId w:val="23"/>
              </w:numPr>
              <w:spacing w:before="120" w:after="0" w:line="276" w:lineRule="auto"/>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badanie RTG klatki piersiowej – jeżeli nie jest wykonywane ba</w:t>
            </w:r>
            <w:r w:rsidR="00763C27" w:rsidRPr="00FF2570">
              <w:rPr>
                <w:rFonts w:ascii="Times New Roman" w:eastAsia="Times New Roman" w:hAnsi="Times New Roman"/>
                <w:sz w:val="20"/>
                <w:szCs w:val="20"/>
                <w:lang w:eastAsia="pl-PL"/>
              </w:rPr>
              <w:t>danie KT,</w:t>
            </w:r>
          </w:p>
          <w:p w:rsidR="00C929FE" w:rsidRPr="00FF2570" w:rsidRDefault="00783B4B" w:rsidP="00FF2570">
            <w:pPr>
              <w:pStyle w:val="Akapitzlist"/>
              <w:widowControl w:val="0"/>
              <w:numPr>
                <w:ilvl w:val="0"/>
                <w:numId w:val="23"/>
              </w:numPr>
              <w:spacing w:before="120" w:after="0" w:line="276" w:lineRule="auto"/>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inne badania obrazowe w razie wskazań klinicznych</w:t>
            </w:r>
            <w:r w:rsidR="00833483" w:rsidRPr="00FF2570">
              <w:rPr>
                <w:rFonts w:ascii="Times New Roman" w:eastAsia="Times New Roman" w:hAnsi="Times New Roman"/>
                <w:sz w:val="20"/>
                <w:szCs w:val="20"/>
                <w:lang w:eastAsia="pl-PL"/>
              </w:rPr>
              <w:t>.</w:t>
            </w:r>
          </w:p>
          <w:p w:rsidR="00C929FE" w:rsidRPr="00FF2570" w:rsidRDefault="00783B4B" w:rsidP="00FF2570">
            <w:pPr>
              <w:widowControl w:val="0"/>
              <w:spacing w:after="120" w:line="276" w:lineRule="auto"/>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 xml:space="preserve">Ww. badania </w:t>
            </w:r>
            <w:r w:rsidR="00326444" w:rsidRPr="00FF2570">
              <w:rPr>
                <w:rFonts w:ascii="Times New Roman" w:eastAsia="Times New Roman" w:hAnsi="Times New Roman"/>
                <w:sz w:val="20"/>
                <w:szCs w:val="20"/>
                <w:lang w:eastAsia="pl-PL"/>
              </w:rPr>
              <w:t>obrazowe wykonuje się również w </w:t>
            </w:r>
            <w:r w:rsidRPr="00FF2570">
              <w:rPr>
                <w:rFonts w:ascii="Times New Roman" w:eastAsia="Times New Roman" w:hAnsi="Times New Roman"/>
                <w:sz w:val="20"/>
                <w:szCs w:val="20"/>
                <w:lang w:eastAsia="pl-PL"/>
              </w:rPr>
              <w:t xml:space="preserve">chwili wyłączenia </w:t>
            </w:r>
            <w:r w:rsidRPr="00FF2570">
              <w:rPr>
                <w:rFonts w:ascii="Times New Roman" w:hAnsi="Times New Roman"/>
                <w:sz w:val="20"/>
                <w:szCs w:val="20"/>
              </w:rPr>
              <w:t>z </w:t>
            </w:r>
            <w:r w:rsidRPr="00FF2570">
              <w:rPr>
                <w:rFonts w:ascii="Times New Roman" w:hAnsi="Times New Roman"/>
                <w:sz w:val="20"/>
                <w:szCs w:val="20"/>
                <w:lang w:eastAsia="pl-PL"/>
              </w:rPr>
              <w:t>programu</w:t>
            </w:r>
            <w:r w:rsidRPr="00FF2570">
              <w:rPr>
                <w:rFonts w:ascii="Times New Roman" w:eastAsia="Times New Roman" w:hAnsi="Times New Roman"/>
                <w:sz w:val="20"/>
                <w:szCs w:val="20"/>
                <w:lang w:eastAsia="pl-PL"/>
              </w:rPr>
              <w:t xml:space="preserve">, o ile </w:t>
            </w:r>
            <w:r w:rsidR="00BF75DD" w:rsidRPr="00FF2570">
              <w:rPr>
                <w:rFonts w:ascii="Times New Roman" w:eastAsia="Times New Roman" w:hAnsi="Times New Roman"/>
                <w:sz w:val="20"/>
                <w:szCs w:val="20"/>
                <w:lang w:eastAsia="pl-PL"/>
              </w:rPr>
              <w:t>wyłączenie nie nastąpiło z </w:t>
            </w:r>
            <w:r w:rsidRPr="00FF2570">
              <w:rPr>
                <w:rFonts w:ascii="Times New Roman" w:eastAsia="Times New Roman" w:hAnsi="Times New Roman"/>
                <w:sz w:val="20"/>
                <w:szCs w:val="20"/>
                <w:lang w:eastAsia="pl-PL"/>
              </w:rPr>
              <w:t>powodu udo</w:t>
            </w:r>
            <w:r w:rsidR="00C929FE" w:rsidRPr="00FF2570">
              <w:rPr>
                <w:rFonts w:ascii="Times New Roman" w:eastAsia="Times New Roman" w:hAnsi="Times New Roman"/>
                <w:sz w:val="20"/>
                <w:szCs w:val="20"/>
                <w:lang w:eastAsia="pl-PL"/>
              </w:rPr>
              <w:t>kumentowanej progresji choroby.</w:t>
            </w:r>
          </w:p>
          <w:p w:rsidR="00783B4B" w:rsidRPr="00FF2570" w:rsidRDefault="00783B4B" w:rsidP="00FF2570">
            <w:pPr>
              <w:widowControl w:val="0"/>
              <w:spacing w:after="120" w:line="276" w:lineRule="auto"/>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Wykonane badania obrazowe muszą umożliwić obiektywną ocenę odpowiedzi na leczenie.</w:t>
            </w:r>
          </w:p>
          <w:p w:rsidR="00783B4B" w:rsidRDefault="00783B4B" w:rsidP="00FF2570">
            <w:pPr>
              <w:widowControl w:val="0"/>
              <w:spacing w:after="120" w:line="276" w:lineRule="auto"/>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Ocena odpowiedzi na leczenie powinna być przeprowadzana zgodnie z</w:t>
            </w:r>
            <w:r w:rsidR="00AF4416" w:rsidRPr="00FF2570">
              <w:rPr>
                <w:rFonts w:ascii="Times New Roman" w:eastAsia="Times New Roman" w:hAnsi="Times New Roman"/>
                <w:sz w:val="20"/>
                <w:szCs w:val="20"/>
                <w:lang w:eastAsia="pl-PL"/>
              </w:rPr>
              <w:t xml:space="preserve"> kryteriami RECIST lub CHOI.   </w:t>
            </w:r>
          </w:p>
          <w:p w:rsidR="002138F9" w:rsidRPr="00BC7B47" w:rsidRDefault="002138F9" w:rsidP="002138F9">
            <w:pPr>
              <w:spacing w:line="276" w:lineRule="auto"/>
              <w:rPr>
                <w:b/>
                <w:sz w:val="20"/>
                <w:szCs w:val="20"/>
              </w:rPr>
            </w:pPr>
            <w:r>
              <w:rPr>
                <w:b/>
                <w:sz w:val="20"/>
                <w:szCs w:val="20"/>
              </w:rPr>
              <w:t>Monitorowanie leczenia pacjentów, o których mowa</w:t>
            </w:r>
            <w:r w:rsidR="00BB22FA">
              <w:rPr>
                <w:b/>
                <w:sz w:val="20"/>
                <w:szCs w:val="20"/>
              </w:rPr>
              <w:t xml:space="preserve"> w sekcji Świadczeniobiorcy 3.</w:t>
            </w:r>
            <w:r>
              <w:rPr>
                <w:b/>
                <w:sz w:val="20"/>
                <w:szCs w:val="20"/>
              </w:rPr>
              <w:t xml:space="preserve"> pkt. 1., powinno być prowadzone jednakowo jak w przypadku pozostałych pacjentów.</w:t>
            </w:r>
          </w:p>
          <w:p w:rsidR="002138F9" w:rsidRPr="00FF2570" w:rsidRDefault="002138F9" w:rsidP="00FF2570">
            <w:pPr>
              <w:widowControl w:val="0"/>
              <w:spacing w:after="120" w:line="276" w:lineRule="auto"/>
              <w:rPr>
                <w:rFonts w:ascii="Times New Roman" w:eastAsia="Times New Roman" w:hAnsi="Times New Roman"/>
                <w:sz w:val="20"/>
                <w:szCs w:val="20"/>
                <w:lang w:eastAsia="pl-PL"/>
              </w:rPr>
            </w:pPr>
          </w:p>
          <w:p w:rsidR="00833483" w:rsidRPr="00FF2570" w:rsidRDefault="00CB2F0E" w:rsidP="00FF2570">
            <w:pPr>
              <w:pStyle w:val="Akapitzlist"/>
              <w:widowControl w:val="0"/>
              <w:numPr>
                <w:ilvl w:val="0"/>
                <w:numId w:val="21"/>
              </w:numPr>
              <w:spacing w:before="120" w:line="276" w:lineRule="auto"/>
              <w:ind w:left="113" w:firstLine="0"/>
              <w:contextualSpacing w:val="0"/>
              <w:jc w:val="left"/>
              <w:rPr>
                <w:rFonts w:ascii="Times New Roman" w:eastAsia="Times New Roman" w:hAnsi="Times New Roman"/>
                <w:b/>
                <w:sz w:val="20"/>
                <w:szCs w:val="20"/>
                <w:lang w:eastAsia="pl-PL"/>
              </w:rPr>
            </w:pPr>
            <w:r w:rsidRPr="00FF2570">
              <w:rPr>
                <w:rFonts w:ascii="Times New Roman" w:eastAsia="Times New Roman" w:hAnsi="Times New Roman"/>
                <w:b/>
                <w:sz w:val="20"/>
                <w:szCs w:val="20"/>
                <w:lang w:eastAsia="pl-PL"/>
              </w:rPr>
              <w:t xml:space="preserve"> </w:t>
            </w:r>
            <w:r w:rsidR="00833483" w:rsidRPr="00FF2570">
              <w:rPr>
                <w:rFonts w:ascii="Times New Roman" w:eastAsia="Times New Roman" w:hAnsi="Times New Roman"/>
                <w:b/>
                <w:sz w:val="20"/>
                <w:szCs w:val="20"/>
                <w:lang w:eastAsia="pl-PL"/>
              </w:rPr>
              <w:t>Monitorowanie programu</w:t>
            </w:r>
            <w:r w:rsidR="001428EA" w:rsidRPr="00FF2570">
              <w:rPr>
                <w:rFonts w:ascii="Times New Roman" w:hAnsi="Times New Roman"/>
                <w:sz w:val="20"/>
                <w:szCs w:val="20"/>
              </w:rPr>
              <w:t xml:space="preserve"> </w:t>
            </w:r>
          </w:p>
          <w:p w:rsidR="00AF4416" w:rsidRPr="00FF2570" w:rsidRDefault="00833483" w:rsidP="00FF2570">
            <w:pPr>
              <w:pStyle w:val="Akapitzlist"/>
              <w:widowControl w:val="0"/>
              <w:numPr>
                <w:ilvl w:val="0"/>
                <w:numId w:val="18"/>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przekazywanie do NFZ zakresu informacji sprawozdawczo – rozliczeniowych</w:t>
            </w:r>
            <w:r w:rsidR="00405E47" w:rsidRPr="00FF2570">
              <w:rPr>
                <w:rFonts w:ascii="Times New Roman" w:eastAsia="Times New Roman" w:hAnsi="Times New Roman"/>
                <w:sz w:val="20"/>
                <w:szCs w:val="20"/>
                <w:lang w:eastAsia="pl-PL"/>
              </w:rPr>
              <w:t xml:space="preserve"> </w:t>
            </w:r>
            <w:r w:rsidR="00AF4416" w:rsidRPr="00FF2570">
              <w:rPr>
                <w:rFonts w:ascii="Times New Roman" w:hAnsi="Times New Roman"/>
                <w:sz w:val="20"/>
                <w:szCs w:val="20"/>
              </w:rPr>
              <w:t>w formie papierowej lub w formie elektronicznej, zgodnie z wymaganiami opublikowanymi</w:t>
            </w:r>
            <w:r w:rsidR="00400E04" w:rsidRPr="00FF2570">
              <w:rPr>
                <w:rFonts w:ascii="Times New Roman" w:hAnsi="Times New Roman"/>
                <w:sz w:val="20"/>
                <w:szCs w:val="20"/>
              </w:rPr>
              <w:t xml:space="preserve"> przez Narodowy Fundusz Zdrowia;</w:t>
            </w:r>
          </w:p>
          <w:p w:rsidR="00766D67" w:rsidRDefault="00833483" w:rsidP="00766D67">
            <w:pPr>
              <w:pStyle w:val="Akapitzlist"/>
              <w:widowControl w:val="0"/>
              <w:numPr>
                <w:ilvl w:val="0"/>
                <w:numId w:val="18"/>
              </w:numPr>
              <w:spacing w:before="120" w:line="276" w:lineRule="auto"/>
              <w:ind w:left="459" w:hanging="142"/>
              <w:jc w:val="left"/>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uzupełnianie danych zawartych w rejestrze raka neuroendokrynnego trzustki (SMPT-Rak neuroendokrynny trzustki), dostępnym za pomocą aplikacji internetowej udostępnionej przez OW NFZ, nie rzadziej niż co 3 miesiące oraz na zakończenie leczenia.</w:t>
            </w:r>
          </w:p>
          <w:p w:rsidR="00766D67" w:rsidRPr="00766D67" w:rsidRDefault="00766D67" w:rsidP="00766D67">
            <w:pPr>
              <w:pStyle w:val="Akapitzlist"/>
              <w:widowControl w:val="0"/>
              <w:numPr>
                <w:ilvl w:val="0"/>
                <w:numId w:val="18"/>
              </w:numPr>
              <w:spacing w:before="120" w:line="276" w:lineRule="auto"/>
              <w:ind w:left="459" w:hanging="142"/>
              <w:jc w:val="left"/>
              <w:rPr>
                <w:rFonts w:ascii="Times New Roman" w:eastAsia="Times New Roman" w:hAnsi="Times New Roman"/>
                <w:sz w:val="20"/>
                <w:szCs w:val="20"/>
                <w:lang w:eastAsia="pl-PL"/>
              </w:rPr>
            </w:pPr>
            <w:r w:rsidRPr="00766D67">
              <w:rPr>
                <w:rFonts w:ascii="Times New Roman" w:hAnsi="Times New Roman"/>
                <w:sz w:val="20"/>
                <w:szCs w:val="20"/>
              </w:rPr>
              <w:t>W przypadku pacjentów, o których m</w:t>
            </w:r>
            <w:r>
              <w:rPr>
                <w:rFonts w:ascii="Times New Roman" w:hAnsi="Times New Roman"/>
                <w:sz w:val="20"/>
                <w:szCs w:val="20"/>
              </w:rPr>
              <w:t>owa w sekcji Świadczeniobiorcy 3</w:t>
            </w:r>
            <w:r w:rsidR="00BB22FA">
              <w:rPr>
                <w:rFonts w:ascii="Times New Roman" w:hAnsi="Times New Roman"/>
                <w:sz w:val="20"/>
                <w:szCs w:val="20"/>
              </w:rPr>
              <w:t>.</w:t>
            </w:r>
            <w:r w:rsidRPr="00766D67">
              <w:rPr>
                <w:rFonts w:ascii="Times New Roman" w:hAnsi="Times New Roman"/>
                <w:sz w:val="20"/>
                <w:szCs w:val="20"/>
              </w:rPr>
              <w:t xml:space="preserve"> pkt. 1, nie jest wymagane uzupełnianie danych i informacji w elektronicznym systemie monitorowania programów lekowych.</w:t>
            </w:r>
          </w:p>
          <w:p w:rsidR="002E6203" w:rsidRPr="00FF2570" w:rsidRDefault="00405E47" w:rsidP="00FF2570">
            <w:pPr>
              <w:widowControl w:val="0"/>
              <w:spacing w:before="120" w:after="120" w:line="276" w:lineRule="auto"/>
              <w:rPr>
                <w:rFonts w:ascii="Times New Roman" w:eastAsia="Times New Roman" w:hAnsi="Times New Roman"/>
                <w:sz w:val="20"/>
                <w:szCs w:val="20"/>
                <w:lang w:eastAsia="pl-PL"/>
              </w:rPr>
            </w:pPr>
            <w:r w:rsidRPr="00FF2570">
              <w:rPr>
                <w:rFonts w:ascii="Times New Roman" w:eastAsia="Times New Roman" w:hAnsi="Times New Roman"/>
                <w:sz w:val="20"/>
                <w:szCs w:val="20"/>
                <w:lang w:eastAsia="pl-PL"/>
              </w:rPr>
              <w:t>Dane dotyczące monitorowania leczenia należy gromadzić w dokumentacji pacjenta i każdorazowo przedstawiać na żądanie kontrolerom NFZ.</w:t>
            </w:r>
          </w:p>
        </w:tc>
      </w:tr>
    </w:tbl>
    <w:p w:rsidR="004E11B7" w:rsidRPr="00821C65" w:rsidRDefault="004E11B7" w:rsidP="00455909">
      <w:pPr>
        <w:rPr>
          <w:rFonts w:ascii="Times New Roman" w:hAnsi="Times New Roman"/>
          <w:color w:val="0070C0"/>
          <w:sz w:val="20"/>
          <w:szCs w:val="20"/>
        </w:rPr>
      </w:pPr>
    </w:p>
    <w:sectPr w:rsidR="004E11B7" w:rsidRPr="00821C65" w:rsidSect="009A7F09">
      <w:pgSz w:w="16838" w:h="11899" w:orient="landscape"/>
      <w:pgMar w:top="1588" w:right="720" w:bottom="1418" w:left="72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6BF" w:rsidRDefault="00B816BF" w:rsidP="00204845">
      <w:pPr>
        <w:spacing w:after="0"/>
      </w:pPr>
      <w:r>
        <w:separator/>
      </w:r>
    </w:p>
  </w:endnote>
  <w:endnote w:type="continuationSeparator" w:id="0">
    <w:p w:rsidR="00B816BF" w:rsidRDefault="00B816BF" w:rsidP="002048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6BF" w:rsidRDefault="00B816BF" w:rsidP="00204845">
      <w:pPr>
        <w:spacing w:after="0"/>
      </w:pPr>
      <w:r>
        <w:separator/>
      </w:r>
    </w:p>
  </w:footnote>
  <w:footnote w:type="continuationSeparator" w:id="0">
    <w:p w:rsidR="00B816BF" w:rsidRDefault="00B816BF" w:rsidP="0020484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A4A60"/>
    <w:multiLevelType w:val="hybridMultilevel"/>
    <w:tmpl w:val="2AA2EDFE"/>
    <w:lvl w:ilvl="0" w:tplc="987C533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132BF"/>
    <w:multiLevelType w:val="multilevel"/>
    <w:tmpl w:val="572C9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5054DE"/>
    <w:multiLevelType w:val="hybridMultilevel"/>
    <w:tmpl w:val="112ACA16"/>
    <w:lvl w:ilvl="0" w:tplc="987C533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C43761"/>
    <w:multiLevelType w:val="multilevel"/>
    <w:tmpl w:val="6E24BA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8D1BEA"/>
    <w:multiLevelType w:val="hybridMultilevel"/>
    <w:tmpl w:val="20FCAB0C"/>
    <w:lvl w:ilvl="0" w:tplc="8A08B890">
      <w:start w:val="1"/>
      <w:numFmt w:val="decimal"/>
      <w:lvlText w:val="%1)"/>
      <w:lvlJc w:val="left"/>
      <w:pPr>
        <w:ind w:left="720" w:hanging="360"/>
      </w:pPr>
      <w:rPr>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F165BA"/>
    <w:multiLevelType w:val="hybridMultilevel"/>
    <w:tmpl w:val="F63ABB4A"/>
    <w:lvl w:ilvl="0" w:tplc="04150011">
      <w:start w:val="1"/>
      <w:numFmt w:val="decimal"/>
      <w:lvlText w:val="%1)"/>
      <w:lvlJc w:val="left"/>
      <w:pPr>
        <w:ind w:left="720" w:hanging="360"/>
      </w:pPr>
    </w:lvl>
    <w:lvl w:ilvl="1" w:tplc="8C9E272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751B11"/>
    <w:multiLevelType w:val="hybridMultilevel"/>
    <w:tmpl w:val="FCB8EB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B82A96"/>
    <w:multiLevelType w:val="hybridMultilevel"/>
    <w:tmpl w:val="F6B2D344"/>
    <w:lvl w:ilvl="0" w:tplc="04150017">
      <w:start w:val="1"/>
      <w:numFmt w:val="lowerLetter"/>
      <w:lvlText w:val="%1)"/>
      <w:lvlJc w:val="left"/>
      <w:pPr>
        <w:ind w:left="720" w:hanging="360"/>
      </w:pPr>
    </w:lvl>
    <w:lvl w:ilvl="1" w:tplc="73865BD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E25B89"/>
    <w:multiLevelType w:val="hybridMultilevel"/>
    <w:tmpl w:val="D61A57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F74CAE"/>
    <w:multiLevelType w:val="multilevel"/>
    <w:tmpl w:val="3A9A9E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C5031C8"/>
    <w:multiLevelType w:val="hybridMultilevel"/>
    <w:tmpl w:val="46520A60"/>
    <w:lvl w:ilvl="0" w:tplc="E910A7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82260F"/>
    <w:multiLevelType w:val="hybridMultilevel"/>
    <w:tmpl w:val="9A02E0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A63817"/>
    <w:multiLevelType w:val="multilevel"/>
    <w:tmpl w:val="0ABAFE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CB1355"/>
    <w:multiLevelType w:val="hybridMultilevel"/>
    <w:tmpl w:val="EC4CCC72"/>
    <w:lvl w:ilvl="0" w:tplc="987C5338">
      <w:start w:val="1"/>
      <w:numFmt w:val="decimal"/>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170615"/>
    <w:multiLevelType w:val="hybridMultilevel"/>
    <w:tmpl w:val="079AF2C4"/>
    <w:lvl w:ilvl="0" w:tplc="30242E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2A5201"/>
    <w:multiLevelType w:val="hybridMultilevel"/>
    <w:tmpl w:val="639CE6BA"/>
    <w:lvl w:ilvl="0" w:tplc="199AA864">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23F19D6"/>
    <w:multiLevelType w:val="hybridMultilevel"/>
    <w:tmpl w:val="A9222A36"/>
    <w:lvl w:ilvl="0" w:tplc="987C533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4250FE"/>
    <w:multiLevelType w:val="hybridMultilevel"/>
    <w:tmpl w:val="0B4A91CC"/>
    <w:lvl w:ilvl="0" w:tplc="3C4C8D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B3325F"/>
    <w:multiLevelType w:val="hybridMultilevel"/>
    <w:tmpl w:val="519E6A6E"/>
    <w:lvl w:ilvl="0" w:tplc="987C533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033A5D"/>
    <w:multiLevelType w:val="multilevel"/>
    <w:tmpl w:val="7EC4B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5772C8"/>
    <w:multiLevelType w:val="hybridMultilevel"/>
    <w:tmpl w:val="652CB212"/>
    <w:lvl w:ilvl="0" w:tplc="EB46A26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2F6549"/>
    <w:multiLevelType w:val="hybridMultilevel"/>
    <w:tmpl w:val="DD4095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5019D7"/>
    <w:multiLevelType w:val="hybridMultilevel"/>
    <w:tmpl w:val="FB1C0CC4"/>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624D7B72"/>
    <w:multiLevelType w:val="multilevel"/>
    <w:tmpl w:val="05A626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71565F4"/>
    <w:multiLevelType w:val="hybridMultilevel"/>
    <w:tmpl w:val="1AD83B02"/>
    <w:lvl w:ilvl="0" w:tplc="CFF6CF3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68B36396"/>
    <w:multiLevelType w:val="hybridMultilevel"/>
    <w:tmpl w:val="699AAE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010DDB"/>
    <w:multiLevelType w:val="hybridMultilevel"/>
    <w:tmpl w:val="A00EA53E"/>
    <w:lvl w:ilvl="0" w:tplc="6F1267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EF4A5C"/>
    <w:multiLevelType w:val="hybridMultilevel"/>
    <w:tmpl w:val="083436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301625"/>
    <w:multiLevelType w:val="hybridMultilevel"/>
    <w:tmpl w:val="8F4CF836"/>
    <w:lvl w:ilvl="0" w:tplc="EB46A26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20242C"/>
    <w:multiLevelType w:val="hybridMultilevel"/>
    <w:tmpl w:val="99501D90"/>
    <w:lvl w:ilvl="0" w:tplc="D43C9F4A">
      <w:start w:val="1"/>
      <w:numFmt w:val="decimal"/>
      <w:lvlText w:val="%1)"/>
      <w:lvlJc w:val="right"/>
      <w:pPr>
        <w:ind w:left="720" w:hanging="360"/>
      </w:pPr>
      <w:rPr>
        <w:rFonts w:hint="default"/>
      </w:rPr>
    </w:lvl>
    <w:lvl w:ilvl="1" w:tplc="7200E27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730431"/>
    <w:multiLevelType w:val="hybridMultilevel"/>
    <w:tmpl w:val="0A281920"/>
    <w:lvl w:ilvl="0" w:tplc="73865BD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5"/>
  </w:num>
  <w:num w:numId="3">
    <w:abstractNumId w:val="13"/>
  </w:num>
  <w:num w:numId="4">
    <w:abstractNumId w:val="27"/>
  </w:num>
  <w:num w:numId="5">
    <w:abstractNumId w:val="17"/>
  </w:num>
  <w:num w:numId="6">
    <w:abstractNumId w:val="4"/>
  </w:num>
  <w:num w:numId="7">
    <w:abstractNumId w:val="21"/>
  </w:num>
  <w:num w:numId="8">
    <w:abstractNumId w:val="19"/>
  </w:num>
  <w:num w:numId="9">
    <w:abstractNumId w:val="12"/>
  </w:num>
  <w:num w:numId="10">
    <w:abstractNumId w:val="9"/>
  </w:num>
  <w:num w:numId="11">
    <w:abstractNumId w:val="1"/>
  </w:num>
  <w:num w:numId="12">
    <w:abstractNumId w:val="16"/>
  </w:num>
  <w:num w:numId="13">
    <w:abstractNumId w:val="3"/>
  </w:num>
  <w:num w:numId="14">
    <w:abstractNumId w:val="0"/>
  </w:num>
  <w:num w:numId="15">
    <w:abstractNumId w:val="14"/>
  </w:num>
  <w:num w:numId="16">
    <w:abstractNumId w:val="2"/>
  </w:num>
  <w:num w:numId="17">
    <w:abstractNumId w:val="10"/>
  </w:num>
  <w:num w:numId="18">
    <w:abstractNumId w:val="18"/>
  </w:num>
  <w:num w:numId="19">
    <w:abstractNumId w:val="8"/>
  </w:num>
  <w:num w:numId="20">
    <w:abstractNumId w:val="26"/>
  </w:num>
  <w:num w:numId="21">
    <w:abstractNumId w:val="23"/>
  </w:num>
  <w:num w:numId="22">
    <w:abstractNumId w:val="6"/>
  </w:num>
  <w:num w:numId="23">
    <w:abstractNumId w:val="25"/>
  </w:num>
  <w:num w:numId="24">
    <w:abstractNumId w:val="28"/>
  </w:num>
  <w:num w:numId="25">
    <w:abstractNumId w:val="22"/>
  </w:num>
  <w:num w:numId="26">
    <w:abstractNumId w:val="11"/>
  </w:num>
  <w:num w:numId="27">
    <w:abstractNumId w:val="7"/>
  </w:num>
  <w:num w:numId="28">
    <w:abstractNumId w:val="30"/>
  </w:num>
  <w:num w:numId="29">
    <w:abstractNumId w:val="20"/>
  </w:num>
  <w:num w:numId="30">
    <w:abstractNumId w:val="1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6E"/>
    <w:rsid w:val="000309DD"/>
    <w:rsid w:val="00031AE1"/>
    <w:rsid w:val="00053AFF"/>
    <w:rsid w:val="00071779"/>
    <w:rsid w:val="00091273"/>
    <w:rsid w:val="000A7CB0"/>
    <w:rsid w:val="000E623B"/>
    <w:rsid w:val="001409B9"/>
    <w:rsid w:val="001428EA"/>
    <w:rsid w:val="00145E69"/>
    <w:rsid w:val="00164264"/>
    <w:rsid w:val="00191D93"/>
    <w:rsid w:val="00194176"/>
    <w:rsid w:val="001B2428"/>
    <w:rsid w:val="001B3196"/>
    <w:rsid w:val="001B52BB"/>
    <w:rsid w:val="001C7C48"/>
    <w:rsid w:val="001E6597"/>
    <w:rsid w:val="00204845"/>
    <w:rsid w:val="002138F9"/>
    <w:rsid w:val="00237D15"/>
    <w:rsid w:val="00241D3F"/>
    <w:rsid w:val="00257568"/>
    <w:rsid w:val="0026090A"/>
    <w:rsid w:val="00284E5F"/>
    <w:rsid w:val="002875B2"/>
    <w:rsid w:val="00297E93"/>
    <w:rsid w:val="002B0BAF"/>
    <w:rsid w:val="002B406F"/>
    <w:rsid w:val="002C3406"/>
    <w:rsid w:val="002C7006"/>
    <w:rsid w:val="002D2D3D"/>
    <w:rsid w:val="002D7E47"/>
    <w:rsid w:val="002E6203"/>
    <w:rsid w:val="002E79F3"/>
    <w:rsid w:val="00306787"/>
    <w:rsid w:val="00326444"/>
    <w:rsid w:val="00337F94"/>
    <w:rsid w:val="00371D9D"/>
    <w:rsid w:val="0038377D"/>
    <w:rsid w:val="00384E44"/>
    <w:rsid w:val="0038509B"/>
    <w:rsid w:val="003A1DCD"/>
    <w:rsid w:val="003C35A4"/>
    <w:rsid w:val="003D36D7"/>
    <w:rsid w:val="003F0C38"/>
    <w:rsid w:val="00400E04"/>
    <w:rsid w:val="00405E47"/>
    <w:rsid w:val="00455909"/>
    <w:rsid w:val="00471A86"/>
    <w:rsid w:val="00497806"/>
    <w:rsid w:val="004A1773"/>
    <w:rsid w:val="004D0A96"/>
    <w:rsid w:val="004E11B7"/>
    <w:rsid w:val="005168DA"/>
    <w:rsid w:val="00516B89"/>
    <w:rsid w:val="0052553A"/>
    <w:rsid w:val="00540950"/>
    <w:rsid w:val="00544044"/>
    <w:rsid w:val="00556E34"/>
    <w:rsid w:val="00564129"/>
    <w:rsid w:val="005650D7"/>
    <w:rsid w:val="00587E61"/>
    <w:rsid w:val="005A2276"/>
    <w:rsid w:val="005A49D5"/>
    <w:rsid w:val="005B0A48"/>
    <w:rsid w:val="005B0E68"/>
    <w:rsid w:val="005B782E"/>
    <w:rsid w:val="005B79D7"/>
    <w:rsid w:val="005C2C9D"/>
    <w:rsid w:val="00601DE4"/>
    <w:rsid w:val="00607681"/>
    <w:rsid w:val="00626D3C"/>
    <w:rsid w:val="006349B5"/>
    <w:rsid w:val="00634DBC"/>
    <w:rsid w:val="00654DC5"/>
    <w:rsid w:val="00666F24"/>
    <w:rsid w:val="00667BEF"/>
    <w:rsid w:val="00690D3E"/>
    <w:rsid w:val="00693D47"/>
    <w:rsid w:val="00697055"/>
    <w:rsid w:val="006A099D"/>
    <w:rsid w:val="006A6B86"/>
    <w:rsid w:val="006A7E72"/>
    <w:rsid w:val="006C2C4D"/>
    <w:rsid w:val="006D563B"/>
    <w:rsid w:val="006D618E"/>
    <w:rsid w:val="006E0113"/>
    <w:rsid w:val="00701E95"/>
    <w:rsid w:val="00721B30"/>
    <w:rsid w:val="0072578A"/>
    <w:rsid w:val="00725CB1"/>
    <w:rsid w:val="007317B3"/>
    <w:rsid w:val="00732634"/>
    <w:rsid w:val="00736021"/>
    <w:rsid w:val="007549F7"/>
    <w:rsid w:val="00763C27"/>
    <w:rsid w:val="00764715"/>
    <w:rsid w:val="00766D67"/>
    <w:rsid w:val="00767379"/>
    <w:rsid w:val="00770A78"/>
    <w:rsid w:val="00783B4B"/>
    <w:rsid w:val="007961C5"/>
    <w:rsid w:val="007A2C77"/>
    <w:rsid w:val="00800411"/>
    <w:rsid w:val="00821C65"/>
    <w:rsid w:val="00824922"/>
    <w:rsid w:val="00825E5B"/>
    <w:rsid w:val="008274D0"/>
    <w:rsid w:val="00830CA2"/>
    <w:rsid w:val="00833483"/>
    <w:rsid w:val="0084391C"/>
    <w:rsid w:val="00851F89"/>
    <w:rsid w:val="0087117B"/>
    <w:rsid w:val="00894C5A"/>
    <w:rsid w:val="008B6C3E"/>
    <w:rsid w:val="008C02D7"/>
    <w:rsid w:val="008E1B78"/>
    <w:rsid w:val="0090064C"/>
    <w:rsid w:val="00921078"/>
    <w:rsid w:val="009408F0"/>
    <w:rsid w:val="00971D28"/>
    <w:rsid w:val="009834A3"/>
    <w:rsid w:val="00985E7F"/>
    <w:rsid w:val="009A67DD"/>
    <w:rsid w:val="009A7CED"/>
    <w:rsid w:val="009A7F09"/>
    <w:rsid w:val="009C5B10"/>
    <w:rsid w:val="009D6A82"/>
    <w:rsid w:val="00A012B6"/>
    <w:rsid w:val="00A13F34"/>
    <w:rsid w:val="00A300F7"/>
    <w:rsid w:val="00A5006D"/>
    <w:rsid w:val="00A77268"/>
    <w:rsid w:val="00A839F4"/>
    <w:rsid w:val="00A83F3D"/>
    <w:rsid w:val="00A96DBE"/>
    <w:rsid w:val="00AB61B1"/>
    <w:rsid w:val="00AD56FF"/>
    <w:rsid w:val="00AD6A24"/>
    <w:rsid w:val="00AF2B92"/>
    <w:rsid w:val="00AF4416"/>
    <w:rsid w:val="00B0301B"/>
    <w:rsid w:val="00B303CA"/>
    <w:rsid w:val="00B341B6"/>
    <w:rsid w:val="00B350EF"/>
    <w:rsid w:val="00B5573B"/>
    <w:rsid w:val="00B622F4"/>
    <w:rsid w:val="00B70B8F"/>
    <w:rsid w:val="00B816BF"/>
    <w:rsid w:val="00BA75EC"/>
    <w:rsid w:val="00BB22FA"/>
    <w:rsid w:val="00BB5D4C"/>
    <w:rsid w:val="00BD5C86"/>
    <w:rsid w:val="00BD71C3"/>
    <w:rsid w:val="00BE30D5"/>
    <w:rsid w:val="00BF65CE"/>
    <w:rsid w:val="00BF75DD"/>
    <w:rsid w:val="00C36BF8"/>
    <w:rsid w:val="00C56998"/>
    <w:rsid w:val="00C70CC7"/>
    <w:rsid w:val="00C728DC"/>
    <w:rsid w:val="00C82647"/>
    <w:rsid w:val="00C929FE"/>
    <w:rsid w:val="00CB1B66"/>
    <w:rsid w:val="00CB2F0E"/>
    <w:rsid w:val="00CB4103"/>
    <w:rsid w:val="00CC60C1"/>
    <w:rsid w:val="00CD0AC5"/>
    <w:rsid w:val="00CF19E7"/>
    <w:rsid w:val="00D04FDE"/>
    <w:rsid w:val="00D15665"/>
    <w:rsid w:val="00D33D3B"/>
    <w:rsid w:val="00D33FBB"/>
    <w:rsid w:val="00D548DE"/>
    <w:rsid w:val="00D63586"/>
    <w:rsid w:val="00D72EEF"/>
    <w:rsid w:val="00D737A3"/>
    <w:rsid w:val="00D76FB8"/>
    <w:rsid w:val="00DA1DD2"/>
    <w:rsid w:val="00DC029D"/>
    <w:rsid w:val="00DC6B70"/>
    <w:rsid w:val="00DE0140"/>
    <w:rsid w:val="00DE51E0"/>
    <w:rsid w:val="00DF7450"/>
    <w:rsid w:val="00DF7E31"/>
    <w:rsid w:val="00E0360A"/>
    <w:rsid w:val="00E4220B"/>
    <w:rsid w:val="00E5276E"/>
    <w:rsid w:val="00E64B91"/>
    <w:rsid w:val="00E81823"/>
    <w:rsid w:val="00EA34B3"/>
    <w:rsid w:val="00EC4CA5"/>
    <w:rsid w:val="00ED24A7"/>
    <w:rsid w:val="00ED4B39"/>
    <w:rsid w:val="00F079B1"/>
    <w:rsid w:val="00F12CF5"/>
    <w:rsid w:val="00F21968"/>
    <w:rsid w:val="00F246D7"/>
    <w:rsid w:val="00F25F37"/>
    <w:rsid w:val="00F30199"/>
    <w:rsid w:val="00F320B1"/>
    <w:rsid w:val="00F4101C"/>
    <w:rsid w:val="00F43C59"/>
    <w:rsid w:val="00F604AF"/>
    <w:rsid w:val="00F9573F"/>
    <w:rsid w:val="00FA5474"/>
    <w:rsid w:val="00FA6A96"/>
    <w:rsid w:val="00FC5D97"/>
    <w:rsid w:val="00FD0292"/>
    <w:rsid w:val="00FD3970"/>
    <w:rsid w:val="00FE0844"/>
    <w:rsid w:val="00FF2570"/>
    <w:rsid w:val="00FF6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48C70EF-A592-4A1E-9855-76B7756B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Theme="minorHAnsi" w:hAnsi="Helvetica" w:cs="Helvetica"/>
        <w:sz w:val="24"/>
        <w:szCs w:val="24"/>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3C27"/>
    <w:pPr>
      <w:spacing w:line="240" w:lineRule="auto"/>
    </w:pPr>
    <w:rPr>
      <w:rFonts w:ascii="Cambria" w:eastAsia="Cambria" w:hAnsi="Cambria"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rsid w:val="00E5276E"/>
    <w:pPr>
      <w:spacing w:after="0"/>
      <w:jc w:val="both"/>
    </w:pPr>
    <w:rPr>
      <w:rFonts w:ascii="Times New Roman" w:eastAsia="Times New Roman" w:hAnsi="Times New Roman"/>
      <w:lang w:eastAsia="pl-PL"/>
    </w:r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basedOn w:val="Domylnaczcionkaakapitu"/>
    <w:link w:val="Tekstpodstawowy"/>
    <w:rsid w:val="00E5276E"/>
    <w:rPr>
      <w:rFonts w:ascii="Times New Roman" w:eastAsia="Times New Roman" w:hAnsi="Times New Roman" w:cs="Times New Roman"/>
      <w:lang w:eastAsia="pl-PL"/>
    </w:rPr>
  </w:style>
  <w:style w:type="paragraph" w:customStyle="1" w:styleId="srodek">
    <w:name w:val="srodek"/>
    <w:aliases w:val="srodek + Arial,10 pt"/>
    <w:basedOn w:val="Normalny"/>
    <w:link w:val="srodekZnak"/>
    <w:rsid w:val="00E5276E"/>
    <w:pPr>
      <w:widowControl w:val="0"/>
      <w:autoSpaceDE w:val="0"/>
      <w:autoSpaceDN w:val="0"/>
      <w:adjustRightInd w:val="0"/>
      <w:spacing w:before="120" w:after="120"/>
      <w:jc w:val="center"/>
    </w:pPr>
    <w:rPr>
      <w:rFonts w:ascii="Century Gothic" w:eastAsia="Times New Roman" w:hAnsi="Century Gothic" w:cs="Century Gothic"/>
      <w:color w:val="000000"/>
      <w:sz w:val="16"/>
      <w:szCs w:val="16"/>
      <w:lang w:eastAsia="pl-PL"/>
    </w:rPr>
  </w:style>
  <w:style w:type="character" w:customStyle="1" w:styleId="srodekZnak">
    <w:name w:val="srodek Znak"/>
    <w:basedOn w:val="Domylnaczcionkaakapitu"/>
    <w:link w:val="srodek"/>
    <w:locked/>
    <w:rsid w:val="00E5276E"/>
    <w:rPr>
      <w:rFonts w:ascii="Century Gothic" w:eastAsia="Times New Roman" w:hAnsi="Century Gothic" w:cs="Century Gothic"/>
      <w:color w:val="000000"/>
      <w:sz w:val="16"/>
      <w:szCs w:val="16"/>
      <w:lang w:eastAsia="pl-PL"/>
    </w:rPr>
  </w:style>
  <w:style w:type="paragraph" w:customStyle="1" w:styleId="Text">
    <w:name w:val="Text"/>
    <w:basedOn w:val="Normalny"/>
    <w:link w:val="TextChar"/>
    <w:rsid w:val="00EC4CA5"/>
    <w:pPr>
      <w:spacing w:before="120" w:after="0"/>
      <w:jc w:val="both"/>
    </w:pPr>
    <w:rPr>
      <w:rFonts w:ascii="Times New Roman" w:eastAsia="MS Mincho" w:hAnsi="Times New Roman"/>
      <w:szCs w:val="20"/>
    </w:rPr>
  </w:style>
  <w:style w:type="character" w:customStyle="1" w:styleId="TextChar">
    <w:name w:val="Text Char"/>
    <w:link w:val="Text"/>
    <w:rsid w:val="00EC4CA5"/>
    <w:rPr>
      <w:rFonts w:ascii="Times New Roman" w:eastAsia="MS Mincho" w:hAnsi="Times New Roman" w:cs="Times New Roman"/>
      <w:szCs w:val="20"/>
    </w:rPr>
  </w:style>
  <w:style w:type="paragraph" w:styleId="Akapitzlist">
    <w:name w:val="List Paragraph"/>
    <w:basedOn w:val="Normalny"/>
    <w:link w:val="AkapitzlistZnak"/>
    <w:uiPriority w:val="99"/>
    <w:qFormat/>
    <w:rsid w:val="00F320B1"/>
    <w:pPr>
      <w:spacing w:before="240" w:after="120" w:line="360" w:lineRule="auto"/>
      <w:ind w:left="720"/>
      <w:contextualSpacing/>
      <w:jc w:val="both"/>
    </w:pPr>
    <w:rPr>
      <w:rFonts w:ascii="Helvetica" w:eastAsia="Calibri" w:hAnsi="Helvetica"/>
      <w:szCs w:val="22"/>
    </w:rPr>
  </w:style>
  <w:style w:type="character" w:customStyle="1" w:styleId="AkapitzlistZnak">
    <w:name w:val="Akapit z listą Znak"/>
    <w:basedOn w:val="Domylnaczcionkaakapitu"/>
    <w:link w:val="Akapitzlist"/>
    <w:uiPriority w:val="34"/>
    <w:locked/>
    <w:rsid w:val="00894C5A"/>
    <w:rPr>
      <w:rFonts w:eastAsia="Calibri" w:cs="Times New Roman"/>
      <w:szCs w:val="22"/>
    </w:rPr>
  </w:style>
  <w:style w:type="paragraph" w:styleId="Tekstdymka">
    <w:name w:val="Balloon Text"/>
    <w:basedOn w:val="Normalny"/>
    <w:link w:val="TekstdymkaZnak"/>
    <w:uiPriority w:val="99"/>
    <w:semiHidden/>
    <w:unhideWhenUsed/>
    <w:rsid w:val="005B79D7"/>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B79D7"/>
    <w:rPr>
      <w:rFonts w:ascii="Tahoma" w:eastAsia="Cambria" w:hAnsi="Tahoma" w:cs="Tahoma"/>
      <w:sz w:val="16"/>
      <w:szCs w:val="16"/>
    </w:rPr>
  </w:style>
  <w:style w:type="character" w:styleId="Odwoaniedokomentarza">
    <w:name w:val="annotation reference"/>
    <w:basedOn w:val="Domylnaczcionkaakapitu"/>
    <w:uiPriority w:val="99"/>
    <w:semiHidden/>
    <w:unhideWhenUsed/>
    <w:rsid w:val="00DA1DD2"/>
    <w:rPr>
      <w:sz w:val="16"/>
      <w:szCs w:val="16"/>
    </w:rPr>
  </w:style>
  <w:style w:type="paragraph" w:styleId="Tekstkomentarza">
    <w:name w:val="annotation text"/>
    <w:basedOn w:val="Normalny"/>
    <w:link w:val="TekstkomentarzaZnak"/>
    <w:uiPriority w:val="99"/>
    <w:semiHidden/>
    <w:unhideWhenUsed/>
    <w:rsid w:val="00DA1DD2"/>
    <w:rPr>
      <w:sz w:val="20"/>
      <w:szCs w:val="20"/>
    </w:rPr>
  </w:style>
  <w:style w:type="character" w:customStyle="1" w:styleId="TekstkomentarzaZnak">
    <w:name w:val="Tekst komentarza Znak"/>
    <w:basedOn w:val="Domylnaczcionkaakapitu"/>
    <w:link w:val="Tekstkomentarza"/>
    <w:uiPriority w:val="99"/>
    <w:semiHidden/>
    <w:rsid w:val="00DA1DD2"/>
    <w:rPr>
      <w:rFonts w:ascii="Cambria" w:eastAsia="Cambria" w:hAnsi="Cambria" w:cs="Times New Roman"/>
      <w:sz w:val="20"/>
      <w:szCs w:val="20"/>
    </w:rPr>
  </w:style>
  <w:style w:type="paragraph" w:styleId="Tematkomentarza">
    <w:name w:val="annotation subject"/>
    <w:basedOn w:val="Tekstkomentarza"/>
    <w:next w:val="Tekstkomentarza"/>
    <w:link w:val="TematkomentarzaZnak"/>
    <w:uiPriority w:val="99"/>
    <w:semiHidden/>
    <w:unhideWhenUsed/>
    <w:rsid w:val="00DA1DD2"/>
    <w:rPr>
      <w:b/>
      <w:bCs/>
    </w:rPr>
  </w:style>
  <w:style w:type="character" w:customStyle="1" w:styleId="TematkomentarzaZnak">
    <w:name w:val="Temat komentarza Znak"/>
    <w:basedOn w:val="TekstkomentarzaZnak"/>
    <w:link w:val="Tematkomentarza"/>
    <w:uiPriority w:val="99"/>
    <w:semiHidden/>
    <w:rsid w:val="00DA1DD2"/>
    <w:rPr>
      <w:rFonts w:ascii="Cambria" w:eastAsia="Cambria" w:hAnsi="Cambria" w:cs="Times New Roman"/>
      <w:b/>
      <w:bCs/>
      <w:sz w:val="20"/>
      <w:szCs w:val="20"/>
    </w:rPr>
  </w:style>
  <w:style w:type="table" w:styleId="Tabela-Siatka">
    <w:name w:val="Table Grid"/>
    <w:basedOn w:val="Standardowy"/>
    <w:uiPriority w:val="59"/>
    <w:rsid w:val="0051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516B89"/>
    <w:rPr>
      <w:rFonts w:cs="Times New Roman"/>
      <w:color w:val="0000FF"/>
      <w:u w:val="single"/>
    </w:rPr>
  </w:style>
  <w:style w:type="paragraph" w:styleId="Nagwek">
    <w:name w:val="header"/>
    <w:basedOn w:val="Normalny"/>
    <w:link w:val="NagwekZnak"/>
    <w:uiPriority w:val="99"/>
    <w:unhideWhenUsed/>
    <w:rsid w:val="00204845"/>
    <w:pPr>
      <w:tabs>
        <w:tab w:val="center" w:pos="4536"/>
        <w:tab w:val="right" w:pos="9072"/>
      </w:tabs>
      <w:spacing w:after="0"/>
    </w:pPr>
  </w:style>
  <w:style w:type="character" w:customStyle="1" w:styleId="NagwekZnak">
    <w:name w:val="Nagłówek Znak"/>
    <w:basedOn w:val="Domylnaczcionkaakapitu"/>
    <w:link w:val="Nagwek"/>
    <w:uiPriority w:val="99"/>
    <w:rsid w:val="00204845"/>
    <w:rPr>
      <w:rFonts w:ascii="Cambria" w:eastAsia="Cambria" w:hAnsi="Cambria" w:cs="Times New Roman"/>
    </w:rPr>
  </w:style>
  <w:style w:type="paragraph" w:styleId="Stopka">
    <w:name w:val="footer"/>
    <w:basedOn w:val="Normalny"/>
    <w:link w:val="StopkaZnak"/>
    <w:uiPriority w:val="99"/>
    <w:unhideWhenUsed/>
    <w:rsid w:val="00204845"/>
    <w:pPr>
      <w:tabs>
        <w:tab w:val="center" w:pos="4536"/>
        <w:tab w:val="right" w:pos="9072"/>
      </w:tabs>
      <w:spacing w:after="0"/>
    </w:pPr>
  </w:style>
  <w:style w:type="character" w:customStyle="1" w:styleId="StopkaZnak">
    <w:name w:val="Stopka Znak"/>
    <w:basedOn w:val="Domylnaczcionkaakapitu"/>
    <w:link w:val="Stopka"/>
    <w:uiPriority w:val="99"/>
    <w:rsid w:val="00204845"/>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260282">
      <w:bodyDiv w:val="1"/>
      <w:marLeft w:val="0"/>
      <w:marRight w:val="0"/>
      <w:marTop w:val="0"/>
      <w:marBottom w:val="0"/>
      <w:divBdr>
        <w:top w:val="none" w:sz="0" w:space="0" w:color="auto"/>
        <w:left w:val="none" w:sz="0" w:space="0" w:color="auto"/>
        <w:bottom w:val="none" w:sz="0" w:space="0" w:color="auto"/>
        <w:right w:val="none" w:sz="0" w:space="0" w:color="auto"/>
      </w:divBdr>
    </w:div>
    <w:div w:id="1490248562">
      <w:bodyDiv w:val="1"/>
      <w:marLeft w:val="0"/>
      <w:marRight w:val="0"/>
      <w:marTop w:val="0"/>
      <w:marBottom w:val="0"/>
      <w:divBdr>
        <w:top w:val="none" w:sz="0" w:space="0" w:color="auto"/>
        <w:left w:val="none" w:sz="0" w:space="0" w:color="auto"/>
        <w:bottom w:val="none" w:sz="0" w:space="0" w:color="auto"/>
        <w:right w:val="none" w:sz="0" w:space="0" w:color="auto"/>
      </w:divBdr>
    </w:div>
    <w:div w:id="1701465635">
      <w:bodyDiv w:val="1"/>
      <w:marLeft w:val="0"/>
      <w:marRight w:val="0"/>
      <w:marTop w:val="0"/>
      <w:marBottom w:val="0"/>
      <w:divBdr>
        <w:top w:val="none" w:sz="0" w:space="0" w:color="auto"/>
        <w:left w:val="none" w:sz="0" w:space="0" w:color="auto"/>
        <w:bottom w:val="none" w:sz="0" w:space="0" w:color="auto"/>
        <w:right w:val="none" w:sz="0" w:space="0" w:color="auto"/>
      </w:divBdr>
    </w:div>
    <w:div w:id="1951817944">
      <w:bodyDiv w:val="1"/>
      <w:marLeft w:val="0"/>
      <w:marRight w:val="0"/>
      <w:marTop w:val="0"/>
      <w:marBottom w:val="0"/>
      <w:divBdr>
        <w:top w:val="none" w:sz="0" w:space="0" w:color="auto"/>
        <w:left w:val="none" w:sz="0" w:space="0" w:color="auto"/>
        <w:bottom w:val="none" w:sz="0" w:space="0" w:color="auto"/>
        <w:right w:val="none" w:sz="0" w:space="0" w:color="auto"/>
      </w:divBdr>
    </w:div>
    <w:div w:id="20547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04527-BEA0-4E1A-B1D9-80992D79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1617</Words>
  <Characters>9705</Characters>
  <DocSecurity>0</DocSecurity>
  <Lines>80</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2015-10-28T10:39:00Z</cp:lastPrinted>
  <dcterms:created xsi:type="dcterms:W3CDTF">2013-10-16T06:31:00Z</dcterms:created>
  <dcterms:modified xsi:type="dcterms:W3CDTF">2018-04-18T15:18:00Z</dcterms:modified>
</cp:coreProperties>
</file>