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35A7F" w:rsidRDefault="00B35A7F" w:rsidP="0084152D">
      <w:pPr>
        <w:spacing w:after="0" w:line="312" w:lineRule="auto"/>
        <w:rPr>
          <w:rFonts w:ascii="Times New Roman" w:hAnsi="Times New Roman"/>
          <w:sz w:val="20"/>
          <w:szCs w:val="20"/>
        </w:rPr>
      </w:pPr>
    </w:p>
    <w:p w:rsidR="00B35A7F" w:rsidRDefault="00B35A7F" w:rsidP="00B35A7F">
      <w:pPr>
        <w:rPr>
          <w:rFonts w:asciiTheme="minorHAnsi" w:hAnsiTheme="minorHAnsi" w:cstheme="minorHAnsi"/>
          <w:bCs/>
          <w:smallCaps/>
        </w:rPr>
      </w:pPr>
      <w:r>
        <w:rPr>
          <w:rFonts w:asciiTheme="minorHAnsi" w:hAnsiTheme="minorHAnsi" w:cstheme="minorHAnsi"/>
        </w:rPr>
        <w:object w:dxaOrig="795" w:dyaOrig="79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9.75pt;height:39.75pt" o:ole="" fillcolor="window">
            <v:imagedata r:id="rId7" o:title=""/>
          </v:shape>
          <o:OLEObject Type="Embed" ProgID="Word.Picture.8" ShapeID="_x0000_i1025" DrawAspect="Content" ObjectID="_1750504665" r:id="rId8"/>
        </w:object>
      </w:r>
    </w:p>
    <w:p w:rsidR="00B35A7F" w:rsidRDefault="00B35A7F" w:rsidP="00B35A7F">
      <w:pPr>
        <w:spacing w:after="0"/>
        <w:rPr>
          <w:rFonts w:asciiTheme="minorHAnsi" w:hAnsiTheme="minorHAnsi" w:cstheme="minorHAnsi"/>
          <w:bCs/>
          <w:sz w:val="24"/>
          <w:szCs w:val="24"/>
        </w:rPr>
      </w:pPr>
      <w:r>
        <w:rPr>
          <w:rFonts w:asciiTheme="minorHAnsi" w:hAnsiTheme="minorHAnsi" w:cstheme="minorHAnsi"/>
          <w:bCs/>
          <w:smallCaps/>
          <w:sz w:val="24"/>
          <w:szCs w:val="24"/>
        </w:rPr>
        <w:t>GENERALNY DYREKTOR OCHRONY ŚRODOWISKA</w:t>
      </w:r>
    </w:p>
    <w:p w:rsidR="00B35A7F" w:rsidRDefault="00B35A7F" w:rsidP="00B35A7F">
      <w:pPr>
        <w:spacing w:after="0"/>
        <w:rPr>
          <w:rFonts w:asciiTheme="minorHAnsi" w:hAnsiTheme="minorHAnsi" w:cstheme="minorHAnsi"/>
          <w:bCs/>
          <w:sz w:val="24"/>
          <w:szCs w:val="24"/>
        </w:rPr>
      </w:pPr>
    </w:p>
    <w:p w:rsidR="00B35A7F" w:rsidRDefault="002B57F6" w:rsidP="00B35A7F">
      <w:pPr>
        <w:spacing w:after="0"/>
        <w:rPr>
          <w:rFonts w:asciiTheme="minorHAnsi" w:hAnsiTheme="minorHAnsi" w:cstheme="minorHAnsi"/>
          <w:bCs/>
          <w:sz w:val="24"/>
          <w:szCs w:val="24"/>
        </w:rPr>
      </w:pPr>
      <w:r>
        <w:rPr>
          <w:rFonts w:asciiTheme="minorHAnsi" w:hAnsiTheme="minorHAnsi" w:cstheme="minorHAnsi"/>
          <w:bCs/>
          <w:sz w:val="24"/>
          <w:szCs w:val="24"/>
        </w:rPr>
        <w:t>Warszawa, 27</w:t>
      </w:r>
      <w:r w:rsidR="00967047">
        <w:rPr>
          <w:rFonts w:asciiTheme="minorHAnsi" w:hAnsiTheme="minorHAnsi" w:cstheme="minorHAnsi"/>
          <w:bCs/>
          <w:sz w:val="24"/>
          <w:szCs w:val="24"/>
        </w:rPr>
        <w:t xml:space="preserve"> </w:t>
      </w:r>
      <w:r w:rsidR="001C06EF">
        <w:rPr>
          <w:rFonts w:asciiTheme="minorHAnsi" w:hAnsiTheme="minorHAnsi" w:cstheme="minorHAnsi"/>
          <w:bCs/>
          <w:sz w:val="24"/>
          <w:szCs w:val="24"/>
        </w:rPr>
        <w:t>maja 2022</w:t>
      </w:r>
      <w:r w:rsidR="00B35A7F">
        <w:rPr>
          <w:rFonts w:asciiTheme="minorHAnsi" w:hAnsiTheme="minorHAnsi" w:cstheme="minorHAnsi"/>
          <w:bCs/>
          <w:sz w:val="24"/>
          <w:szCs w:val="24"/>
        </w:rPr>
        <w:t xml:space="preserve"> r.</w:t>
      </w:r>
    </w:p>
    <w:p w:rsidR="002B57F6" w:rsidRDefault="002B57F6" w:rsidP="00024B19">
      <w:pPr>
        <w:tabs>
          <w:tab w:val="left" w:pos="3330"/>
          <w:tab w:val="center" w:pos="4535"/>
        </w:tabs>
        <w:spacing w:after="120" w:line="312" w:lineRule="auto"/>
        <w:rPr>
          <w:rFonts w:asciiTheme="minorHAnsi" w:hAnsiTheme="minorHAnsi" w:cstheme="minorHAnsi"/>
          <w:bCs/>
          <w:sz w:val="24"/>
          <w:szCs w:val="24"/>
          <w:lang w:eastAsia="pl-PL"/>
        </w:rPr>
      </w:pPr>
      <w:r w:rsidRPr="002B57F6">
        <w:rPr>
          <w:rFonts w:asciiTheme="minorHAnsi" w:hAnsiTheme="minorHAnsi" w:cstheme="minorHAnsi"/>
          <w:bCs/>
          <w:sz w:val="24"/>
          <w:szCs w:val="24"/>
          <w:lang w:eastAsia="pl-PL"/>
        </w:rPr>
        <w:t>DOOŚ-WDŚ/ZIL.420.256.2019.EU.EK.KB.20</w:t>
      </w:r>
    </w:p>
    <w:p w:rsidR="00B35A7F" w:rsidRDefault="00B35A7F" w:rsidP="00024B19">
      <w:pPr>
        <w:tabs>
          <w:tab w:val="left" w:pos="3330"/>
          <w:tab w:val="center" w:pos="4535"/>
        </w:tabs>
        <w:spacing w:after="120" w:line="312" w:lineRule="auto"/>
        <w:rPr>
          <w:rFonts w:asciiTheme="minorHAnsi" w:hAnsiTheme="minorHAnsi" w:cstheme="minorHAnsi"/>
          <w:bCs/>
          <w:color w:val="000000"/>
          <w:sz w:val="24"/>
          <w:szCs w:val="24"/>
        </w:rPr>
      </w:pPr>
      <w:r>
        <w:rPr>
          <w:rFonts w:asciiTheme="minorHAnsi" w:hAnsiTheme="minorHAnsi" w:cstheme="minorHAnsi"/>
          <w:bCs/>
          <w:color w:val="000000"/>
          <w:sz w:val="24"/>
          <w:szCs w:val="24"/>
        </w:rPr>
        <w:t>ZAWIADOMIENIE</w:t>
      </w:r>
    </w:p>
    <w:p w:rsidR="006C3E9C" w:rsidRPr="006C3E9C" w:rsidRDefault="006C3E9C" w:rsidP="006C3E9C">
      <w:pPr>
        <w:spacing w:after="0" w:line="312" w:lineRule="auto"/>
        <w:jc w:val="both"/>
        <w:rPr>
          <w:rFonts w:asciiTheme="minorHAnsi" w:hAnsiTheme="minorHAnsi" w:cstheme="minorHAnsi"/>
          <w:bCs/>
          <w:color w:val="000000"/>
          <w:sz w:val="24"/>
          <w:szCs w:val="24"/>
        </w:rPr>
      </w:pPr>
      <w:r w:rsidRPr="006C3E9C">
        <w:rPr>
          <w:rFonts w:asciiTheme="minorHAnsi" w:hAnsiTheme="minorHAnsi" w:cstheme="minorHAnsi"/>
          <w:bCs/>
          <w:color w:val="000000"/>
          <w:sz w:val="24"/>
          <w:szCs w:val="24"/>
        </w:rPr>
        <w:t>Na podstawie art. 49 § 1 ustawy z dnia 14 czerwca 1960 r. - Kodeks postępowania administracyjnego (D</w:t>
      </w:r>
      <w:r>
        <w:rPr>
          <w:rFonts w:asciiTheme="minorHAnsi" w:hAnsiTheme="minorHAnsi" w:cstheme="minorHAnsi"/>
          <w:bCs/>
          <w:color w:val="000000"/>
          <w:sz w:val="24"/>
          <w:szCs w:val="24"/>
        </w:rPr>
        <w:t>z. U. z 2021 r. poz. 735, ze zm</w:t>
      </w:r>
      <w:r w:rsidRPr="006C3E9C">
        <w:rPr>
          <w:rFonts w:asciiTheme="minorHAnsi" w:hAnsiTheme="minorHAnsi" w:cstheme="minorHAnsi"/>
          <w:bCs/>
          <w:color w:val="000000"/>
          <w:sz w:val="24"/>
          <w:szCs w:val="24"/>
        </w:rPr>
        <w:t xml:space="preserve">.), dalej Kpa, w związku z art. 74 ust. 3 ustawy z dnia 3 października 2008 r. o udostępnianiu informacji o środowisku i jego ochronie, udziale społeczeństwa w ochronie środowiska oraz o ocenach oddziaływania na środowisko (Dz. U. z 2022 r. poz. 1029), dalej ustawa </w:t>
      </w:r>
      <w:proofErr w:type="spellStart"/>
      <w:r w:rsidRPr="006C3E9C">
        <w:rPr>
          <w:rFonts w:asciiTheme="minorHAnsi" w:hAnsiTheme="minorHAnsi" w:cstheme="minorHAnsi"/>
          <w:bCs/>
          <w:color w:val="000000"/>
          <w:sz w:val="24"/>
          <w:szCs w:val="24"/>
        </w:rPr>
        <w:t>ooś</w:t>
      </w:r>
      <w:proofErr w:type="spellEnd"/>
      <w:r w:rsidRPr="006C3E9C">
        <w:rPr>
          <w:rFonts w:asciiTheme="minorHAnsi" w:hAnsiTheme="minorHAnsi" w:cstheme="minorHAnsi"/>
          <w:bCs/>
          <w:color w:val="000000"/>
          <w:sz w:val="24"/>
          <w:szCs w:val="24"/>
        </w:rPr>
        <w:t>, zawiadamiam strony postępowania, że Generalny Dyrektor Ochrony Środowiska postanowieniem z dnia 25 maja 2022 r., znak: DOOŚ-WDŚ/ZIL.420.256.2019.EU.EK.19, odmówił wstrzymania wykonania decyzji Generalnego Dyrektora Ochrony Środowiska, z 10 sierpnia 2017 r., znak: DOOŚ-OAII.4200.1.2015.ew.aj.52, uchylającej w części i orzekającej w tym zakresie, a w pozostałym zakresie utrzymującej w mocy decyzję Regionalnego Dyrektora Ochrony Środowiska w Krakowie z dn</w:t>
      </w:r>
      <w:r>
        <w:rPr>
          <w:rFonts w:asciiTheme="minorHAnsi" w:hAnsiTheme="minorHAnsi" w:cstheme="minorHAnsi"/>
          <w:bCs/>
          <w:color w:val="000000"/>
          <w:sz w:val="24"/>
          <w:szCs w:val="24"/>
        </w:rPr>
        <w:t>ia 15 stycznia 2015 r., znak: OO</w:t>
      </w:r>
      <w:r w:rsidRPr="006C3E9C">
        <w:rPr>
          <w:rFonts w:asciiTheme="minorHAnsi" w:hAnsiTheme="minorHAnsi" w:cstheme="minorHAnsi"/>
          <w:bCs/>
          <w:color w:val="000000"/>
          <w:sz w:val="24"/>
          <w:szCs w:val="24"/>
        </w:rPr>
        <w:t>.4200.3.2O14.ASu, o środowiskowych uwarunkowaniach dla przedsięwzięcia polegającego na budowie drogi ekspresowej S-7 na odcinku Moczydło — Szczepanowice — Widoma — Zastów — Kraków (</w:t>
      </w:r>
      <w:proofErr w:type="spellStart"/>
      <w:r w:rsidRPr="006C3E9C">
        <w:rPr>
          <w:rFonts w:asciiTheme="minorHAnsi" w:hAnsiTheme="minorHAnsi" w:cstheme="minorHAnsi"/>
          <w:bCs/>
          <w:color w:val="000000"/>
          <w:sz w:val="24"/>
          <w:szCs w:val="24"/>
        </w:rPr>
        <w:t>Ptaszyckiego</w:t>
      </w:r>
      <w:proofErr w:type="spellEnd"/>
      <w:r w:rsidRPr="006C3E9C">
        <w:rPr>
          <w:rFonts w:asciiTheme="minorHAnsi" w:hAnsiTheme="minorHAnsi" w:cstheme="minorHAnsi"/>
          <w:bCs/>
          <w:color w:val="000000"/>
          <w:sz w:val="24"/>
          <w:szCs w:val="24"/>
        </w:rPr>
        <w:t>/Igołomska) w wariancie III, realizowanego w kilometrażu 603+460 -622+185 oraz 627+500 - 658+879.</w:t>
      </w:r>
    </w:p>
    <w:p w:rsidR="006C3E9C" w:rsidRPr="006C3E9C" w:rsidRDefault="006C3E9C" w:rsidP="006C3E9C">
      <w:pPr>
        <w:spacing w:after="0" w:line="312" w:lineRule="auto"/>
        <w:jc w:val="both"/>
        <w:rPr>
          <w:rFonts w:asciiTheme="minorHAnsi" w:hAnsiTheme="minorHAnsi" w:cstheme="minorHAnsi"/>
          <w:bCs/>
          <w:color w:val="000000"/>
          <w:sz w:val="24"/>
          <w:szCs w:val="24"/>
        </w:rPr>
      </w:pPr>
      <w:r w:rsidRPr="006C3E9C">
        <w:rPr>
          <w:rFonts w:asciiTheme="minorHAnsi" w:hAnsiTheme="minorHAnsi" w:cstheme="minorHAnsi"/>
          <w:bCs/>
          <w:color w:val="000000"/>
          <w:sz w:val="24"/>
          <w:szCs w:val="24"/>
        </w:rPr>
        <w:t>Doręczenie postanowienia stronom postępowania uważa się za dokonane po upływie 1</w:t>
      </w:r>
      <w:r>
        <w:rPr>
          <w:rFonts w:asciiTheme="minorHAnsi" w:hAnsiTheme="minorHAnsi" w:cstheme="minorHAnsi"/>
          <w:bCs/>
          <w:color w:val="000000"/>
          <w:sz w:val="24"/>
          <w:szCs w:val="24"/>
        </w:rPr>
        <w:t>4 dni li</w:t>
      </w:r>
      <w:r w:rsidRPr="006C3E9C">
        <w:rPr>
          <w:rFonts w:asciiTheme="minorHAnsi" w:hAnsiTheme="minorHAnsi" w:cstheme="minorHAnsi"/>
          <w:bCs/>
          <w:color w:val="000000"/>
          <w:sz w:val="24"/>
          <w:szCs w:val="24"/>
        </w:rPr>
        <w:t>czonych od następnego dnia po dniu, w którym upubliczniono zawiadomienie.</w:t>
      </w:r>
    </w:p>
    <w:p w:rsidR="00417CF6" w:rsidRDefault="006C3E9C" w:rsidP="006C3E9C">
      <w:pPr>
        <w:spacing w:after="0" w:line="312" w:lineRule="auto"/>
        <w:jc w:val="both"/>
        <w:rPr>
          <w:rFonts w:asciiTheme="minorHAnsi" w:hAnsiTheme="minorHAnsi" w:cstheme="minorHAnsi"/>
          <w:bCs/>
          <w:color w:val="000000"/>
          <w:sz w:val="24"/>
          <w:szCs w:val="24"/>
        </w:rPr>
      </w:pPr>
      <w:r w:rsidRPr="006C3E9C">
        <w:rPr>
          <w:rFonts w:asciiTheme="minorHAnsi" w:hAnsiTheme="minorHAnsi" w:cstheme="minorHAnsi"/>
          <w:bCs/>
          <w:color w:val="000000"/>
          <w:sz w:val="24"/>
          <w:szCs w:val="24"/>
        </w:rPr>
        <w:t>Z treścią postanowienia strony postępowania mogą zapoznać się w: Generalnej Dyrekcji Ochrony Środowiska, Regionalnej Dyrekcji Ochrony Środowiska w Krakowie, Urzędzie Gminy w Książu Wielkim, Urzędzie Gminy i Miasta w Miechowie, Urzędzie Gminy Iwanowice, Urzędzie Miejski Słomniki, Urzędzie Gminy Michałowice, Urzędzie Gminy Kocmyrzów-Luborzyca, Urzędzie Miasta Krakowa lub w sposób wskazany w art. 49b § 1 Kpa.</w:t>
      </w:r>
    </w:p>
    <w:p w:rsidR="006C3E9C" w:rsidRDefault="006C3E9C" w:rsidP="006C3E9C">
      <w:pPr>
        <w:spacing w:after="0" w:line="312" w:lineRule="auto"/>
        <w:jc w:val="both"/>
        <w:rPr>
          <w:rFonts w:asciiTheme="minorHAnsi" w:hAnsiTheme="minorHAnsi" w:cstheme="minorHAnsi"/>
          <w:bCs/>
          <w:color w:val="000000"/>
          <w:sz w:val="24"/>
          <w:szCs w:val="24"/>
        </w:rPr>
      </w:pPr>
    </w:p>
    <w:p w:rsidR="00B35A7F" w:rsidRDefault="00E464BA" w:rsidP="0088743C">
      <w:pPr>
        <w:spacing w:after="0" w:line="312" w:lineRule="auto"/>
        <w:jc w:val="both"/>
        <w:rPr>
          <w:rFonts w:asciiTheme="minorHAnsi" w:hAnsiTheme="minorHAnsi" w:cstheme="minorHAnsi"/>
          <w:bCs/>
          <w:sz w:val="24"/>
          <w:szCs w:val="24"/>
        </w:rPr>
      </w:pPr>
      <w:r>
        <w:rPr>
          <w:rFonts w:asciiTheme="minorHAnsi" w:hAnsiTheme="minorHAnsi" w:cstheme="minorHAnsi"/>
          <w:bCs/>
          <w:sz w:val="24"/>
          <w:szCs w:val="24"/>
        </w:rPr>
        <w:t xml:space="preserve">Upubliczniono w dniach: od </w:t>
      </w:r>
      <w:r w:rsidR="002B775F">
        <w:rPr>
          <w:rFonts w:asciiTheme="minorHAnsi" w:hAnsiTheme="minorHAnsi" w:cstheme="minorHAnsi"/>
          <w:bCs/>
          <w:sz w:val="24"/>
          <w:szCs w:val="24"/>
        </w:rPr>
        <w:t>…………….</w:t>
      </w:r>
      <w:r w:rsidR="00B35A7F">
        <w:rPr>
          <w:rFonts w:asciiTheme="minorHAnsi" w:hAnsiTheme="minorHAnsi" w:cstheme="minorHAnsi"/>
          <w:bCs/>
          <w:sz w:val="24"/>
          <w:szCs w:val="24"/>
        </w:rPr>
        <w:t xml:space="preserve">do </w:t>
      </w:r>
      <w:r>
        <w:rPr>
          <w:rFonts w:asciiTheme="minorHAnsi" w:hAnsiTheme="minorHAnsi" w:cstheme="minorHAnsi"/>
          <w:bCs/>
          <w:sz w:val="24"/>
          <w:szCs w:val="24"/>
        </w:rPr>
        <w:t>…………….</w:t>
      </w:r>
    </w:p>
    <w:p w:rsidR="00B35A7F" w:rsidRDefault="00B35A7F" w:rsidP="00B35A7F">
      <w:pPr>
        <w:spacing w:after="0" w:line="312" w:lineRule="auto"/>
        <w:jc w:val="both"/>
        <w:rPr>
          <w:rFonts w:asciiTheme="minorHAnsi" w:hAnsiTheme="minorHAnsi" w:cstheme="minorHAnsi"/>
          <w:bCs/>
          <w:sz w:val="24"/>
          <w:szCs w:val="24"/>
        </w:rPr>
      </w:pPr>
      <w:r>
        <w:rPr>
          <w:rFonts w:asciiTheme="minorHAnsi" w:hAnsiTheme="minorHAnsi" w:cstheme="minorHAnsi"/>
          <w:bCs/>
          <w:sz w:val="24"/>
          <w:szCs w:val="24"/>
        </w:rPr>
        <w:t>Pieczęć urzędu i podpis:</w:t>
      </w:r>
      <w:r w:rsidR="0055430F">
        <w:rPr>
          <w:rFonts w:asciiTheme="minorHAnsi" w:hAnsiTheme="minorHAnsi" w:cstheme="minorHAnsi"/>
          <w:bCs/>
          <w:sz w:val="24"/>
          <w:szCs w:val="24"/>
        </w:rPr>
        <w:t xml:space="preserve"> </w:t>
      </w:r>
    </w:p>
    <w:p w:rsidR="00B35A7F" w:rsidRDefault="00B35A7F" w:rsidP="00B35A7F">
      <w:pPr>
        <w:pStyle w:val="Bezodstpw1"/>
        <w:spacing w:line="312" w:lineRule="auto"/>
        <w:jc w:val="both"/>
        <w:rPr>
          <w:rFonts w:asciiTheme="minorHAnsi" w:hAnsiTheme="minorHAnsi" w:cstheme="minorHAnsi"/>
          <w:bCs/>
        </w:rPr>
      </w:pPr>
    </w:p>
    <w:p w:rsidR="00B35A7F" w:rsidRDefault="00B35A7F" w:rsidP="00B35A7F">
      <w:pPr>
        <w:pStyle w:val="Bezodstpw"/>
        <w:rPr>
          <w:sz w:val="24"/>
          <w:szCs w:val="24"/>
        </w:rPr>
      </w:pPr>
      <w:r>
        <w:rPr>
          <w:sz w:val="24"/>
          <w:szCs w:val="24"/>
        </w:rPr>
        <w:t>Z upoważnienia Generalnego Dyrektora Ochrony Środowiska</w:t>
      </w:r>
    </w:p>
    <w:p w:rsidR="00457259" w:rsidRDefault="00457259" w:rsidP="00457259">
      <w:pPr>
        <w:pStyle w:val="Bezodstpw1"/>
        <w:spacing w:line="312" w:lineRule="auto"/>
        <w:jc w:val="both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t>Dyrektor</w:t>
      </w:r>
      <w:r w:rsidR="00B51191">
        <w:rPr>
          <w:rFonts w:asciiTheme="minorHAnsi" w:hAnsiTheme="minorHAnsi" w:cstheme="minorHAnsi"/>
          <w:color w:val="000000"/>
        </w:rPr>
        <w:t xml:space="preserve"> </w:t>
      </w:r>
      <w:r>
        <w:rPr>
          <w:rFonts w:asciiTheme="minorHAnsi" w:hAnsiTheme="minorHAnsi" w:cstheme="minorHAnsi"/>
          <w:color w:val="000000"/>
        </w:rPr>
        <w:t xml:space="preserve">Departamentu Ocen Oddziaływania na Środowisko </w:t>
      </w:r>
      <w:r w:rsidR="00B51191">
        <w:rPr>
          <w:rFonts w:asciiTheme="minorHAnsi" w:hAnsiTheme="minorHAnsi" w:cstheme="minorHAnsi"/>
          <w:color w:val="000000"/>
        </w:rPr>
        <w:t>Anna Jasińska</w:t>
      </w:r>
    </w:p>
    <w:p w:rsidR="00444B9D" w:rsidRDefault="00444B9D" w:rsidP="001C06EF">
      <w:pPr>
        <w:pStyle w:val="Bezodstpw1"/>
        <w:spacing w:after="60"/>
        <w:jc w:val="both"/>
        <w:rPr>
          <w:rFonts w:asciiTheme="minorHAnsi" w:hAnsiTheme="minorHAnsi" w:cstheme="minorHAnsi"/>
          <w:bCs/>
        </w:rPr>
      </w:pPr>
    </w:p>
    <w:p w:rsidR="006C3E9C" w:rsidRPr="006C3E9C" w:rsidRDefault="006C3E9C" w:rsidP="006C3E9C">
      <w:pPr>
        <w:pStyle w:val="Bezodstpw1"/>
        <w:spacing w:after="60"/>
        <w:jc w:val="both"/>
        <w:rPr>
          <w:rFonts w:asciiTheme="minorHAnsi" w:hAnsiTheme="minorHAnsi" w:cstheme="minorHAnsi"/>
          <w:bCs/>
        </w:rPr>
      </w:pPr>
      <w:r w:rsidRPr="006C3E9C">
        <w:rPr>
          <w:rFonts w:asciiTheme="minorHAnsi" w:hAnsiTheme="minorHAnsi" w:cstheme="minorHAnsi"/>
          <w:bCs/>
        </w:rPr>
        <w:t>Art. 49 § 1 Kpa Jeżeli przepis szczególny tak stanowi, zawiadomienie stron o decyzjach i innych czynnościach organu administracji publicznej może nastąpić w formie publicznego obwieszczenia, w innej formie publicznego ogłoszenia zwyczajowo przyjętej w danej miejscowości lub przez udostępnienie pisma w Biuletynie I</w:t>
      </w:r>
      <w:r>
        <w:rPr>
          <w:rFonts w:asciiTheme="minorHAnsi" w:hAnsiTheme="minorHAnsi" w:cstheme="minorHAnsi"/>
          <w:bCs/>
        </w:rPr>
        <w:t xml:space="preserve">nformacji Publicznej na stronie </w:t>
      </w:r>
      <w:r w:rsidRPr="006C3E9C">
        <w:rPr>
          <w:rFonts w:asciiTheme="minorHAnsi" w:hAnsiTheme="minorHAnsi" w:cstheme="minorHAnsi"/>
          <w:bCs/>
        </w:rPr>
        <w:t>podmiotowej właściwego organu administracji publicznej.</w:t>
      </w:r>
    </w:p>
    <w:p w:rsidR="00985B8F" w:rsidRDefault="006C3E9C" w:rsidP="006C3E9C">
      <w:pPr>
        <w:pStyle w:val="Bezodstpw1"/>
        <w:spacing w:after="60"/>
        <w:jc w:val="both"/>
        <w:rPr>
          <w:rFonts w:asciiTheme="minorHAnsi" w:hAnsiTheme="minorHAnsi" w:cstheme="minorHAnsi"/>
          <w:bCs/>
        </w:rPr>
      </w:pPr>
      <w:r w:rsidRPr="006C3E9C">
        <w:rPr>
          <w:rFonts w:asciiTheme="minorHAnsi" w:hAnsiTheme="minorHAnsi" w:cstheme="minorHAnsi"/>
          <w:bCs/>
        </w:rPr>
        <w:t>Art. 49b § 1 Kpa W przypadku zawiadomienia strony zgodnie z art. 49 § 1 lub art. 49a o decyzji lub postanowieniu, które podlega zaskarżeniu, na wniosek strony, organ, który wydał decyzję lub postanowienie, niezwłocznie, nie później niż w terminie trzech dni od dnia otrzym</w:t>
      </w:r>
      <w:r>
        <w:rPr>
          <w:rFonts w:asciiTheme="minorHAnsi" w:hAnsiTheme="minorHAnsi" w:cstheme="minorHAnsi"/>
          <w:bCs/>
        </w:rPr>
        <w:t>ania wniosku, udostępnia stronie</w:t>
      </w:r>
      <w:r w:rsidRPr="006C3E9C">
        <w:rPr>
          <w:rFonts w:asciiTheme="minorHAnsi" w:hAnsiTheme="minorHAnsi" w:cstheme="minorHAnsi"/>
          <w:bCs/>
        </w:rPr>
        <w:t xml:space="preserve"> odpis decyzji lub postanowienia w sposób i formie określonych we wniosku, chyba że środki technicz</w:t>
      </w:r>
      <w:r>
        <w:rPr>
          <w:rFonts w:asciiTheme="minorHAnsi" w:hAnsiTheme="minorHAnsi" w:cstheme="minorHAnsi"/>
          <w:bCs/>
        </w:rPr>
        <w:t>ne, którymi dysponuje organ, nie</w:t>
      </w:r>
      <w:r w:rsidRPr="006C3E9C">
        <w:rPr>
          <w:rFonts w:asciiTheme="minorHAnsi" w:hAnsiTheme="minorHAnsi" w:cstheme="minorHAnsi"/>
          <w:bCs/>
        </w:rPr>
        <w:t xml:space="preserve"> umożliwiają udostępnienia w taki sposób lub takiej formie.</w:t>
      </w:r>
      <w:r>
        <w:rPr>
          <w:rFonts w:asciiTheme="minorHAnsi" w:hAnsiTheme="minorHAnsi" w:cstheme="minorHAnsi"/>
          <w:bCs/>
        </w:rPr>
        <w:t xml:space="preserve"> </w:t>
      </w:r>
      <w:bookmarkStart w:id="0" w:name="_GoBack"/>
      <w:bookmarkEnd w:id="0"/>
      <w:r w:rsidR="00417CF6" w:rsidRPr="00417CF6">
        <w:rPr>
          <w:rFonts w:asciiTheme="minorHAnsi" w:hAnsiTheme="minorHAnsi" w:cstheme="minorHAnsi"/>
          <w:bCs/>
        </w:rPr>
        <w:t xml:space="preserve">Art. 74 ust. 3 ustawy </w:t>
      </w:r>
      <w:proofErr w:type="spellStart"/>
      <w:r w:rsidR="00417CF6" w:rsidRPr="00417CF6">
        <w:rPr>
          <w:rFonts w:asciiTheme="minorHAnsi" w:hAnsiTheme="minorHAnsi" w:cstheme="minorHAnsi"/>
          <w:bCs/>
        </w:rPr>
        <w:t>ooś</w:t>
      </w:r>
      <w:proofErr w:type="spellEnd"/>
      <w:r w:rsidR="00417CF6" w:rsidRPr="00417CF6">
        <w:rPr>
          <w:rFonts w:asciiTheme="minorHAnsi" w:hAnsiTheme="minorHAnsi" w:cstheme="minorHAnsi"/>
          <w:bCs/>
        </w:rPr>
        <w:t xml:space="preserve"> Jeżeli liczba stron postępowania w sprawie wydania decyzji o środowiskowych uwarunkowaniach lub innego postępowania dotyczącego tej decyzji przekracza 10, stosuje się art. 49 Kodeksu postępowania administracyjnego.</w:t>
      </w:r>
    </w:p>
    <w:p w:rsidR="006C3E9C" w:rsidRPr="00B35A7F" w:rsidRDefault="006C3E9C" w:rsidP="006C3E9C">
      <w:pPr>
        <w:pStyle w:val="Bezodstpw1"/>
        <w:spacing w:after="60"/>
        <w:jc w:val="both"/>
        <w:rPr>
          <w:rFonts w:asciiTheme="minorHAnsi" w:hAnsiTheme="minorHAnsi" w:cstheme="minorHAnsi"/>
          <w:bCs/>
        </w:rPr>
      </w:pPr>
      <w:r w:rsidRPr="006C3E9C">
        <w:rPr>
          <w:rFonts w:asciiTheme="minorHAnsi" w:hAnsiTheme="minorHAnsi" w:cstheme="minorHAnsi"/>
          <w:bCs/>
        </w:rPr>
        <w:t xml:space="preserve">Art. 74 ust. 3 ustawy </w:t>
      </w:r>
      <w:proofErr w:type="spellStart"/>
      <w:r w:rsidRPr="006C3E9C">
        <w:rPr>
          <w:rFonts w:asciiTheme="minorHAnsi" w:hAnsiTheme="minorHAnsi" w:cstheme="minorHAnsi"/>
          <w:bCs/>
        </w:rPr>
        <w:t>ooś</w:t>
      </w:r>
      <w:proofErr w:type="spellEnd"/>
      <w:r w:rsidRPr="006C3E9C">
        <w:rPr>
          <w:rFonts w:asciiTheme="minorHAnsi" w:hAnsiTheme="minorHAnsi" w:cstheme="minorHAnsi"/>
          <w:bCs/>
        </w:rPr>
        <w:t xml:space="preserve"> Jeżeli liczba stron postępowania w sprawie wydania decyzji o środowiskowych uwarunkowaniach lub innego postępowania dotyczącego tej decyzji przekracza 10, stosuje się art. 49 Kodeksu postępowania administracyjnego.</w:t>
      </w:r>
    </w:p>
    <w:sectPr w:rsidR="006C3E9C" w:rsidRPr="00B35A7F" w:rsidSect="00726E38">
      <w:headerReference w:type="default" r:id="rId9"/>
      <w:footerReference w:type="default" r:id="rId10"/>
      <w:headerReference w:type="first" r:id="rId11"/>
      <w:pgSz w:w="11906" w:h="16838"/>
      <w:pgMar w:top="1418" w:right="1418" w:bottom="1418" w:left="1418" w:header="851" w:footer="51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D63EB" w:rsidRDefault="006D63EB">
      <w:pPr>
        <w:spacing w:after="0" w:line="240" w:lineRule="auto"/>
      </w:pPr>
      <w:r>
        <w:separator/>
      </w:r>
    </w:p>
  </w:endnote>
  <w:endnote w:type="continuationSeparator" w:id="0">
    <w:p w:rsidR="006D63EB" w:rsidRDefault="006D63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="Arial" w:hAnsi="Arial" w:cs="Arial"/>
        <w:sz w:val="20"/>
        <w:szCs w:val="20"/>
      </w:rPr>
      <w:id w:val="890312025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:rsidR="002C58EA" w:rsidRPr="00A40900" w:rsidRDefault="00B65C6A">
        <w:pPr>
          <w:pStyle w:val="Stopka"/>
          <w:jc w:val="right"/>
          <w:rPr>
            <w:rFonts w:ascii="Times New Roman" w:hAnsi="Times New Roman"/>
            <w:sz w:val="20"/>
            <w:szCs w:val="20"/>
          </w:rPr>
        </w:pPr>
        <w:r w:rsidRPr="00A40900">
          <w:rPr>
            <w:rFonts w:ascii="Times New Roman" w:hAnsi="Times New Roman"/>
            <w:sz w:val="20"/>
            <w:szCs w:val="20"/>
          </w:rPr>
          <w:fldChar w:fldCharType="begin"/>
        </w:r>
        <w:r w:rsidRPr="00A40900">
          <w:rPr>
            <w:rFonts w:ascii="Times New Roman" w:hAnsi="Times New Roman"/>
            <w:sz w:val="20"/>
            <w:szCs w:val="20"/>
          </w:rPr>
          <w:instrText>PAGE   \* MERGEFORMAT</w:instrText>
        </w:r>
        <w:r w:rsidRPr="00A40900">
          <w:rPr>
            <w:rFonts w:ascii="Times New Roman" w:hAnsi="Times New Roman"/>
            <w:sz w:val="20"/>
            <w:szCs w:val="20"/>
          </w:rPr>
          <w:fldChar w:fldCharType="separate"/>
        </w:r>
        <w:r w:rsidR="006C3E9C">
          <w:rPr>
            <w:rFonts w:ascii="Times New Roman" w:hAnsi="Times New Roman"/>
            <w:noProof/>
            <w:sz w:val="20"/>
            <w:szCs w:val="20"/>
          </w:rPr>
          <w:t>2</w:t>
        </w:r>
        <w:r w:rsidRPr="00A40900">
          <w:rPr>
            <w:rFonts w:ascii="Times New Roman" w:hAnsi="Times New Roman"/>
            <w:sz w:val="20"/>
            <w:szCs w:val="20"/>
          </w:rPr>
          <w:fldChar w:fldCharType="end"/>
        </w:r>
      </w:p>
    </w:sdtContent>
  </w:sdt>
  <w:p w:rsidR="001F489F" w:rsidRDefault="006D63EB" w:rsidP="007A7EBB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D63EB" w:rsidRDefault="006D63EB">
      <w:pPr>
        <w:spacing w:after="0" w:line="240" w:lineRule="auto"/>
      </w:pPr>
      <w:r>
        <w:separator/>
      </w:r>
    </w:p>
  </w:footnote>
  <w:footnote w:type="continuationSeparator" w:id="0">
    <w:p w:rsidR="006D63EB" w:rsidRDefault="006D63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F38F9" w:rsidRDefault="006D63EB" w:rsidP="000F38F9">
    <w:pPr>
      <w:pStyle w:val="Nagwek"/>
      <w:ind w:hanging="113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Ind w:w="-426" w:type="dxa"/>
      <w:tblLook w:val="04A0" w:firstRow="1" w:lastRow="0" w:firstColumn="1" w:lastColumn="0" w:noHBand="0" w:noVBand="1"/>
    </w:tblPr>
    <w:tblGrid>
      <w:gridCol w:w="4641"/>
    </w:tblGrid>
    <w:tr w:rsidR="004F5C94" w:rsidTr="00B92515">
      <w:trPr>
        <w:trHeight w:val="470"/>
      </w:trPr>
      <w:tc>
        <w:tcPr>
          <w:tcW w:w="4641" w:type="dxa"/>
          <w:vAlign w:val="center"/>
        </w:tcPr>
        <w:p w:rsidR="00A3212B" w:rsidRPr="00A65CAB" w:rsidRDefault="006D63EB" w:rsidP="00B35A7F">
          <w:pPr>
            <w:pStyle w:val="Nagwek"/>
            <w:tabs>
              <w:tab w:val="clear" w:pos="4536"/>
              <w:tab w:val="clear" w:pos="9072"/>
              <w:tab w:val="left" w:pos="1698"/>
              <w:tab w:val="left" w:pos="2719"/>
            </w:tabs>
            <w:rPr>
              <w:rFonts w:ascii="Garamond" w:hAnsi="Garamond"/>
              <w:b/>
              <w:smallCaps/>
              <w:sz w:val="40"/>
              <w:szCs w:val="40"/>
            </w:rPr>
          </w:pPr>
        </w:p>
      </w:tc>
    </w:tr>
  </w:tbl>
  <w:p w:rsidR="00A3212B" w:rsidRPr="007704E4" w:rsidRDefault="006D63EB">
    <w:pPr>
      <w:pStyle w:val="Nagwek"/>
      <w:rPr>
        <w:rFonts w:ascii="Times New Roman" w:hAnsi="Times New Roman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attachedTemplate r:id="rId1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5C94"/>
    <w:rsid w:val="0000573A"/>
    <w:rsid w:val="00024B19"/>
    <w:rsid w:val="00095A51"/>
    <w:rsid w:val="000C0C2A"/>
    <w:rsid w:val="00155027"/>
    <w:rsid w:val="00163D70"/>
    <w:rsid w:val="00183492"/>
    <w:rsid w:val="00192994"/>
    <w:rsid w:val="001C06EF"/>
    <w:rsid w:val="001D479F"/>
    <w:rsid w:val="002446E3"/>
    <w:rsid w:val="00252882"/>
    <w:rsid w:val="00293741"/>
    <w:rsid w:val="002B57F6"/>
    <w:rsid w:val="002B775F"/>
    <w:rsid w:val="002C5943"/>
    <w:rsid w:val="002D62A8"/>
    <w:rsid w:val="003A30B2"/>
    <w:rsid w:val="003A4832"/>
    <w:rsid w:val="004167D0"/>
    <w:rsid w:val="00417CF6"/>
    <w:rsid w:val="00444B9D"/>
    <w:rsid w:val="00457259"/>
    <w:rsid w:val="004B5A5B"/>
    <w:rsid w:val="004F5C94"/>
    <w:rsid w:val="005136CB"/>
    <w:rsid w:val="0055430F"/>
    <w:rsid w:val="00571E53"/>
    <w:rsid w:val="005755C8"/>
    <w:rsid w:val="005C69A8"/>
    <w:rsid w:val="00617ABD"/>
    <w:rsid w:val="006568C0"/>
    <w:rsid w:val="006663A9"/>
    <w:rsid w:val="006C3E9C"/>
    <w:rsid w:val="006D63EB"/>
    <w:rsid w:val="007122C2"/>
    <w:rsid w:val="00726E38"/>
    <w:rsid w:val="007704E4"/>
    <w:rsid w:val="007710E5"/>
    <w:rsid w:val="00811970"/>
    <w:rsid w:val="0084152D"/>
    <w:rsid w:val="0085442F"/>
    <w:rsid w:val="0088743C"/>
    <w:rsid w:val="008A5AC5"/>
    <w:rsid w:val="00967047"/>
    <w:rsid w:val="00972452"/>
    <w:rsid w:val="009D26BB"/>
    <w:rsid w:val="009F56F0"/>
    <w:rsid w:val="00A05DC4"/>
    <w:rsid w:val="00A40900"/>
    <w:rsid w:val="00A74685"/>
    <w:rsid w:val="00AD1F4A"/>
    <w:rsid w:val="00AD43A7"/>
    <w:rsid w:val="00AF6870"/>
    <w:rsid w:val="00B05EE2"/>
    <w:rsid w:val="00B35A7F"/>
    <w:rsid w:val="00B51191"/>
    <w:rsid w:val="00B64572"/>
    <w:rsid w:val="00B65C6A"/>
    <w:rsid w:val="00B92515"/>
    <w:rsid w:val="00BF2702"/>
    <w:rsid w:val="00C14628"/>
    <w:rsid w:val="00C60237"/>
    <w:rsid w:val="00C93099"/>
    <w:rsid w:val="00CA0A2B"/>
    <w:rsid w:val="00CF3313"/>
    <w:rsid w:val="00D231CE"/>
    <w:rsid w:val="00D41228"/>
    <w:rsid w:val="00D60B77"/>
    <w:rsid w:val="00D834C7"/>
    <w:rsid w:val="00D875D2"/>
    <w:rsid w:val="00E375CB"/>
    <w:rsid w:val="00E464BA"/>
    <w:rsid w:val="00E55ACB"/>
    <w:rsid w:val="00E607F5"/>
    <w:rsid w:val="00E61949"/>
    <w:rsid w:val="00E72A9E"/>
    <w:rsid w:val="00EC73F7"/>
    <w:rsid w:val="00FA5F47"/>
    <w:rsid w:val="00FE6296"/>
    <w:rsid w:val="00FF12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3E43738D-6E42-4B59-9D85-94F6830D17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010A42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F38F9"/>
  </w:style>
  <w:style w:type="paragraph" w:styleId="Stopka">
    <w:name w:val="footer"/>
    <w:basedOn w:val="Normalny"/>
    <w:link w:val="Stopka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F38F9"/>
  </w:style>
  <w:style w:type="paragraph" w:styleId="Tekstdymka">
    <w:name w:val="Balloon Text"/>
    <w:basedOn w:val="Normalny"/>
    <w:link w:val="TekstdymkaZnak"/>
    <w:uiPriority w:val="99"/>
    <w:semiHidden/>
    <w:unhideWhenUsed/>
    <w:rsid w:val="000F38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0F38F9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unhideWhenUsed/>
    <w:rsid w:val="00B502B2"/>
    <w:rPr>
      <w:color w:val="0000FF"/>
      <w:u w:val="single"/>
    </w:rPr>
  </w:style>
  <w:style w:type="table" w:styleId="Tabela-Siatka">
    <w:name w:val="Table Grid"/>
    <w:basedOn w:val="Standardowy"/>
    <w:uiPriority w:val="59"/>
    <w:rsid w:val="00A3212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menfont">
    <w:name w:val="men font"/>
    <w:basedOn w:val="Normalny"/>
    <w:rsid w:val="00985B8F"/>
    <w:pPr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paragraph" w:customStyle="1" w:styleId="Bezodstpw1">
    <w:name w:val="Bez odstępów1"/>
    <w:uiPriority w:val="99"/>
    <w:rsid w:val="001D479F"/>
    <w:rPr>
      <w:rFonts w:ascii="Times New Roman" w:eastAsia="Times New Roman" w:hAnsi="Times New Roman"/>
      <w:sz w:val="24"/>
      <w:szCs w:val="24"/>
    </w:rPr>
  </w:style>
  <w:style w:type="paragraph" w:styleId="Bezodstpw">
    <w:name w:val="No Spacing"/>
    <w:uiPriority w:val="1"/>
    <w:qFormat/>
    <w:rsid w:val="00B35A7F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688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9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0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17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36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nowak\Desktop\EZD\Szablony\GDOS_GD_Andrzej_Szweda-Lewandowski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82D3A8-7DBD-4D9E-8F0D-312DECBF50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GDOS_GD_Andrzej_Szweda-Lewandowski</Template>
  <TotalTime>5</TotalTime>
  <Pages>2</Pages>
  <Words>496</Words>
  <Characters>2979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EZD</dc:creator>
  <cp:lastModifiedBy>Mariusz Golbiak</cp:lastModifiedBy>
  <cp:revision>3</cp:revision>
  <cp:lastPrinted>2023-06-05T13:14:00Z</cp:lastPrinted>
  <dcterms:created xsi:type="dcterms:W3CDTF">2023-07-10T12:26:00Z</dcterms:created>
  <dcterms:modified xsi:type="dcterms:W3CDTF">2023-07-10T12:31:00Z</dcterms:modified>
</cp:coreProperties>
</file>