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EF" w:rsidRDefault="00601FEF" w:rsidP="00601FEF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.5.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601FEF" w:rsidRPr="009D7742" w:rsidRDefault="00601FEF" w:rsidP="00601FEF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Załącznik nr 6 do SIWZ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9D7742">
        <w:rPr>
          <w:rFonts w:ascii="Tahoma" w:hAnsi="Tahoma" w:cs="Tahoma"/>
          <w:sz w:val="20"/>
          <w:szCs w:val="20"/>
        </w:rPr>
        <w:tab/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(pełna nazwa/firma i adres Wykonawcy)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center"/>
        <w:rPr>
          <w:rFonts w:ascii="Tahoma" w:hAnsi="Tahoma" w:cs="Tahoma"/>
          <w:b/>
          <w:sz w:val="20"/>
          <w:szCs w:val="20"/>
        </w:rPr>
      </w:pPr>
    </w:p>
    <w:p w:rsidR="00601FEF" w:rsidRPr="009D7742" w:rsidRDefault="00601FEF" w:rsidP="00601FEF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601FEF" w:rsidRPr="009D7742" w:rsidRDefault="00601FEF" w:rsidP="00601FEF">
      <w:pPr>
        <w:rPr>
          <w:rFonts w:ascii="Tahoma" w:eastAsia="Lucida Sans Unicode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eastAsia="Lucida Sans Unicode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t.j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Dz. U. z 2018 r. poz. 798)*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Dotyczy postępowania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 xml:space="preserve"> Dostawa materiałów eksploatacyjnych do drukujących urządzeń biurowych</w:t>
      </w:r>
      <w:r>
        <w:rPr>
          <w:rFonts w:ascii="Tahoma" w:hAnsi="Tahoma" w:cs="Tahoma"/>
          <w:b/>
          <w:sz w:val="20"/>
          <w:szCs w:val="20"/>
        </w:rPr>
        <w:t xml:space="preserve"> w okresie 24 miesięcy</w:t>
      </w:r>
      <w:r w:rsidRPr="009D7742" w:rsidDel="00934D79">
        <w:rPr>
          <w:rFonts w:ascii="Tahoma" w:hAnsi="Tahoma" w:cs="Tahoma"/>
          <w:b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” </w:t>
      </w:r>
      <w:r>
        <w:rPr>
          <w:rFonts w:ascii="Tahoma" w:hAnsi="Tahoma" w:cs="Tahoma"/>
          <w:b/>
          <w:sz w:val="20"/>
          <w:szCs w:val="20"/>
        </w:rPr>
        <w:br/>
      </w:r>
      <w:r w:rsidRPr="009D7742">
        <w:rPr>
          <w:rFonts w:ascii="Tahoma" w:hAnsi="Tahoma" w:cs="Tahoma"/>
          <w:b/>
          <w:sz w:val="20"/>
          <w:szCs w:val="20"/>
        </w:rPr>
        <w:t>Nr postępowania: BAG.261</w:t>
      </w:r>
      <w:r>
        <w:rPr>
          <w:rFonts w:ascii="Tahoma" w:hAnsi="Tahoma" w:cs="Tahoma"/>
          <w:b/>
          <w:sz w:val="20"/>
          <w:szCs w:val="20"/>
        </w:rPr>
        <w:t>.5.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</w:p>
    <w:p w:rsidR="00601FEF" w:rsidRPr="009D7742" w:rsidRDefault="00601FEF" w:rsidP="00601FEF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601FEF" w:rsidRPr="009D7742" w:rsidTr="005658CA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601FEF" w:rsidRPr="009D7742" w:rsidTr="005658CA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601FEF" w:rsidRPr="009D7742" w:rsidTr="005658CA">
              <w:tc>
                <w:tcPr>
                  <w:tcW w:w="9067" w:type="dxa"/>
                  <w:shd w:val="clear" w:color="auto" w:fill="auto"/>
                </w:tcPr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9D7742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601FEF" w:rsidRPr="009D7742" w:rsidTr="005658CA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601FEF" w:rsidRPr="00D64723" w:rsidRDefault="00601FEF" w:rsidP="00601FEF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D64723">
        <w:rPr>
          <w:rFonts w:ascii="Tahoma" w:hAnsi="Tahoma" w:cs="Tahoma"/>
          <w:sz w:val="16"/>
          <w:szCs w:val="16"/>
        </w:rPr>
        <w:t>(podpis upoważnionego przedstawiciela Wykonawcy)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</w:t>
      </w:r>
      <w:r>
        <w:rPr>
          <w:rFonts w:ascii="Tahoma" w:eastAsia="Lucida Sans Unicode" w:hAnsi="Tahoma" w:cs="Tahoma"/>
          <w:sz w:val="20"/>
          <w:szCs w:val="20"/>
        </w:rPr>
        <w:br/>
      </w:r>
      <w:r w:rsidRPr="009D7742">
        <w:rPr>
          <w:rFonts w:ascii="Tahoma" w:eastAsia="Lucida Sans Unicode" w:hAnsi="Tahoma" w:cs="Tahoma"/>
          <w:sz w:val="20"/>
          <w:szCs w:val="20"/>
        </w:rPr>
        <w:t>(t. j. Dz. U. z 2018 r. poz. 798 z późn. zm.) przez grupę kapitałową rozumie się wszystkich przedsiębiorców, którzy są kontrolowani w sposób bezpośredni lub pośredni przez jednego przedsiębiorcę, w tym również tego przedsiębiorcę.</w:t>
      </w: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791ECB" w:rsidRDefault="00601FEF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F"/>
    <w:rsid w:val="00244A59"/>
    <w:rsid w:val="003D122E"/>
    <w:rsid w:val="006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2567-3C61-4E8E-9323-45EDCDAC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2020-07-24T10:47:00Z</dcterms:created>
  <dcterms:modified xsi:type="dcterms:W3CDTF">2020-07-24T10:48:00Z</dcterms:modified>
</cp:coreProperties>
</file>