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drawings/drawing1.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730" w:rsidRPr="002C2D40" w:rsidRDefault="00DD0730" w:rsidP="00673E83">
      <w:pPr>
        <w:spacing w:before="120"/>
        <w:ind w:left="5387"/>
        <w:rPr>
          <w:rFonts w:asciiTheme="minorHAnsi" w:hAnsiTheme="minorHAnsi"/>
        </w:rPr>
      </w:pPr>
      <w:r w:rsidRPr="002C2D40">
        <w:rPr>
          <w:rFonts w:asciiTheme="minorHAnsi" w:hAnsiTheme="minorHAnsi"/>
        </w:rPr>
        <w:t xml:space="preserve">Warszawa, dnia </w:t>
      </w:r>
      <w:r w:rsidR="00673E83">
        <w:rPr>
          <w:rFonts w:asciiTheme="minorHAnsi" w:hAnsiTheme="minorHAnsi"/>
        </w:rPr>
        <w:t xml:space="preserve">14 maja </w:t>
      </w:r>
      <w:r w:rsidRPr="002C2D40">
        <w:rPr>
          <w:rFonts w:asciiTheme="minorHAnsi" w:hAnsiTheme="minorHAnsi"/>
        </w:rPr>
        <w:t>20</w:t>
      </w:r>
      <w:r w:rsidR="00DF316E" w:rsidRPr="002C2D40">
        <w:rPr>
          <w:rFonts w:asciiTheme="minorHAnsi" w:hAnsiTheme="minorHAnsi"/>
        </w:rPr>
        <w:t>2</w:t>
      </w:r>
      <w:r w:rsidR="00E66C4A" w:rsidRPr="002C2D40">
        <w:rPr>
          <w:rFonts w:asciiTheme="minorHAnsi" w:hAnsiTheme="minorHAnsi"/>
        </w:rPr>
        <w:t>1</w:t>
      </w:r>
      <w:r w:rsidRPr="002C2D40">
        <w:rPr>
          <w:rFonts w:asciiTheme="minorHAnsi" w:hAnsiTheme="minorHAnsi"/>
        </w:rPr>
        <w:t xml:space="preserve"> r.</w:t>
      </w:r>
    </w:p>
    <w:p w:rsidR="00DD0730" w:rsidRPr="002C2D40" w:rsidRDefault="00DD0730" w:rsidP="002C2D40">
      <w:pPr>
        <w:spacing w:before="120"/>
        <w:ind w:left="-180"/>
        <w:rPr>
          <w:rFonts w:asciiTheme="minorHAnsi" w:hAnsiTheme="minorHAnsi"/>
        </w:rPr>
      </w:pPr>
    </w:p>
    <w:p w:rsidR="00DD0730" w:rsidRPr="002C2D40" w:rsidRDefault="00DD0730" w:rsidP="002C2D40">
      <w:pPr>
        <w:spacing w:before="120"/>
        <w:ind w:left="-180"/>
        <w:rPr>
          <w:rFonts w:asciiTheme="minorHAnsi" w:hAnsiTheme="minorHAnsi"/>
        </w:rPr>
      </w:pPr>
    </w:p>
    <w:p w:rsidR="00DD0730" w:rsidRPr="002C2D40" w:rsidRDefault="00DD0730" w:rsidP="002C2D40">
      <w:pPr>
        <w:spacing w:before="120"/>
        <w:ind w:left="-180"/>
        <w:rPr>
          <w:rFonts w:asciiTheme="minorHAnsi" w:hAnsiTheme="minorHAnsi"/>
        </w:rPr>
      </w:pPr>
    </w:p>
    <w:p w:rsidR="00DD0730" w:rsidRPr="002C2D40" w:rsidRDefault="00DD0730" w:rsidP="002C2D40">
      <w:pPr>
        <w:spacing w:before="120"/>
        <w:ind w:left="-180"/>
        <w:rPr>
          <w:rFonts w:asciiTheme="minorHAnsi" w:hAnsiTheme="minorHAnsi"/>
        </w:rPr>
      </w:pPr>
    </w:p>
    <w:p w:rsidR="00DD0730" w:rsidRPr="002C2D40" w:rsidRDefault="00DD0730" w:rsidP="002C2D40">
      <w:pPr>
        <w:spacing w:before="120"/>
        <w:ind w:left="-180"/>
        <w:rPr>
          <w:rFonts w:asciiTheme="minorHAnsi" w:hAnsiTheme="minorHAnsi"/>
        </w:rPr>
      </w:pPr>
    </w:p>
    <w:p w:rsidR="00DD0730" w:rsidRPr="002C2D40" w:rsidRDefault="00DD0730" w:rsidP="002C2D40">
      <w:pPr>
        <w:spacing w:before="120"/>
        <w:ind w:left="-180"/>
        <w:rPr>
          <w:rFonts w:asciiTheme="minorHAnsi" w:hAnsiTheme="minorHAnsi"/>
        </w:rPr>
      </w:pPr>
    </w:p>
    <w:p w:rsidR="00DD0730" w:rsidRPr="002C2D40" w:rsidRDefault="00DD0730" w:rsidP="002C2D40">
      <w:pPr>
        <w:spacing w:before="120"/>
        <w:ind w:left="-180"/>
        <w:rPr>
          <w:rFonts w:asciiTheme="minorHAnsi" w:hAnsiTheme="minorHAnsi"/>
        </w:rPr>
      </w:pPr>
    </w:p>
    <w:p w:rsidR="00DD0730" w:rsidRPr="002C2D40" w:rsidRDefault="00DD0730" w:rsidP="002C2D40">
      <w:pPr>
        <w:spacing w:before="120"/>
        <w:ind w:left="-426" w:firstLine="852"/>
        <w:rPr>
          <w:rFonts w:asciiTheme="minorHAnsi" w:hAnsiTheme="minorHAnsi"/>
        </w:rPr>
      </w:pPr>
    </w:p>
    <w:p w:rsidR="00DD0730" w:rsidRPr="002C2D40" w:rsidRDefault="00DD0730" w:rsidP="002C2D40">
      <w:pPr>
        <w:spacing w:before="120"/>
        <w:jc w:val="center"/>
        <w:rPr>
          <w:rFonts w:asciiTheme="minorHAnsi" w:hAnsiTheme="minorHAnsi"/>
          <w:b/>
        </w:rPr>
      </w:pPr>
    </w:p>
    <w:p w:rsidR="003200F9" w:rsidRPr="002C2D40" w:rsidRDefault="003200F9" w:rsidP="002C2D40">
      <w:pPr>
        <w:spacing w:before="120"/>
        <w:jc w:val="center"/>
        <w:rPr>
          <w:rFonts w:asciiTheme="minorHAnsi" w:hAnsiTheme="minorHAnsi"/>
          <w:b/>
        </w:rPr>
      </w:pPr>
    </w:p>
    <w:p w:rsidR="003200F9" w:rsidRPr="002C2D40" w:rsidRDefault="003200F9" w:rsidP="002C2D40">
      <w:pPr>
        <w:spacing w:before="120"/>
        <w:jc w:val="center"/>
        <w:rPr>
          <w:rFonts w:asciiTheme="minorHAnsi" w:hAnsiTheme="minorHAnsi"/>
          <w:b/>
        </w:rPr>
      </w:pPr>
    </w:p>
    <w:p w:rsidR="00DD0730" w:rsidRPr="002C2D40" w:rsidRDefault="00DD0730" w:rsidP="002C2D40">
      <w:pPr>
        <w:spacing w:before="120"/>
        <w:jc w:val="center"/>
        <w:rPr>
          <w:rFonts w:asciiTheme="minorHAnsi" w:hAnsiTheme="minorHAnsi"/>
          <w:b/>
        </w:rPr>
      </w:pPr>
    </w:p>
    <w:p w:rsidR="00DD0730" w:rsidRPr="002C2D40" w:rsidRDefault="00DD0730" w:rsidP="002C2D40">
      <w:pPr>
        <w:spacing w:before="120"/>
        <w:jc w:val="center"/>
        <w:rPr>
          <w:rFonts w:asciiTheme="minorHAnsi" w:hAnsiTheme="minorHAnsi"/>
          <w:b/>
        </w:rPr>
      </w:pPr>
    </w:p>
    <w:p w:rsidR="00DD0730" w:rsidRPr="002C2D40" w:rsidRDefault="00DD0730" w:rsidP="002C2D40">
      <w:pPr>
        <w:spacing w:before="120"/>
        <w:jc w:val="center"/>
        <w:rPr>
          <w:rFonts w:asciiTheme="minorHAnsi" w:hAnsiTheme="minorHAnsi"/>
          <w:b/>
        </w:rPr>
      </w:pPr>
    </w:p>
    <w:p w:rsidR="00584F21" w:rsidRPr="002C2D40" w:rsidRDefault="00DD0730" w:rsidP="002C2D40">
      <w:pPr>
        <w:spacing w:before="120"/>
        <w:jc w:val="center"/>
        <w:rPr>
          <w:rFonts w:asciiTheme="minorHAnsi" w:hAnsiTheme="minorHAnsi"/>
          <w:b/>
          <w:sz w:val="48"/>
          <w:szCs w:val="48"/>
        </w:rPr>
      </w:pPr>
      <w:r w:rsidRPr="002C2D40">
        <w:rPr>
          <w:rFonts w:asciiTheme="minorHAnsi" w:hAnsiTheme="minorHAnsi"/>
          <w:b/>
          <w:sz w:val="48"/>
          <w:szCs w:val="48"/>
        </w:rPr>
        <w:t>Raport z wykonywania wyroków</w:t>
      </w:r>
    </w:p>
    <w:p w:rsidR="00DD0730" w:rsidRPr="002C2D40" w:rsidRDefault="00DD0730" w:rsidP="002C2D40">
      <w:pPr>
        <w:spacing w:before="120"/>
        <w:jc w:val="center"/>
        <w:rPr>
          <w:rFonts w:asciiTheme="minorHAnsi" w:hAnsiTheme="minorHAnsi"/>
          <w:b/>
          <w:sz w:val="48"/>
          <w:szCs w:val="48"/>
        </w:rPr>
      </w:pPr>
      <w:r w:rsidRPr="002C2D40">
        <w:rPr>
          <w:rFonts w:asciiTheme="minorHAnsi" w:hAnsiTheme="minorHAnsi"/>
          <w:b/>
          <w:sz w:val="48"/>
          <w:szCs w:val="48"/>
        </w:rPr>
        <w:t>Europejskiego Trybunału Praw Człowieka</w:t>
      </w:r>
    </w:p>
    <w:p w:rsidR="00DD0730" w:rsidRPr="002C2D40" w:rsidRDefault="00E66C4A" w:rsidP="002C2D40">
      <w:pPr>
        <w:spacing w:before="120"/>
        <w:jc w:val="center"/>
        <w:rPr>
          <w:rFonts w:asciiTheme="minorHAnsi" w:hAnsiTheme="minorHAnsi"/>
          <w:b/>
          <w:iCs/>
          <w:caps/>
          <w:sz w:val="48"/>
          <w:szCs w:val="48"/>
        </w:rPr>
      </w:pPr>
      <w:r w:rsidRPr="002C2D40">
        <w:rPr>
          <w:rFonts w:asciiTheme="minorHAnsi" w:hAnsiTheme="minorHAnsi"/>
          <w:b/>
          <w:sz w:val="48"/>
          <w:szCs w:val="48"/>
        </w:rPr>
        <w:t>przez Polskę za 2020</w:t>
      </w:r>
      <w:r w:rsidR="00DD0730" w:rsidRPr="002C2D40">
        <w:rPr>
          <w:rFonts w:asciiTheme="minorHAnsi" w:hAnsiTheme="minorHAnsi"/>
          <w:b/>
          <w:sz w:val="48"/>
          <w:szCs w:val="48"/>
        </w:rPr>
        <w:t xml:space="preserve"> r.</w:t>
      </w:r>
    </w:p>
    <w:p w:rsidR="00DD0730" w:rsidRPr="002C2D40" w:rsidRDefault="00DD0730" w:rsidP="002C2D40">
      <w:pPr>
        <w:spacing w:before="120"/>
        <w:jc w:val="center"/>
        <w:rPr>
          <w:rFonts w:asciiTheme="minorHAnsi" w:hAnsiTheme="minorHAnsi"/>
          <w:b/>
        </w:rPr>
      </w:pPr>
    </w:p>
    <w:p w:rsidR="00DD0730" w:rsidRPr="002C2D40" w:rsidRDefault="00DD0730" w:rsidP="002C2D40">
      <w:pPr>
        <w:spacing w:before="120"/>
        <w:jc w:val="both"/>
        <w:rPr>
          <w:rFonts w:asciiTheme="minorHAnsi" w:hAnsiTheme="minorHAnsi"/>
          <w:b/>
        </w:rPr>
      </w:pPr>
    </w:p>
    <w:p w:rsidR="000F3E2F" w:rsidRPr="002C2D40" w:rsidRDefault="000F3E2F" w:rsidP="002C2D40">
      <w:pPr>
        <w:spacing w:before="120"/>
        <w:rPr>
          <w:rFonts w:asciiTheme="minorHAnsi" w:hAnsiTheme="minorHAnsi"/>
          <w:b/>
        </w:rPr>
      </w:pPr>
    </w:p>
    <w:p w:rsidR="000F3E2F" w:rsidRPr="002C2D40" w:rsidRDefault="000F3E2F" w:rsidP="002C2D40">
      <w:pPr>
        <w:spacing w:before="120"/>
        <w:rPr>
          <w:rFonts w:asciiTheme="minorHAnsi" w:hAnsiTheme="minorHAnsi"/>
          <w:b/>
        </w:rPr>
      </w:pPr>
    </w:p>
    <w:p w:rsidR="000F3E2F" w:rsidRPr="002C2D40" w:rsidRDefault="000F3E2F" w:rsidP="002C2D40">
      <w:pPr>
        <w:spacing w:before="120"/>
        <w:rPr>
          <w:rFonts w:asciiTheme="minorHAnsi" w:hAnsiTheme="minorHAnsi"/>
          <w:b/>
        </w:rPr>
      </w:pPr>
    </w:p>
    <w:p w:rsidR="000F3E2F" w:rsidRPr="002C2D40" w:rsidRDefault="000F3E2F" w:rsidP="002C2D40">
      <w:pPr>
        <w:spacing w:before="120"/>
        <w:rPr>
          <w:rFonts w:asciiTheme="minorHAnsi" w:hAnsiTheme="minorHAnsi"/>
          <w:b/>
        </w:rPr>
      </w:pPr>
    </w:p>
    <w:p w:rsidR="000F3E2F" w:rsidRPr="002C2D40" w:rsidRDefault="000F3E2F" w:rsidP="002C2D40">
      <w:pPr>
        <w:spacing w:before="120"/>
        <w:rPr>
          <w:rFonts w:asciiTheme="minorHAnsi" w:hAnsiTheme="minorHAnsi"/>
          <w:b/>
        </w:rPr>
      </w:pPr>
    </w:p>
    <w:p w:rsidR="000F3E2F" w:rsidRPr="002C2D40" w:rsidRDefault="000F3E2F" w:rsidP="002C2D40">
      <w:pPr>
        <w:spacing w:before="120"/>
        <w:rPr>
          <w:rFonts w:asciiTheme="minorHAnsi" w:hAnsiTheme="minorHAnsi"/>
          <w:b/>
        </w:rPr>
      </w:pPr>
    </w:p>
    <w:p w:rsidR="00DD0730" w:rsidRPr="002C2D40" w:rsidRDefault="00DD0730" w:rsidP="002C2D40">
      <w:pPr>
        <w:spacing w:before="120"/>
        <w:rPr>
          <w:rFonts w:asciiTheme="minorHAnsi" w:hAnsiTheme="minorHAnsi"/>
          <w:b/>
        </w:rPr>
      </w:pPr>
      <w:r w:rsidRPr="002C2D40">
        <w:rPr>
          <w:rFonts w:asciiTheme="minorHAnsi" w:hAnsiTheme="minorHAnsi"/>
          <w:b/>
        </w:rPr>
        <w:br w:type="page"/>
      </w:r>
    </w:p>
    <w:p w:rsidR="00DD0730" w:rsidRPr="002C2D40" w:rsidRDefault="00DD0730" w:rsidP="002C2D40">
      <w:pPr>
        <w:tabs>
          <w:tab w:val="left" w:pos="6237"/>
        </w:tabs>
        <w:spacing w:before="120"/>
        <w:ind w:left="709" w:hanging="709"/>
        <w:rPr>
          <w:rFonts w:asciiTheme="minorHAnsi" w:hAnsiTheme="minorHAnsi"/>
          <w:b/>
        </w:rPr>
      </w:pPr>
      <w:r w:rsidRPr="002C2D40">
        <w:rPr>
          <w:rFonts w:asciiTheme="minorHAnsi" w:hAnsiTheme="minorHAnsi"/>
          <w:b/>
        </w:rPr>
        <w:lastRenderedPageBreak/>
        <w:t>SPIS TREŚCI</w:t>
      </w:r>
    </w:p>
    <w:p w:rsidR="00441DA2" w:rsidRDefault="00DD0730">
      <w:pPr>
        <w:pStyle w:val="Spistreci1"/>
        <w:rPr>
          <w:rFonts w:asciiTheme="minorHAnsi" w:eastAsiaTheme="minorEastAsia" w:hAnsiTheme="minorHAnsi" w:cstheme="minorBidi"/>
          <w:b w:val="0"/>
          <w:sz w:val="22"/>
          <w:szCs w:val="22"/>
        </w:rPr>
      </w:pPr>
      <w:r w:rsidRPr="002C2D40">
        <w:rPr>
          <w:rFonts w:asciiTheme="minorHAnsi" w:hAnsiTheme="minorHAnsi"/>
          <w:sz w:val="24"/>
          <w:szCs w:val="24"/>
        </w:rPr>
        <w:fldChar w:fldCharType="begin"/>
      </w:r>
      <w:r w:rsidRPr="002C2D40">
        <w:rPr>
          <w:rFonts w:asciiTheme="minorHAnsi" w:hAnsiTheme="minorHAnsi"/>
          <w:sz w:val="24"/>
          <w:szCs w:val="24"/>
        </w:rPr>
        <w:instrText xml:space="preserve"> TOC \o "1-1" \h \z \u </w:instrText>
      </w:r>
      <w:r w:rsidRPr="002C2D40">
        <w:rPr>
          <w:rFonts w:asciiTheme="minorHAnsi" w:hAnsiTheme="minorHAnsi"/>
          <w:sz w:val="24"/>
          <w:szCs w:val="24"/>
        </w:rPr>
        <w:fldChar w:fldCharType="separate"/>
      </w:r>
      <w:hyperlink w:anchor="_Toc67656260" w:history="1">
        <w:r w:rsidR="00441DA2" w:rsidRPr="00E6263C">
          <w:rPr>
            <w:rStyle w:val="Hipercze"/>
          </w:rPr>
          <w:t>I.</w:t>
        </w:r>
        <w:r w:rsidR="00441DA2">
          <w:rPr>
            <w:rFonts w:asciiTheme="minorHAnsi" w:eastAsiaTheme="minorEastAsia" w:hAnsiTheme="minorHAnsi" w:cstheme="minorBidi"/>
            <w:b w:val="0"/>
            <w:sz w:val="22"/>
            <w:szCs w:val="22"/>
          </w:rPr>
          <w:tab/>
        </w:r>
        <w:r w:rsidR="00441DA2" w:rsidRPr="00E6263C">
          <w:rPr>
            <w:rStyle w:val="Hipercze"/>
          </w:rPr>
          <w:t>Wstęp i informacje ogólne</w:t>
        </w:r>
        <w:r w:rsidR="00441DA2">
          <w:rPr>
            <w:webHidden/>
          </w:rPr>
          <w:tab/>
        </w:r>
        <w:r w:rsidR="00441DA2">
          <w:rPr>
            <w:webHidden/>
          </w:rPr>
          <w:fldChar w:fldCharType="begin"/>
        </w:r>
        <w:r w:rsidR="00441DA2">
          <w:rPr>
            <w:webHidden/>
          </w:rPr>
          <w:instrText xml:space="preserve"> PAGEREF _Toc67656260 \h </w:instrText>
        </w:r>
        <w:r w:rsidR="00441DA2">
          <w:rPr>
            <w:webHidden/>
          </w:rPr>
        </w:r>
        <w:r w:rsidR="00441DA2">
          <w:rPr>
            <w:webHidden/>
          </w:rPr>
          <w:fldChar w:fldCharType="separate"/>
        </w:r>
        <w:r w:rsidR="00673E83">
          <w:rPr>
            <w:webHidden/>
          </w:rPr>
          <w:t>3</w:t>
        </w:r>
        <w:r w:rsidR="00441DA2">
          <w:rPr>
            <w:webHidden/>
          </w:rPr>
          <w:fldChar w:fldCharType="end"/>
        </w:r>
      </w:hyperlink>
    </w:p>
    <w:p w:rsidR="00441DA2" w:rsidRDefault="00745BC8">
      <w:pPr>
        <w:pStyle w:val="Spistreci1"/>
        <w:rPr>
          <w:rFonts w:asciiTheme="minorHAnsi" w:eastAsiaTheme="minorEastAsia" w:hAnsiTheme="minorHAnsi" w:cstheme="minorBidi"/>
          <w:b w:val="0"/>
          <w:sz w:val="22"/>
          <w:szCs w:val="22"/>
        </w:rPr>
      </w:pPr>
      <w:hyperlink w:anchor="_Toc67656261" w:history="1">
        <w:r w:rsidR="00441DA2" w:rsidRPr="00E6263C">
          <w:rPr>
            <w:rStyle w:val="Hipercze"/>
          </w:rPr>
          <w:t>II.</w:t>
        </w:r>
        <w:r w:rsidR="00441DA2">
          <w:rPr>
            <w:rFonts w:asciiTheme="minorHAnsi" w:eastAsiaTheme="minorEastAsia" w:hAnsiTheme="minorHAnsi" w:cstheme="minorBidi"/>
            <w:b w:val="0"/>
            <w:sz w:val="22"/>
            <w:szCs w:val="22"/>
          </w:rPr>
          <w:tab/>
        </w:r>
        <w:r w:rsidR="00441DA2" w:rsidRPr="00E6263C">
          <w:rPr>
            <w:rStyle w:val="Hipercze"/>
          </w:rPr>
          <w:t>Informacje na temat planów działań i raportów z wykonania wyroków Europejskiego Trybunału Praw Człowieka, przygotowanych i przekazanych do Rady Europy w 2020 r.</w:t>
        </w:r>
        <w:r w:rsidR="00441DA2">
          <w:rPr>
            <w:webHidden/>
          </w:rPr>
          <w:tab/>
        </w:r>
        <w:r w:rsidR="00441DA2">
          <w:rPr>
            <w:webHidden/>
          </w:rPr>
          <w:fldChar w:fldCharType="begin"/>
        </w:r>
        <w:r w:rsidR="00441DA2">
          <w:rPr>
            <w:webHidden/>
          </w:rPr>
          <w:instrText xml:space="preserve"> PAGEREF _Toc67656261 \h </w:instrText>
        </w:r>
        <w:r w:rsidR="00441DA2">
          <w:rPr>
            <w:webHidden/>
          </w:rPr>
        </w:r>
        <w:r w:rsidR="00441DA2">
          <w:rPr>
            <w:webHidden/>
          </w:rPr>
          <w:fldChar w:fldCharType="separate"/>
        </w:r>
        <w:r w:rsidR="00673E83">
          <w:rPr>
            <w:webHidden/>
          </w:rPr>
          <w:t>5</w:t>
        </w:r>
        <w:r w:rsidR="00441DA2">
          <w:rPr>
            <w:webHidden/>
          </w:rPr>
          <w:fldChar w:fldCharType="end"/>
        </w:r>
      </w:hyperlink>
    </w:p>
    <w:p w:rsidR="00441DA2" w:rsidRDefault="00745BC8">
      <w:pPr>
        <w:pStyle w:val="Spistreci1"/>
        <w:rPr>
          <w:rFonts w:asciiTheme="minorHAnsi" w:eastAsiaTheme="minorEastAsia" w:hAnsiTheme="minorHAnsi" w:cstheme="minorBidi"/>
          <w:b w:val="0"/>
          <w:sz w:val="22"/>
          <w:szCs w:val="22"/>
        </w:rPr>
      </w:pPr>
      <w:hyperlink w:anchor="_Toc67656262" w:history="1">
        <w:r w:rsidR="00441DA2" w:rsidRPr="00E6263C">
          <w:rPr>
            <w:rStyle w:val="Hipercze"/>
          </w:rPr>
          <w:t>III.</w:t>
        </w:r>
        <w:r w:rsidR="00441DA2">
          <w:rPr>
            <w:rFonts w:asciiTheme="minorHAnsi" w:eastAsiaTheme="minorEastAsia" w:hAnsiTheme="minorHAnsi" w:cstheme="minorBidi"/>
            <w:b w:val="0"/>
            <w:sz w:val="22"/>
            <w:szCs w:val="22"/>
          </w:rPr>
          <w:tab/>
        </w:r>
        <w:r w:rsidR="00441DA2" w:rsidRPr="00E6263C">
          <w:rPr>
            <w:rStyle w:val="Hipercze"/>
          </w:rPr>
          <w:t>Informacje na temat zakończenia przez Komitet Ministrów nadzoru nad wykonywaniem wybranych wyroków wydanych w sprawach polskich</w:t>
        </w:r>
        <w:r w:rsidR="00441DA2">
          <w:rPr>
            <w:webHidden/>
          </w:rPr>
          <w:tab/>
        </w:r>
        <w:r w:rsidR="00441DA2">
          <w:rPr>
            <w:webHidden/>
          </w:rPr>
          <w:fldChar w:fldCharType="begin"/>
        </w:r>
        <w:r w:rsidR="00441DA2">
          <w:rPr>
            <w:webHidden/>
          </w:rPr>
          <w:instrText xml:space="preserve"> PAGEREF _Toc67656262 \h </w:instrText>
        </w:r>
        <w:r w:rsidR="00441DA2">
          <w:rPr>
            <w:webHidden/>
          </w:rPr>
        </w:r>
        <w:r w:rsidR="00441DA2">
          <w:rPr>
            <w:webHidden/>
          </w:rPr>
          <w:fldChar w:fldCharType="separate"/>
        </w:r>
        <w:r w:rsidR="00673E83">
          <w:rPr>
            <w:webHidden/>
          </w:rPr>
          <w:t>9</w:t>
        </w:r>
        <w:r w:rsidR="00441DA2">
          <w:rPr>
            <w:webHidden/>
          </w:rPr>
          <w:fldChar w:fldCharType="end"/>
        </w:r>
      </w:hyperlink>
    </w:p>
    <w:p w:rsidR="00441DA2" w:rsidRDefault="00745BC8">
      <w:pPr>
        <w:pStyle w:val="Spistreci1"/>
        <w:rPr>
          <w:rFonts w:asciiTheme="minorHAnsi" w:eastAsiaTheme="minorEastAsia" w:hAnsiTheme="minorHAnsi" w:cstheme="minorBidi"/>
          <w:b w:val="0"/>
          <w:sz w:val="22"/>
          <w:szCs w:val="22"/>
        </w:rPr>
      </w:pPr>
      <w:hyperlink w:anchor="_Toc67656263" w:history="1">
        <w:r w:rsidR="00441DA2" w:rsidRPr="00E6263C">
          <w:rPr>
            <w:rStyle w:val="Hipercze"/>
          </w:rPr>
          <w:t>IV.</w:t>
        </w:r>
        <w:r w:rsidR="00441DA2">
          <w:rPr>
            <w:rFonts w:asciiTheme="minorHAnsi" w:eastAsiaTheme="minorEastAsia" w:hAnsiTheme="minorHAnsi" w:cstheme="minorBidi"/>
            <w:b w:val="0"/>
            <w:sz w:val="22"/>
            <w:szCs w:val="22"/>
          </w:rPr>
          <w:tab/>
        </w:r>
        <w:r w:rsidR="00441DA2" w:rsidRPr="00E6263C">
          <w:rPr>
            <w:rStyle w:val="Hipercze"/>
          </w:rPr>
          <w:t>Decyzje Komitetu Ministrów wydane w 2020 r. w sprawie realizacji niektórych wyroków Trybunału w sprawach polskich</w:t>
        </w:r>
        <w:r w:rsidR="00441DA2">
          <w:rPr>
            <w:webHidden/>
          </w:rPr>
          <w:tab/>
        </w:r>
        <w:r w:rsidR="00441DA2">
          <w:rPr>
            <w:webHidden/>
          </w:rPr>
          <w:fldChar w:fldCharType="begin"/>
        </w:r>
        <w:r w:rsidR="00441DA2">
          <w:rPr>
            <w:webHidden/>
          </w:rPr>
          <w:instrText xml:space="preserve"> PAGEREF _Toc67656263 \h </w:instrText>
        </w:r>
        <w:r w:rsidR="00441DA2">
          <w:rPr>
            <w:webHidden/>
          </w:rPr>
        </w:r>
        <w:r w:rsidR="00441DA2">
          <w:rPr>
            <w:webHidden/>
          </w:rPr>
          <w:fldChar w:fldCharType="separate"/>
        </w:r>
        <w:r w:rsidR="00673E83">
          <w:rPr>
            <w:webHidden/>
          </w:rPr>
          <w:t>10</w:t>
        </w:r>
        <w:r w:rsidR="00441DA2">
          <w:rPr>
            <w:webHidden/>
          </w:rPr>
          <w:fldChar w:fldCharType="end"/>
        </w:r>
      </w:hyperlink>
    </w:p>
    <w:p w:rsidR="00441DA2" w:rsidRDefault="00745BC8">
      <w:pPr>
        <w:pStyle w:val="Spistreci1"/>
        <w:rPr>
          <w:rFonts w:asciiTheme="minorHAnsi" w:eastAsiaTheme="minorEastAsia" w:hAnsiTheme="minorHAnsi" w:cstheme="minorBidi"/>
          <w:b w:val="0"/>
          <w:sz w:val="22"/>
          <w:szCs w:val="22"/>
        </w:rPr>
      </w:pPr>
      <w:hyperlink w:anchor="_Toc67656264" w:history="1">
        <w:r w:rsidR="00441DA2" w:rsidRPr="00E6263C">
          <w:rPr>
            <w:rStyle w:val="Hipercze"/>
          </w:rPr>
          <w:t>V.</w:t>
        </w:r>
        <w:r w:rsidR="00441DA2">
          <w:rPr>
            <w:rFonts w:asciiTheme="minorHAnsi" w:eastAsiaTheme="minorEastAsia" w:hAnsiTheme="minorHAnsi" w:cstheme="minorBidi"/>
            <w:b w:val="0"/>
            <w:sz w:val="22"/>
            <w:szCs w:val="22"/>
          </w:rPr>
          <w:tab/>
        </w:r>
        <w:r w:rsidR="00441DA2" w:rsidRPr="00E6263C">
          <w:rPr>
            <w:rStyle w:val="Hipercze"/>
          </w:rPr>
          <w:t>Informacja na temat komunikacji wniesionych do Komitetu Ministrów RE przez uprawnione podmioty oraz udzielonych w związku z tymi komunikacjami odpowiedzi rządu</w:t>
        </w:r>
        <w:r w:rsidR="00441DA2">
          <w:rPr>
            <w:webHidden/>
          </w:rPr>
          <w:tab/>
        </w:r>
        <w:r w:rsidR="00441DA2">
          <w:rPr>
            <w:webHidden/>
          </w:rPr>
          <w:fldChar w:fldCharType="begin"/>
        </w:r>
        <w:r w:rsidR="00441DA2">
          <w:rPr>
            <w:webHidden/>
          </w:rPr>
          <w:instrText xml:space="preserve"> PAGEREF _Toc67656264 \h </w:instrText>
        </w:r>
        <w:r w:rsidR="00441DA2">
          <w:rPr>
            <w:webHidden/>
          </w:rPr>
        </w:r>
        <w:r w:rsidR="00441DA2">
          <w:rPr>
            <w:webHidden/>
          </w:rPr>
          <w:fldChar w:fldCharType="separate"/>
        </w:r>
        <w:r w:rsidR="00673E83">
          <w:rPr>
            <w:webHidden/>
          </w:rPr>
          <w:t>18</w:t>
        </w:r>
        <w:r w:rsidR="00441DA2">
          <w:rPr>
            <w:webHidden/>
          </w:rPr>
          <w:fldChar w:fldCharType="end"/>
        </w:r>
      </w:hyperlink>
    </w:p>
    <w:p w:rsidR="00441DA2" w:rsidRDefault="00745BC8">
      <w:pPr>
        <w:pStyle w:val="Spistreci1"/>
        <w:rPr>
          <w:rFonts w:asciiTheme="minorHAnsi" w:eastAsiaTheme="minorEastAsia" w:hAnsiTheme="minorHAnsi" w:cstheme="minorBidi"/>
          <w:b w:val="0"/>
          <w:sz w:val="22"/>
          <w:szCs w:val="22"/>
        </w:rPr>
      </w:pPr>
      <w:hyperlink w:anchor="_Toc67656265" w:history="1">
        <w:r w:rsidR="00441DA2" w:rsidRPr="00E6263C">
          <w:rPr>
            <w:rStyle w:val="Hipercze"/>
          </w:rPr>
          <w:t>VI.</w:t>
        </w:r>
        <w:r w:rsidR="00441DA2">
          <w:rPr>
            <w:rFonts w:asciiTheme="minorHAnsi" w:eastAsiaTheme="minorEastAsia" w:hAnsiTheme="minorHAnsi" w:cstheme="minorBidi"/>
            <w:b w:val="0"/>
            <w:sz w:val="22"/>
            <w:szCs w:val="22"/>
          </w:rPr>
          <w:tab/>
        </w:r>
        <w:r w:rsidR="00441DA2" w:rsidRPr="00E6263C">
          <w:rPr>
            <w:rStyle w:val="Hipercze"/>
          </w:rPr>
          <w:t>Działalność międzyresortowego Zespołu do spraw Europejskiego Trybunału Praw Człowieka w 2020 r.</w:t>
        </w:r>
        <w:r w:rsidR="00441DA2">
          <w:rPr>
            <w:webHidden/>
          </w:rPr>
          <w:tab/>
        </w:r>
        <w:r w:rsidR="00441DA2">
          <w:rPr>
            <w:webHidden/>
          </w:rPr>
          <w:fldChar w:fldCharType="begin"/>
        </w:r>
        <w:r w:rsidR="00441DA2">
          <w:rPr>
            <w:webHidden/>
          </w:rPr>
          <w:instrText xml:space="preserve"> PAGEREF _Toc67656265 \h </w:instrText>
        </w:r>
        <w:r w:rsidR="00441DA2">
          <w:rPr>
            <w:webHidden/>
          </w:rPr>
        </w:r>
        <w:r w:rsidR="00441DA2">
          <w:rPr>
            <w:webHidden/>
          </w:rPr>
          <w:fldChar w:fldCharType="separate"/>
        </w:r>
        <w:r w:rsidR="00673E83">
          <w:rPr>
            <w:webHidden/>
          </w:rPr>
          <w:t>20</w:t>
        </w:r>
        <w:r w:rsidR="00441DA2">
          <w:rPr>
            <w:webHidden/>
          </w:rPr>
          <w:fldChar w:fldCharType="end"/>
        </w:r>
      </w:hyperlink>
    </w:p>
    <w:p w:rsidR="00441DA2" w:rsidRDefault="00745BC8">
      <w:pPr>
        <w:pStyle w:val="Spistreci1"/>
        <w:rPr>
          <w:rFonts w:asciiTheme="minorHAnsi" w:eastAsiaTheme="minorEastAsia" w:hAnsiTheme="minorHAnsi" w:cstheme="minorBidi"/>
          <w:b w:val="0"/>
          <w:sz w:val="22"/>
          <w:szCs w:val="22"/>
        </w:rPr>
      </w:pPr>
      <w:hyperlink w:anchor="_Toc67656266" w:history="1">
        <w:r w:rsidR="00441DA2" w:rsidRPr="00E6263C">
          <w:rPr>
            <w:rStyle w:val="Hipercze"/>
          </w:rPr>
          <w:t>VII.</w:t>
        </w:r>
        <w:r w:rsidR="00441DA2">
          <w:rPr>
            <w:rFonts w:asciiTheme="minorHAnsi" w:eastAsiaTheme="minorEastAsia" w:hAnsiTheme="minorHAnsi" w:cstheme="minorBidi"/>
            <w:b w:val="0"/>
            <w:sz w:val="22"/>
            <w:szCs w:val="22"/>
          </w:rPr>
          <w:tab/>
        </w:r>
        <w:r w:rsidR="00441DA2" w:rsidRPr="00511F36">
          <w:rPr>
            <w:rStyle w:val="Hipercze"/>
            <w:b w:val="0"/>
          </w:rPr>
          <w:t>Informacja</w:t>
        </w:r>
        <w:r w:rsidR="00441DA2" w:rsidRPr="00E6263C">
          <w:rPr>
            <w:rStyle w:val="Hipercze"/>
          </w:rPr>
          <w:t xml:space="preserve"> na temat posiedzenia Komisji Praw Człowieka, Praworządności i Petycji Senatu RP</w:t>
        </w:r>
        <w:r w:rsidR="00441DA2">
          <w:rPr>
            <w:webHidden/>
          </w:rPr>
          <w:tab/>
        </w:r>
        <w:r w:rsidR="00441DA2">
          <w:rPr>
            <w:webHidden/>
          </w:rPr>
          <w:fldChar w:fldCharType="begin"/>
        </w:r>
        <w:r w:rsidR="00441DA2">
          <w:rPr>
            <w:webHidden/>
          </w:rPr>
          <w:instrText xml:space="preserve"> PAGEREF _Toc67656266 \h </w:instrText>
        </w:r>
        <w:r w:rsidR="00441DA2">
          <w:rPr>
            <w:webHidden/>
          </w:rPr>
        </w:r>
        <w:r w:rsidR="00441DA2">
          <w:rPr>
            <w:webHidden/>
          </w:rPr>
          <w:fldChar w:fldCharType="separate"/>
        </w:r>
        <w:r w:rsidR="00673E83">
          <w:rPr>
            <w:webHidden/>
          </w:rPr>
          <w:t>21</w:t>
        </w:r>
        <w:r w:rsidR="00441DA2">
          <w:rPr>
            <w:webHidden/>
          </w:rPr>
          <w:fldChar w:fldCharType="end"/>
        </w:r>
      </w:hyperlink>
    </w:p>
    <w:p w:rsidR="00441DA2" w:rsidRDefault="00745BC8">
      <w:pPr>
        <w:pStyle w:val="Spistreci1"/>
        <w:rPr>
          <w:rFonts w:asciiTheme="minorHAnsi" w:eastAsiaTheme="minorEastAsia" w:hAnsiTheme="minorHAnsi" w:cstheme="minorBidi"/>
          <w:b w:val="0"/>
          <w:sz w:val="22"/>
          <w:szCs w:val="22"/>
        </w:rPr>
      </w:pPr>
      <w:hyperlink w:anchor="_Toc67656267" w:history="1">
        <w:r w:rsidR="00441DA2" w:rsidRPr="00E6263C">
          <w:rPr>
            <w:rStyle w:val="Hipercze"/>
          </w:rPr>
          <w:t>VIII.</w:t>
        </w:r>
        <w:r w:rsidR="00441DA2">
          <w:rPr>
            <w:rFonts w:asciiTheme="minorHAnsi" w:eastAsiaTheme="minorEastAsia" w:hAnsiTheme="minorHAnsi" w:cstheme="minorBidi"/>
            <w:b w:val="0"/>
            <w:sz w:val="22"/>
            <w:szCs w:val="22"/>
          </w:rPr>
          <w:tab/>
        </w:r>
        <w:r w:rsidR="00441DA2" w:rsidRPr="00E6263C">
          <w:rPr>
            <w:rStyle w:val="Hipercze"/>
          </w:rPr>
          <w:t>Informacja na temat działań Pełnomocnika mających na celu usprawnienie wykonywania wyroków Trybunału przez Polskę i przestrzeganie Konwencji</w:t>
        </w:r>
        <w:r w:rsidR="00441DA2">
          <w:rPr>
            <w:webHidden/>
          </w:rPr>
          <w:tab/>
        </w:r>
        <w:r w:rsidR="00441DA2">
          <w:rPr>
            <w:webHidden/>
          </w:rPr>
          <w:fldChar w:fldCharType="begin"/>
        </w:r>
        <w:r w:rsidR="00441DA2">
          <w:rPr>
            <w:webHidden/>
          </w:rPr>
          <w:instrText xml:space="preserve"> PAGEREF _Toc67656267 \h </w:instrText>
        </w:r>
        <w:r w:rsidR="00441DA2">
          <w:rPr>
            <w:webHidden/>
          </w:rPr>
        </w:r>
        <w:r w:rsidR="00441DA2">
          <w:rPr>
            <w:webHidden/>
          </w:rPr>
          <w:fldChar w:fldCharType="separate"/>
        </w:r>
        <w:r w:rsidR="00673E83">
          <w:rPr>
            <w:webHidden/>
          </w:rPr>
          <w:t>22</w:t>
        </w:r>
        <w:r w:rsidR="00441DA2">
          <w:rPr>
            <w:webHidden/>
          </w:rPr>
          <w:fldChar w:fldCharType="end"/>
        </w:r>
      </w:hyperlink>
    </w:p>
    <w:p w:rsidR="00441DA2" w:rsidRDefault="00745BC8">
      <w:pPr>
        <w:pStyle w:val="Spistreci1"/>
        <w:rPr>
          <w:rFonts w:asciiTheme="minorHAnsi" w:eastAsiaTheme="minorEastAsia" w:hAnsiTheme="minorHAnsi" w:cstheme="minorBidi"/>
          <w:b w:val="0"/>
          <w:sz w:val="22"/>
          <w:szCs w:val="22"/>
        </w:rPr>
      </w:pPr>
      <w:hyperlink w:anchor="_Toc67656268" w:history="1">
        <w:r w:rsidR="00441DA2" w:rsidRPr="00E6263C">
          <w:rPr>
            <w:rStyle w:val="Hipercze"/>
          </w:rPr>
          <w:t>IX.</w:t>
        </w:r>
        <w:r w:rsidR="00441DA2">
          <w:rPr>
            <w:rFonts w:asciiTheme="minorHAnsi" w:eastAsiaTheme="minorEastAsia" w:hAnsiTheme="minorHAnsi" w:cstheme="minorBidi"/>
            <w:b w:val="0"/>
            <w:sz w:val="22"/>
            <w:szCs w:val="22"/>
          </w:rPr>
          <w:tab/>
        </w:r>
        <w:r w:rsidR="00441DA2" w:rsidRPr="00E6263C">
          <w:rPr>
            <w:rStyle w:val="Hipercze"/>
          </w:rPr>
          <w:t>Sprawy dotyczące wyborów i wyznaczenia osób na stanowiska w Europejskim Trybunale Praw Człowieka i w Radzie Europy</w:t>
        </w:r>
        <w:r w:rsidR="00441DA2">
          <w:rPr>
            <w:webHidden/>
          </w:rPr>
          <w:tab/>
        </w:r>
        <w:r w:rsidR="00441DA2">
          <w:rPr>
            <w:webHidden/>
          </w:rPr>
          <w:fldChar w:fldCharType="begin"/>
        </w:r>
        <w:r w:rsidR="00441DA2">
          <w:rPr>
            <w:webHidden/>
          </w:rPr>
          <w:instrText xml:space="preserve"> PAGEREF _Toc67656268 \h </w:instrText>
        </w:r>
        <w:r w:rsidR="00441DA2">
          <w:rPr>
            <w:webHidden/>
          </w:rPr>
        </w:r>
        <w:r w:rsidR="00441DA2">
          <w:rPr>
            <w:webHidden/>
          </w:rPr>
          <w:fldChar w:fldCharType="separate"/>
        </w:r>
        <w:r w:rsidR="00673E83">
          <w:rPr>
            <w:webHidden/>
          </w:rPr>
          <w:t>24</w:t>
        </w:r>
        <w:r w:rsidR="00441DA2">
          <w:rPr>
            <w:webHidden/>
          </w:rPr>
          <w:fldChar w:fldCharType="end"/>
        </w:r>
      </w:hyperlink>
    </w:p>
    <w:p w:rsidR="00441DA2" w:rsidRDefault="00745BC8">
      <w:pPr>
        <w:pStyle w:val="Spistreci1"/>
        <w:rPr>
          <w:rFonts w:asciiTheme="minorHAnsi" w:eastAsiaTheme="minorEastAsia" w:hAnsiTheme="minorHAnsi" w:cstheme="minorBidi"/>
          <w:b w:val="0"/>
          <w:sz w:val="22"/>
          <w:szCs w:val="22"/>
        </w:rPr>
      </w:pPr>
      <w:hyperlink w:anchor="_Toc67656269" w:history="1">
        <w:r w:rsidR="00441DA2" w:rsidRPr="00E6263C">
          <w:rPr>
            <w:rStyle w:val="Hipercze"/>
          </w:rPr>
          <w:t>X.</w:t>
        </w:r>
        <w:r w:rsidR="00441DA2">
          <w:rPr>
            <w:rFonts w:asciiTheme="minorHAnsi" w:eastAsiaTheme="minorEastAsia" w:hAnsiTheme="minorHAnsi" w:cstheme="minorBidi"/>
            <w:b w:val="0"/>
            <w:sz w:val="22"/>
            <w:szCs w:val="22"/>
          </w:rPr>
          <w:tab/>
        </w:r>
        <w:r w:rsidR="00441DA2" w:rsidRPr="00E6263C">
          <w:rPr>
            <w:rStyle w:val="Hipercze"/>
          </w:rPr>
          <w:t>Organizacja Seminarium Warszawskiego</w:t>
        </w:r>
        <w:r w:rsidR="00441DA2">
          <w:rPr>
            <w:webHidden/>
          </w:rPr>
          <w:tab/>
        </w:r>
        <w:r w:rsidR="00441DA2">
          <w:rPr>
            <w:webHidden/>
          </w:rPr>
          <w:fldChar w:fldCharType="begin"/>
        </w:r>
        <w:r w:rsidR="00441DA2">
          <w:rPr>
            <w:webHidden/>
          </w:rPr>
          <w:instrText xml:space="preserve"> PAGEREF _Toc67656269 \h </w:instrText>
        </w:r>
        <w:r w:rsidR="00441DA2">
          <w:rPr>
            <w:webHidden/>
          </w:rPr>
        </w:r>
        <w:r w:rsidR="00441DA2">
          <w:rPr>
            <w:webHidden/>
          </w:rPr>
          <w:fldChar w:fldCharType="separate"/>
        </w:r>
        <w:r w:rsidR="00673E83">
          <w:rPr>
            <w:webHidden/>
          </w:rPr>
          <w:t>29</w:t>
        </w:r>
        <w:r w:rsidR="00441DA2">
          <w:rPr>
            <w:webHidden/>
          </w:rPr>
          <w:fldChar w:fldCharType="end"/>
        </w:r>
      </w:hyperlink>
    </w:p>
    <w:p w:rsidR="00441DA2" w:rsidRDefault="00745BC8">
      <w:pPr>
        <w:pStyle w:val="Spistreci1"/>
        <w:rPr>
          <w:rFonts w:asciiTheme="minorHAnsi" w:eastAsiaTheme="minorEastAsia" w:hAnsiTheme="minorHAnsi" w:cstheme="minorBidi"/>
          <w:b w:val="0"/>
          <w:sz w:val="22"/>
          <w:szCs w:val="22"/>
        </w:rPr>
      </w:pPr>
      <w:hyperlink w:anchor="_Toc67656270" w:history="1">
        <w:r w:rsidR="00441DA2" w:rsidRPr="00E6263C">
          <w:rPr>
            <w:rStyle w:val="Hipercze"/>
          </w:rPr>
          <w:t>XI.</w:t>
        </w:r>
        <w:r w:rsidR="00441DA2">
          <w:rPr>
            <w:rFonts w:asciiTheme="minorHAnsi" w:eastAsiaTheme="minorEastAsia" w:hAnsiTheme="minorHAnsi" w:cstheme="minorBidi"/>
            <w:b w:val="0"/>
            <w:sz w:val="22"/>
            <w:szCs w:val="22"/>
          </w:rPr>
          <w:tab/>
        </w:r>
        <w:r w:rsidR="00441DA2" w:rsidRPr="00E6263C">
          <w:rPr>
            <w:rStyle w:val="Hipercze"/>
          </w:rPr>
          <w:t>Działalność Pełnomocnika w odniesieniu do procesu reformy Trybunału i systemu Konwencji oraz w pracach komitetów i grup roboczych Rady Europy z zakresu praw człowieka</w:t>
        </w:r>
        <w:r w:rsidR="00441DA2">
          <w:rPr>
            <w:webHidden/>
          </w:rPr>
          <w:tab/>
        </w:r>
        <w:r w:rsidR="00441DA2">
          <w:rPr>
            <w:webHidden/>
          </w:rPr>
          <w:fldChar w:fldCharType="begin"/>
        </w:r>
        <w:r w:rsidR="00441DA2">
          <w:rPr>
            <w:webHidden/>
          </w:rPr>
          <w:instrText xml:space="preserve"> PAGEREF _Toc67656270 \h </w:instrText>
        </w:r>
        <w:r w:rsidR="00441DA2">
          <w:rPr>
            <w:webHidden/>
          </w:rPr>
        </w:r>
        <w:r w:rsidR="00441DA2">
          <w:rPr>
            <w:webHidden/>
          </w:rPr>
          <w:fldChar w:fldCharType="separate"/>
        </w:r>
        <w:r w:rsidR="00673E83">
          <w:rPr>
            <w:webHidden/>
          </w:rPr>
          <w:t>29</w:t>
        </w:r>
        <w:r w:rsidR="00441DA2">
          <w:rPr>
            <w:webHidden/>
          </w:rPr>
          <w:fldChar w:fldCharType="end"/>
        </w:r>
      </w:hyperlink>
    </w:p>
    <w:p w:rsidR="00441DA2" w:rsidRDefault="00745BC8">
      <w:pPr>
        <w:pStyle w:val="Spistreci1"/>
        <w:rPr>
          <w:rFonts w:asciiTheme="minorHAnsi" w:eastAsiaTheme="minorEastAsia" w:hAnsiTheme="minorHAnsi" w:cstheme="minorBidi"/>
          <w:b w:val="0"/>
          <w:sz w:val="22"/>
          <w:szCs w:val="22"/>
        </w:rPr>
      </w:pPr>
      <w:hyperlink w:anchor="_Toc67656271" w:history="1">
        <w:r w:rsidR="00441DA2" w:rsidRPr="00E6263C">
          <w:rPr>
            <w:rStyle w:val="Hipercze"/>
          </w:rPr>
          <w:t>XII.</w:t>
        </w:r>
        <w:r w:rsidR="00441DA2">
          <w:rPr>
            <w:rFonts w:asciiTheme="minorHAnsi" w:eastAsiaTheme="minorEastAsia" w:hAnsiTheme="minorHAnsi" w:cstheme="minorBidi"/>
            <w:b w:val="0"/>
            <w:sz w:val="22"/>
            <w:szCs w:val="22"/>
          </w:rPr>
          <w:tab/>
        </w:r>
        <w:r w:rsidR="00441DA2" w:rsidRPr="00E6263C">
          <w:rPr>
            <w:rStyle w:val="Hipercze"/>
          </w:rPr>
          <w:t>Działania Pełnomocnika MSZ w związku z pandemią SARS-CoV-2</w:t>
        </w:r>
        <w:r w:rsidR="00441DA2">
          <w:rPr>
            <w:webHidden/>
          </w:rPr>
          <w:tab/>
        </w:r>
        <w:r w:rsidR="00441DA2">
          <w:rPr>
            <w:webHidden/>
          </w:rPr>
          <w:fldChar w:fldCharType="begin"/>
        </w:r>
        <w:r w:rsidR="00441DA2">
          <w:rPr>
            <w:webHidden/>
          </w:rPr>
          <w:instrText xml:space="preserve"> PAGEREF _Toc67656271 \h </w:instrText>
        </w:r>
        <w:r w:rsidR="00441DA2">
          <w:rPr>
            <w:webHidden/>
          </w:rPr>
        </w:r>
        <w:r w:rsidR="00441DA2">
          <w:rPr>
            <w:webHidden/>
          </w:rPr>
          <w:fldChar w:fldCharType="separate"/>
        </w:r>
        <w:r w:rsidR="00673E83">
          <w:rPr>
            <w:webHidden/>
          </w:rPr>
          <w:t>32</w:t>
        </w:r>
        <w:r w:rsidR="00441DA2">
          <w:rPr>
            <w:webHidden/>
          </w:rPr>
          <w:fldChar w:fldCharType="end"/>
        </w:r>
      </w:hyperlink>
    </w:p>
    <w:p w:rsidR="00441DA2" w:rsidRDefault="00745BC8">
      <w:pPr>
        <w:pStyle w:val="Spistreci1"/>
        <w:rPr>
          <w:rFonts w:asciiTheme="minorHAnsi" w:eastAsiaTheme="minorEastAsia" w:hAnsiTheme="minorHAnsi" w:cstheme="minorBidi"/>
          <w:b w:val="0"/>
          <w:sz w:val="22"/>
          <w:szCs w:val="22"/>
        </w:rPr>
      </w:pPr>
      <w:hyperlink w:anchor="_Toc67656272" w:history="1">
        <w:r w:rsidR="00441DA2" w:rsidRPr="00E6263C">
          <w:rPr>
            <w:rStyle w:val="Hipercze"/>
          </w:rPr>
          <w:t>XIII.</w:t>
        </w:r>
        <w:r w:rsidR="00441DA2">
          <w:rPr>
            <w:rFonts w:asciiTheme="minorHAnsi" w:eastAsiaTheme="minorEastAsia" w:hAnsiTheme="minorHAnsi" w:cstheme="minorBidi"/>
            <w:b w:val="0"/>
            <w:sz w:val="22"/>
            <w:szCs w:val="22"/>
          </w:rPr>
          <w:tab/>
        </w:r>
        <w:r w:rsidR="00441DA2" w:rsidRPr="00E6263C">
          <w:rPr>
            <w:rStyle w:val="Hipercze"/>
          </w:rPr>
          <w:t>Informacje statystyczne</w:t>
        </w:r>
        <w:r w:rsidR="00441DA2">
          <w:rPr>
            <w:webHidden/>
          </w:rPr>
          <w:tab/>
        </w:r>
        <w:r w:rsidR="00441DA2">
          <w:rPr>
            <w:webHidden/>
          </w:rPr>
          <w:fldChar w:fldCharType="begin"/>
        </w:r>
        <w:r w:rsidR="00441DA2">
          <w:rPr>
            <w:webHidden/>
          </w:rPr>
          <w:instrText xml:space="preserve"> PAGEREF _Toc67656272 \h </w:instrText>
        </w:r>
        <w:r w:rsidR="00441DA2">
          <w:rPr>
            <w:webHidden/>
          </w:rPr>
        </w:r>
        <w:r w:rsidR="00441DA2">
          <w:rPr>
            <w:webHidden/>
          </w:rPr>
          <w:fldChar w:fldCharType="separate"/>
        </w:r>
        <w:r w:rsidR="00673E83">
          <w:rPr>
            <w:webHidden/>
          </w:rPr>
          <w:t>32</w:t>
        </w:r>
        <w:r w:rsidR="00441DA2">
          <w:rPr>
            <w:webHidden/>
          </w:rPr>
          <w:fldChar w:fldCharType="end"/>
        </w:r>
      </w:hyperlink>
    </w:p>
    <w:p w:rsidR="00441DA2" w:rsidRDefault="00745BC8">
      <w:pPr>
        <w:pStyle w:val="Spistreci1"/>
        <w:rPr>
          <w:rFonts w:asciiTheme="minorHAnsi" w:eastAsiaTheme="minorEastAsia" w:hAnsiTheme="minorHAnsi" w:cstheme="minorBidi"/>
          <w:b w:val="0"/>
          <w:sz w:val="22"/>
          <w:szCs w:val="22"/>
        </w:rPr>
      </w:pPr>
      <w:hyperlink w:anchor="_Toc67656273" w:history="1">
        <w:r w:rsidR="00441DA2" w:rsidRPr="00E6263C">
          <w:rPr>
            <w:rStyle w:val="Hipercze"/>
          </w:rPr>
          <w:t>XIV.</w:t>
        </w:r>
        <w:r w:rsidR="00441DA2">
          <w:rPr>
            <w:rFonts w:asciiTheme="minorHAnsi" w:eastAsiaTheme="minorEastAsia" w:hAnsiTheme="minorHAnsi" w:cstheme="minorBidi"/>
            <w:b w:val="0"/>
            <w:sz w:val="22"/>
            <w:szCs w:val="22"/>
          </w:rPr>
          <w:tab/>
        </w:r>
        <w:r w:rsidR="00441DA2" w:rsidRPr="00E6263C">
          <w:rPr>
            <w:rStyle w:val="Hipercze"/>
          </w:rPr>
          <w:t>Podsumowanie</w:t>
        </w:r>
        <w:r w:rsidR="00441DA2">
          <w:rPr>
            <w:webHidden/>
          </w:rPr>
          <w:tab/>
        </w:r>
        <w:r w:rsidR="00441DA2">
          <w:rPr>
            <w:webHidden/>
          </w:rPr>
          <w:fldChar w:fldCharType="begin"/>
        </w:r>
        <w:r w:rsidR="00441DA2">
          <w:rPr>
            <w:webHidden/>
          </w:rPr>
          <w:instrText xml:space="preserve"> PAGEREF _Toc67656273 \h </w:instrText>
        </w:r>
        <w:r w:rsidR="00441DA2">
          <w:rPr>
            <w:webHidden/>
          </w:rPr>
        </w:r>
        <w:r w:rsidR="00441DA2">
          <w:rPr>
            <w:webHidden/>
          </w:rPr>
          <w:fldChar w:fldCharType="separate"/>
        </w:r>
        <w:r w:rsidR="00673E83">
          <w:rPr>
            <w:webHidden/>
          </w:rPr>
          <w:t>46</w:t>
        </w:r>
        <w:r w:rsidR="00441DA2">
          <w:rPr>
            <w:webHidden/>
          </w:rPr>
          <w:fldChar w:fldCharType="end"/>
        </w:r>
      </w:hyperlink>
    </w:p>
    <w:p w:rsidR="00441DA2" w:rsidRDefault="00745BC8">
      <w:pPr>
        <w:pStyle w:val="Spistreci1"/>
        <w:rPr>
          <w:rFonts w:asciiTheme="minorHAnsi" w:eastAsiaTheme="minorEastAsia" w:hAnsiTheme="minorHAnsi" w:cstheme="minorBidi"/>
          <w:b w:val="0"/>
          <w:sz w:val="22"/>
          <w:szCs w:val="22"/>
        </w:rPr>
      </w:pPr>
      <w:hyperlink w:anchor="_Toc67656274" w:history="1">
        <w:r w:rsidR="00441DA2" w:rsidRPr="00E6263C">
          <w:rPr>
            <w:rStyle w:val="Hipercze"/>
          </w:rPr>
          <w:t>WYKAZ SKRÓTÓW</w:t>
        </w:r>
        <w:r w:rsidR="00441DA2">
          <w:rPr>
            <w:webHidden/>
          </w:rPr>
          <w:tab/>
        </w:r>
        <w:r w:rsidR="00441DA2">
          <w:rPr>
            <w:webHidden/>
          </w:rPr>
          <w:fldChar w:fldCharType="begin"/>
        </w:r>
        <w:r w:rsidR="00441DA2">
          <w:rPr>
            <w:webHidden/>
          </w:rPr>
          <w:instrText xml:space="preserve"> PAGEREF _Toc67656274 \h </w:instrText>
        </w:r>
        <w:r w:rsidR="00441DA2">
          <w:rPr>
            <w:webHidden/>
          </w:rPr>
        </w:r>
        <w:r w:rsidR="00441DA2">
          <w:rPr>
            <w:webHidden/>
          </w:rPr>
          <w:fldChar w:fldCharType="separate"/>
        </w:r>
        <w:r w:rsidR="00673E83">
          <w:rPr>
            <w:webHidden/>
          </w:rPr>
          <w:t>48</w:t>
        </w:r>
        <w:r w:rsidR="00441DA2">
          <w:rPr>
            <w:webHidden/>
          </w:rPr>
          <w:fldChar w:fldCharType="end"/>
        </w:r>
      </w:hyperlink>
    </w:p>
    <w:p w:rsidR="00441DA2" w:rsidRDefault="00745BC8">
      <w:pPr>
        <w:pStyle w:val="Spistreci1"/>
        <w:rPr>
          <w:rFonts w:asciiTheme="minorHAnsi" w:eastAsiaTheme="minorEastAsia" w:hAnsiTheme="minorHAnsi" w:cstheme="minorBidi"/>
          <w:b w:val="0"/>
          <w:sz w:val="22"/>
          <w:szCs w:val="22"/>
        </w:rPr>
      </w:pPr>
      <w:hyperlink w:anchor="_Toc67656275" w:history="1">
        <w:r w:rsidR="00441DA2" w:rsidRPr="00E6263C">
          <w:rPr>
            <w:rStyle w:val="Hipercze"/>
          </w:rPr>
          <w:t>WYKAZ ZAŁĄCZNIKÓW</w:t>
        </w:r>
        <w:r w:rsidR="00441DA2">
          <w:rPr>
            <w:webHidden/>
          </w:rPr>
          <w:tab/>
        </w:r>
        <w:r w:rsidR="00441DA2">
          <w:rPr>
            <w:webHidden/>
          </w:rPr>
          <w:fldChar w:fldCharType="begin"/>
        </w:r>
        <w:r w:rsidR="00441DA2">
          <w:rPr>
            <w:webHidden/>
          </w:rPr>
          <w:instrText xml:space="preserve"> PAGEREF _Toc67656275 \h </w:instrText>
        </w:r>
        <w:r w:rsidR="00441DA2">
          <w:rPr>
            <w:webHidden/>
          </w:rPr>
        </w:r>
        <w:r w:rsidR="00441DA2">
          <w:rPr>
            <w:webHidden/>
          </w:rPr>
          <w:fldChar w:fldCharType="separate"/>
        </w:r>
        <w:r w:rsidR="00673E83">
          <w:rPr>
            <w:webHidden/>
          </w:rPr>
          <w:t>48</w:t>
        </w:r>
        <w:r w:rsidR="00441DA2">
          <w:rPr>
            <w:webHidden/>
          </w:rPr>
          <w:fldChar w:fldCharType="end"/>
        </w:r>
      </w:hyperlink>
    </w:p>
    <w:p w:rsidR="00DD0730" w:rsidRPr="002C2D40" w:rsidRDefault="00DD0730" w:rsidP="002C2D40">
      <w:pPr>
        <w:spacing w:before="120"/>
        <w:ind w:left="709"/>
        <w:jc w:val="both"/>
        <w:rPr>
          <w:rFonts w:asciiTheme="minorHAnsi" w:hAnsiTheme="minorHAnsi"/>
          <w:b/>
        </w:rPr>
      </w:pPr>
      <w:r w:rsidRPr="002C2D40">
        <w:rPr>
          <w:rFonts w:asciiTheme="minorHAnsi" w:hAnsiTheme="minorHAnsi"/>
          <w:b/>
        </w:rPr>
        <w:fldChar w:fldCharType="end"/>
      </w:r>
    </w:p>
    <w:p w:rsidR="00DD0730" w:rsidRPr="002C2D40" w:rsidRDefault="00DD0730" w:rsidP="002C2D40">
      <w:pPr>
        <w:spacing w:before="120"/>
        <w:rPr>
          <w:rFonts w:asciiTheme="minorHAnsi" w:hAnsiTheme="minorHAnsi"/>
          <w:b/>
        </w:rPr>
      </w:pPr>
      <w:r w:rsidRPr="002C2D40">
        <w:rPr>
          <w:rFonts w:asciiTheme="minorHAnsi" w:hAnsiTheme="minorHAnsi"/>
          <w:b/>
        </w:rPr>
        <w:br w:type="page"/>
      </w:r>
    </w:p>
    <w:p w:rsidR="00DD0730" w:rsidRPr="002C2D40" w:rsidRDefault="00DD0730" w:rsidP="002C2D40">
      <w:pPr>
        <w:pStyle w:val="Nagwek1"/>
        <w:spacing w:before="120"/>
        <w:rPr>
          <w:rFonts w:asciiTheme="minorHAnsi" w:hAnsiTheme="minorHAnsi"/>
        </w:rPr>
      </w:pPr>
      <w:bookmarkStart w:id="0" w:name="_Toc67656260"/>
      <w:r w:rsidRPr="002C2D40">
        <w:rPr>
          <w:rFonts w:asciiTheme="minorHAnsi" w:hAnsiTheme="minorHAnsi"/>
        </w:rPr>
        <w:lastRenderedPageBreak/>
        <w:t>Wstęp i informacje ogólne</w:t>
      </w:r>
      <w:bookmarkEnd w:id="0"/>
    </w:p>
    <w:p w:rsidR="00DD0730" w:rsidRPr="002C2D40" w:rsidRDefault="00DD0730" w:rsidP="003566DD">
      <w:pPr>
        <w:pStyle w:val="Akapitzlist"/>
        <w:spacing w:before="120" w:after="0" w:line="240" w:lineRule="auto"/>
        <w:ind w:left="0"/>
        <w:jc w:val="both"/>
        <w:rPr>
          <w:rFonts w:asciiTheme="minorHAnsi" w:hAnsiTheme="minorHAnsi"/>
          <w:sz w:val="24"/>
          <w:szCs w:val="24"/>
          <w:lang w:val="pl-PL"/>
        </w:rPr>
      </w:pPr>
      <w:r w:rsidRPr="002C2D40">
        <w:rPr>
          <w:rFonts w:asciiTheme="minorHAnsi" w:hAnsiTheme="minorHAnsi"/>
          <w:sz w:val="24"/>
          <w:szCs w:val="24"/>
        </w:rPr>
        <w:t xml:space="preserve">Niniejszy Raport został sporządzony przez Pełnomocnika Ministra Spraw Zagranicznych do spraw </w:t>
      </w:r>
      <w:r w:rsidR="00015C33">
        <w:rPr>
          <w:rFonts w:asciiTheme="minorHAnsi" w:hAnsiTheme="minorHAnsi"/>
          <w:sz w:val="24"/>
          <w:szCs w:val="24"/>
          <w:lang w:val="pl-PL"/>
        </w:rPr>
        <w:t>p</w:t>
      </w:r>
      <w:r w:rsidRPr="002C2D40">
        <w:rPr>
          <w:rFonts w:asciiTheme="minorHAnsi" w:hAnsiTheme="minorHAnsi"/>
          <w:sz w:val="24"/>
          <w:szCs w:val="24"/>
        </w:rPr>
        <w:t>ostępowań przed Europejskim Trybunałem Praw Człowieka (dalej</w:t>
      </w:r>
      <w:r w:rsidR="000D57B1" w:rsidRPr="002C2D40">
        <w:rPr>
          <w:rFonts w:asciiTheme="minorHAnsi" w:hAnsiTheme="minorHAnsi"/>
          <w:sz w:val="24"/>
          <w:szCs w:val="24"/>
          <w:lang w:val="pl-PL"/>
        </w:rPr>
        <w:t>:</w:t>
      </w:r>
      <w:r w:rsidRPr="002C2D40">
        <w:rPr>
          <w:rFonts w:asciiTheme="minorHAnsi" w:hAnsiTheme="minorHAnsi"/>
          <w:sz w:val="24"/>
          <w:szCs w:val="24"/>
        </w:rPr>
        <w:t xml:space="preserve"> </w:t>
      </w:r>
      <w:r w:rsidR="00015C33">
        <w:rPr>
          <w:rFonts w:asciiTheme="minorHAnsi" w:hAnsiTheme="minorHAnsi"/>
          <w:sz w:val="24"/>
          <w:szCs w:val="24"/>
          <w:lang w:val="pl-PL"/>
        </w:rPr>
        <w:t>„</w:t>
      </w:r>
      <w:r w:rsidRPr="002C2D40">
        <w:rPr>
          <w:rFonts w:asciiTheme="minorHAnsi" w:hAnsiTheme="minorHAnsi"/>
          <w:sz w:val="24"/>
          <w:szCs w:val="24"/>
        </w:rPr>
        <w:t>Pełnomocnik</w:t>
      </w:r>
      <w:r w:rsidR="00015C33">
        <w:rPr>
          <w:rFonts w:asciiTheme="minorHAnsi" w:hAnsiTheme="minorHAnsi"/>
          <w:sz w:val="24"/>
          <w:szCs w:val="24"/>
          <w:lang w:val="pl-PL"/>
        </w:rPr>
        <w:t>”</w:t>
      </w:r>
      <w:r w:rsidRPr="002C2D40">
        <w:rPr>
          <w:rFonts w:asciiTheme="minorHAnsi" w:hAnsiTheme="minorHAnsi"/>
          <w:sz w:val="24"/>
          <w:szCs w:val="24"/>
        </w:rPr>
        <w:t xml:space="preserve">) na podstawie § 2 ust. 1 pkt 4 </w:t>
      </w:r>
      <w:r w:rsidRPr="002C2D40">
        <w:rPr>
          <w:rFonts w:asciiTheme="minorHAnsi" w:hAnsiTheme="minorHAnsi"/>
          <w:i/>
          <w:sz w:val="24"/>
          <w:szCs w:val="24"/>
        </w:rPr>
        <w:t xml:space="preserve">Zarządzenia </w:t>
      </w:r>
      <w:r w:rsidRPr="002C2D40">
        <w:rPr>
          <w:rFonts w:asciiTheme="minorHAnsi" w:hAnsiTheme="minorHAnsi"/>
          <w:i/>
          <w:sz w:val="24"/>
          <w:szCs w:val="24"/>
          <w:lang w:val="pl-PL"/>
        </w:rPr>
        <w:t xml:space="preserve">nr 73 </w:t>
      </w:r>
      <w:r w:rsidRPr="002C2D40">
        <w:rPr>
          <w:rFonts w:asciiTheme="minorHAnsi" w:hAnsiTheme="minorHAnsi"/>
          <w:i/>
          <w:sz w:val="24"/>
          <w:szCs w:val="24"/>
        </w:rPr>
        <w:t>Prezesa Rady Ministrów z dnia 19 lipca 2007 r.</w:t>
      </w:r>
      <w:r w:rsidRPr="002C2D40">
        <w:rPr>
          <w:rFonts w:asciiTheme="minorHAnsi" w:hAnsiTheme="minorHAnsi"/>
          <w:sz w:val="24"/>
          <w:szCs w:val="24"/>
        </w:rPr>
        <w:t xml:space="preserve"> </w:t>
      </w:r>
      <w:r w:rsidRPr="002C2D40">
        <w:rPr>
          <w:rFonts w:asciiTheme="minorHAnsi" w:hAnsiTheme="minorHAnsi"/>
          <w:i/>
          <w:sz w:val="24"/>
          <w:szCs w:val="24"/>
        </w:rPr>
        <w:t>w sprawie utworzenia Zespołu do spraw Europejskiego Trybunału Praw Człowieka</w:t>
      </w:r>
      <w:r w:rsidRPr="002C2D40">
        <w:rPr>
          <w:rFonts w:asciiTheme="minorHAnsi" w:hAnsiTheme="minorHAnsi"/>
          <w:sz w:val="24"/>
          <w:szCs w:val="24"/>
        </w:rPr>
        <w:t xml:space="preserve"> zmienione</w:t>
      </w:r>
      <w:r w:rsidRPr="002C2D40">
        <w:rPr>
          <w:rFonts w:asciiTheme="minorHAnsi" w:hAnsiTheme="minorHAnsi"/>
          <w:sz w:val="24"/>
          <w:szCs w:val="24"/>
          <w:lang w:val="pl-PL"/>
        </w:rPr>
        <w:t>go</w:t>
      </w:r>
      <w:r w:rsidRPr="002C2D40">
        <w:rPr>
          <w:rFonts w:asciiTheme="minorHAnsi" w:hAnsiTheme="minorHAnsi"/>
          <w:sz w:val="24"/>
          <w:szCs w:val="24"/>
        </w:rPr>
        <w:t xml:space="preserve"> </w:t>
      </w:r>
      <w:r w:rsidRPr="002C2D40">
        <w:rPr>
          <w:rFonts w:asciiTheme="minorHAnsi" w:hAnsiTheme="minorHAnsi"/>
          <w:i/>
          <w:sz w:val="24"/>
          <w:szCs w:val="24"/>
        </w:rPr>
        <w:t xml:space="preserve">Zarządzeniem </w:t>
      </w:r>
      <w:r w:rsidRPr="002C2D40">
        <w:rPr>
          <w:rFonts w:asciiTheme="minorHAnsi" w:hAnsiTheme="minorHAnsi"/>
          <w:i/>
          <w:sz w:val="24"/>
          <w:szCs w:val="24"/>
          <w:lang w:val="pl-PL"/>
        </w:rPr>
        <w:t xml:space="preserve">nr 3 </w:t>
      </w:r>
      <w:r w:rsidRPr="002C2D40">
        <w:rPr>
          <w:rFonts w:asciiTheme="minorHAnsi" w:hAnsiTheme="minorHAnsi"/>
          <w:i/>
          <w:sz w:val="24"/>
          <w:szCs w:val="24"/>
        </w:rPr>
        <w:t>Prezesa Rady Ministrów z dnia 8 stycznia 2008 r.</w:t>
      </w:r>
      <w:r w:rsidRPr="002C2D40">
        <w:rPr>
          <w:rFonts w:asciiTheme="minorHAnsi" w:hAnsiTheme="minorHAnsi"/>
          <w:sz w:val="24"/>
          <w:szCs w:val="24"/>
          <w:lang w:val="pl-PL"/>
        </w:rPr>
        <w:t>,</w:t>
      </w:r>
      <w:r w:rsidRPr="002C2D40">
        <w:rPr>
          <w:rFonts w:asciiTheme="minorHAnsi" w:hAnsiTheme="minorHAnsi"/>
          <w:sz w:val="24"/>
          <w:szCs w:val="24"/>
        </w:rPr>
        <w:t xml:space="preserve"> </w:t>
      </w:r>
      <w:r w:rsidRPr="002C2D40">
        <w:rPr>
          <w:rFonts w:asciiTheme="minorHAnsi" w:hAnsiTheme="minorHAnsi"/>
          <w:i/>
          <w:sz w:val="24"/>
          <w:szCs w:val="24"/>
        </w:rPr>
        <w:t>Zarządzeniem nr 20 Prezesa Rady M</w:t>
      </w:r>
      <w:r w:rsidR="000D57B1" w:rsidRPr="002C2D40">
        <w:rPr>
          <w:rFonts w:asciiTheme="minorHAnsi" w:hAnsiTheme="minorHAnsi"/>
          <w:i/>
          <w:sz w:val="24"/>
          <w:szCs w:val="24"/>
        </w:rPr>
        <w:t>inistrów z dnia 8 marca 2013 r.</w:t>
      </w:r>
      <w:r w:rsidR="000D57B1" w:rsidRPr="002C2D40">
        <w:rPr>
          <w:rFonts w:asciiTheme="minorHAnsi" w:hAnsiTheme="minorHAnsi"/>
          <w:sz w:val="24"/>
          <w:szCs w:val="24"/>
          <w:lang w:val="pl-PL"/>
        </w:rPr>
        <w:t>,</w:t>
      </w:r>
      <w:r w:rsidRPr="002C2D40">
        <w:rPr>
          <w:rFonts w:asciiTheme="minorHAnsi" w:hAnsiTheme="minorHAnsi"/>
          <w:i/>
          <w:sz w:val="24"/>
          <w:szCs w:val="24"/>
        </w:rPr>
        <w:t xml:space="preserve"> </w:t>
      </w:r>
      <w:r w:rsidR="000D57B1" w:rsidRPr="002C2D40">
        <w:rPr>
          <w:rFonts w:asciiTheme="minorHAnsi" w:hAnsiTheme="minorHAnsi"/>
          <w:i/>
          <w:sz w:val="24"/>
          <w:szCs w:val="24"/>
          <w:lang w:val="pl-PL"/>
        </w:rPr>
        <w:t>Za</w:t>
      </w:r>
      <w:r w:rsidR="000D57B1" w:rsidRPr="002C2D40">
        <w:rPr>
          <w:rFonts w:asciiTheme="minorHAnsi" w:hAnsiTheme="minorHAnsi"/>
          <w:i/>
          <w:sz w:val="24"/>
          <w:szCs w:val="24"/>
        </w:rPr>
        <w:t>rządzeniem</w:t>
      </w:r>
      <w:r w:rsidRPr="002C2D40">
        <w:rPr>
          <w:rFonts w:asciiTheme="minorHAnsi" w:hAnsiTheme="minorHAnsi"/>
          <w:i/>
          <w:sz w:val="24"/>
          <w:szCs w:val="24"/>
        </w:rPr>
        <w:t xml:space="preserve"> nr 6 Prezesa Rady Ministrów z dnia 23 stycznia 2015 r.</w:t>
      </w:r>
      <w:r w:rsidR="000D57B1" w:rsidRPr="002C2D40">
        <w:rPr>
          <w:rFonts w:asciiTheme="minorHAnsi" w:hAnsiTheme="minorHAnsi"/>
          <w:sz w:val="24"/>
          <w:szCs w:val="24"/>
          <w:lang w:val="pl-PL"/>
        </w:rPr>
        <w:t xml:space="preserve"> oraz </w:t>
      </w:r>
      <w:r w:rsidR="000D57B1" w:rsidRPr="002C2D40">
        <w:rPr>
          <w:rFonts w:asciiTheme="minorHAnsi" w:hAnsiTheme="minorHAnsi"/>
          <w:i/>
          <w:sz w:val="24"/>
          <w:szCs w:val="24"/>
          <w:lang w:val="pl-PL"/>
        </w:rPr>
        <w:t xml:space="preserve">Zarządzeniem </w:t>
      </w:r>
      <w:r w:rsidR="000D57B1" w:rsidRPr="002C2D40">
        <w:rPr>
          <w:rFonts w:asciiTheme="minorHAnsi" w:hAnsiTheme="minorHAnsi"/>
          <w:i/>
          <w:sz w:val="24"/>
          <w:szCs w:val="24"/>
        </w:rPr>
        <w:t xml:space="preserve">nr 152 Prezesa Rady Ministrów z dnia 20 września 2019 r. </w:t>
      </w:r>
      <w:r w:rsidRPr="002C2D40">
        <w:rPr>
          <w:rFonts w:asciiTheme="minorHAnsi" w:hAnsiTheme="minorHAnsi"/>
          <w:sz w:val="24"/>
          <w:szCs w:val="24"/>
        </w:rPr>
        <w:t>(dalej</w:t>
      </w:r>
      <w:r w:rsidR="000D57B1" w:rsidRPr="002C2D40">
        <w:rPr>
          <w:rFonts w:asciiTheme="minorHAnsi" w:hAnsiTheme="minorHAnsi"/>
          <w:sz w:val="24"/>
          <w:szCs w:val="24"/>
          <w:lang w:val="pl-PL"/>
        </w:rPr>
        <w:t>:</w:t>
      </w:r>
      <w:r w:rsidRPr="002C2D40">
        <w:rPr>
          <w:rFonts w:asciiTheme="minorHAnsi" w:hAnsiTheme="minorHAnsi"/>
          <w:sz w:val="24"/>
          <w:szCs w:val="24"/>
        </w:rPr>
        <w:t xml:space="preserve"> </w:t>
      </w:r>
      <w:r w:rsidR="00015C33">
        <w:rPr>
          <w:rFonts w:asciiTheme="minorHAnsi" w:hAnsiTheme="minorHAnsi"/>
          <w:sz w:val="24"/>
          <w:szCs w:val="24"/>
          <w:lang w:val="pl-PL"/>
        </w:rPr>
        <w:t>„</w:t>
      </w:r>
      <w:r w:rsidRPr="002C2D40">
        <w:rPr>
          <w:rFonts w:asciiTheme="minorHAnsi" w:hAnsiTheme="minorHAnsi"/>
          <w:sz w:val="24"/>
          <w:szCs w:val="24"/>
          <w:lang w:val="pl-PL"/>
        </w:rPr>
        <w:t>Zarządzenie</w:t>
      </w:r>
      <w:r w:rsidR="00015C33">
        <w:rPr>
          <w:rFonts w:asciiTheme="minorHAnsi" w:hAnsiTheme="minorHAnsi"/>
          <w:sz w:val="24"/>
          <w:szCs w:val="24"/>
          <w:lang w:val="pl-PL"/>
        </w:rPr>
        <w:t>”</w:t>
      </w:r>
      <w:r w:rsidRPr="002C2D40">
        <w:rPr>
          <w:rFonts w:asciiTheme="minorHAnsi" w:hAnsiTheme="minorHAnsi"/>
          <w:sz w:val="24"/>
          <w:szCs w:val="24"/>
        </w:rPr>
        <w:t>)</w:t>
      </w:r>
      <w:r w:rsidR="000D57B1" w:rsidRPr="002C2D40">
        <w:rPr>
          <w:rFonts w:asciiTheme="minorHAnsi" w:hAnsiTheme="minorHAnsi"/>
          <w:sz w:val="24"/>
          <w:szCs w:val="24"/>
          <w:lang w:val="pl-PL"/>
        </w:rPr>
        <w:t>,</w:t>
      </w:r>
      <w:r w:rsidRPr="002C2D40">
        <w:rPr>
          <w:rFonts w:asciiTheme="minorHAnsi" w:hAnsiTheme="minorHAnsi"/>
          <w:sz w:val="24"/>
          <w:szCs w:val="24"/>
          <w:lang w:val="pl-PL"/>
        </w:rPr>
        <w:t xml:space="preserve"> w oparciu o materiały przedłożone przez poszczególne resorty i inne podmioty odpowiedzialne za wykonanie konkretnych orzeczeń Europejskiego Trybunału Praw Człowieka (dalej</w:t>
      </w:r>
      <w:r w:rsidR="000D57B1" w:rsidRPr="002C2D40">
        <w:rPr>
          <w:rFonts w:asciiTheme="minorHAnsi" w:hAnsiTheme="minorHAnsi"/>
          <w:sz w:val="24"/>
          <w:szCs w:val="24"/>
          <w:lang w:val="pl-PL"/>
        </w:rPr>
        <w:t>:</w:t>
      </w:r>
      <w:r w:rsidRPr="002C2D40">
        <w:rPr>
          <w:rFonts w:asciiTheme="minorHAnsi" w:hAnsiTheme="minorHAnsi"/>
          <w:sz w:val="24"/>
          <w:szCs w:val="24"/>
          <w:lang w:val="pl-PL"/>
        </w:rPr>
        <w:t xml:space="preserve"> </w:t>
      </w:r>
      <w:r w:rsidR="00015C33">
        <w:rPr>
          <w:rFonts w:asciiTheme="minorHAnsi" w:hAnsiTheme="minorHAnsi"/>
          <w:sz w:val="24"/>
          <w:szCs w:val="24"/>
          <w:lang w:val="pl-PL"/>
        </w:rPr>
        <w:t>„</w:t>
      </w:r>
      <w:r w:rsidRPr="002C2D40">
        <w:rPr>
          <w:rFonts w:asciiTheme="minorHAnsi" w:hAnsiTheme="minorHAnsi"/>
          <w:sz w:val="24"/>
          <w:szCs w:val="24"/>
          <w:lang w:val="pl-PL"/>
        </w:rPr>
        <w:t>ETPC</w:t>
      </w:r>
      <w:r w:rsidR="00015C33">
        <w:rPr>
          <w:rFonts w:asciiTheme="minorHAnsi" w:hAnsiTheme="minorHAnsi"/>
          <w:sz w:val="24"/>
          <w:szCs w:val="24"/>
          <w:lang w:val="pl-PL"/>
        </w:rPr>
        <w:t>”</w:t>
      </w:r>
      <w:r w:rsidRPr="002C2D40">
        <w:rPr>
          <w:rFonts w:asciiTheme="minorHAnsi" w:hAnsiTheme="minorHAnsi"/>
          <w:sz w:val="24"/>
          <w:szCs w:val="24"/>
          <w:lang w:val="pl-PL"/>
        </w:rPr>
        <w:t xml:space="preserve"> lub </w:t>
      </w:r>
      <w:r w:rsidR="00015C33">
        <w:rPr>
          <w:rFonts w:asciiTheme="minorHAnsi" w:hAnsiTheme="minorHAnsi"/>
          <w:sz w:val="24"/>
          <w:szCs w:val="24"/>
          <w:lang w:val="pl-PL"/>
        </w:rPr>
        <w:t>„</w:t>
      </w:r>
      <w:r w:rsidRPr="002C2D40">
        <w:rPr>
          <w:rFonts w:asciiTheme="minorHAnsi" w:hAnsiTheme="minorHAnsi"/>
          <w:sz w:val="24"/>
          <w:szCs w:val="24"/>
          <w:lang w:val="pl-PL"/>
        </w:rPr>
        <w:t>Trybunał</w:t>
      </w:r>
      <w:r w:rsidR="00015C33">
        <w:rPr>
          <w:rFonts w:asciiTheme="minorHAnsi" w:hAnsiTheme="minorHAnsi"/>
          <w:sz w:val="24"/>
          <w:szCs w:val="24"/>
          <w:lang w:val="pl-PL"/>
        </w:rPr>
        <w:t>”</w:t>
      </w:r>
      <w:r w:rsidRPr="002C2D40">
        <w:rPr>
          <w:rFonts w:asciiTheme="minorHAnsi" w:hAnsiTheme="minorHAnsi"/>
          <w:sz w:val="24"/>
          <w:szCs w:val="24"/>
          <w:lang w:val="pl-PL"/>
        </w:rPr>
        <w:t>)</w:t>
      </w:r>
      <w:r w:rsidRPr="002C2D40">
        <w:rPr>
          <w:rFonts w:asciiTheme="minorHAnsi" w:hAnsiTheme="minorHAnsi"/>
          <w:sz w:val="24"/>
          <w:szCs w:val="24"/>
        </w:rPr>
        <w:t xml:space="preserve">. </w:t>
      </w:r>
      <w:r w:rsidRPr="002C2D40">
        <w:rPr>
          <w:rFonts w:asciiTheme="minorHAnsi" w:hAnsiTheme="minorHAnsi"/>
          <w:sz w:val="24"/>
          <w:szCs w:val="24"/>
          <w:lang w:val="pl-PL"/>
        </w:rPr>
        <w:t>Zawarte w Raporcie informacje i dane zostały przedstawione według stanu na dzień 31 grudnia 20</w:t>
      </w:r>
      <w:r w:rsidR="00D737F1" w:rsidRPr="002C2D40">
        <w:rPr>
          <w:rFonts w:asciiTheme="minorHAnsi" w:hAnsiTheme="minorHAnsi"/>
          <w:sz w:val="24"/>
          <w:szCs w:val="24"/>
          <w:lang w:val="pl-PL"/>
        </w:rPr>
        <w:t>20</w:t>
      </w:r>
      <w:r w:rsidRPr="002C2D40">
        <w:rPr>
          <w:rFonts w:asciiTheme="minorHAnsi" w:hAnsiTheme="minorHAnsi"/>
          <w:sz w:val="24"/>
          <w:szCs w:val="24"/>
          <w:lang w:val="pl-PL"/>
        </w:rPr>
        <w:t xml:space="preserve"> r.</w:t>
      </w:r>
    </w:p>
    <w:p w:rsidR="006C6E4B" w:rsidRPr="002C2D40" w:rsidRDefault="000A23D6" w:rsidP="003566DD">
      <w:pPr>
        <w:pStyle w:val="Akapitzlist"/>
        <w:spacing w:before="120" w:after="0" w:line="240" w:lineRule="auto"/>
        <w:ind w:left="0"/>
        <w:jc w:val="both"/>
        <w:rPr>
          <w:rFonts w:asciiTheme="minorHAnsi" w:hAnsiTheme="minorHAnsi"/>
          <w:sz w:val="24"/>
          <w:szCs w:val="24"/>
          <w:lang w:val="pl-PL"/>
        </w:rPr>
      </w:pPr>
      <w:r w:rsidRPr="002C2D40">
        <w:rPr>
          <w:rFonts w:asciiTheme="minorHAnsi" w:hAnsiTheme="minorHAnsi"/>
          <w:sz w:val="24"/>
          <w:szCs w:val="24"/>
          <w:lang w:val="pl-PL"/>
        </w:rPr>
        <w:t xml:space="preserve">Jest to już </w:t>
      </w:r>
      <w:r w:rsidR="00D737F1" w:rsidRPr="002C2D40">
        <w:rPr>
          <w:rFonts w:asciiTheme="minorHAnsi" w:hAnsiTheme="minorHAnsi"/>
          <w:sz w:val="24"/>
          <w:szCs w:val="24"/>
          <w:lang w:val="pl-PL"/>
        </w:rPr>
        <w:t>dziewiąty</w:t>
      </w:r>
      <w:r w:rsidRPr="002C2D40">
        <w:rPr>
          <w:rFonts w:asciiTheme="minorHAnsi" w:hAnsiTheme="minorHAnsi"/>
          <w:sz w:val="24"/>
          <w:szCs w:val="24"/>
          <w:lang w:val="pl-PL"/>
        </w:rPr>
        <w:t xml:space="preserve"> Raport roczny przedstawiany przez Pełnomocnika. Prezentuje on</w:t>
      </w:r>
      <w:r w:rsidR="00720282" w:rsidRPr="002C2D40">
        <w:rPr>
          <w:rFonts w:asciiTheme="minorHAnsi" w:hAnsiTheme="minorHAnsi"/>
          <w:sz w:val="24"/>
          <w:szCs w:val="24"/>
          <w:lang w:val="pl-PL"/>
        </w:rPr>
        <w:t xml:space="preserve"> działalność Pełnomocnika w okresie sprawozdawczym, zarówno w zakresie wykonywania orzeczeń Europejskiego Trybunału Praw Człowieka w sprawach polskich, jak i w przedmiocie upowszechniania standardów wynikających z Konwencji o ochronie praw człowieka i podstawowych wolności (dalej</w:t>
      </w:r>
      <w:r w:rsidR="000D57B1" w:rsidRPr="002C2D40">
        <w:rPr>
          <w:rFonts w:asciiTheme="minorHAnsi" w:hAnsiTheme="minorHAnsi"/>
          <w:sz w:val="24"/>
          <w:szCs w:val="24"/>
          <w:lang w:val="pl-PL"/>
        </w:rPr>
        <w:t>:</w:t>
      </w:r>
      <w:r w:rsidR="00720282" w:rsidRPr="002C2D40">
        <w:rPr>
          <w:rFonts w:asciiTheme="minorHAnsi" w:hAnsiTheme="minorHAnsi"/>
          <w:sz w:val="24"/>
          <w:szCs w:val="24"/>
          <w:lang w:val="pl-PL"/>
        </w:rPr>
        <w:t xml:space="preserve"> </w:t>
      </w:r>
      <w:r w:rsidR="00E47953">
        <w:rPr>
          <w:rFonts w:asciiTheme="minorHAnsi" w:hAnsiTheme="minorHAnsi"/>
          <w:sz w:val="24"/>
          <w:szCs w:val="24"/>
          <w:lang w:val="pl-PL"/>
        </w:rPr>
        <w:t>„</w:t>
      </w:r>
      <w:r w:rsidR="00720282" w:rsidRPr="002C2D40">
        <w:rPr>
          <w:rFonts w:asciiTheme="minorHAnsi" w:hAnsiTheme="minorHAnsi"/>
          <w:sz w:val="24"/>
          <w:szCs w:val="24"/>
          <w:lang w:val="pl-PL"/>
        </w:rPr>
        <w:t>Konwencja</w:t>
      </w:r>
      <w:r w:rsidR="00E47953">
        <w:rPr>
          <w:rFonts w:asciiTheme="minorHAnsi" w:hAnsiTheme="minorHAnsi"/>
          <w:sz w:val="24"/>
          <w:szCs w:val="24"/>
          <w:lang w:val="pl-PL"/>
        </w:rPr>
        <w:t>”</w:t>
      </w:r>
      <w:r w:rsidR="00720282" w:rsidRPr="002C2D40">
        <w:rPr>
          <w:rFonts w:asciiTheme="minorHAnsi" w:hAnsiTheme="minorHAnsi"/>
          <w:sz w:val="24"/>
          <w:szCs w:val="24"/>
          <w:lang w:val="pl-PL"/>
        </w:rPr>
        <w:t xml:space="preserve"> lub </w:t>
      </w:r>
      <w:r w:rsidR="00E47953">
        <w:rPr>
          <w:rFonts w:asciiTheme="minorHAnsi" w:hAnsiTheme="minorHAnsi"/>
          <w:sz w:val="24"/>
          <w:szCs w:val="24"/>
          <w:lang w:val="pl-PL"/>
        </w:rPr>
        <w:t>„</w:t>
      </w:r>
      <w:r w:rsidR="00720282" w:rsidRPr="002C2D40">
        <w:rPr>
          <w:rFonts w:asciiTheme="minorHAnsi" w:hAnsiTheme="minorHAnsi"/>
          <w:sz w:val="24"/>
          <w:szCs w:val="24"/>
          <w:lang w:val="pl-PL"/>
        </w:rPr>
        <w:t>Europejska Konwencja Praw Człowieka</w:t>
      </w:r>
      <w:r w:rsidR="00E47953">
        <w:rPr>
          <w:rFonts w:asciiTheme="minorHAnsi" w:hAnsiTheme="minorHAnsi"/>
          <w:sz w:val="24"/>
          <w:szCs w:val="24"/>
          <w:lang w:val="pl-PL"/>
        </w:rPr>
        <w:t>”</w:t>
      </w:r>
      <w:r w:rsidR="00720282" w:rsidRPr="002C2D40">
        <w:rPr>
          <w:rFonts w:asciiTheme="minorHAnsi" w:hAnsiTheme="minorHAnsi"/>
          <w:sz w:val="24"/>
          <w:szCs w:val="24"/>
          <w:lang w:val="pl-PL"/>
        </w:rPr>
        <w:t xml:space="preserve">) oraz orzecznictwa Trybunału. </w:t>
      </w:r>
      <w:r w:rsidR="00212722" w:rsidRPr="002C2D40">
        <w:rPr>
          <w:rFonts w:asciiTheme="minorHAnsi" w:hAnsiTheme="minorHAnsi"/>
          <w:sz w:val="24"/>
          <w:szCs w:val="24"/>
          <w:lang w:val="pl-PL"/>
        </w:rPr>
        <w:t>Zawiera informacje na temat przesłanych do Rady Europy (dalej</w:t>
      </w:r>
      <w:r w:rsidR="000D57B1" w:rsidRPr="002C2D40">
        <w:rPr>
          <w:rFonts w:asciiTheme="minorHAnsi" w:hAnsiTheme="minorHAnsi"/>
          <w:sz w:val="24"/>
          <w:szCs w:val="24"/>
          <w:lang w:val="pl-PL"/>
        </w:rPr>
        <w:t>:</w:t>
      </w:r>
      <w:r w:rsidR="00212722" w:rsidRPr="002C2D40">
        <w:rPr>
          <w:rFonts w:asciiTheme="minorHAnsi" w:hAnsiTheme="minorHAnsi"/>
          <w:sz w:val="24"/>
          <w:szCs w:val="24"/>
          <w:lang w:val="pl-PL"/>
        </w:rPr>
        <w:t xml:space="preserve"> </w:t>
      </w:r>
      <w:r w:rsidR="00E47953">
        <w:rPr>
          <w:rFonts w:asciiTheme="minorHAnsi" w:hAnsiTheme="minorHAnsi"/>
          <w:sz w:val="24"/>
          <w:szCs w:val="24"/>
          <w:lang w:val="pl-PL"/>
        </w:rPr>
        <w:t>„</w:t>
      </w:r>
      <w:r w:rsidR="00212722" w:rsidRPr="002C2D40">
        <w:rPr>
          <w:rFonts w:asciiTheme="minorHAnsi" w:hAnsiTheme="minorHAnsi"/>
          <w:sz w:val="24"/>
          <w:szCs w:val="24"/>
          <w:lang w:val="pl-PL"/>
        </w:rPr>
        <w:t>RE</w:t>
      </w:r>
      <w:r w:rsidR="00E47953">
        <w:rPr>
          <w:rFonts w:asciiTheme="minorHAnsi" w:hAnsiTheme="minorHAnsi"/>
          <w:sz w:val="24"/>
          <w:szCs w:val="24"/>
          <w:lang w:val="pl-PL"/>
        </w:rPr>
        <w:t>”</w:t>
      </w:r>
      <w:r w:rsidR="00212722" w:rsidRPr="002C2D40">
        <w:rPr>
          <w:rFonts w:asciiTheme="minorHAnsi" w:hAnsiTheme="minorHAnsi"/>
          <w:sz w:val="24"/>
          <w:szCs w:val="24"/>
          <w:lang w:val="pl-PL"/>
        </w:rPr>
        <w:t>) dokumentów dotyczących wykonywania wyroków Trybunału, spraw uznanych za wykonane przez Komitet Ministrów Rady Europy (dalej</w:t>
      </w:r>
      <w:r w:rsidR="000D57B1" w:rsidRPr="002C2D40">
        <w:rPr>
          <w:rFonts w:asciiTheme="minorHAnsi" w:hAnsiTheme="minorHAnsi"/>
          <w:sz w:val="24"/>
          <w:szCs w:val="24"/>
          <w:lang w:val="pl-PL"/>
        </w:rPr>
        <w:t>:</w:t>
      </w:r>
      <w:r w:rsidR="00212722" w:rsidRPr="002C2D40">
        <w:rPr>
          <w:rFonts w:asciiTheme="minorHAnsi" w:hAnsiTheme="minorHAnsi"/>
          <w:sz w:val="24"/>
          <w:szCs w:val="24"/>
          <w:lang w:val="pl-PL"/>
        </w:rPr>
        <w:t xml:space="preserve"> </w:t>
      </w:r>
      <w:r w:rsidR="00E47953">
        <w:rPr>
          <w:rFonts w:asciiTheme="minorHAnsi" w:hAnsiTheme="minorHAnsi"/>
          <w:sz w:val="24"/>
          <w:szCs w:val="24"/>
          <w:lang w:val="pl-PL"/>
        </w:rPr>
        <w:t>„</w:t>
      </w:r>
      <w:r w:rsidR="0086510C">
        <w:rPr>
          <w:rFonts w:asciiTheme="minorHAnsi" w:hAnsiTheme="minorHAnsi"/>
          <w:sz w:val="24"/>
          <w:szCs w:val="24"/>
          <w:lang w:val="pl-PL"/>
        </w:rPr>
        <w:t>Komitet Ministrów</w:t>
      </w:r>
      <w:r w:rsidR="00E47953">
        <w:rPr>
          <w:rFonts w:asciiTheme="minorHAnsi" w:hAnsiTheme="minorHAnsi"/>
          <w:sz w:val="24"/>
          <w:szCs w:val="24"/>
          <w:lang w:val="pl-PL"/>
        </w:rPr>
        <w:t>”</w:t>
      </w:r>
      <w:r w:rsidR="0086510C">
        <w:rPr>
          <w:rFonts w:asciiTheme="minorHAnsi" w:hAnsiTheme="minorHAnsi"/>
          <w:sz w:val="24"/>
          <w:szCs w:val="24"/>
          <w:lang w:val="pl-PL"/>
        </w:rPr>
        <w:t xml:space="preserve">, </w:t>
      </w:r>
      <w:r w:rsidR="00E47953">
        <w:rPr>
          <w:rFonts w:asciiTheme="minorHAnsi" w:hAnsiTheme="minorHAnsi"/>
          <w:sz w:val="24"/>
          <w:szCs w:val="24"/>
          <w:lang w:val="pl-PL"/>
        </w:rPr>
        <w:t>„</w:t>
      </w:r>
      <w:r w:rsidR="00212722" w:rsidRPr="002C2D40">
        <w:rPr>
          <w:rFonts w:asciiTheme="minorHAnsi" w:hAnsiTheme="minorHAnsi"/>
          <w:sz w:val="24"/>
          <w:szCs w:val="24"/>
          <w:lang w:val="pl-PL"/>
        </w:rPr>
        <w:t>KM</w:t>
      </w:r>
      <w:r w:rsidR="00E47953">
        <w:rPr>
          <w:rFonts w:asciiTheme="minorHAnsi" w:hAnsiTheme="minorHAnsi"/>
          <w:sz w:val="24"/>
          <w:szCs w:val="24"/>
          <w:lang w:val="pl-PL"/>
        </w:rPr>
        <w:t>”</w:t>
      </w:r>
      <w:r w:rsidR="00212722" w:rsidRPr="002C2D40">
        <w:rPr>
          <w:rFonts w:asciiTheme="minorHAnsi" w:hAnsiTheme="minorHAnsi"/>
          <w:sz w:val="24"/>
          <w:szCs w:val="24"/>
          <w:lang w:val="pl-PL"/>
        </w:rPr>
        <w:t xml:space="preserve"> lub </w:t>
      </w:r>
      <w:r w:rsidR="00E47953">
        <w:rPr>
          <w:rFonts w:asciiTheme="minorHAnsi" w:hAnsiTheme="minorHAnsi"/>
          <w:sz w:val="24"/>
          <w:szCs w:val="24"/>
          <w:lang w:val="pl-PL"/>
        </w:rPr>
        <w:t>„</w:t>
      </w:r>
      <w:r w:rsidR="00212722" w:rsidRPr="002C2D40">
        <w:rPr>
          <w:rFonts w:asciiTheme="minorHAnsi" w:hAnsiTheme="minorHAnsi"/>
          <w:sz w:val="24"/>
          <w:szCs w:val="24"/>
          <w:lang w:val="pl-PL"/>
        </w:rPr>
        <w:t>KM RE</w:t>
      </w:r>
      <w:r w:rsidR="00E47953">
        <w:rPr>
          <w:rFonts w:asciiTheme="minorHAnsi" w:hAnsiTheme="minorHAnsi"/>
          <w:sz w:val="24"/>
          <w:szCs w:val="24"/>
          <w:lang w:val="pl-PL"/>
        </w:rPr>
        <w:t>”</w:t>
      </w:r>
      <w:r w:rsidR="00212722" w:rsidRPr="002C2D40">
        <w:rPr>
          <w:rFonts w:asciiTheme="minorHAnsi" w:hAnsiTheme="minorHAnsi"/>
          <w:sz w:val="24"/>
          <w:szCs w:val="24"/>
          <w:lang w:val="pl-PL"/>
        </w:rPr>
        <w:t>), postanowień decyzji KM w</w:t>
      </w:r>
      <w:r w:rsidR="00D737F1" w:rsidRPr="002C2D40">
        <w:rPr>
          <w:rFonts w:asciiTheme="minorHAnsi" w:hAnsiTheme="minorHAnsi"/>
          <w:sz w:val="24"/>
          <w:szCs w:val="24"/>
          <w:lang w:val="pl-PL"/>
        </w:rPr>
        <w:t xml:space="preserve"> </w:t>
      </w:r>
      <w:r w:rsidR="00212722" w:rsidRPr="002C2D40">
        <w:rPr>
          <w:rFonts w:asciiTheme="minorHAnsi" w:hAnsiTheme="minorHAnsi"/>
          <w:sz w:val="24"/>
          <w:szCs w:val="24"/>
          <w:lang w:val="pl-PL"/>
        </w:rPr>
        <w:t>s</w:t>
      </w:r>
      <w:r w:rsidR="00D737F1" w:rsidRPr="002C2D40">
        <w:rPr>
          <w:rFonts w:asciiTheme="minorHAnsi" w:hAnsiTheme="minorHAnsi"/>
          <w:sz w:val="24"/>
          <w:szCs w:val="24"/>
          <w:lang w:val="pl-PL"/>
        </w:rPr>
        <w:t>prawie</w:t>
      </w:r>
      <w:r w:rsidR="00212722" w:rsidRPr="002C2D40">
        <w:rPr>
          <w:rFonts w:asciiTheme="minorHAnsi" w:hAnsiTheme="minorHAnsi"/>
          <w:sz w:val="24"/>
          <w:szCs w:val="24"/>
          <w:lang w:val="pl-PL"/>
        </w:rPr>
        <w:t xml:space="preserve"> wykonywania niektórych z polskich spraw, </w:t>
      </w:r>
      <w:r w:rsidR="00BB21DD" w:rsidRPr="002C2D40">
        <w:rPr>
          <w:rFonts w:asciiTheme="minorHAnsi" w:hAnsiTheme="minorHAnsi"/>
          <w:sz w:val="24"/>
          <w:szCs w:val="24"/>
          <w:lang w:val="pl-PL"/>
        </w:rPr>
        <w:t xml:space="preserve">komunikacji zawierających rekomendacje </w:t>
      </w:r>
      <w:r w:rsidR="00D737F1" w:rsidRPr="002C2D40">
        <w:rPr>
          <w:rFonts w:asciiTheme="minorHAnsi" w:hAnsiTheme="minorHAnsi"/>
          <w:sz w:val="24"/>
          <w:szCs w:val="24"/>
          <w:lang w:val="pl-PL"/>
        </w:rPr>
        <w:t>dotyczące</w:t>
      </w:r>
      <w:r w:rsidR="00BB21DD" w:rsidRPr="002C2D40">
        <w:rPr>
          <w:rFonts w:asciiTheme="minorHAnsi" w:hAnsiTheme="minorHAnsi"/>
          <w:sz w:val="24"/>
          <w:szCs w:val="24"/>
          <w:lang w:val="pl-PL"/>
        </w:rPr>
        <w:t xml:space="preserve"> wykonywania poszczególnych wyroków, przesłanych do KM przez uprawnione podmioty, </w:t>
      </w:r>
      <w:r w:rsidR="00212722" w:rsidRPr="002C2D40">
        <w:rPr>
          <w:rFonts w:asciiTheme="minorHAnsi" w:hAnsiTheme="minorHAnsi"/>
          <w:sz w:val="24"/>
          <w:szCs w:val="24"/>
          <w:lang w:val="pl-PL"/>
        </w:rPr>
        <w:t>działalności Zespołu ds. ETPC, uczestnictwa Pełnomocnika w posiedzeniu Komisji Praw Człowieka, Praworządności i Petycji Senatu RP</w:t>
      </w:r>
      <w:r w:rsidR="00BB21DD" w:rsidRPr="002C2D40">
        <w:rPr>
          <w:rFonts w:asciiTheme="minorHAnsi" w:hAnsiTheme="minorHAnsi"/>
          <w:sz w:val="24"/>
          <w:szCs w:val="24"/>
          <w:lang w:val="pl-PL"/>
        </w:rPr>
        <w:t xml:space="preserve">, </w:t>
      </w:r>
      <w:r w:rsidR="00B10908" w:rsidRPr="002C2D40">
        <w:rPr>
          <w:rFonts w:asciiTheme="minorHAnsi" w:hAnsiTheme="minorHAnsi"/>
          <w:sz w:val="24"/>
          <w:szCs w:val="24"/>
          <w:lang w:val="pl-PL"/>
        </w:rPr>
        <w:t>działalności Pełnomocnika w odniesieniu do reformy systemu Konwencji i prac komitetów RE zajmujących się prawami człowieka</w:t>
      </w:r>
      <w:r w:rsidR="00D737F1" w:rsidRPr="002C2D40">
        <w:rPr>
          <w:rFonts w:asciiTheme="minorHAnsi" w:hAnsiTheme="minorHAnsi"/>
          <w:sz w:val="24"/>
          <w:szCs w:val="24"/>
          <w:lang w:val="pl-PL"/>
        </w:rPr>
        <w:t xml:space="preserve">. </w:t>
      </w:r>
      <w:r w:rsidR="000F3E2F" w:rsidRPr="002C2D40">
        <w:rPr>
          <w:rFonts w:asciiTheme="minorHAnsi" w:hAnsiTheme="minorHAnsi"/>
          <w:sz w:val="24"/>
          <w:szCs w:val="24"/>
          <w:lang w:val="pl-PL"/>
        </w:rPr>
        <w:t>Na końcu Raportu znajdują się dane statystyczne dotycząc</w:t>
      </w:r>
      <w:r w:rsidR="000D57B1" w:rsidRPr="002C2D40">
        <w:rPr>
          <w:rFonts w:asciiTheme="minorHAnsi" w:hAnsiTheme="minorHAnsi"/>
          <w:sz w:val="24"/>
          <w:szCs w:val="24"/>
          <w:lang w:val="pl-PL"/>
        </w:rPr>
        <w:t>e</w:t>
      </w:r>
      <w:r w:rsidR="000F3E2F" w:rsidRPr="002C2D40">
        <w:rPr>
          <w:rFonts w:asciiTheme="minorHAnsi" w:hAnsiTheme="minorHAnsi"/>
          <w:sz w:val="24"/>
          <w:szCs w:val="24"/>
          <w:lang w:val="pl-PL"/>
        </w:rPr>
        <w:t xml:space="preserve"> polskich spraw </w:t>
      </w:r>
      <w:r w:rsidR="00B10908" w:rsidRPr="002C2D40">
        <w:rPr>
          <w:rFonts w:asciiTheme="minorHAnsi" w:hAnsiTheme="minorHAnsi"/>
          <w:sz w:val="24"/>
          <w:szCs w:val="24"/>
          <w:lang w:val="pl-PL"/>
        </w:rPr>
        <w:t xml:space="preserve">zawisłych </w:t>
      </w:r>
      <w:r w:rsidR="000F3E2F" w:rsidRPr="002C2D40">
        <w:rPr>
          <w:rFonts w:asciiTheme="minorHAnsi" w:hAnsiTheme="minorHAnsi"/>
          <w:sz w:val="24"/>
          <w:szCs w:val="24"/>
          <w:lang w:val="pl-PL"/>
        </w:rPr>
        <w:t xml:space="preserve">przed Trybunałem oraz </w:t>
      </w:r>
      <w:r w:rsidR="00B10908" w:rsidRPr="002C2D40">
        <w:rPr>
          <w:rFonts w:asciiTheme="minorHAnsi" w:hAnsiTheme="minorHAnsi"/>
          <w:sz w:val="24"/>
          <w:szCs w:val="24"/>
          <w:lang w:val="pl-PL"/>
        </w:rPr>
        <w:t>znajdujących się w procesie</w:t>
      </w:r>
      <w:r w:rsidR="000F3E2F" w:rsidRPr="002C2D40">
        <w:rPr>
          <w:rFonts w:asciiTheme="minorHAnsi" w:hAnsiTheme="minorHAnsi"/>
          <w:sz w:val="24"/>
          <w:szCs w:val="24"/>
          <w:lang w:val="pl-PL"/>
        </w:rPr>
        <w:t xml:space="preserve"> wykonywani</w:t>
      </w:r>
      <w:r w:rsidR="00B10908" w:rsidRPr="002C2D40">
        <w:rPr>
          <w:rFonts w:asciiTheme="minorHAnsi" w:hAnsiTheme="minorHAnsi"/>
          <w:sz w:val="24"/>
          <w:szCs w:val="24"/>
          <w:lang w:val="pl-PL"/>
        </w:rPr>
        <w:t>a</w:t>
      </w:r>
      <w:r w:rsidR="000F3E2F" w:rsidRPr="002C2D40">
        <w:rPr>
          <w:rFonts w:asciiTheme="minorHAnsi" w:hAnsiTheme="minorHAnsi"/>
          <w:sz w:val="24"/>
          <w:szCs w:val="24"/>
          <w:lang w:val="pl-PL"/>
        </w:rPr>
        <w:t xml:space="preserve"> przed KM</w:t>
      </w:r>
      <w:r w:rsidR="002614A4" w:rsidRPr="002C2D40">
        <w:rPr>
          <w:rFonts w:asciiTheme="minorHAnsi" w:hAnsiTheme="minorHAnsi"/>
          <w:sz w:val="24"/>
          <w:szCs w:val="24"/>
          <w:lang w:val="pl-PL"/>
        </w:rPr>
        <w:t>.</w:t>
      </w:r>
    </w:p>
    <w:p w:rsidR="00DB3784" w:rsidRPr="002C2D40" w:rsidRDefault="00DB3784" w:rsidP="003566DD">
      <w:pPr>
        <w:pStyle w:val="Akapitzlist"/>
        <w:spacing w:before="120" w:after="0" w:line="240" w:lineRule="auto"/>
        <w:ind w:left="0"/>
        <w:jc w:val="both"/>
        <w:rPr>
          <w:rFonts w:asciiTheme="minorHAnsi" w:hAnsiTheme="minorHAnsi"/>
          <w:sz w:val="24"/>
          <w:szCs w:val="24"/>
          <w:lang w:val="pl-PL"/>
        </w:rPr>
      </w:pPr>
      <w:r w:rsidRPr="002C2D40">
        <w:rPr>
          <w:rFonts w:asciiTheme="minorHAnsi" w:hAnsiTheme="minorHAnsi"/>
          <w:sz w:val="24"/>
          <w:szCs w:val="24"/>
          <w:lang w:val="pl-PL"/>
        </w:rPr>
        <w:t>Należy odnotować szczególną sytuację spowodowaną wirusem SARS-Co</w:t>
      </w:r>
      <w:r w:rsidR="0086510C">
        <w:rPr>
          <w:rFonts w:asciiTheme="minorHAnsi" w:hAnsiTheme="minorHAnsi"/>
          <w:sz w:val="24"/>
          <w:szCs w:val="24"/>
          <w:lang w:val="pl-PL"/>
        </w:rPr>
        <w:t>V</w:t>
      </w:r>
      <w:r w:rsidRPr="002C2D40">
        <w:rPr>
          <w:rFonts w:asciiTheme="minorHAnsi" w:hAnsiTheme="minorHAnsi"/>
          <w:sz w:val="24"/>
          <w:szCs w:val="24"/>
          <w:lang w:val="pl-PL"/>
        </w:rPr>
        <w:t>-2</w:t>
      </w:r>
      <w:r w:rsidR="00E47953">
        <w:rPr>
          <w:rFonts w:asciiTheme="minorHAnsi" w:hAnsiTheme="minorHAnsi"/>
          <w:sz w:val="24"/>
          <w:szCs w:val="24"/>
          <w:lang w:val="pl-PL"/>
        </w:rPr>
        <w:t>,</w:t>
      </w:r>
      <w:r w:rsidRPr="002C2D40">
        <w:rPr>
          <w:rFonts w:asciiTheme="minorHAnsi" w:hAnsiTheme="minorHAnsi"/>
          <w:sz w:val="24"/>
          <w:szCs w:val="24"/>
          <w:lang w:val="pl-PL"/>
        </w:rPr>
        <w:t xml:space="preserve"> w jakiej w 2020 r. realizowane były przez Pełnomocnika jego zadania. Z uwagi na sytuację epidemiologiczną panującą w kraju i związane z nią restrykcje oraz zmieniony tryb pracy administracji publicznej, niektóre wydarzenia, organizowane co roku przez Pełnomocnika nie odbyły się bądź odbywały się w formule zdalnej lub miały ograniczony zakres. W szczególności sytuacja epidemiologiczna uniemożliwiła organizację kolejnej edycji Seminarium Warszawskiego, które miało być poświęcone 70 rocznicy Konwencji. Z powyższych względów w 2020 r. nie organizowano także wizyt studyjnych i delegacji  do Rady Europy i Trybunału. Ponadto nie prowadzono działań związanych ze szkoleniami i debatami poświęconymi tematyce Konwencji. Panująca sytuacja epidemiologiczna wpłynęła również na sposób realizacji zadań Zespołu ds. ETPC, spowalniając nieznacznie jego prace w początkowym jej okresie oraz ograniczając możliwości osobistych spotkań</w:t>
      </w:r>
      <w:r w:rsidR="00E47953">
        <w:rPr>
          <w:rFonts w:asciiTheme="minorHAnsi" w:hAnsiTheme="minorHAnsi"/>
          <w:sz w:val="24"/>
          <w:szCs w:val="24"/>
          <w:lang w:val="pl-PL"/>
        </w:rPr>
        <w:t>,</w:t>
      </w:r>
      <w:r w:rsidRPr="002C2D40">
        <w:rPr>
          <w:rFonts w:asciiTheme="minorHAnsi" w:hAnsiTheme="minorHAnsi"/>
          <w:sz w:val="24"/>
          <w:szCs w:val="24"/>
          <w:lang w:val="pl-PL"/>
        </w:rPr>
        <w:t xml:space="preserve"> czy kontaktów roboczych członków Zespołu</w:t>
      </w:r>
      <w:r w:rsidR="00C13048" w:rsidRPr="002C2D40">
        <w:rPr>
          <w:rFonts w:asciiTheme="minorHAnsi" w:hAnsiTheme="minorHAnsi"/>
          <w:sz w:val="24"/>
          <w:szCs w:val="24"/>
          <w:lang w:val="pl-PL"/>
        </w:rPr>
        <w:t xml:space="preserve"> na rzecz prawie wyłącznie porozumiewania się środkami komunikacji elektronicznej</w:t>
      </w:r>
      <w:r w:rsidRPr="002C2D40">
        <w:rPr>
          <w:rFonts w:asciiTheme="minorHAnsi" w:hAnsiTheme="minorHAnsi"/>
          <w:sz w:val="24"/>
          <w:szCs w:val="24"/>
          <w:lang w:val="pl-PL"/>
        </w:rPr>
        <w:t>. Odwołane zostało marcowe posiedzenie plenarne Zespołu, a pozostałe posiedzenia w 2020 r. odbywały się w drodze wideokonferencji. Niemniej,</w:t>
      </w:r>
      <w:r w:rsidR="00162114">
        <w:rPr>
          <w:rFonts w:asciiTheme="minorHAnsi" w:hAnsiTheme="minorHAnsi"/>
          <w:sz w:val="24"/>
          <w:szCs w:val="24"/>
          <w:lang w:val="pl-PL"/>
        </w:rPr>
        <w:t xml:space="preserve"> w 2020 r.</w:t>
      </w:r>
      <w:r w:rsidRPr="002C2D40">
        <w:rPr>
          <w:rFonts w:asciiTheme="minorHAnsi" w:hAnsiTheme="minorHAnsi"/>
          <w:sz w:val="24"/>
          <w:szCs w:val="24"/>
          <w:lang w:val="pl-PL"/>
        </w:rPr>
        <w:t xml:space="preserve"> Pełnomocnik dostosował tryb pracy do nałożonych ograniczeń epidemiologiczno-sanitarnych i kontynuował realizację najważniejszych zadań w </w:t>
      </w:r>
      <w:r w:rsidRPr="002C2D40">
        <w:rPr>
          <w:rFonts w:asciiTheme="minorHAnsi" w:hAnsiTheme="minorHAnsi"/>
          <w:sz w:val="24"/>
          <w:szCs w:val="24"/>
          <w:lang w:val="pl-PL"/>
        </w:rPr>
        <w:lastRenderedPageBreak/>
        <w:t>zakresie wykonywania orzeczeń Trybunału oraz prowadził działania mające na celu upowszechni</w:t>
      </w:r>
      <w:r w:rsidR="00E9305C" w:rsidRPr="002C2D40">
        <w:rPr>
          <w:rFonts w:asciiTheme="minorHAnsi" w:hAnsiTheme="minorHAnsi"/>
          <w:sz w:val="24"/>
          <w:szCs w:val="24"/>
          <w:lang w:val="pl-PL"/>
        </w:rPr>
        <w:t>ani</w:t>
      </w:r>
      <w:r w:rsidR="00162114">
        <w:rPr>
          <w:rFonts w:asciiTheme="minorHAnsi" w:hAnsiTheme="minorHAnsi"/>
          <w:sz w:val="24"/>
          <w:szCs w:val="24"/>
          <w:lang w:val="pl-PL"/>
        </w:rPr>
        <w:t>e</w:t>
      </w:r>
      <w:r w:rsidRPr="002C2D40">
        <w:rPr>
          <w:rFonts w:asciiTheme="minorHAnsi" w:hAnsiTheme="minorHAnsi"/>
          <w:sz w:val="24"/>
          <w:szCs w:val="24"/>
          <w:lang w:val="pl-PL"/>
        </w:rPr>
        <w:t xml:space="preserve"> orzecznictwa Trybunału. </w:t>
      </w:r>
    </w:p>
    <w:p w:rsidR="00DD0730" w:rsidRPr="002C2D40" w:rsidRDefault="00D737F1" w:rsidP="003566DD">
      <w:pPr>
        <w:pStyle w:val="Akapitzlist"/>
        <w:spacing w:before="120" w:after="0" w:line="240" w:lineRule="auto"/>
        <w:ind w:left="0"/>
        <w:jc w:val="both"/>
        <w:rPr>
          <w:rFonts w:asciiTheme="minorHAnsi" w:hAnsiTheme="minorHAnsi"/>
          <w:sz w:val="24"/>
          <w:szCs w:val="24"/>
          <w:lang w:val="pl-PL"/>
        </w:rPr>
      </w:pPr>
      <w:r w:rsidRPr="002C2D40">
        <w:rPr>
          <w:rFonts w:asciiTheme="minorHAnsi" w:hAnsiTheme="minorHAnsi"/>
          <w:sz w:val="24"/>
          <w:szCs w:val="24"/>
          <w:lang w:val="pl-PL"/>
        </w:rPr>
        <w:t>Jak co roku, i</w:t>
      </w:r>
      <w:r w:rsidR="000A23D6" w:rsidRPr="002C2D40">
        <w:rPr>
          <w:rFonts w:asciiTheme="minorHAnsi" w:hAnsiTheme="minorHAnsi"/>
          <w:sz w:val="24"/>
          <w:szCs w:val="24"/>
          <w:lang w:val="pl-PL"/>
        </w:rPr>
        <w:t xml:space="preserve">ntegralną częścią Raportu są jego załączniki. </w:t>
      </w:r>
      <w:r w:rsidR="00162114">
        <w:rPr>
          <w:rFonts w:asciiTheme="minorHAnsi" w:hAnsiTheme="minorHAnsi"/>
          <w:sz w:val="24"/>
          <w:szCs w:val="24"/>
          <w:lang w:val="pl-PL"/>
        </w:rPr>
        <w:t>Należy przypomnieć, ż</w:t>
      </w:r>
      <w:r w:rsidR="00E9305C" w:rsidRPr="002C2D40">
        <w:rPr>
          <w:rFonts w:asciiTheme="minorHAnsi" w:hAnsiTheme="minorHAnsi"/>
          <w:sz w:val="24"/>
          <w:szCs w:val="24"/>
          <w:lang w:val="pl-PL"/>
        </w:rPr>
        <w:t>e pierwszy z Raportów</w:t>
      </w:r>
      <w:r w:rsidR="000A23D6" w:rsidRPr="002C2D40">
        <w:rPr>
          <w:rFonts w:asciiTheme="minorHAnsi" w:hAnsiTheme="minorHAnsi"/>
          <w:sz w:val="24"/>
          <w:szCs w:val="24"/>
          <w:lang w:val="pl-PL"/>
        </w:rPr>
        <w:t>, za</w:t>
      </w:r>
      <w:r w:rsidR="00DD0730" w:rsidRPr="002C2D40">
        <w:rPr>
          <w:rFonts w:asciiTheme="minorHAnsi" w:hAnsiTheme="minorHAnsi"/>
          <w:sz w:val="24"/>
          <w:szCs w:val="24"/>
          <w:lang w:val="pl-PL"/>
        </w:rPr>
        <w:t xml:space="preserve"> 2012 r.</w:t>
      </w:r>
      <w:r w:rsidR="000A23D6" w:rsidRPr="002C2D40">
        <w:rPr>
          <w:rFonts w:asciiTheme="minorHAnsi" w:hAnsiTheme="minorHAnsi"/>
          <w:sz w:val="24"/>
          <w:szCs w:val="24"/>
          <w:lang w:val="pl-PL"/>
        </w:rPr>
        <w:t>,</w:t>
      </w:r>
      <w:r w:rsidR="00DD0730" w:rsidRPr="002C2D40">
        <w:rPr>
          <w:rFonts w:asciiTheme="minorHAnsi" w:hAnsiTheme="minorHAnsi"/>
          <w:sz w:val="24"/>
          <w:szCs w:val="24"/>
          <w:lang w:val="pl-PL"/>
        </w:rPr>
        <w:t xml:space="preserve"> był dokumentem skondensowanym, zawierającym odniesienia i odesłania do dokumentów dotyczących wykonywania wyroków Trybunału (tzw. planów działań i raportów z wykonania) w polskich sprawach</w:t>
      </w:r>
      <w:r w:rsidR="003438C1" w:rsidRPr="002C2D40">
        <w:rPr>
          <w:rFonts w:asciiTheme="minorHAnsi" w:hAnsiTheme="minorHAnsi"/>
          <w:sz w:val="24"/>
          <w:szCs w:val="24"/>
          <w:lang w:val="pl-PL"/>
        </w:rPr>
        <w:t>,</w:t>
      </w:r>
      <w:r w:rsidR="00DD0730" w:rsidRPr="002C2D40">
        <w:rPr>
          <w:rFonts w:asciiTheme="minorHAnsi" w:hAnsiTheme="minorHAnsi"/>
          <w:sz w:val="24"/>
          <w:szCs w:val="24"/>
          <w:lang w:val="pl-PL"/>
        </w:rPr>
        <w:t xml:space="preserve"> przekazanych do Rady Europy w okresie sprawozdawczym i opublikowanych na stronach internetowych tej organizacji. Natomiast </w:t>
      </w:r>
      <w:r w:rsidR="003438C1" w:rsidRPr="002C2D40">
        <w:rPr>
          <w:rFonts w:asciiTheme="minorHAnsi" w:hAnsiTheme="minorHAnsi"/>
          <w:sz w:val="24"/>
          <w:szCs w:val="24"/>
          <w:lang w:val="pl-PL"/>
        </w:rPr>
        <w:t xml:space="preserve">wychodząc naprzeciw oczekiwaniom parlamentarzystów oraz społeczeństwa obywatelskiego, </w:t>
      </w:r>
      <w:r w:rsidR="00DD0730" w:rsidRPr="002C2D40">
        <w:rPr>
          <w:rFonts w:asciiTheme="minorHAnsi" w:hAnsiTheme="minorHAnsi"/>
          <w:sz w:val="24"/>
          <w:szCs w:val="24"/>
          <w:lang w:val="pl-PL"/>
        </w:rPr>
        <w:t>do Raportów sporządzanych w kolejnych latach</w:t>
      </w:r>
      <w:r w:rsidR="003438C1" w:rsidRPr="002C2D40">
        <w:rPr>
          <w:rFonts w:asciiTheme="minorHAnsi" w:hAnsiTheme="minorHAnsi"/>
          <w:sz w:val="24"/>
          <w:szCs w:val="24"/>
          <w:lang w:val="pl-PL"/>
        </w:rPr>
        <w:t xml:space="preserve"> </w:t>
      </w:r>
      <w:r w:rsidR="00DD0730" w:rsidRPr="002C2D40">
        <w:rPr>
          <w:rFonts w:asciiTheme="minorHAnsi" w:hAnsiTheme="minorHAnsi"/>
          <w:sz w:val="24"/>
          <w:szCs w:val="24"/>
          <w:lang w:val="pl-PL"/>
        </w:rPr>
        <w:t>dołączono</w:t>
      </w:r>
      <w:r w:rsidR="00E9305C" w:rsidRPr="002C2D40">
        <w:rPr>
          <w:rFonts w:asciiTheme="minorHAnsi" w:hAnsiTheme="minorHAnsi"/>
          <w:sz w:val="24"/>
          <w:szCs w:val="24"/>
          <w:lang w:val="pl-PL"/>
        </w:rPr>
        <w:t xml:space="preserve">, w formie załączników, </w:t>
      </w:r>
      <w:r w:rsidR="00643711" w:rsidRPr="002C2D40">
        <w:rPr>
          <w:rFonts w:asciiTheme="minorHAnsi" w:hAnsiTheme="minorHAnsi"/>
          <w:sz w:val="24"/>
          <w:szCs w:val="24"/>
          <w:lang w:val="pl-PL"/>
        </w:rPr>
        <w:t>pełną dokumentację dotyczącą działalności Pełnomocnika w zakresie wykonywania orzeczeń ETPC, jak też inne informacje dotyczące upowszechniania informacji na temat standardów wynikających z Konwencji i orzecznictwa Trybunału, niezbędnych w procesie wykonywania orzeczeń</w:t>
      </w:r>
      <w:r w:rsidR="00DD0730" w:rsidRPr="002C2D40">
        <w:rPr>
          <w:rFonts w:asciiTheme="minorHAnsi" w:hAnsiTheme="minorHAnsi"/>
          <w:sz w:val="24"/>
          <w:szCs w:val="24"/>
          <w:lang w:val="pl-PL"/>
        </w:rPr>
        <w:t xml:space="preserve">. </w:t>
      </w:r>
    </w:p>
    <w:p w:rsidR="00DD0730" w:rsidRPr="002C2D40" w:rsidRDefault="00DD0730" w:rsidP="003566DD">
      <w:pPr>
        <w:pStyle w:val="Akapitzlist"/>
        <w:spacing w:before="120" w:after="0" w:line="240" w:lineRule="auto"/>
        <w:ind w:left="0"/>
        <w:jc w:val="both"/>
        <w:rPr>
          <w:rFonts w:asciiTheme="minorHAnsi" w:hAnsiTheme="minorHAnsi"/>
          <w:sz w:val="24"/>
          <w:szCs w:val="24"/>
          <w:lang w:val="pl-PL"/>
        </w:rPr>
      </w:pPr>
      <w:r w:rsidRPr="002C2D40">
        <w:rPr>
          <w:rFonts w:asciiTheme="minorHAnsi" w:hAnsiTheme="minorHAnsi"/>
          <w:sz w:val="24"/>
          <w:szCs w:val="24"/>
          <w:lang w:val="pl-PL"/>
        </w:rPr>
        <w:t>Załącznik A</w:t>
      </w:r>
      <w:r w:rsidR="00DB3784" w:rsidRPr="002C2D40">
        <w:rPr>
          <w:rFonts w:asciiTheme="minorHAnsi" w:hAnsiTheme="minorHAnsi"/>
          <w:sz w:val="24"/>
          <w:szCs w:val="24"/>
          <w:lang w:val="pl-PL"/>
        </w:rPr>
        <w:t xml:space="preserve"> zawiera </w:t>
      </w:r>
      <w:r w:rsidR="00F53227" w:rsidRPr="002C2D40">
        <w:rPr>
          <w:rFonts w:asciiTheme="minorHAnsi" w:hAnsiTheme="minorHAnsi"/>
          <w:sz w:val="24"/>
          <w:szCs w:val="24"/>
          <w:lang w:val="pl-PL"/>
        </w:rPr>
        <w:t>tabelaryczne zestawienie wszystkich orzeczeń Europejskiego Trybunału Praw Człowieka</w:t>
      </w:r>
      <w:r w:rsidR="00E47953">
        <w:rPr>
          <w:rFonts w:asciiTheme="minorHAnsi" w:hAnsiTheme="minorHAnsi"/>
          <w:sz w:val="24"/>
          <w:szCs w:val="24"/>
          <w:lang w:val="pl-PL"/>
        </w:rPr>
        <w:t>,</w:t>
      </w:r>
      <w:r w:rsidR="00F53227" w:rsidRPr="002C2D40">
        <w:rPr>
          <w:rFonts w:asciiTheme="minorHAnsi" w:hAnsiTheme="minorHAnsi"/>
          <w:sz w:val="24"/>
          <w:szCs w:val="24"/>
          <w:lang w:val="pl-PL"/>
        </w:rPr>
        <w:t xml:space="preserve"> wydanych w sprawach polskich w 20</w:t>
      </w:r>
      <w:r w:rsidR="00DB3784" w:rsidRPr="002C2D40">
        <w:rPr>
          <w:rFonts w:asciiTheme="minorHAnsi" w:hAnsiTheme="minorHAnsi"/>
          <w:sz w:val="24"/>
          <w:szCs w:val="24"/>
          <w:lang w:val="pl-PL"/>
        </w:rPr>
        <w:t>20</w:t>
      </w:r>
      <w:r w:rsidR="00F53227" w:rsidRPr="002C2D40">
        <w:rPr>
          <w:rFonts w:asciiTheme="minorHAnsi" w:hAnsiTheme="minorHAnsi"/>
          <w:sz w:val="24"/>
          <w:szCs w:val="24"/>
          <w:lang w:val="pl-PL"/>
        </w:rPr>
        <w:t xml:space="preserve"> r., wraz z krótkim opisem podniesionych w nich zarzutów i motywów decyzji Trybunału. Załącznik B </w:t>
      </w:r>
      <w:r w:rsidRPr="002C2D40">
        <w:rPr>
          <w:rFonts w:asciiTheme="minorHAnsi" w:hAnsiTheme="minorHAnsi"/>
          <w:sz w:val="24"/>
          <w:szCs w:val="24"/>
          <w:lang w:val="pl-PL"/>
        </w:rPr>
        <w:t xml:space="preserve">zawiera zestawienie tabelaryczne planów działań i raportów z </w:t>
      </w:r>
      <w:r w:rsidR="00F53227" w:rsidRPr="002C2D40">
        <w:rPr>
          <w:rFonts w:asciiTheme="minorHAnsi" w:hAnsiTheme="minorHAnsi"/>
          <w:sz w:val="24"/>
          <w:szCs w:val="24"/>
          <w:lang w:val="pl-PL"/>
        </w:rPr>
        <w:t xml:space="preserve">wykonania. Załącznik C </w:t>
      </w:r>
      <w:r w:rsidRPr="002C2D40">
        <w:rPr>
          <w:rFonts w:asciiTheme="minorHAnsi" w:hAnsiTheme="minorHAnsi"/>
          <w:sz w:val="24"/>
          <w:szCs w:val="24"/>
          <w:lang w:val="pl-PL"/>
        </w:rPr>
        <w:t xml:space="preserve">obejmuje pełne teksty ww. planów i raportów w polskiej wersji językowej. W Załączniku </w:t>
      </w:r>
      <w:r w:rsidR="00F53227" w:rsidRPr="002C2D40">
        <w:rPr>
          <w:rFonts w:asciiTheme="minorHAnsi" w:hAnsiTheme="minorHAnsi"/>
          <w:sz w:val="24"/>
          <w:szCs w:val="24"/>
          <w:lang w:val="pl-PL"/>
        </w:rPr>
        <w:t>D</w:t>
      </w:r>
      <w:r w:rsidRPr="002C2D40">
        <w:rPr>
          <w:rFonts w:asciiTheme="minorHAnsi" w:hAnsiTheme="minorHAnsi"/>
          <w:sz w:val="24"/>
          <w:szCs w:val="24"/>
          <w:lang w:val="pl-PL"/>
        </w:rPr>
        <w:t xml:space="preserve"> zebrane zostały sprawozdania z posiedzeń plenarnych Zespołu ds. ETPC</w:t>
      </w:r>
      <w:r w:rsidR="00F53227" w:rsidRPr="002C2D40">
        <w:rPr>
          <w:rFonts w:asciiTheme="minorHAnsi" w:hAnsiTheme="minorHAnsi"/>
          <w:sz w:val="24"/>
          <w:szCs w:val="24"/>
          <w:lang w:val="pl-PL"/>
        </w:rPr>
        <w:t xml:space="preserve">. </w:t>
      </w:r>
      <w:r w:rsidRPr="002C2D40">
        <w:rPr>
          <w:rFonts w:asciiTheme="minorHAnsi" w:hAnsiTheme="minorHAnsi"/>
          <w:sz w:val="24"/>
          <w:szCs w:val="24"/>
          <w:lang w:val="pl-PL"/>
        </w:rPr>
        <w:t>W Załączniku E</w:t>
      </w:r>
      <w:r w:rsidRPr="002C2D40">
        <w:rPr>
          <w:rFonts w:asciiTheme="minorHAnsi" w:hAnsiTheme="minorHAnsi"/>
        </w:rPr>
        <w:t xml:space="preserve"> </w:t>
      </w:r>
      <w:r w:rsidRPr="002C2D40">
        <w:rPr>
          <w:rFonts w:asciiTheme="minorHAnsi" w:hAnsiTheme="minorHAnsi"/>
          <w:sz w:val="24"/>
          <w:szCs w:val="24"/>
          <w:lang w:val="pl-PL"/>
        </w:rPr>
        <w:t>znajduje się wykaz projektów nowelizacji aktów prawnych i zmian legislacyjnych oraz wykaz zmian w praktyce</w:t>
      </w:r>
      <w:r w:rsidR="00FE70E1" w:rsidRPr="002C2D40">
        <w:rPr>
          <w:rFonts w:asciiTheme="minorHAnsi" w:hAnsiTheme="minorHAnsi"/>
          <w:sz w:val="24"/>
          <w:szCs w:val="24"/>
          <w:lang w:val="pl-PL"/>
        </w:rPr>
        <w:t>,</w:t>
      </w:r>
      <w:r w:rsidRPr="002C2D40">
        <w:rPr>
          <w:rFonts w:asciiTheme="minorHAnsi" w:hAnsiTheme="minorHAnsi"/>
          <w:sz w:val="24"/>
          <w:szCs w:val="24"/>
          <w:lang w:val="pl-PL"/>
        </w:rPr>
        <w:t xml:space="preserve"> koniecznych dla wykonania wyroków ETPC, </w:t>
      </w:r>
      <w:r w:rsidR="00785BFD" w:rsidRPr="002C2D40">
        <w:rPr>
          <w:rFonts w:asciiTheme="minorHAnsi" w:hAnsiTheme="minorHAnsi"/>
          <w:sz w:val="24"/>
          <w:szCs w:val="24"/>
          <w:lang w:val="pl-PL"/>
        </w:rPr>
        <w:t>a także informacja n</w:t>
      </w:r>
      <w:r w:rsidR="00DB3784" w:rsidRPr="002C2D40">
        <w:rPr>
          <w:rFonts w:asciiTheme="minorHAnsi" w:hAnsiTheme="minorHAnsi"/>
          <w:sz w:val="24"/>
          <w:szCs w:val="24"/>
          <w:lang w:val="pl-PL"/>
        </w:rPr>
        <w:t xml:space="preserve">a </w:t>
      </w:r>
      <w:r w:rsidR="00785BFD" w:rsidRPr="002C2D40">
        <w:rPr>
          <w:rFonts w:asciiTheme="minorHAnsi" w:hAnsiTheme="minorHAnsi"/>
          <w:sz w:val="24"/>
          <w:szCs w:val="24"/>
          <w:lang w:val="pl-PL"/>
        </w:rPr>
        <w:t>t</w:t>
      </w:r>
      <w:r w:rsidR="00DB3784" w:rsidRPr="002C2D40">
        <w:rPr>
          <w:rFonts w:asciiTheme="minorHAnsi" w:hAnsiTheme="minorHAnsi"/>
          <w:sz w:val="24"/>
          <w:szCs w:val="24"/>
          <w:lang w:val="pl-PL"/>
        </w:rPr>
        <w:t>emat</w:t>
      </w:r>
      <w:r w:rsidR="00785BFD" w:rsidRPr="002C2D40">
        <w:rPr>
          <w:rFonts w:asciiTheme="minorHAnsi" w:hAnsiTheme="minorHAnsi"/>
          <w:sz w:val="24"/>
          <w:szCs w:val="24"/>
          <w:lang w:val="pl-PL"/>
        </w:rPr>
        <w:t xml:space="preserve"> źródeł naruszeń Konwencji, wynikających z obowiązującego prawa lub nieodpowiedniej praktyki jego stosowania</w:t>
      </w:r>
      <w:r w:rsidRPr="002C2D40">
        <w:rPr>
          <w:rFonts w:asciiTheme="minorHAnsi" w:hAnsiTheme="minorHAnsi"/>
          <w:sz w:val="24"/>
          <w:szCs w:val="24"/>
          <w:lang w:val="pl-PL"/>
        </w:rPr>
        <w:t xml:space="preserve">. </w:t>
      </w:r>
      <w:r w:rsidR="00720282" w:rsidRPr="002C2D40">
        <w:rPr>
          <w:rFonts w:asciiTheme="minorHAnsi" w:hAnsiTheme="minorHAnsi"/>
          <w:sz w:val="24"/>
          <w:szCs w:val="24"/>
          <w:lang w:val="pl-PL"/>
        </w:rPr>
        <w:t>W tym załączniku umieszczony został również wykaz polskich wyroków</w:t>
      </w:r>
      <w:r w:rsidR="002034F6">
        <w:rPr>
          <w:rFonts w:asciiTheme="minorHAnsi" w:hAnsiTheme="minorHAnsi"/>
          <w:sz w:val="24"/>
          <w:szCs w:val="24"/>
          <w:lang w:val="pl-PL"/>
        </w:rPr>
        <w:t>,</w:t>
      </w:r>
      <w:r w:rsidR="00720282" w:rsidRPr="002C2D40">
        <w:rPr>
          <w:rFonts w:asciiTheme="minorHAnsi" w:hAnsiTheme="minorHAnsi"/>
          <w:sz w:val="24"/>
          <w:szCs w:val="24"/>
          <w:lang w:val="pl-PL"/>
        </w:rPr>
        <w:t xml:space="preserve"> znajdujących się w </w:t>
      </w:r>
      <w:r w:rsidR="00643711" w:rsidRPr="002C2D40">
        <w:rPr>
          <w:rFonts w:asciiTheme="minorHAnsi" w:hAnsiTheme="minorHAnsi"/>
          <w:sz w:val="24"/>
          <w:szCs w:val="24"/>
          <w:lang w:val="pl-PL"/>
        </w:rPr>
        <w:t>procesie</w:t>
      </w:r>
      <w:r w:rsidR="00720282" w:rsidRPr="002C2D40">
        <w:rPr>
          <w:rFonts w:asciiTheme="minorHAnsi" w:hAnsiTheme="minorHAnsi"/>
          <w:sz w:val="24"/>
          <w:szCs w:val="24"/>
          <w:lang w:val="pl-PL"/>
        </w:rPr>
        <w:t xml:space="preserve"> wykonywania </w:t>
      </w:r>
      <w:r w:rsidR="00643711" w:rsidRPr="002C2D40">
        <w:rPr>
          <w:rFonts w:asciiTheme="minorHAnsi" w:hAnsiTheme="minorHAnsi"/>
          <w:sz w:val="24"/>
          <w:szCs w:val="24"/>
          <w:lang w:val="pl-PL"/>
        </w:rPr>
        <w:t>pod nadzorem</w:t>
      </w:r>
      <w:r w:rsidR="00720282" w:rsidRPr="002C2D40">
        <w:rPr>
          <w:rFonts w:asciiTheme="minorHAnsi" w:hAnsiTheme="minorHAnsi"/>
          <w:sz w:val="24"/>
          <w:szCs w:val="24"/>
          <w:lang w:val="pl-PL"/>
        </w:rPr>
        <w:t xml:space="preserve"> Komi</w:t>
      </w:r>
      <w:r w:rsidR="00643711" w:rsidRPr="002C2D40">
        <w:rPr>
          <w:rFonts w:asciiTheme="minorHAnsi" w:hAnsiTheme="minorHAnsi"/>
          <w:sz w:val="24"/>
          <w:szCs w:val="24"/>
          <w:lang w:val="pl-PL"/>
        </w:rPr>
        <w:t>tetu Ministrów RE na koniec 20</w:t>
      </w:r>
      <w:r w:rsidR="00DB3784" w:rsidRPr="002C2D40">
        <w:rPr>
          <w:rFonts w:asciiTheme="minorHAnsi" w:hAnsiTheme="minorHAnsi"/>
          <w:sz w:val="24"/>
          <w:szCs w:val="24"/>
          <w:lang w:val="pl-PL"/>
        </w:rPr>
        <w:t>20</w:t>
      </w:r>
      <w:r w:rsidR="00720282" w:rsidRPr="002C2D40">
        <w:rPr>
          <w:rFonts w:asciiTheme="minorHAnsi" w:hAnsiTheme="minorHAnsi"/>
          <w:sz w:val="24"/>
          <w:szCs w:val="24"/>
          <w:lang w:val="pl-PL"/>
        </w:rPr>
        <w:t xml:space="preserve"> r. </w:t>
      </w:r>
      <w:r w:rsidRPr="002C2D40">
        <w:rPr>
          <w:rFonts w:asciiTheme="minorHAnsi" w:hAnsiTheme="minorHAnsi"/>
          <w:sz w:val="24"/>
          <w:szCs w:val="24"/>
          <w:lang w:val="pl-PL"/>
        </w:rPr>
        <w:t xml:space="preserve">Załącznik F zawiera pełne teksty komunikacji przesłanych </w:t>
      </w:r>
      <w:r w:rsidR="00DB3784" w:rsidRPr="002C2D40">
        <w:rPr>
          <w:rFonts w:asciiTheme="minorHAnsi" w:hAnsiTheme="minorHAnsi"/>
          <w:sz w:val="24"/>
          <w:szCs w:val="24"/>
          <w:lang w:val="pl-PL"/>
        </w:rPr>
        <w:t xml:space="preserve">w 2020 r. </w:t>
      </w:r>
      <w:r w:rsidRPr="002C2D40">
        <w:rPr>
          <w:rFonts w:asciiTheme="minorHAnsi" w:hAnsiTheme="minorHAnsi"/>
          <w:sz w:val="24"/>
          <w:szCs w:val="24"/>
          <w:lang w:val="pl-PL"/>
        </w:rPr>
        <w:t xml:space="preserve">do </w:t>
      </w:r>
      <w:r w:rsidRPr="002C2D40">
        <w:rPr>
          <w:rFonts w:asciiTheme="minorHAnsi" w:hAnsiTheme="minorHAnsi"/>
          <w:sz w:val="24"/>
          <w:szCs w:val="24"/>
        </w:rPr>
        <w:t>Komitet</w:t>
      </w:r>
      <w:r w:rsidRPr="002C2D40">
        <w:rPr>
          <w:rFonts w:asciiTheme="minorHAnsi" w:hAnsiTheme="minorHAnsi"/>
          <w:sz w:val="24"/>
          <w:szCs w:val="24"/>
          <w:lang w:val="pl-PL"/>
        </w:rPr>
        <w:t>u</w:t>
      </w:r>
      <w:r w:rsidRPr="002C2D40">
        <w:rPr>
          <w:rFonts w:asciiTheme="minorHAnsi" w:hAnsiTheme="minorHAnsi"/>
          <w:sz w:val="24"/>
          <w:szCs w:val="24"/>
        </w:rPr>
        <w:t xml:space="preserve"> Ministrów Rady Europy </w:t>
      </w:r>
      <w:r w:rsidRPr="002C2D40">
        <w:rPr>
          <w:rFonts w:asciiTheme="minorHAnsi" w:hAnsiTheme="minorHAnsi"/>
          <w:sz w:val="24"/>
          <w:szCs w:val="24"/>
          <w:lang w:val="pl-PL"/>
        </w:rPr>
        <w:t>przez uprawnione do tego podmioty (organizacje pozarządowe</w:t>
      </w:r>
      <w:r w:rsidR="00E97BE9" w:rsidRPr="002C2D40">
        <w:rPr>
          <w:rFonts w:asciiTheme="minorHAnsi" w:hAnsiTheme="minorHAnsi"/>
          <w:sz w:val="24"/>
          <w:szCs w:val="24"/>
          <w:lang w:val="pl-PL"/>
        </w:rPr>
        <w:t>,</w:t>
      </w:r>
      <w:r w:rsidR="00DB3784" w:rsidRPr="002C2D40">
        <w:rPr>
          <w:rFonts w:asciiTheme="minorHAnsi" w:hAnsiTheme="minorHAnsi"/>
          <w:sz w:val="24"/>
          <w:szCs w:val="24"/>
          <w:lang w:val="pl-PL"/>
        </w:rPr>
        <w:t xml:space="preserve"> instytucje międzynarodowe, Rzecznika Praw Obywatelskich czy Komisarza Praw Człowieka RE)</w:t>
      </w:r>
      <w:r w:rsidRPr="002C2D40">
        <w:rPr>
          <w:rFonts w:asciiTheme="minorHAnsi" w:hAnsiTheme="minorHAnsi"/>
          <w:sz w:val="24"/>
          <w:szCs w:val="24"/>
          <w:lang w:val="pl-PL"/>
        </w:rPr>
        <w:t xml:space="preserve"> wraz z odpowiedziami </w:t>
      </w:r>
      <w:r w:rsidR="002034F6">
        <w:rPr>
          <w:rFonts w:asciiTheme="minorHAnsi" w:hAnsiTheme="minorHAnsi"/>
          <w:sz w:val="24"/>
          <w:szCs w:val="24"/>
          <w:lang w:val="pl-PL"/>
        </w:rPr>
        <w:t>R</w:t>
      </w:r>
      <w:r w:rsidRPr="002C2D40">
        <w:rPr>
          <w:rFonts w:asciiTheme="minorHAnsi" w:hAnsiTheme="minorHAnsi"/>
          <w:sz w:val="24"/>
          <w:szCs w:val="24"/>
          <w:lang w:val="pl-PL"/>
        </w:rPr>
        <w:t>ządu.</w:t>
      </w:r>
      <w:r w:rsidR="00F53227" w:rsidRPr="002C2D40">
        <w:rPr>
          <w:rFonts w:asciiTheme="minorHAnsi" w:hAnsiTheme="minorHAnsi"/>
          <w:sz w:val="24"/>
          <w:szCs w:val="24"/>
          <w:lang w:val="pl-PL"/>
        </w:rPr>
        <w:t xml:space="preserve"> </w:t>
      </w:r>
      <w:r w:rsidR="00E9305C" w:rsidRPr="002C2D40">
        <w:rPr>
          <w:rFonts w:asciiTheme="minorHAnsi" w:hAnsiTheme="minorHAnsi"/>
          <w:sz w:val="24"/>
          <w:szCs w:val="24"/>
          <w:lang w:val="pl-PL"/>
        </w:rPr>
        <w:t>W</w:t>
      </w:r>
      <w:r w:rsidR="00F53227" w:rsidRPr="002C2D40">
        <w:rPr>
          <w:rFonts w:asciiTheme="minorHAnsi" w:hAnsiTheme="minorHAnsi"/>
          <w:sz w:val="24"/>
          <w:szCs w:val="24"/>
          <w:lang w:val="pl-PL"/>
        </w:rPr>
        <w:t xml:space="preserve"> Załączniku G przedstawione zostały wybrane orzeczenia Trybunału</w:t>
      </w:r>
      <w:r w:rsidR="002034F6">
        <w:rPr>
          <w:rFonts w:asciiTheme="minorHAnsi" w:hAnsiTheme="minorHAnsi"/>
          <w:sz w:val="24"/>
          <w:szCs w:val="24"/>
          <w:lang w:val="pl-PL"/>
        </w:rPr>
        <w:t>,</w:t>
      </w:r>
      <w:r w:rsidR="00F53227" w:rsidRPr="002C2D40">
        <w:rPr>
          <w:rFonts w:asciiTheme="minorHAnsi" w:hAnsiTheme="minorHAnsi"/>
          <w:sz w:val="24"/>
          <w:szCs w:val="24"/>
          <w:lang w:val="pl-PL"/>
        </w:rPr>
        <w:t xml:space="preserve"> wydane w sprawach dotyczących innych Państw-Stron Konwencji, które mają lub mogą mieć znaczenie dla prawa lub praktyki jego stosowania w Polsce.</w:t>
      </w:r>
    </w:p>
    <w:p w:rsidR="00DD0730" w:rsidRPr="002C2D40" w:rsidRDefault="00DB3784" w:rsidP="003566DD">
      <w:pPr>
        <w:spacing w:before="120"/>
        <w:jc w:val="both"/>
        <w:rPr>
          <w:rFonts w:asciiTheme="minorHAnsi" w:eastAsia="Calibri" w:hAnsiTheme="minorHAnsi"/>
          <w:lang w:eastAsia="en-US"/>
        </w:rPr>
      </w:pPr>
      <w:r w:rsidRPr="002C2D40">
        <w:rPr>
          <w:rFonts w:asciiTheme="minorHAnsi" w:eastAsia="Calibri" w:hAnsiTheme="minorHAnsi"/>
          <w:lang w:eastAsia="en-US"/>
        </w:rPr>
        <w:t xml:space="preserve">Procedura wykonywania orzeczeń Trybunału przez państwa członkowskie Rady Europy oraz struktura planów i raportów z wykonywania przedstawianych KM zostały szczegółowo opisane w </w:t>
      </w:r>
      <w:r w:rsidR="00E97BE9" w:rsidRPr="002C2D40">
        <w:rPr>
          <w:rFonts w:asciiTheme="minorHAnsi" w:eastAsia="Calibri" w:hAnsiTheme="minorHAnsi"/>
          <w:lang w:eastAsia="en-US"/>
        </w:rPr>
        <w:t>Raportach za 2012 r. i 2013 r.</w:t>
      </w:r>
      <w:r w:rsidRPr="002C2D40">
        <w:rPr>
          <w:rFonts w:asciiTheme="minorHAnsi" w:eastAsia="Calibri" w:hAnsiTheme="minorHAnsi"/>
          <w:lang w:eastAsia="en-US"/>
        </w:rPr>
        <w:t xml:space="preserve">, dlatego też nie będą przytaczane w </w:t>
      </w:r>
      <w:r w:rsidR="00DD0730" w:rsidRPr="002C2D40">
        <w:rPr>
          <w:rFonts w:asciiTheme="minorHAnsi" w:eastAsia="Calibri" w:hAnsiTheme="minorHAnsi"/>
          <w:lang w:eastAsia="en-US"/>
        </w:rPr>
        <w:t>niniejszym dokumencie. Raporty</w:t>
      </w:r>
      <w:r w:rsidRPr="002C2D40">
        <w:rPr>
          <w:rFonts w:asciiTheme="minorHAnsi" w:eastAsia="Calibri" w:hAnsiTheme="minorHAnsi"/>
          <w:lang w:eastAsia="en-US"/>
        </w:rPr>
        <w:t xml:space="preserve"> za lata ubiegłe są dostępne na </w:t>
      </w:r>
      <w:r w:rsidR="00E9305C" w:rsidRPr="002C2D40">
        <w:rPr>
          <w:rFonts w:asciiTheme="minorHAnsi" w:eastAsia="Calibri" w:hAnsiTheme="minorHAnsi"/>
          <w:lang w:eastAsia="en-US"/>
        </w:rPr>
        <w:t>s</w:t>
      </w:r>
      <w:r w:rsidR="00DD0730" w:rsidRPr="002C2D40">
        <w:rPr>
          <w:rFonts w:asciiTheme="minorHAnsi" w:eastAsia="Calibri" w:hAnsiTheme="minorHAnsi"/>
          <w:lang w:eastAsia="en-US"/>
        </w:rPr>
        <w:t>tronie internetowej Ministerstwa Spraw Zagranicznych (dalej</w:t>
      </w:r>
      <w:r w:rsidR="00643711" w:rsidRPr="002C2D40">
        <w:rPr>
          <w:rFonts w:asciiTheme="minorHAnsi" w:eastAsia="Calibri" w:hAnsiTheme="minorHAnsi"/>
          <w:lang w:eastAsia="en-US"/>
        </w:rPr>
        <w:t>:</w:t>
      </w:r>
      <w:r w:rsidR="00DD0730" w:rsidRPr="002C2D40">
        <w:rPr>
          <w:rFonts w:asciiTheme="minorHAnsi" w:eastAsia="Calibri" w:hAnsiTheme="minorHAnsi"/>
          <w:lang w:eastAsia="en-US"/>
        </w:rPr>
        <w:t xml:space="preserve"> </w:t>
      </w:r>
      <w:r w:rsidR="002034F6">
        <w:rPr>
          <w:rFonts w:asciiTheme="minorHAnsi" w:eastAsia="Calibri" w:hAnsiTheme="minorHAnsi"/>
          <w:lang w:eastAsia="en-US"/>
        </w:rPr>
        <w:t>„</w:t>
      </w:r>
      <w:r w:rsidR="00DD0730" w:rsidRPr="002C2D40">
        <w:rPr>
          <w:rFonts w:asciiTheme="minorHAnsi" w:eastAsia="Calibri" w:hAnsiTheme="minorHAnsi"/>
          <w:lang w:eastAsia="en-US"/>
        </w:rPr>
        <w:t>MSZ</w:t>
      </w:r>
      <w:r w:rsidR="002034F6">
        <w:rPr>
          <w:rFonts w:asciiTheme="minorHAnsi" w:eastAsia="Calibri" w:hAnsiTheme="minorHAnsi"/>
          <w:lang w:eastAsia="en-US"/>
        </w:rPr>
        <w:t>”</w:t>
      </w:r>
      <w:r w:rsidR="00DD0730" w:rsidRPr="002C2D40">
        <w:rPr>
          <w:rFonts w:asciiTheme="minorHAnsi" w:eastAsia="Calibri" w:hAnsiTheme="minorHAnsi"/>
          <w:lang w:eastAsia="en-US"/>
        </w:rPr>
        <w:t>):</w:t>
      </w:r>
      <w:r w:rsidR="00E9305C" w:rsidRPr="002C2D40">
        <w:rPr>
          <w:rFonts w:asciiTheme="minorHAnsi" w:eastAsia="Calibri" w:hAnsiTheme="minorHAnsi"/>
          <w:lang w:eastAsia="en-US"/>
        </w:rPr>
        <w:t xml:space="preserve"> </w:t>
      </w:r>
      <w:r w:rsidR="00E9305C" w:rsidRPr="00162114">
        <w:rPr>
          <w:rFonts w:asciiTheme="minorHAnsi" w:eastAsia="Calibri" w:hAnsiTheme="minorHAnsi"/>
          <w:lang w:eastAsia="en-US"/>
        </w:rPr>
        <w:t>https://www.gov.pl/web/dyplomacja/raporty-roczne-rzadu-na-temat-wykonywania-orzeczen-etpc</w:t>
      </w:r>
      <w:r w:rsidR="00E9305C" w:rsidRPr="002C2D40">
        <w:rPr>
          <w:rFonts w:asciiTheme="minorHAnsi" w:eastAsia="Calibri" w:hAnsiTheme="minorHAnsi"/>
          <w:lang w:eastAsia="en-US"/>
        </w:rPr>
        <w:t xml:space="preserve"> </w:t>
      </w:r>
    </w:p>
    <w:p w:rsidR="00643711" w:rsidRDefault="00E9305C" w:rsidP="003566DD">
      <w:pPr>
        <w:spacing w:before="120"/>
        <w:jc w:val="both"/>
        <w:rPr>
          <w:rStyle w:val="Hipercze"/>
          <w:rFonts w:asciiTheme="minorHAnsi" w:eastAsia="Calibri" w:hAnsiTheme="minorHAnsi"/>
          <w:color w:val="auto"/>
          <w:u w:val="none"/>
          <w:lang w:eastAsia="en-US"/>
        </w:rPr>
      </w:pPr>
      <w:r w:rsidRPr="002C2D40">
        <w:rPr>
          <w:rStyle w:val="Hipercze"/>
          <w:rFonts w:asciiTheme="minorHAnsi" w:eastAsia="Calibri" w:hAnsiTheme="minorHAnsi"/>
          <w:color w:val="auto"/>
          <w:u w:val="none"/>
          <w:lang w:eastAsia="en-US"/>
        </w:rPr>
        <w:t>W</w:t>
      </w:r>
      <w:r w:rsidR="00643711" w:rsidRPr="002C2D40">
        <w:rPr>
          <w:rStyle w:val="Hipercze"/>
          <w:rFonts w:asciiTheme="minorHAnsi" w:eastAsia="Calibri" w:hAnsiTheme="minorHAnsi"/>
          <w:color w:val="auto"/>
          <w:u w:val="none"/>
          <w:lang w:eastAsia="en-US"/>
        </w:rPr>
        <w:t xml:space="preserve">szelkie informacje na temat procesu nadzoru Komitetu Ministrów RE nad wykonywaniem orzeczeń </w:t>
      </w:r>
      <w:r w:rsidR="00162114">
        <w:rPr>
          <w:rStyle w:val="Hipercze"/>
          <w:rFonts w:asciiTheme="minorHAnsi" w:eastAsia="Calibri" w:hAnsiTheme="minorHAnsi"/>
          <w:color w:val="auto"/>
          <w:u w:val="none"/>
          <w:lang w:eastAsia="en-US"/>
        </w:rPr>
        <w:t>Trybunału</w:t>
      </w:r>
      <w:r w:rsidR="00643711" w:rsidRPr="002C2D40">
        <w:rPr>
          <w:rStyle w:val="Hipercze"/>
          <w:rFonts w:asciiTheme="minorHAnsi" w:eastAsia="Calibri" w:hAnsiTheme="minorHAnsi"/>
          <w:color w:val="auto"/>
          <w:u w:val="none"/>
          <w:lang w:eastAsia="en-US"/>
        </w:rPr>
        <w:t xml:space="preserve"> można </w:t>
      </w:r>
      <w:r w:rsidRPr="002C2D40">
        <w:rPr>
          <w:rStyle w:val="Hipercze"/>
          <w:rFonts w:asciiTheme="minorHAnsi" w:eastAsia="Calibri" w:hAnsiTheme="minorHAnsi"/>
          <w:color w:val="auto"/>
          <w:u w:val="none"/>
          <w:lang w:eastAsia="en-US"/>
        </w:rPr>
        <w:t xml:space="preserve">także </w:t>
      </w:r>
      <w:r w:rsidR="00643711" w:rsidRPr="002C2D40">
        <w:rPr>
          <w:rStyle w:val="Hipercze"/>
          <w:rFonts w:asciiTheme="minorHAnsi" w:eastAsia="Calibri" w:hAnsiTheme="minorHAnsi"/>
          <w:color w:val="auto"/>
          <w:u w:val="none"/>
          <w:lang w:eastAsia="en-US"/>
        </w:rPr>
        <w:t>znaleźć na stronie internetowej Departamentu Wykonywania Wyroków ETPC Sekretariatu Rady Europy</w:t>
      </w:r>
      <w:r w:rsidR="00E73FF5" w:rsidRPr="002C2D40">
        <w:rPr>
          <w:rStyle w:val="Hipercze"/>
          <w:rFonts w:asciiTheme="minorHAnsi" w:eastAsia="Calibri" w:hAnsiTheme="minorHAnsi"/>
          <w:color w:val="auto"/>
          <w:u w:val="none"/>
          <w:lang w:eastAsia="en-US"/>
        </w:rPr>
        <w:t xml:space="preserve"> </w:t>
      </w:r>
      <w:r w:rsidR="00E73FF5" w:rsidRPr="002C2D40">
        <w:rPr>
          <w:rFonts w:asciiTheme="minorHAnsi" w:hAnsiTheme="minorHAnsi"/>
        </w:rPr>
        <w:t xml:space="preserve">(dalej: </w:t>
      </w:r>
      <w:r w:rsidR="002034F6">
        <w:rPr>
          <w:rFonts w:asciiTheme="minorHAnsi" w:hAnsiTheme="minorHAnsi"/>
        </w:rPr>
        <w:t>„</w:t>
      </w:r>
      <w:r w:rsidR="00E73FF5" w:rsidRPr="002C2D40">
        <w:rPr>
          <w:rFonts w:asciiTheme="minorHAnsi" w:hAnsiTheme="minorHAnsi"/>
        </w:rPr>
        <w:t>DWW</w:t>
      </w:r>
      <w:r w:rsidR="002034F6">
        <w:rPr>
          <w:rFonts w:asciiTheme="minorHAnsi" w:hAnsiTheme="minorHAnsi"/>
        </w:rPr>
        <w:t>”</w:t>
      </w:r>
      <w:r w:rsidR="00E73FF5" w:rsidRPr="002C2D40">
        <w:rPr>
          <w:rFonts w:asciiTheme="minorHAnsi" w:hAnsiTheme="minorHAnsi"/>
        </w:rPr>
        <w:t xml:space="preserve"> lub </w:t>
      </w:r>
      <w:r w:rsidR="002034F6">
        <w:rPr>
          <w:rFonts w:asciiTheme="minorHAnsi" w:hAnsiTheme="minorHAnsi"/>
        </w:rPr>
        <w:t>„</w:t>
      </w:r>
      <w:r w:rsidR="00E73FF5" w:rsidRPr="002C2D40">
        <w:rPr>
          <w:rFonts w:asciiTheme="minorHAnsi" w:hAnsiTheme="minorHAnsi"/>
        </w:rPr>
        <w:t>DWW Sekretariatu RE</w:t>
      </w:r>
      <w:r w:rsidR="002034F6">
        <w:rPr>
          <w:rFonts w:asciiTheme="minorHAnsi" w:hAnsiTheme="minorHAnsi"/>
        </w:rPr>
        <w:t>”</w:t>
      </w:r>
      <w:r w:rsidR="00E73FF5" w:rsidRPr="002C2D40">
        <w:rPr>
          <w:rFonts w:asciiTheme="minorHAnsi" w:hAnsiTheme="minorHAnsi"/>
        </w:rPr>
        <w:t>)</w:t>
      </w:r>
      <w:r w:rsidR="008B088B" w:rsidRPr="002C2D40">
        <w:rPr>
          <w:rStyle w:val="Hipercze"/>
          <w:rFonts w:asciiTheme="minorHAnsi" w:eastAsia="Calibri" w:hAnsiTheme="minorHAnsi"/>
          <w:color w:val="auto"/>
          <w:u w:val="none"/>
          <w:lang w:eastAsia="en-US"/>
        </w:rPr>
        <w:t xml:space="preserve">, </w:t>
      </w:r>
      <w:r w:rsidR="008B088B" w:rsidRPr="002C2D40">
        <w:rPr>
          <w:rFonts w:asciiTheme="minorHAnsi" w:hAnsiTheme="minorHAnsi"/>
        </w:rPr>
        <w:t>który zajmuje się merytoryczną obsługą Komitetu Ministrów RE w zakresie realizacji jego funkcji wynikającej z art. 46 ust. 2 Konwencji</w:t>
      </w:r>
      <w:r w:rsidR="009F0915" w:rsidRPr="002C2D40">
        <w:rPr>
          <w:rFonts w:asciiTheme="minorHAnsi" w:hAnsiTheme="minorHAnsi"/>
        </w:rPr>
        <w:t xml:space="preserve">: </w:t>
      </w:r>
      <w:r w:rsidR="009F0915" w:rsidRPr="00162114">
        <w:rPr>
          <w:rFonts w:asciiTheme="minorHAnsi" w:hAnsiTheme="minorHAnsi"/>
        </w:rPr>
        <w:t>https://www.coe.int/en/web/execution</w:t>
      </w:r>
      <w:r w:rsidR="009F0915" w:rsidRPr="002C2D40">
        <w:rPr>
          <w:rFonts w:asciiTheme="minorHAnsi" w:hAnsiTheme="minorHAnsi"/>
        </w:rPr>
        <w:t xml:space="preserve"> </w:t>
      </w:r>
      <w:r w:rsidR="00643711" w:rsidRPr="002C2D40">
        <w:rPr>
          <w:rStyle w:val="Hipercze"/>
          <w:rFonts w:asciiTheme="minorHAnsi" w:eastAsia="Calibri" w:hAnsiTheme="minorHAnsi"/>
          <w:color w:val="auto"/>
          <w:u w:val="none"/>
          <w:lang w:eastAsia="en-US"/>
        </w:rPr>
        <w:t>oraz w internetowej bazie wykonywanych orzeczeń</w:t>
      </w:r>
      <w:r w:rsidR="00D4341D" w:rsidRPr="002C2D40">
        <w:rPr>
          <w:rStyle w:val="Hipercze"/>
          <w:rFonts w:asciiTheme="minorHAnsi" w:eastAsia="Calibri" w:hAnsiTheme="minorHAnsi"/>
          <w:color w:val="auto"/>
          <w:u w:val="none"/>
          <w:lang w:eastAsia="en-US"/>
        </w:rPr>
        <w:t xml:space="preserve"> RE</w:t>
      </w:r>
      <w:r w:rsidR="008B088B" w:rsidRPr="002C2D40">
        <w:rPr>
          <w:rStyle w:val="Hipercze"/>
          <w:rFonts w:asciiTheme="minorHAnsi" w:eastAsia="Calibri" w:hAnsiTheme="minorHAnsi"/>
          <w:color w:val="auto"/>
          <w:u w:val="none"/>
          <w:lang w:eastAsia="en-US"/>
        </w:rPr>
        <w:t>,</w:t>
      </w:r>
      <w:r w:rsidR="00643711" w:rsidRPr="002C2D40">
        <w:rPr>
          <w:rStyle w:val="Hipercze"/>
          <w:rFonts w:asciiTheme="minorHAnsi" w:eastAsia="Calibri" w:hAnsiTheme="minorHAnsi"/>
          <w:color w:val="auto"/>
          <w:u w:val="none"/>
          <w:lang w:eastAsia="en-US"/>
        </w:rPr>
        <w:t xml:space="preserve"> </w:t>
      </w:r>
      <w:r w:rsidR="00E73FF5" w:rsidRPr="002C2D40">
        <w:rPr>
          <w:rStyle w:val="Hipercze"/>
          <w:rFonts w:asciiTheme="minorHAnsi" w:eastAsia="Calibri" w:hAnsiTheme="minorHAnsi"/>
          <w:color w:val="auto"/>
          <w:u w:val="none"/>
          <w:lang w:eastAsia="en-US"/>
        </w:rPr>
        <w:t>HUDOC-EXEC</w:t>
      </w:r>
      <w:r w:rsidR="009F0915" w:rsidRPr="002C2D40">
        <w:rPr>
          <w:rStyle w:val="Hipercze"/>
          <w:rFonts w:asciiTheme="minorHAnsi" w:eastAsia="Calibri" w:hAnsiTheme="minorHAnsi"/>
          <w:color w:val="auto"/>
          <w:u w:val="none"/>
          <w:lang w:eastAsia="en-US"/>
        </w:rPr>
        <w:t xml:space="preserve">: </w:t>
      </w:r>
      <w:r w:rsidR="009F0915" w:rsidRPr="00162114">
        <w:rPr>
          <w:rFonts w:asciiTheme="minorHAnsi" w:eastAsia="Calibri" w:hAnsiTheme="minorHAnsi"/>
          <w:lang w:eastAsia="en-US"/>
        </w:rPr>
        <w:t>https://hudoc.exec.coe.int/</w:t>
      </w:r>
      <w:r w:rsidR="009F0915" w:rsidRPr="002C2D40">
        <w:rPr>
          <w:rStyle w:val="Hipercze"/>
          <w:rFonts w:asciiTheme="minorHAnsi" w:eastAsia="Calibri" w:hAnsiTheme="minorHAnsi"/>
          <w:color w:val="auto"/>
          <w:u w:val="none"/>
          <w:lang w:eastAsia="en-US"/>
        </w:rPr>
        <w:t xml:space="preserve"> </w:t>
      </w:r>
      <w:r w:rsidR="00643711" w:rsidRPr="002C2D40">
        <w:rPr>
          <w:rStyle w:val="Hipercze"/>
          <w:rFonts w:asciiTheme="minorHAnsi" w:eastAsia="Calibri" w:hAnsiTheme="minorHAnsi"/>
          <w:color w:val="auto"/>
          <w:u w:val="none"/>
          <w:lang w:eastAsia="en-US"/>
        </w:rPr>
        <w:t xml:space="preserve">(obie strony dostępne w językach angielskim i francuskim). </w:t>
      </w:r>
    </w:p>
    <w:p w:rsidR="002034F6" w:rsidRPr="002C2D40" w:rsidRDefault="002034F6" w:rsidP="002C2D40">
      <w:pPr>
        <w:spacing w:before="120"/>
        <w:ind w:firstLine="709"/>
        <w:jc w:val="both"/>
        <w:rPr>
          <w:rFonts w:asciiTheme="minorHAnsi" w:eastAsia="Calibri" w:hAnsiTheme="minorHAnsi"/>
          <w:lang w:eastAsia="en-US"/>
        </w:rPr>
      </w:pPr>
    </w:p>
    <w:p w:rsidR="00DD0730" w:rsidRPr="002C2D40" w:rsidRDefault="00DD0730" w:rsidP="002C2D40">
      <w:pPr>
        <w:pStyle w:val="Nagwek1"/>
        <w:spacing w:before="120"/>
        <w:rPr>
          <w:rFonts w:asciiTheme="minorHAnsi" w:hAnsiTheme="minorHAnsi"/>
        </w:rPr>
      </w:pPr>
      <w:bookmarkStart w:id="1" w:name="_Toc67656261"/>
      <w:r w:rsidRPr="002C2D40">
        <w:rPr>
          <w:rFonts w:asciiTheme="minorHAnsi" w:hAnsiTheme="minorHAnsi"/>
        </w:rPr>
        <w:t xml:space="preserve">Informacje na temat planów działań i raportów z </w:t>
      </w:r>
      <w:r w:rsidRPr="002C2D40">
        <w:rPr>
          <w:rFonts w:asciiTheme="minorHAnsi" w:hAnsiTheme="minorHAnsi"/>
          <w:lang w:val="pl-PL"/>
        </w:rPr>
        <w:t>wykonania</w:t>
      </w:r>
      <w:r w:rsidRPr="002C2D40">
        <w:rPr>
          <w:rFonts w:asciiTheme="minorHAnsi" w:hAnsiTheme="minorHAnsi"/>
        </w:rPr>
        <w:t xml:space="preserve"> wyroków Europejskiego Trybunału Praw Człowieka</w:t>
      </w:r>
      <w:r w:rsidR="003634CB" w:rsidRPr="002C2D40">
        <w:rPr>
          <w:rFonts w:asciiTheme="minorHAnsi" w:hAnsiTheme="minorHAnsi"/>
          <w:lang w:val="pl-PL"/>
        </w:rPr>
        <w:t>,</w:t>
      </w:r>
      <w:r w:rsidRPr="002C2D40">
        <w:rPr>
          <w:rFonts w:asciiTheme="minorHAnsi" w:hAnsiTheme="minorHAnsi"/>
        </w:rPr>
        <w:t xml:space="preserve"> przygotowanych i </w:t>
      </w:r>
      <w:r w:rsidR="00785BFD" w:rsidRPr="002C2D40">
        <w:rPr>
          <w:rFonts w:asciiTheme="minorHAnsi" w:hAnsiTheme="minorHAnsi"/>
          <w:lang w:val="pl-PL"/>
        </w:rPr>
        <w:t>przekazanych</w:t>
      </w:r>
      <w:r w:rsidR="00785BFD" w:rsidRPr="002C2D40">
        <w:rPr>
          <w:rFonts w:asciiTheme="minorHAnsi" w:hAnsiTheme="minorHAnsi"/>
        </w:rPr>
        <w:t xml:space="preserve"> </w:t>
      </w:r>
      <w:r w:rsidRPr="002C2D40">
        <w:rPr>
          <w:rFonts w:asciiTheme="minorHAnsi" w:hAnsiTheme="minorHAnsi"/>
        </w:rPr>
        <w:t>do Rady Europy w 20</w:t>
      </w:r>
      <w:r w:rsidR="00C121BB" w:rsidRPr="002C2D40">
        <w:rPr>
          <w:rFonts w:asciiTheme="minorHAnsi" w:hAnsiTheme="minorHAnsi"/>
          <w:lang w:val="pl-PL"/>
        </w:rPr>
        <w:t>20</w:t>
      </w:r>
      <w:r w:rsidRPr="002C2D40">
        <w:rPr>
          <w:rFonts w:asciiTheme="minorHAnsi" w:hAnsiTheme="minorHAnsi"/>
        </w:rPr>
        <w:t xml:space="preserve"> r.</w:t>
      </w:r>
      <w:bookmarkEnd w:id="1"/>
    </w:p>
    <w:p w:rsidR="00162114" w:rsidRDefault="004B4866" w:rsidP="00D82E22">
      <w:pPr>
        <w:spacing w:before="120"/>
        <w:jc w:val="both"/>
        <w:rPr>
          <w:rFonts w:asciiTheme="minorHAnsi" w:hAnsiTheme="minorHAnsi"/>
        </w:rPr>
      </w:pPr>
      <w:r w:rsidRPr="002C2D40">
        <w:rPr>
          <w:rFonts w:asciiTheme="minorHAnsi" w:hAnsiTheme="minorHAnsi"/>
        </w:rPr>
        <w:t xml:space="preserve">Jak już wyżej wspomniano, pomimo pewnych ograniczeń w działalności Pełnomocnika </w:t>
      </w:r>
      <w:r w:rsidR="00E9305C" w:rsidRPr="002C2D40">
        <w:rPr>
          <w:rFonts w:asciiTheme="minorHAnsi" w:hAnsiTheme="minorHAnsi"/>
        </w:rPr>
        <w:t xml:space="preserve">w 2020 r. </w:t>
      </w:r>
      <w:r w:rsidRPr="002C2D40">
        <w:rPr>
          <w:rFonts w:asciiTheme="minorHAnsi" w:hAnsiTheme="minorHAnsi"/>
        </w:rPr>
        <w:t>wynikających z sytuacji epidemiologicznej w kraju, związanej z SARS-Co</w:t>
      </w:r>
      <w:r w:rsidR="00162114">
        <w:rPr>
          <w:rFonts w:asciiTheme="minorHAnsi" w:hAnsiTheme="minorHAnsi"/>
        </w:rPr>
        <w:t>V</w:t>
      </w:r>
      <w:r w:rsidRPr="002C2D40">
        <w:rPr>
          <w:rFonts w:asciiTheme="minorHAnsi" w:hAnsiTheme="minorHAnsi"/>
        </w:rPr>
        <w:t xml:space="preserve">-2 oraz zmian w trybie pracy administracji krajowej, w omawianym okresie sprawozdawczym </w:t>
      </w:r>
      <w:r w:rsidR="00E9305C" w:rsidRPr="002C2D40">
        <w:rPr>
          <w:rFonts w:asciiTheme="minorHAnsi" w:hAnsiTheme="minorHAnsi"/>
        </w:rPr>
        <w:t xml:space="preserve">ponownie </w:t>
      </w:r>
      <w:r w:rsidRPr="002C2D40">
        <w:rPr>
          <w:rFonts w:asciiTheme="minorHAnsi" w:hAnsiTheme="minorHAnsi"/>
        </w:rPr>
        <w:t xml:space="preserve">doszło </w:t>
      </w:r>
      <w:r w:rsidR="00DD0730" w:rsidRPr="002C2D40">
        <w:rPr>
          <w:rFonts w:asciiTheme="minorHAnsi" w:hAnsiTheme="minorHAnsi"/>
        </w:rPr>
        <w:t>do zmniejszenia liczby orzeczeń Europejskiego Trybunału Praw Człowieka pozostających w procedurze wykonywania.</w:t>
      </w:r>
      <w:r w:rsidRPr="002C2D40">
        <w:rPr>
          <w:rFonts w:asciiTheme="minorHAnsi" w:hAnsiTheme="minorHAnsi"/>
        </w:rPr>
        <w:t xml:space="preserve"> </w:t>
      </w:r>
      <w:r w:rsidR="00E34A09" w:rsidRPr="002C2D40">
        <w:rPr>
          <w:rFonts w:asciiTheme="minorHAnsi" w:hAnsiTheme="minorHAnsi"/>
        </w:rPr>
        <w:t xml:space="preserve">W </w:t>
      </w:r>
      <w:r w:rsidRPr="002C2D40">
        <w:rPr>
          <w:rFonts w:asciiTheme="minorHAnsi" w:hAnsiTheme="minorHAnsi"/>
        </w:rPr>
        <w:t xml:space="preserve">rezultacie działań </w:t>
      </w:r>
      <w:r w:rsidR="00E34A09" w:rsidRPr="002C2D40">
        <w:rPr>
          <w:rFonts w:asciiTheme="minorHAnsi" w:hAnsiTheme="minorHAnsi"/>
        </w:rPr>
        <w:t>p</w:t>
      </w:r>
      <w:r w:rsidRPr="002C2D40">
        <w:rPr>
          <w:rFonts w:asciiTheme="minorHAnsi" w:hAnsiTheme="minorHAnsi"/>
        </w:rPr>
        <w:t>odejmowanych przez Pełnomocnika</w:t>
      </w:r>
      <w:r w:rsidR="00E34A09" w:rsidRPr="002C2D40">
        <w:rPr>
          <w:rFonts w:asciiTheme="minorHAnsi" w:hAnsiTheme="minorHAnsi"/>
        </w:rPr>
        <w:t>, współpracy z poszczególnymi resortami oraz aktywnemu współdziałaniu z właściwymi podmiotami w ramach prac międzyresortowego Zespołu ds. Europejskiego Trybunału Praw Człowieka, na koniec 20</w:t>
      </w:r>
      <w:r w:rsidR="00C121BB" w:rsidRPr="002C2D40">
        <w:rPr>
          <w:rFonts w:asciiTheme="minorHAnsi" w:hAnsiTheme="minorHAnsi"/>
        </w:rPr>
        <w:t>20</w:t>
      </w:r>
      <w:r w:rsidR="00E34A09" w:rsidRPr="002C2D40">
        <w:rPr>
          <w:rFonts w:asciiTheme="minorHAnsi" w:hAnsiTheme="minorHAnsi"/>
        </w:rPr>
        <w:t xml:space="preserve"> r. w nadzorze Komitetu Ministrów Rady Europy pozostało </w:t>
      </w:r>
      <w:r w:rsidR="00C121BB" w:rsidRPr="002C2D40">
        <w:rPr>
          <w:rFonts w:asciiTheme="minorHAnsi" w:hAnsiTheme="minorHAnsi"/>
        </w:rPr>
        <w:t>89</w:t>
      </w:r>
      <w:r w:rsidR="00E34A09" w:rsidRPr="002C2D40">
        <w:rPr>
          <w:rFonts w:asciiTheme="minorHAnsi" w:hAnsiTheme="minorHAnsi"/>
        </w:rPr>
        <w:t xml:space="preserve"> orzeczeń (w tym </w:t>
      </w:r>
      <w:r w:rsidR="002013A9" w:rsidRPr="002C2D40">
        <w:rPr>
          <w:rFonts w:asciiTheme="minorHAnsi" w:hAnsiTheme="minorHAnsi"/>
        </w:rPr>
        <w:t>72</w:t>
      </w:r>
      <w:r w:rsidR="00C121BB" w:rsidRPr="002C2D40">
        <w:rPr>
          <w:rFonts w:asciiTheme="minorHAnsi" w:hAnsiTheme="minorHAnsi"/>
        </w:rPr>
        <w:t xml:space="preserve"> </w:t>
      </w:r>
      <w:r w:rsidR="00E34A09" w:rsidRPr="002C2D40">
        <w:rPr>
          <w:rFonts w:asciiTheme="minorHAnsi" w:hAnsiTheme="minorHAnsi"/>
        </w:rPr>
        <w:t>wyrok</w:t>
      </w:r>
      <w:r w:rsidR="002013A9" w:rsidRPr="002C2D40">
        <w:rPr>
          <w:rFonts w:asciiTheme="minorHAnsi" w:hAnsiTheme="minorHAnsi"/>
        </w:rPr>
        <w:t>i</w:t>
      </w:r>
      <w:r w:rsidR="00E34A09" w:rsidRPr="002C2D40">
        <w:rPr>
          <w:rFonts w:asciiTheme="minorHAnsi" w:hAnsiTheme="minorHAnsi"/>
        </w:rPr>
        <w:t xml:space="preserve"> i </w:t>
      </w:r>
      <w:r w:rsidR="002013A9" w:rsidRPr="002C2D40">
        <w:rPr>
          <w:rFonts w:asciiTheme="minorHAnsi" w:hAnsiTheme="minorHAnsi"/>
        </w:rPr>
        <w:t xml:space="preserve">17 </w:t>
      </w:r>
      <w:r w:rsidR="00E34A09" w:rsidRPr="002C2D40">
        <w:rPr>
          <w:rFonts w:asciiTheme="minorHAnsi" w:hAnsiTheme="minorHAnsi"/>
        </w:rPr>
        <w:t xml:space="preserve">decyzji zatwierdzających ugody zawarte między </w:t>
      </w:r>
      <w:r w:rsidR="000C1C93">
        <w:rPr>
          <w:rFonts w:asciiTheme="minorHAnsi" w:hAnsiTheme="minorHAnsi"/>
        </w:rPr>
        <w:t>R</w:t>
      </w:r>
      <w:r w:rsidR="00E34A09" w:rsidRPr="002C2D40">
        <w:rPr>
          <w:rFonts w:asciiTheme="minorHAnsi" w:hAnsiTheme="minorHAnsi"/>
        </w:rPr>
        <w:t xml:space="preserve">ządem a skarżącymi). Jest </w:t>
      </w:r>
      <w:r w:rsidR="002013A9" w:rsidRPr="002C2D40">
        <w:rPr>
          <w:rFonts w:asciiTheme="minorHAnsi" w:hAnsiTheme="minorHAnsi"/>
        </w:rPr>
        <w:t xml:space="preserve">to </w:t>
      </w:r>
      <w:r w:rsidRPr="002C2D40">
        <w:rPr>
          <w:rFonts w:asciiTheme="minorHAnsi" w:hAnsiTheme="minorHAnsi"/>
        </w:rPr>
        <w:t xml:space="preserve">najniższa </w:t>
      </w:r>
      <w:r w:rsidR="00E34A09" w:rsidRPr="002C2D40">
        <w:rPr>
          <w:rFonts w:asciiTheme="minorHAnsi" w:hAnsiTheme="minorHAnsi"/>
        </w:rPr>
        <w:t>liczba spraw pozostających w wykon</w:t>
      </w:r>
      <w:r w:rsidR="00162114">
        <w:rPr>
          <w:rFonts w:asciiTheme="minorHAnsi" w:hAnsiTheme="minorHAnsi"/>
        </w:rPr>
        <w:t>yw</w:t>
      </w:r>
      <w:r w:rsidR="00E34A09" w:rsidRPr="002C2D40">
        <w:rPr>
          <w:rFonts w:asciiTheme="minorHAnsi" w:hAnsiTheme="minorHAnsi"/>
        </w:rPr>
        <w:t>aniu</w:t>
      </w:r>
      <w:r w:rsidR="00AF72C1" w:rsidRPr="002C2D40">
        <w:rPr>
          <w:rFonts w:asciiTheme="minorHAnsi" w:hAnsiTheme="minorHAnsi"/>
        </w:rPr>
        <w:t>,</w:t>
      </w:r>
      <w:r w:rsidR="00E34A09" w:rsidRPr="002C2D40">
        <w:rPr>
          <w:rFonts w:asciiTheme="minorHAnsi" w:hAnsiTheme="minorHAnsi"/>
        </w:rPr>
        <w:t xml:space="preserve"> w</w:t>
      </w:r>
      <w:r w:rsidR="00AF72C1" w:rsidRPr="002C2D40">
        <w:rPr>
          <w:rFonts w:asciiTheme="minorHAnsi" w:hAnsiTheme="minorHAnsi"/>
        </w:rPr>
        <w:t xml:space="preserve"> szczególności w</w:t>
      </w:r>
      <w:r w:rsidR="00E34A09" w:rsidRPr="002C2D40">
        <w:rPr>
          <w:rFonts w:asciiTheme="minorHAnsi" w:hAnsiTheme="minorHAnsi"/>
        </w:rPr>
        <w:t xml:space="preserve"> porównaniu do lat 2011-2016</w:t>
      </w:r>
      <w:r w:rsidR="00AF72C1" w:rsidRPr="002C2D40">
        <w:rPr>
          <w:rFonts w:asciiTheme="minorHAnsi" w:hAnsiTheme="minorHAnsi"/>
        </w:rPr>
        <w:t xml:space="preserve">. </w:t>
      </w:r>
      <w:r w:rsidR="002013A9" w:rsidRPr="002C2D40">
        <w:rPr>
          <w:rFonts w:asciiTheme="minorHAnsi" w:hAnsiTheme="minorHAnsi"/>
        </w:rPr>
        <w:t>Mając na uwadze wskazaną powyżej sytuację epidemiologiczną i związane z nią restrykcję, rezultat ten cieszy tym bardziej. Licz</w:t>
      </w:r>
      <w:r w:rsidR="008B572A">
        <w:rPr>
          <w:rFonts w:asciiTheme="minorHAnsi" w:hAnsiTheme="minorHAnsi"/>
        </w:rPr>
        <w:t>b</w:t>
      </w:r>
      <w:r w:rsidR="002013A9" w:rsidRPr="002C2D40">
        <w:rPr>
          <w:rFonts w:asciiTheme="minorHAnsi" w:hAnsiTheme="minorHAnsi"/>
        </w:rPr>
        <w:t>a orzeczeń</w:t>
      </w:r>
      <w:r w:rsidR="00E34A09" w:rsidRPr="002C2D40">
        <w:rPr>
          <w:rFonts w:asciiTheme="minorHAnsi" w:hAnsiTheme="minorHAnsi"/>
        </w:rPr>
        <w:t xml:space="preserve"> </w:t>
      </w:r>
      <w:r w:rsidR="002013A9" w:rsidRPr="002C2D40">
        <w:rPr>
          <w:rFonts w:asciiTheme="minorHAnsi" w:hAnsiTheme="minorHAnsi"/>
        </w:rPr>
        <w:t xml:space="preserve">pozostających w wykonywaniu </w:t>
      </w:r>
      <w:r w:rsidR="00E34A09" w:rsidRPr="002C2D40">
        <w:rPr>
          <w:rFonts w:asciiTheme="minorHAnsi" w:hAnsiTheme="minorHAnsi"/>
        </w:rPr>
        <w:t>pozostaje na zbliżonym poziomie do liczby spraw zawisłych w procesie wykonywania na</w:t>
      </w:r>
      <w:r w:rsidR="002013A9" w:rsidRPr="002C2D40">
        <w:rPr>
          <w:rFonts w:asciiTheme="minorHAnsi" w:hAnsiTheme="minorHAnsi"/>
        </w:rPr>
        <w:t xml:space="preserve"> ko</w:t>
      </w:r>
      <w:r w:rsidR="00E34A09" w:rsidRPr="002C2D40">
        <w:rPr>
          <w:rFonts w:asciiTheme="minorHAnsi" w:hAnsiTheme="minorHAnsi"/>
        </w:rPr>
        <w:t>niec 201</w:t>
      </w:r>
      <w:r w:rsidR="00C121BB" w:rsidRPr="002C2D40">
        <w:rPr>
          <w:rFonts w:asciiTheme="minorHAnsi" w:hAnsiTheme="minorHAnsi"/>
        </w:rPr>
        <w:t>9</w:t>
      </w:r>
      <w:r w:rsidR="00E34A09" w:rsidRPr="002C2D40">
        <w:rPr>
          <w:rFonts w:asciiTheme="minorHAnsi" w:hAnsiTheme="minorHAnsi"/>
        </w:rPr>
        <w:t xml:space="preserve"> r. (</w:t>
      </w:r>
      <w:r w:rsidR="00C121BB" w:rsidRPr="002C2D40">
        <w:rPr>
          <w:rFonts w:asciiTheme="minorHAnsi" w:hAnsiTheme="minorHAnsi"/>
        </w:rPr>
        <w:t>98</w:t>
      </w:r>
      <w:r w:rsidR="00E34A09" w:rsidRPr="002C2D40">
        <w:rPr>
          <w:rFonts w:asciiTheme="minorHAnsi" w:hAnsiTheme="minorHAnsi"/>
        </w:rPr>
        <w:t>), co</w:t>
      </w:r>
      <w:bookmarkStart w:id="2" w:name="_GoBack"/>
      <w:bookmarkEnd w:id="2"/>
      <w:r w:rsidR="00E34A09" w:rsidRPr="002C2D40">
        <w:rPr>
          <w:rFonts w:asciiTheme="minorHAnsi" w:hAnsiTheme="minorHAnsi"/>
        </w:rPr>
        <w:t xml:space="preserve"> wskazuje na pewną stabilizację i bardziej umiarkowane spadki w następnych latach. </w:t>
      </w:r>
    </w:p>
    <w:p w:rsidR="00E34A09" w:rsidRPr="002C2D40" w:rsidRDefault="00E34A09" w:rsidP="00D82E22">
      <w:pPr>
        <w:spacing w:before="120"/>
        <w:jc w:val="both"/>
        <w:rPr>
          <w:rFonts w:asciiTheme="minorHAnsi" w:hAnsiTheme="minorHAnsi"/>
        </w:rPr>
      </w:pPr>
      <w:r w:rsidRPr="002C2D40">
        <w:rPr>
          <w:rFonts w:asciiTheme="minorHAnsi" w:hAnsiTheme="minorHAnsi"/>
        </w:rPr>
        <w:t>W 20</w:t>
      </w:r>
      <w:r w:rsidR="00C121BB" w:rsidRPr="002C2D40">
        <w:rPr>
          <w:rFonts w:asciiTheme="minorHAnsi" w:hAnsiTheme="minorHAnsi"/>
        </w:rPr>
        <w:t>20</w:t>
      </w:r>
      <w:r w:rsidRPr="002C2D40">
        <w:rPr>
          <w:rFonts w:asciiTheme="minorHAnsi" w:hAnsiTheme="minorHAnsi"/>
        </w:rPr>
        <w:t xml:space="preserve"> r. Pełnomocnik, wraz z resortami i innymi podmiotami właściwymi w sprawie realizacji poszczególnych wyroków Trybunału, przygotował łącznie </w:t>
      </w:r>
      <w:r w:rsidR="00747984" w:rsidRPr="002C2D40">
        <w:rPr>
          <w:rFonts w:asciiTheme="minorHAnsi" w:hAnsiTheme="minorHAnsi"/>
        </w:rPr>
        <w:t>24</w:t>
      </w:r>
      <w:r w:rsidRPr="002C2D40">
        <w:rPr>
          <w:rFonts w:asciiTheme="minorHAnsi" w:hAnsiTheme="minorHAnsi"/>
        </w:rPr>
        <w:t xml:space="preserve"> plan</w:t>
      </w:r>
      <w:r w:rsidR="00747984" w:rsidRPr="002C2D40">
        <w:rPr>
          <w:rFonts w:asciiTheme="minorHAnsi" w:hAnsiTheme="minorHAnsi"/>
        </w:rPr>
        <w:t>y</w:t>
      </w:r>
      <w:r w:rsidRPr="002C2D40">
        <w:rPr>
          <w:rFonts w:asciiTheme="minorHAnsi" w:hAnsiTheme="minorHAnsi"/>
        </w:rPr>
        <w:t xml:space="preserve"> działań (zawierając</w:t>
      </w:r>
      <w:r w:rsidR="00747984" w:rsidRPr="002C2D40">
        <w:rPr>
          <w:rFonts w:asciiTheme="minorHAnsi" w:hAnsiTheme="minorHAnsi"/>
        </w:rPr>
        <w:t>e</w:t>
      </w:r>
      <w:r w:rsidRPr="002C2D40">
        <w:rPr>
          <w:rFonts w:asciiTheme="minorHAnsi" w:hAnsiTheme="minorHAnsi"/>
        </w:rPr>
        <w:t xml:space="preserve"> opis planowanych i podjętych działań w celu realizacji wyroków) i raport</w:t>
      </w:r>
      <w:r w:rsidR="00747984" w:rsidRPr="002C2D40">
        <w:rPr>
          <w:rFonts w:asciiTheme="minorHAnsi" w:hAnsiTheme="minorHAnsi"/>
        </w:rPr>
        <w:t>y</w:t>
      </w:r>
      <w:r w:rsidRPr="002C2D40">
        <w:rPr>
          <w:rFonts w:asciiTheme="minorHAnsi" w:hAnsiTheme="minorHAnsi"/>
        </w:rPr>
        <w:t xml:space="preserve"> z wykonania wyroków Trybunału (zawierając</w:t>
      </w:r>
      <w:r w:rsidR="00747984" w:rsidRPr="002C2D40">
        <w:rPr>
          <w:rFonts w:asciiTheme="minorHAnsi" w:hAnsiTheme="minorHAnsi"/>
        </w:rPr>
        <w:t>e</w:t>
      </w:r>
      <w:r w:rsidRPr="002C2D40">
        <w:rPr>
          <w:rFonts w:asciiTheme="minorHAnsi" w:hAnsiTheme="minorHAnsi"/>
        </w:rPr>
        <w:t xml:space="preserve"> podsumowanie podjętych działań) lub ich aktualizacj</w:t>
      </w:r>
      <w:r w:rsidR="000C1C93">
        <w:rPr>
          <w:rFonts w:asciiTheme="minorHAnsi" w:hAnsiTheme="minorHAnsi"/>
        </w:rPr>
        <w:t>e</w:t>
      </w:r>
      <w:r w:rsidRPr="002C2D40">
        <w:rPr>
          <w:rFonts w:asciiTheme="minorHAnsi" w:hAnsiTheme="minorHAnsi"/>
        </w:rPr>
        <w:t xml:space="preserve"> oraz </w:t>
      </w:r>
      <w:r w:rsidR="00747984" w:rsidRPr="002C2D40">
        <w:rPr>
          <w:rFonts w:asciiTheme="minorHAnsi" w:hAnsiTheme="minorHAnsi"/>
        </w:rPr>
        <w:t>5</w:t>
      </w:r>
      <w:r w:rsidRPr="002C2D40">
        <w:rPr>
          <w:rFonts w:asciiTheme="minorHAnsi" w:hAnsiTheme="minorHAnsi"/>
        </w:rPr>
        <w:t xml:space="preserve"> pism</w:t>
      </w:r>
      <w:r w:rsidR="0031497C" w:rsidRPr="002C2D40">
        <w:rPr>
          <w:rFonts w:asciiTheme="minorHAnsi" w:hAnsiTheme="minorHAnsi"/>
        </w:rPr>
        <w:t>,</w:t>
      </w:r>
      <w:r w:rsidRPr="002C2D40">
        <w:rPr>
          <w:rFonts w:asciiTheme="minorHAnsi" w:hAnsiTheme="minorHAnsi"/>
        </w:rPr>
        <w:t xml:space="preserve"> zawierających krótsze informacje na temat realizacji środków indywidualnych bądź generalnych w danej sprawie. Dokume</w:t>
      </w:r>
      <w:r w:rsidR="00747984" w:rsidRPr="002C2D40">
        <w:rPr>
          <w:rFonts w:asciiTheme="minorHAnsi" w:hAnsiTheme="minorHAnsi"/>
        </w:rPr>
        <w:t>nty te dotyczyły łącznie 31</w:t>
      </w:r>
      <w:r w:rsidR="00CA145F" w:rsidRPr="002C2D40">
        <w:rPr>
          <w:rFonts w:asciiTheme="minorHAnsi" w:hAnsiTheme="minorHAnsi"/>
        </w:rPr>
        <w:t xml:space="preserve"> </w:t>
      </w:r>
      <w:r w:rsidRPr="002C2D40">
        <w:rPr>
          <w:rFonts w:asciiTheme="minorHAnsi" w:hAnsiTheme="minorHAnsi"/>
        </w:rPr>
        <w:t xml:space="preserve">spraw. Zdarzało się, że w sprawie wykonywania niektórych wyroków w okresie sprawozdawczym </w:t>
      </w:r>
      <w:r w:rsidR="000C1C93">
        <w:rPr>
          <w:rFonts w:asciiTheme="minorHAnsi" w:hAnsiTheme="minorHAnsi"/>
        </w:rPr>
        <w:t>R</w:t>
      </w:r>
      <w:r w:rsidRPr="002C2D40">
        <w:rPr>
          <w:rFonts w:asciiTheme="minorHAnsi" w:hAnsiTheme="minorHAnsi"/>
        </w:rPr>
        <w:t xml:space="preserve">ząd przygotował i przedstawił plany, raporty </w:t>
      </w:r>
      <w:r w:rsidR="000C1C93">
        <w:rPr>
          <w:rFonts w:asciiTheme="minorHAnsi" w:hAnsiTheme="minorHAnsi"/>
        </w:rPr>
        <w:t>lub</w:t>
      </w:r>
      <w:r w:rsidR="000C1C93" w:rsidRPr="002C2D40">
        <w:rPr>
          <w:rFonts w:asciiTheme="minorHAnsi" w:hAnsiTheme="minorHAnsi"/>
        </w:rPr>
        <w:t xml:space="preserve"> </w:t>
      </w:r>
      <w:r w:rsidRPr="002C2D40">
        <w:rPr>
          <w:rFonts w:asciiTheme="minorHAnsi" w:hAnsiTheme="minorHAnsi"/>
        </w:rPr>
        <w:t>pisma więcej niż jeden raz</w:t>
      </w:r>
      <w:r w:rsidR="00E73FF5" w:rsidRPr="002C2D40">
        <w:rPr>
          <w:rFonts w:asciiTheme="minorHAnsi" w:hAnsiTheme="minorHAnsi"/>
        </w:rPr>
        <w:t xml:space="preserve">, co najczęściej wynikało z konieczności uzupełnienia bądź wyjaśnienia przesłanych wcześniej informacji, </w:t>
      </w:r>
      <w:r w:rsidR="000C1C93">
        <w:rPr>
          <w:rFonts w:asciiTheme="minorHAnsi" w:hAnsiTheme="minorHAnsi"/>
        </w:rPr>
        <w:t>lub</w:t>
      </w:r>
      <w:r w:rsidR="000C1C93" w:rsidRPr="002C2D40">
        <w:rPr>
          <w:rFonts w:asciiTheme="minorHAnsi" w:hAnsiTheme="minorHAnsi"/>
        </w:rPr>
        <w:t xml:space="preserve"> </w:t>
      </w:r>
      <w:r w:rsidR="00E73FF5" w:rsidRPr="002C2D40">
        <w:rPr>
          <w:rFonts w:asciiTheme="minorHAnsi" w:hAnsiTheme="minorHAnsi"/>
        </w:rPr>
        <w:t>też z konieczności przedstawienia aktualnych informacji w danej sprawie w związku z umieszczeniem jej na agendzie posiedzenia Komitetu Ministrów RE</w:t>
      </w:r>
      <w:r w:rsidRPr="002C2D40">
        <w:rPr>
          <w:rFonts w:asciiTheme="minorHAnsi" w:hAnsiTheme="minorHAnsi"/>
        </w:rPr>
        <w:t>.</w:t>
      </w:r>
      <w:r w:rsidR="00CA145F" w:rsidRPr="002C2D40">
        <w:rPr>
          <w:rFonts w:asciiTheme="minorHAnsi" w:hAnsiTheme="minorHAnsi"/>
        </w:rPr>
        <w:t xml:space="preserve"> Było tak w przypadku wyroków w sprawach</w:t>
      </w:r>
      <w:r w:rsidRPr="002C2D40">
        <w:rPr>
          <w:rFonts w:asciiTheme="minorHAnsi" w:hAnsiTheme="minorHAnsi"/>
        </w:rPr>
        <w:t xml:space="preserve"> </w:t>
      </w:r>
      <w:r w:rsidR="00CA145F" w:rsidRPr="002C2D40">
        <w:rPr>
          <w:rFonts w:asciiTheme="minorHAnsi" w:hAnsiTheme="minorHAnsi"/>
          <w:i/>
        </w:rPr>
        <w:t xml:space="preserve">Al Nashiri p. Polsce </w:t>
      </w:r>
      <w:r w:rsidR="00CA145F" w:rsidRPr="002C2D40">
        <w:rPr>
          <w:rFonts w:asciiTheme="minorHAnsi" w:hAnsiTheme="minorHAnsi"/>
        </w:rPr>
        <w:t>i</w:t>
      </w:r>
      <w:r w:rsidR="00CA145F" w:rsidRPr="002C2D40">
        <w:rPr>
          <w:rFonts w:asciiTheme="minorHAnsi" w:hAnsiTheme="minorHAnsi"/>
          <w:i/>
        </w:rPr>
        <w:t xml:space="preserve"> Abu Zubaydah p. Polsce</w:t>
      </w:r>
      <w:r w:rsidR="00CA145F" w:rsidRPr="002C2D40">
        <w:rPr>
          <w:rFonts w:asciiTheme="minorHAnsi" w:hAnsiTheme="minorHAnsi"/>
        </w:rPr>
        <w:t>,</w:t>
      </w:r>
      <w:r w:rsidR="00747984" w:rsidRPr="002C2D40">
        <w:rPr>
          <w:rFonts w:asciiTheme="minorHAnsi" w:hAnsiTheme="minorHAnsi"/>
        </w:rPr>
        <w:t xml:space="preserve"> </w:t>
      </w:r>
      <w:r w:rsidR="00747984" w:rsidRPr="002C2D40">
        <w:rPr>
          <w:rFonts w:asciiTheme="minorHAnsi" w:hAnsiTheme="minorHAnsi"/>
          <w:i/>
        </w:rPr>
        <w:t>Dziunikowski p. Polsce, Zaręba p. Polsce, Grabowski p. Polsce, Parol i Adamkowski p. Polsce</w:t>
      </w:r>
      <w:r w:rsidR="00C121BB" w:rsidRPr="002C2D40">
        <w:rPr>
          <w:rFonts w:asciiTheme="minorHAnsi" w:hAnsiTheme="minorHAnsi"/>
          <w:i/>
        </w:rPr>
        <w:t xml:space="preserve">. </w:t>
      </w:r>
      <w:r w:rsidRPr="002C2D40">
        <w:rPr>
          <w:rFonts w:asciiTheme="minorHAnsi" w:hAnsiTheme="minorHAnsi"/>
        </w:rPr>
        <w:t xml:space="preserve">Wszystkie </w:t>
      </w:r>
      <w:r w:rsidR="00C121BB" w:rsidRPr="002C2D40">
        <w:rPr>
          <w:rFonts w:asciiTheme="minorHAnsi" w:hAnsiTheme="minorHAnsi"/>
        </w:rPr>
        <w:t>29</w:t>
      </w:r>
      <w:r w:rsidRPr="002C2D40">
        <w:rPr>
          <w:rFonts w:asciiTheme="minorHAnsi" w:hAnsiTheme="minorHAnsi"/>
        </w:rPr>
        <w:t xml:space="preserve"> dokumentów zostało przesłanych do Departamentu Wykonywania Wyroków Europejskiego Trybunału Praw Człowieka w Sekretariacie Rady Europy.</w:t>
      </w:r>
      <w:r w:rsidR="00E73FF5" w:rsidRPr="002C2D40">
        <w:rPr>
          <w:rFonts w:asciiTheme="minorHAnsi" w:hAnsiTheme="minorHAnsi"/>
        </w:rPr>
        <w:t xml:space="preserve"> Z</w:t>
      </w:r>
      <w:r w:rsidRPr="002C2D40">
        <w:rPr>
          <w:rFonts w:asciiTheme="minorHAnsi" w:hAnsiTheme="minorHAnsi"/>
        </w:rPr>
        <w:t xml:space="preserve">ostały </w:t>
      </w:r>
      <w:r w:rsidR="00E73FF5" w:rsidRPr="002C2D40">
        <w:rPr>
          <w:rFonts w:asciiTheme="minorHAnsi" w:hAnsiTheme="minorHAnsi"/>
        </w:rPr>
        <w:t xml:space="preserve">one również </w:t>
      </w:r>
      <w:r w:rsidRPr="002C2D40">
        <w:rPr>
          <w:rFonts w:asciiTheme="minorHAnsi" w:hAnsiTheme="minorHAnsi"/>
        </w:rPr>
        <w:t>opublikowane na stronie internetowej KM RE (https://www.coe.int/en/web/cm, w zakładce „documents”)</w:t>
      </w:r>
      <w:r w:rsidR="00E73FF5" w:rsidRPr="002C2D40">
        <w:rPr>
          <w:rFonts w:asciiTheme="minorHAnsi" w:hAnsiTheme="minorHAnsi"/>
        </w:rPr>
        <w:t xml:space="preserve"> oraz</w:t>
      </w:r>
      <w:r w:rsidRPr="002C2D40">
        <w:rPr>
          <w:rFonts w:asciiTheme="minorHAnsi" w:hAnsiTheme="minorHAnsi"/>
        </w:rPr>
        <w:t xml:space="preserve"> w bazie wykonywanych orzeczeń HUDOC-EXEC (https://hudoc.exec.coe.int/). </w:t>
      </w:r>
    </w:p>
    <w:p w:rsidR="00E34A09" w:rsidRPr="002C2D40" w:rsidRDefault="00E34A09" w:rsidP="00D82E22">
      <w:pPr>
        <w:spacing w:before="120"/>
        <w:jc w:val="both"/>
        <w:rPr>
          <w:rFonts w:asciiTheme="minorHAnsi" w:hAnsiTheme="minorHAnsi"/>
        </w:rPr>
      </w:pPr>
      <w:r w:rsidRPr="002C2D40">
        <w:rPr>
          <w:rFonts w:asciiTheme="minorHAnsi" w:hAnsiTheme="minorHAnsi"/>
        </w:rPr>
        <w:t>Na podstawie niektórych z przesłanych w 20</w:t>
      </w:r>
      <w:r w:rsidR="00C121BB" w:rsidRPr="002C2D40">
        <w:rPr>
          <w:rFonts w:asciiTheme="minorHAnsi" w:hAnsiTheme="minorHAnsi"/>
        </w:rPr>
        <w:t>20</w:t>
      </w:r>
      <w:r w:rsidRPr="002C2D40">
        <w:rPr>
          <w:rFonts w:asciiTheme="minorHAnsi" w:hAnsiTheme="minorHAnsi"/>
        </w:rPr>
        <w:t xml:space="preserve"> r. raportów z wykonania KM wydał rezolucj</w:t>
      </w:r>
      <w:r w:rsidR="00C121BB" w:rsidRPr="002C2D40">
        <w:rPr>
          <w:rFonts w:asciiTheme="minorHAnsi" w:hAnsiTheme="minorHAnsi"/>
        </w:rPr>
        <w:t>e</w:t>
      </w:r>
      <w:r w:rsidRPr="002C2D40">
        <w:rPr>
          <w:rFonts w:asciiTheme="minorHAnsi" w:hAnsiTheme="minorHAnsi"/>
        </w:rPr>
        <w:t xml:space="preserve"> końcow</w:t>
      </w:r>
      <w:r w:rsidR="00C121BB" w:rsidRPr="002C2D40">
        <w:rPr>
          <w:rFonts w:asciiTheme="minorHAnsi" w:hAnsiTheme="minorHAnsi"/>
        </w:rPr>
        <w:t>e</w:t>
      </w:r>
      <w:r w:rsidRPr="002C2D40">
        <w:rPr>
          <w:rFonts w:asciiTheme="minorHAnsi" w:hAnsiTheme="minorHAnsi"/>
        </w:rPr>
        <w:t>, zamykając</w:t>
      </w:r>
      <w:r w:rsidR="00162114">
        <w:rPr>
          <w:rFonts w:asciiTheme="minorHAnsi" w:hAnsiTheme="minorHAnsi"/>
        </w:rPr>
        <w:t>e</w:t>
      </w:r>
      <w:r w:rsidRPr="002C2D40">
        <w:rPr>
          <w:rFonts w:asciiTheme="minorHAnsi" w:hAnsiTheme="minorHAnsi"/>
        </w:rPr>
        <w:t xml:space="preserve"> nadzór nad wykonywaniem danego orzeczenia Trybunału</w:t>
      </w:r>
      <w:r w:rsidR="00E73FF5" w:rsidRPr="002C2D40">
        <w:rPr>
          <w:rFonts w:asciiTheme="minorHAnsi" w:hAnsiTheme="minorHAnsi"/>
        </w:rPr>
        <w:t xml:space="preserve">. </w:t>
      </w:r>
    </w:p>
    <w:p w:rsidR="00E34A09" w:rsidRPr="002C2D40" w:rsidRDefault="00E34A09" w:rsidP="00D82E22">
      <w:pPr>
        <w:spacing w:before="120"/>
        <w:jc w:val="both"/>
        <w:rPr>
          <w:rFonts w:asciiTheme="minorHAnsi" w:hAnsiTheme="minorHAnsi"/>
        </w:rPr>
      </w:pPr>
      <w:r w:rsidRPr="002C2D40">
        <w:rPr>
          <w:rFonts w:asciiTheme="minorHAnsi" w:hAnsiTheme="minorHAnsi"/>
        </w:rPr>
        <w:t xml:space="preserve">Poniżej przedstawiono skrótowe informacje o wszystkich </w:t>
      </w:r>
      <w:r w:rsidR="00C121BB" w:rsidRPr="002C2D40">
        <w:rPr>
          <w:rFonts w:asciiTheme="minorHAnsi" w:hAnsiTheme="minorHAnsi"/>
        </w:rPr>
        <w:t>29</w:t>
      </w:r>
      <w:r w:rsidRPr="002C2D40">
        <w:rPr>
          <w:rFonts w:asciiTheme="minorHAnsi" w:hAnsiTheme="minorHAnsi"/>
        </w:rPr>
        <w:t xml:space="preserve"> dokumentach, przesłanych do RE, </w:t>
      </w:r>
      <w:r w:rsidR="00561A09" w:rsidRPr="002C2D40">
        <w:rPr>
          <w:rFonts w:asciiTheme="minorHAnsi" w:hAnsiTheme="minorHAnsi"/>
        </w:rPr>
        <w:t xml:space="preserve">przedstawione w kolejności chronologicznej (w Załączniku </w:t>
      </w:r>
      <w:r w:rsidR="009B6D29" w:rsidRPr="002C2D40">
        <w:rPr>
          <w:rFonts w:asciiTheme="minorHAnsi" w:hAnsiTheme="minorHAnsi"/>
        </w:rPr>
        <w:t>B</w:t>
      </w:r>
      <w:r w:rsidR="00561A09" w:rsidRPr="002C2D40">
        <w:rPr>
          <w:rFonts w:asciiTheme="minorHAnsi" w:hAnsiTheme="minorHAnsi"/>
        </w:rPr>
        <w:t xml:space="preserve"> znajduje się również ich tabelaryczne zestawienie w kolejności alfabetycznej), </w:t>
      </w:r>
      <w:r w:rsidRPr="002C2D40">
        <w:rPr>
          <w:rFonts w:asciiTheme="minorHAnsi" w:hAnsiTheme="minorHAnsi"/>
        </w:rPr>
        <w:t>zaś ich pełne teksty w polskiej wersji językowej znaj</w:t>
      </w:r>
      <w:r w:rsidR="009B6D29" w:rsidRPr="002C2D40">
        <w:rPr>
          <w:rFonts w:asciiTheme="minorHAnsi" w:hAnsiTheme="minorHAnsi"/>
        </w:rPr>
        <w:t>dują się w Załączniku C</w:t>
      </w:r>
      <w:r w:rsidRPr="002C2D40">
        <w:rPr>
          <w:rFonts w:asciiTheme="minorHAnsi" w:hAnsiTheme="minorHAnsi"/>
        </w:rPr>
        <w:t>.</w:t>
      </w:r>
    </w:p>
    <w:p w:rsidR="00DD0730" w:rsidRPr="002C2D40" w:rsidRDefault="00DD0730" w:rsidP="002C2D40">
      <w:pPr>
        <w:spacing w:before="120"/>
        <w:ind w:firstLine="709"/>
        <w:jc w:val="both"/>
        <w:rPr>
          <w:rFonts w:asciiTheme="minorHAnsi" w:hAnsiTheme="minorHAnsi"/>
          <w:highlight w:val="yellow"/>
        </w:rPr>
      </w:pPr>
    </w:p>
    <w:p w:rsidR="00520F39" w:rsidRPr="002C2D40" w:rsidRDefault="00A24131" w:rsidP="003F20CE">
      <w:pPr>
        <w:numPr>
          <w:ilvl w:val="0"/>
          <w:numId w:val="3"/>
        </w:numPr>
        <w:spacing w:before="120" w:after="120"/>
        <w:ind w:left="0" w:firstLine="0"/>
        <w:jc w:val="both"/>
        <w:rPr>
          <w:rFonts w:asciiTheme="minorHAnsi" w:eastAsia="Calibri" w:hAnsiTheme="minorHAnsi"/>
          <w:b/>
          <w:u w:val="single"/>
          <w:lang w:eastAsia="en-US"/>
        </w:rPr>
      </w:pPr>
      <w:r w:rsidRPr="002C2D40">
        <w:rPr>
          <w:rFonts w:asciiTheme="minorHAnsi" w:eastAsia="Calibri" w:hAnsiTheme="minorHAnsi"/>
          <w:b/>
          <w:i/>
          <w:lang w:eastAsia="en-US"/>
        </w:rPr>
        <w:lastRenderedPageBreak/>
        <w:t xml:space="preserve">Bednarz p. Polsce </w:t>
      </w:r>
      <w:r w:rsidRPr="002C2D40">
        <w:rPr>
          <w:rFonts w:asciiTheme="minorHAnsi" w:eastAsia="Calibri" w:hAnsiTheme="minorHAnsi"/>
          <w:lang w:eastAsia="en-US"/>
        </w:rPr>
        <w:t xml:space="preserve">(skarga nr </w:t>
      </w:r>
      <w:r w:rsidRPr="002C2D40">
        <w:rPr>
          <w:rFonts w:asciiTheme="minorHAnsi" w:hAnsiTheme="minorHAnsi"/>
        </w:rPr>
        <w:t xml:space="preserve">76505/14) – </w:t>
      </w:r>
      <w:r w:rsidRPr="002C2D40">
        <w:rPr>
          <w:rFonts w:asciiTheme="minorHAnsi" w:eastAsia="Calibri" w:hAnsiTheme="minorHAnsi"/>
          <w:lang w:eastAsia="en-US"/>
        </w:rPr>
        <w:t xml:space="preserve">naruszenie art. 3 Konwencji w aspekcie proceduralnym </w:t>
      </w:r>
      <w:r w:rsidRPr="002C2D40">
        <w:rPr>
          <w:rFonts w:asciiTheme="minorHAnsi" w:hAnsiTheme="minorHAnsi"/>
        </w:rPr>
        <w:t>z uwagi na brak przeprowadzenia skutecznego śledztwa w związku z zarzutami złego traktowania skarżącego przez funkcjonariuszy Policji</w:t>
      </w:r>
      <w:r w:rsidRPr="002C2D40">
        <w:rPr>
          <w:rFonts w:asciiTheme="minorHAnsi" w:eastAsia="Calibri" w:hAnsiTheme="minorHAnsi"/>
          <w:lang w:eastAsia="en-US"/>
        </w:rPr>
        <w:t>.</w:t>
      </w:r>
      <w:r w:rsidRPr="002C2D40">
        <w:rPr>
          <w:rFonts w:asciiTheme="minorHAnsi" w:hAnsiTheme="minorHAnsi"/>
        </w:rPr>
        <w:t xml:space="preserve"> W dniu 9 stycznia 2020 r. </w:t>
      </w:r>
      <w:r w:rsidR="00A35879">
        <w:rPr>
          <w:rFonts w:asciiTheme="minorHAnsi" w:hAnsiTheme="minorHAnsi"/>
        </w:rPr>
        <w:t>R</w:t>
      </w:r>
      <w:r w:rsidRPr="002C2D40">
        <w:rPr>
          <w:rFonts w:asciiTheme="minorHAnsi" w:hAnsiTheme="minorHAnsi"/>
        </w:rPr>
        <w:t xml:space="preserve">ząd przesłał do Rady Europy zaktualizowany raport z wykonania wyroku.  </w:t>
      </w:r>
      <w:r w:rsidR="00520F39" w:rsidRPr="002C2D40">
        <w:rPr>
          <w:rFonts w:asciiTheme="minorHAnsi" w:eastAsia="Calibri" w:hAnsiTheme="minorHAnsi"/>
          <w:lang w:eastAsia="en-US"/>
        </w:rPr>
        <w:t xml:space="preserve"> </w:t>
      </w:r>
    </w:p>
    <w:p w:rsidR="00A24131" w:rsidRPr="002C2D40" w:rsidRDefault="00A24131" w:rsidP="003F20CE">
      <w:pPr>
        <w:numPr>
          <w:ilvl w:val="0"/>
          <w:numId w:val="3"/>
        </w:numPr>
        <w:spacing w:before="120" w:after="120"/>
        <w:ind w:left="0" w:firstLine="0"/>
        <w:jc w:val="both"/>
        <w:rPr>
          <w:rFonts w:asciiTheme="minorHAnsi" w:eastAsia="Calibri" w:hAnsiTheme="minorHAnsi"/>
          <w:b/>
          <w:u w:val="single"/>
          <w:lang w:eastAsia="en-US"/>
        </w:rPr>
      </w:pPr>
      <w:r w:rsidRPr="002C2D40">
        <w:rPr>
          <w:rFonts w:asciiTheme="minorHAnsi" w:eastAsia="Calibri" w:hAnsiTheme="minorHAnsi"/>
          <w:b/>
          <w:i/>
          <w:lang w:eastAsia="en-US"/>
        </w:rPr>
        <w:t>Brzeziński p.</w:t>
      </w:r>
      <w:r w:rsidRPr="002C2D40">
        <w:rPr>
          <w:rFonts w:asciiTheme="minorHAnsi" w:eastAsia="Calibri" w:hAnsiTheme="minorHAnsi"/>
          <w:b/>
          <w:lang w:eastAsia="en-US"/>
        </w:rPr>
        <w:t xml:space="preserve"> Polsce </w:t>
      </w:r>
      <w:r w:rsidRPr="002C2D40">
        <w:rPr>
          <w:rFonts w:asciiTheme="minorHAnsi" w:eastAsia="Calibri" w:hAnsiTheme="minorHAnsi"/>
          <w:lang w:eastAsia="en-US"/>
        </w:rPr>
        <w:t xml:space="preserve">(skarga nr </w:t>
      </w:r>
      <w:r w:rsidRPr="002C2D40">
        <w:rPr>
          <w:rFonts w:asciiTheme="minorHAnsi" w:hAnsiTheme="minorHAnsi"/>
        </w:rPr>
        <w:t>47542/07</w:t>
      </w:r>
      <w:r w:rsidRPr="002C2D40">
        <w:rPr>
          <w:rFonts w:asciiTheme="minorHAnsi" w:eastAsia="Calibri" w:hAnsiTheme="minorHAnsi"/>
          <w:lang w:eastAsia="en-US"/>
        </w:rPr>
        <w:t xml:space="preserve">) - </w:t>
      </w:r>
      <w:r w:rsidRPr="002C2D40">
        <w:rPr>
          <w:rStyle w:val="sfbbfee58"/>
          <w:rFonts w:asciiTheme="minorHAnsi" w:hAnsiTheme="minorHAnsi"/>
        </w:rPr>
        <w:t xml:space="preserve">naruszenie art. 10 Konwencji w związku z  naruszeniem prawa do wolności słowa w kontekście kampanii wyborczej. W dniu 28 stycznia 2020 r. </w:t>
      </w:r>
      <w:r w:rsidRPr="002C2D40">
        <w:rPr>
          <w:rFonts w:asciiTheme="minorHAnsi" w:hAnsiTheme="minorHAnsi"/>
        </w:rPr>
        <w:t xml:space="preserve">rząd przesłał do Rady Europy raport z wykonania wyroku. W dniu 3 grudnia 2020 r. wyrok został uznany za wykonany.  </w:t>
      </w:r>
    </w:p>
    <w:p w:rsidR="00A24131" w:rsidRPr="002C2D40" w:rsidRDefault="00A24131" w:rsidP="003F20CE">
      <w:pPr>
        <w:numPr>
          <w:ilvl w:val="0"/>
          <w:numId w:val="3"/>
        </w:numPr>
        <w:spacing w:before="120" w:after="120"/>
        <w:ind w:left="0" w:firstLine="0"/>
        <w:jc w:val="both"/>
        <w:rPr>
          <w:rFonts w:asciiTheme="minorHAnsi" w:eastAsia="Calibri" w:hAnsiTheme="minorHAnsi"/>
          <w:b/>
          <w:u w:val="single"/>
          <w:lang w:eastAsia="en-US"/>
        </w:rPr>
      </w:pPr>
      <w:r w:rsidRPr="002C2D40">
        <w:rPr>
          <w:rFonts w:asciiTheme="minorHAnsi" w:eastAsia="Calibri" w:hAnsiTheme="minorHAnsi"/>
          <w:b/>
          <w:i/>
          <w:lang w:eastAsia="en-US"/>
        </w:rPr>
        <w:t>Al Nashiri p. Polsce</w:t>
      </w:r>
      <w:r w:rsidRPr="002C2D40">
        <w:rPr>
          <w:rFonts w:asciiTheme="minorHAnsi" w:eastAsia="Calibri" w:hAnsiTheme="minorHAnsi"/>
          <w:b/>
          <w:lang w:eastAsia="en-US"/>
        </w:rPr>
        <w:t xml:space="preserve"> </w:t>
      </w:r>
      <w:r w:rsidRPr="002C2D40">
        <w:rPr>
          <w:rFonts w:asciiTheme="minorHAnsi" w:eastAsia="Calibri" w:hAnsiTheme="minorHAnsi"/>
          <w:lang w:eastAsia="en-US"/>
        </w:rPr>
        <w:t xml:space="preserve">(skarga nr 28761/11) i </w:t>
      </w:r>
      <w:r w:rsidRPr="002C2D40">
        <w:rPr>
          <w:rFonts w:asciiTheme="minorHAnsi" w:eastAsia="Calibri" w:hAnsiTheme="minorHAnsi"/>
          <w:b/>
          <w:i/>
          <w:lang w:eastAsia="en-US"/>
        </w:rPr>
        <w:t xml:space="preserve">Abu Zubaydah p. Polsce </w:t>
      </w:r>
      <w:r w:rsidRPr="002C2D40">
        <w:rPr>
          <w:rFonts w:asciiTheme="minorHAnsi" w:eastAsia="Calibri" w:hAnsiTheme="minorHAnsi"/>
          <w:lang w:eastAsia="en-US"/>
        </w:rPr>
        <w:t xml:space="preserve">(skarga nr 7511/13) – w obu wyrokach Trybunał uznał, że doszło do naruszenia art. 3 Konwencji (zakaz tortur oraz nieludzkiego i poniżającego traktowania) w aspekcie materialnym i proceduralnym; naruszenia art. 5 </w:t>
      </w:r>
      <w:r w:rsidR="00A35879">
        <w:rPr>
          <w:rFonts w:asciiTheme="minorHAnsi" w:eastAsia="Calibri" w:hAnsiTheme="minorHAnsi"/>
          <w:lang w:eastAsia="en-US"/>
        </w:rPr>
        <w:t xml:space="preserve">Konwencji </w:t>
      </w:r>
      <w:r w:rsidRPr="002C2D40">
        <w:rPr>
          <w:rFonts w:asciiTheme="minorHAnsi" w:eastAsia="Calibri" w:hAnsiTheme="minorHAnsi"/>
          <w:lang w:eastAsia="en-US"/>
        </w:rPr>
        <w:t xml:space="preserve">(prawo do wolności i bezpieczeństwa osobistego); naruszenia art. 8 </w:t>
      </w:r>
      <w:r w:rsidR="00A35879">
        <w:rPr>
          <w:rFonts w:asciiTheme="minorHAnsi" w:eastAsia="Calibri" w:hAnsiTheme="minorHAnsi"/>
          <w:lang w:eastAsia="en-US"/>
        </w:rPr>
        <w:t xml:space="preserve">Konwencji </w:t>
      </w:r>
      <w:r w:rsidRPr="002C2D40">
        <w:rPr>
          <w:rFonts w:asciiTheme="minorHAnsi" w:eastAsia="Calibri" w:hAnsiTheme="minorHAnsi"/>
          <w:lang w:eastAsia="en-US"/>
        </w:rPr>
        <w:t>(prawo do poszanowania życia prywatnego i rodzinnego); naruszenia art. 13</w:t>
      </w:r>
      <w:r w:rsidR="00A35879">
        <w:rPr>
          <w:rFonts w:asciiTheme="minorHAnsi" w:eastAsia="Calibri" w:hAnsiTheme="minorHAnsi"/>
          <w:lang w:eastAsia="en-US"/>
        </w:rPr>
        <w:t xml:space="preserve"> Konwencji</w:t>
      </w:r>
      <w:r w:rsidRPr="002C2D40">
        <w:rPr>
          <w:rFonts w:asciiTheme="minorHAnsi" w:eastAsia="Calibri" w:hAnsiTheme="minorHAnsi"/>
          <w:lang w:eastAsia="en-US"/>
        </w:rPr>
        <w:t xml:space="preserve"> (prawo do skutecznego środka odwoławczego) i naruszenia art. 6 ust. 1 </w:t>
      </w:r>
      <w:r w:rsidR="00A35879">
        <w:rPr>
          <w:rFonts w:asciiTheme="minorHAnsi" w:eastAsia="Calibri" w:hAnsiTheme="minorHAnsi"/>
          <w:lang w:eastAsia="en-US"/>
        </w:rPr>
        <w:t xml:space="preserve">Konwencji </w:t>
      </w:r>
      <w:r w:rsidRPr="002C2D40">
        <w:rPr>
          <w:rFonts w:asciiTheme="minorHAnsi" w:eastAsia="Calibri" w:hAnsiTheme="minorHAnsi"/>
          <w:lang w:eastAsia="en-US"/>
        </w:rPr>
        <w:t xml:space="preserve">(prawo do rzetelnego procesu sądowego). W sprawie </w:t>
      </w:r>
      <w:r w:rsidRPr="002C2D40">
        <w:rPr>
          <w:rFonts w:asciiTheme="minorHAnsi" w:eastAsia="Calibri" w:hAnsiTheme="minorHAnsi"/>
          <w:i/>
          <w:lang w:eastAsia="en-US"/>
        </w:rPr>
        <w:t>Al Nashiri</w:t>
      </w:r>
      <w:r w:rsidRPr="002C2D40">
        <w:rPr>
          <w:rFonts w:asciiTheme="minorHAnsi" w:eastAsia="Calibri" w:hAnsiTheme="minorHAnsi"/>
          <w:lang w:eastAsia="en-US"/>
        </w:rPr>
        <w:t xml:space="preserve"> Trybunał stwierdził również naruszenia art. 2 </w:t>
      </w:r>
      <w:r w:rsidR="00A35879">
        <w:rPr>
          <w:rFonts w:asciiTheme="minorHAnsi" w:eastAsia="Calibri" w:hAnsiTheme="minorHAnsi"/>
          <w:lang w:eastAsia="en-US"/>
        </w:rPr>
        <w:t xml:space="preserve">Konwencji </w:t>
      </w:r>
      <w:r w:rsidRPr="002C2D40">
        <w:rPr>
          <w:rFonts w:asciiTheme="minorHAnsi" w:eastAsia="Calibri" w:hAnsiTheme="minorHAnsi"/>
          <w:lang w:eastAsia="en-US"/>
        </w:rPr>
        <w:t xml:space="preserve">(prawo do życia) oraz art. 3 Konwencji w zw. z art. 1 Protokołu nr 6 </w:t>
      </w:r>
      <w:r w:rsidR="00A35879">
        <w:rPr>
          <w:rFonts w:asciiTheme="minorHAnsi" w:eastAsia="Calibri" w:hAnsiTheme="minorHAnsi"/>
          <w:lang w:eastAsia="en-US"/>
        </w:rPr>
        <w:t xml:space="preserve">do Konwencji </w:t>
      </w:r>
      <w:r w:rsidRPr="002C2D40">
        <w:rPr>
          <w:rFonts w:asciiTheme="minorHAnsi" w:eastAsia="Calibri" w:hAnsiTheme="minorHAnsi"/>
          <w:lang w:eastAsia="en-US"/>
        </w:rPr>
        <w:t xml:space="preserve">(zakaz kary śmierci). Trybunał uznał także, że Polska nie zrealizowała wniosków Trybunału o dostarczenie dowodów i w konsekwencji nie wypełniła zobowiązań wynikających z art. 38 Konwencji – udzielenia Trybunałowi wszelkich niezbędnych ułatwień dla efektywnego przeprowadzenia dochodzenia. W dniu 3 lutego 2020 r. </w:t>
      </w:r>
      <w:r w:rsidR="00A35879">
        <w:rPr>
          <w:rFonts w:asciiTheme="minorHAnsi" w:eastAsia="Calibri" w:hAnsiTheme="minorHAnsi"/>
          <w:lang w:eastAsia="en-US"/>
        </w:rPr>
        <w:t>R</w:t>
      </w:r>
      <w:r w:rsidRPr="002C2D40">
        <w:rPr>
          <w:rFonts w:asciiTheme="minorHAnsi" w:eastAsia="Calibri" w:hAnsiTheme="minorHAnsi"/>
          <w:lang w:eastAsia="en-US"/>
        </w:rPr>
        <w:t xml:space="preserve">ząd przesłał do Rady Europy </w:t>
      </w:r>
      <w:r w:rsidRPr="002C2D40">
        <w:rPr>
          <w:rFonts w:asciiTheme="minorHAnsi" w:hAnsiTheme="minorHAnsi"/>
        </w:rPr>
        <w:t xml:space="preserve">zaktualizowany skrócony plan działań. </w:t>
      </w:r>
    </w:p>
    <w:p w:rsidR="00A24131" w:rsidRPr="002C2D40" w:rsidRDefault="00A24131" w:rsidP="003F20CE">
      <w:pPr>
        <w:numPr>
          <w:ilvl w:val="0"/>
          <w:numId w:val="3"/>
        </w:numPr>
        <w:spacing w:before="120" w:after="120"/>
        <w:ind w:left="0" w:firstLine="0"/>
        <w:jc w:val="both"/>
        <w:rPr>
          <w:rFonts w:asciiTheme="minorHAnsi" w:eastAsia="Calibri" w:hAnsiTheme="minorHAnsi"/>
          <w:b/>
          <w:lang w:eastAsia="en-US"/>
        </w:rPr>
      </w:pPr>
      <w:r w:rsidRPr="002C2D40">
        <w:rPr>
          <w:rFonts w:asciiTheme="minorHAnsi" w:hAnsiTheme="minorHAnsi"/>
          <w:b/>
          <w:i/>
        </w:rPr>
        <w:t>Parol p. Polsce</w:t>
      </w:r>
      <w:r w:rsidRPr="002C2D40">
        <w:rPr>
          <w:rFonts w:asciiTheme="minorHAnsi" w:hAnsiTheme="minorHAnsi"/>
          <w:i/>
        </w:rPr>
        <w:t xml:space="preserve"> </w:t>
      </w:r>
      <w:r w:rsidRPr="002C2D40">
        <w:rPr>
          <w:rFonts w:asciiTheme="minorHAnsi" w:hAnsiTheme="minorHAnsi"/>
        </w:rPr>
        <w:t xml:space="preserve">(skarga nr 65379/13) i </w:t>
      </w:r>
      <w:r w:rsidRPr="002C2D40">
        <w:rPr>
          <w:rFonts w:asciiTheme="minorHAnsi" w:hAnsiTheme="minorHAnsi"/>
          <w:b/>
          <w:i/>
        </w:rPr>
        <w:t>Adamkowski p. Polsce</w:t>
      </w:r>
      <w:r w:rsidRPr="002C2D40">
        <w:rPr>
          <w:rFonts w:asciiTheme="minorHAnsi" w:hAnsiTheme="minorHAnsi"/>
          <w:i/>
        </w:rPr>
        <w:t xml:space="preserve"> </w:t>
      </w:r>
      <w:r w:rsidRPr="002C2D40">
        <w:rPr>
          <w:rFonts w:asciiTheme="minorHAnsi" w:hAnsiTheme="minorHAnsi"/>
        </w:rPr>
        <w:t xml:space="preserve">(skarga nr 57814/12) – naruszenie art. 6 ust. 1 Konwencji w związku z odrzuceniem przez sądy krajowe apelacji skarżących z uwagi na wniesienie ich tylko w jednym egzemplarzu (nadmierny formalizm). Zaktualizowany raport </w:t>
      </w:r>
      <w:r w:rsidRPr="002C2D40">
        <w:rPr>
          <w:rFonts w:asciiTheme="minorHAnsi" w:eastAsia="Calibri" w:hAnsiTheme="minorHAnsi"/>
          <w:lang w:eastAsia="en-US"/>
        </w:rPr>
        <w:t xml:space="preserve">z wykonania tego wyroku został przesłany do Rady Europy w dniu 6 lutego 2020 r. </w:t>
      </w:r>
    </w:p>
    <w:p w:rsidR="00A24131" w:rsidRPr="002C2D40" w:rsidRDefault="00A24131" w:rsidP="003F20CE">
      <w:pPr>
        <w:numPr>
          <w:ilvl w:val="0"/>
          <w:numId w:val="3"/>
        </w:numPr>
        <w:spacing w:before="120" w:after="120"/>
        <w:ind w:left="0" w:firstLine="0"/>
        <w:jc w:val="both"/>
        <w:rPr>
          <w:rFonts w:asciiTheme="minorHAnsi" w:eastAsia="Calibri" w:hAnsiTheme="minorHAnsi"/>
          <w:lang w:eastAsia="en-US"/>
        </w:rPr>
      </w:pPr>
      <w:r w:rsidRPr="002C2D40">
        <w:rPr>
          <w:rFonts w:asciiTheme="minorHAnsi" w:eastAsia="Calibri" w:hAnsiTheme="minorHAnsi"/>
          <w:b/>
          <w:i/>
          <w:lang w:eastAsia="en-US"/>
        </w:rPr>
        <w:t>Klibisz p. Polsce</w:t>
      </w:r>
      <w:r w:rsidRPr="002C2D40">
        <w:rPr>
          <w:rFonts w:asciiTheme="minorHAnsi" w:eastAsia="Calibri" w:hAnsiTheme="minorHAnsi"/>
          <w:b/>
          <w:lang w:eastAsia="en-US"/>
        </w:rPr>
        <w:t xml:space="preserve"> </w:t>
      </w:r>
      <w:r w:rsidRPr="002C2D40">
        <w:rPr>
          <w:rFonts w:asciiTheme="minorHAnsi" w:eastAsia="Calibri" w:hAnsiTheme="minorHAnsi"/>
          <w:lang w:eastAsia="en-US"/>
        </w:rPr>
        <w:t xml:space="preserve">(skarga nr </w:t>
      </w:r>
      <w:r w:rsidRPr="002C2D40">
        <w:rPr>
          <w:rFonts w:asciiTheme="minorHAnsi" w:hAnsiTheme="minorHAnsi"/>
        </w:rPr>
        <w:t>2235/02</w:t>
      </w:r>
      <w:r w:rsidRPr="002C2D40">
        <w:rPr>
          <w:rFonts w:asciiTheme="minorHAnsi" w:eastAsia="Calibri" w:hAnsiTheme="minorHAnsi"/>
          <w:lang w:eastAsia="en-US"/>
        </w:rPr>
        <w:t>) – Trybunał stwierdził naruszenie art. 10 Konwencji w związku z nałożonym na skarżącego statusem więźnia niebezpiecznego. Raport z wykonani</w:t>
      </w:r>
      <w:r w:rsidR="00162114">
        <w:rPr>
          <w:rFonts w:asciiTheme="minorHAnsi" w:eastAsia="Calibri" w:hAnsiTheme="minorHAnsi"/>
          <w:lang w:eastAsia="en-US"/>
        </w:rPr>
        <w:t>a</w:t>
      </w:r>
      <w:r w:rsidRPr="002C2D40">
        <w:rPr>
          <w:rFonts w:asciiTheme="minorHAnsi" w:eastAsia="Calibri" w:hAnsiTheme="minorHAnsi"/>
          <w:lang w:eastAsia="en-US"/>
        </w:rPr>
        <w:t xml:space="preserve"> tego wyroku został przesłany do Rady Europy w dniu 6 lutego 2020 r. W dniu 8 lipca 2020 r. </w:t>
      </w:r>
      <w:r w:rsidR="0041618A" w:rsidRPr="002C2D40">
        <w:rPr>
          <w:rFonts w:asciiTheme="minorHAnsi" w:eastAsia="Calibri" w:hAnsiTheme="minorHAnsi"/>
          <w:lang w:eastAsia="en-US"/>
        </w:rPr>
        <w:t>wyrok w sprawie został uznany za wykonany.</w:t>
      </w:r>
    </w:p>
    <w:p w:rsidR="0041618A" w:rsidRPr="002C2D40" w:rsidRDefault="0041618A" w:rsidP="003F20CE">
      <w:pPr>
        <w:numPr>
          <w:ilvl w:val="0"/>
          <w:numId w:val="3"/>
        </w:numPr>
        <w:spacing w:before="120"/>
        <w:ind w:left="0" w:firstLine="0"/>
        <w:jc w:val="both"/>
        <w:rPr>
          <w:rFonts w:asciiTheme="minorHAnsi" w:eastAsia="Calibri" w:hAnsiTheme="minorHAnsi"/>
          <w:b/>
          <w:u w:val="single"/>
          <w:lang w:eastAsia="en-US"/>
        </w:rPr>
      </w:pPr>
      <w:r w:rsidRPr="002C2D40">
        <w:rPr>
          <w:rFonts w:asciiTheme="minorHAnsi" w:eastAsia="Calibri" w:hAnsiTheme="minorHAnsi"/>
          <w:b/>
          <w:lang w:eastAsia="en-US"/>
        </w:rPr>
        <w:t>Grupa spraw</w:t>
      </w:r>
      <w:r w:rsidRPr="002C2D40">
        <w:rPr>
          <w:rFonts w:asciiTheme="minorHAnsi" w:eastAsia="Calibri" w:hAnsiTheme="minorHAnsi"/>
          <w:b/>
          <w:i/>
          <w:lang w:eastAsia="en-US"/>
        </w:rPr>
        <w:t xml:space="preserve"> Bąk p. Polsce</w:t>
      </w:r>
      <w:r w:rsidRPr="002C2D40">
        <w:rPr>
          <w:rFonts w:asciiTheme="minorHAnsi" w:eastAsia="Calibri" w:hAnsiTheme="minorHAnsi"/>
          <w:b/>
          <w:lang w:eastAsia="en-US"/>
        </w:rPr>
        <w:t xml:space="preserve">, </w:t>
      </w:r>
      <w:r w:rsidRPr="002C2D40">
        <w:rPr>
          <w:rFonts w:asciiTheme="minorHAnsi" w:eastAsia="Calibri" w:hAnsiTheme="minorHAnsi"/>
          <w:b/>
          <w:i/>
          <w:lang w:eastAsia="en-US"/>
        </w:rPr>
        <w:t xml:space="preserve">Majewski p. Polsce </w:t>
      </w:r>
      <w:r w:rsidRPr="002C2D40">
        <w:rPr>
          <w:rFonts w:asciiTheme="minorHAnsi" w:eastAsia="Calibri" w:hAnsiTheme="minorHAnsi"/>
          <w:b/>
          <w:lang w:eastAsia="en-US"/>
        </w:rPr>
        <w:t>oraz wyrok pilotażowy</w:t>
      </w:r>
      <w:r w:rsidRPr="002C2D40">
        <w:rPr>
          <w:rFonts w:asciiTheme="minorHAnsi" w:eastAsia="Calibri" w:hAnsiTheme="minorHAnsi"/>
          <w:b/>
          <w:i/>
          <w:lang w:eastAsia="en-US"/>
        </w:rPr>
        <w:t xml:space="preserve"> Rutkowski i inni p. Polsce </w:t>
      </w:r>
      <w:r w:rsidRPr="00162114">
        <w:rPr>
          <w:rFonts w:asciiTheme="minorHAnsi" w:eastAsia="Calibri" w:hAnsiTheme="minorHAnsi"/>
          <w:lang w:eastAsia="en-US"/>
        </w:rPr>
        <w:t>(skargi nr 30210/96, 27916/95 i 72287/10)</w:t>
      </w:r>
      <w:r w:rsidRPr="002C2D40">
        <w:rPr>
          <w:rFonts w:asciiTheme="minorHAnsi" w:eastAsia="Calibri" w:hAnsiTheme="minorHAnsi"/>
          <w:b/>
          <w:lang w:eastAsia="en-US"/>
        </w:rPr>
        <w:t xml:space="preserve"> </w:t>
      </w:r>
      <w:r w:rsidRPr="002C2D40">
        <w:rPr>
          <w:rFonts w:asciiTheme="minorHAnsi" w:eastAsia="Calibri" w:hAnsiTheme="minorHAnsi"/>
          <w:lang w:eastAsia="en-US"/>
        </w:rPr>
        <w:t>– naruszenie art. 6 ust. 1 Konwencji z powodu przewlekłości postępowań sądowych w sprawach cywilnych i karnych. Zaktualizowany plan działań został przesłany do Rady Europy w dniu 22 kwietnia 2020 r. KM przedstawił swoją ocenę tych działań w decyzji wydanej na posiedzeniu KM-DH (specjalne posiedzenia KM poświęcone nadzorowi nad wykonywaniem wyroków ETPC) w dniu 4 czerwca 2020 r.</w:t>
      </w:r>
      <w:r w:rsidRPr="002C2D40">
        <w:rPr>
          <w:rFonts w:asciiTheme="minorHAnsi" w:eastAsia="Calibri" w:hAnsiTheme="minorHAnsi"/>
          <w:u w:val="single"/>
          <w:lang w:eastAsia="en-US"/>
        </w:rPr>
        <w:t xml:space="preserve"> </w:t>
      </w:r>
    </w:p>
    <w:p w:rsidR="0041618A" w:rsidRPr="002C2D40" w:rsidRDefault="0041618A" w:rsidP="003F20CE">
      <w:pPr>
        <w:numPr>
          <w:ilvl w:val="0"/>
          <w:numId w:val="3"/>
        </w:numPr>
        <w:spacing w:before="120" w:after="120"/>
        <w:ind w:left="0" w:firstLine="0"/>
        <w:jc w:val="both"/>
        <w:rPr>
          <w:rFonts w:asciiTheme="minorHAnsi" w:eastAsia="Calibri" w:hAnsiTheme="minorHAnsi"/>
          <w:lang w:eastAsia="en-US"/>
        </w:rPr>
      </w:pPr>
      <w:r w:rsidRPr="002C2D40">
        <w:rPr>
          <w:rFonts w:asciiTheme="minorHAnsi" w:eastAsia="Calibri" w:hAnsiTheme="minorHAnsi"/>
          <w:b/>
          <w:i/>
          <w:lang w:eastAsia="en-US"/>
        </w:rPr>
        <w:t>Dziunikowski p. Polsce</w:t>
      </w:r>
      <w:r w:rsidRPr="002C2D40">
        <w:rPr>
          <w:rFonts w:asciiTheme="minorHAnsi" w:eastAsia="Calibri" w:hAnsiTheme="minorHAnsi"/>
          <w:lang w:eastAsia="en-US"/>
        </w:rPr>
        <w:t xml:space="preserve"> (skarga nr </w:t>
      </w:r>
      <w:r w:rsidRPr="002C2D40">
        <w:rPr>
          <w:rFonts w:asciiTheme="minorHAnsi" w:hAnsiTheme="minorHAnsi"/>
        </w:rPr>
        <w:t>65790/12) – Trybunał uznał, ze doszło do naruszenia art. 3 Konwencji w związku z nieodpowiednim śledztwem w sprawie zarzucanego złego traktowania skarżącego przez funkcjonariuszy policji. Raport z wykonania wyroku został przesłany do Rady Europy w dniu 13 maja 2020 r.</w:t>
      </w:r>
    </w:p>
    <w:p w:rsidR="0041618A" w:rsidRPr="002C2D40" w:rsidRDefault="0041618A" w:rsidP="003F20CE">
      <w:pPr>
        <w:numPr>
          <w:ilvl w:val="0"/>
          <w:numId w:val="3"/>
        </w:numPr>
        <w:spacing w:before="120" w:after="120"/>
        <w:ind w:left="0" w:firstLine="0"/>
        <w:jc w:val="both"/>
        <w:rPr>
          <w:rFonts w:asciiTheme="minorHAnsi" w:eastAsia="Calibri" w:hAnsiTheme="minorHAnsi"/>
          <w:lang w:eastAsia="en-US"/>
        </w:rPr>
      </w:pPr>
      <w:r w:rsidRPr="002C2D40">
        <w:rPr>
          <w:rFonts w:asciiTheme="minorHAnsi" w:hAnsiTheme="minorHAnsi"/>
          <w:b/>
          <w:i/>
        </w:rPr>
        <w:t>Zaręba p. Polsce</w:t>
      </w:r>
      <w:r w:rsidRPr="002C2D40">
        <w:rPr>
          <w:rFonts w:asciiTheme="minorHAnsi" w:hAnsiTheme="minorHAnsi"/>
        </w:rPr>
        <w:t xml:space="preserve"> (skarga nr 59955/15) - </w:t>
      </w:r>
      <w:r w:rsidR="001D4EB7" w:rsidRPr="002C2D40">
        <w:rPr>
          <w:rFonts w:asciiTheme="minorHAnsi" w:hAnsiTheme="minorHAnsi"/>
        </w:rPr>
        <w:t>n</w:t>
      </w:r>
      <w:r w:rsidRPr="002C2D40">
        <w:rPr>
          <w:rFonts w:asciiTheme="minorHAnsi" w:hAnsiTheme="minorHAnsi"/>
        </w:rPr>
        <w:t xml:space="preserve">aruszenie art. 3 Konwencji w związku z nieodpowiednimi warunkami osadzenia skarżącego. Raport z wykonania wyroku został </w:t>
      </w:r>
      <w:r w:rsidRPr="002C2D40">
        <w:rPr>
          <w:rFonts w:asciiTheme="minorHAnsi" w:hAnsiTheme="minorHAnsi"/>
        </w:rPr>
        <w:lastRenderedPageBreak/>
        <w:t xml:space="preserve">przesłany do Rady Europy w dniu 13 maja 2020 r. W dniu 1 października 2020 r. </w:t>
      </w:r>
      <w:r w:rsidR="001D4EB7" w:rsidRPr="002C2D40">
        <w:rPr>
          <w:rFonts w:asciiTheme="minorHAnsi" w:hAnsiTheme="minorHAnsi"/>
        </w:rPr>
        <w:t xml:space="preserve">KM </w:t>
      </w:r>
      <w:r w:rsidRPr="002C2D40">
        <w:rPr>
          <w:rFonts w:asciiTheme="minorHAnsi" w:hAnsiTheme="minorHAnsi"/>
        </w:rPr>
        <w:t>uzna</w:t>
      </w:r>
      <w:r w:rsidR="001D4EB7" w:rsidRPr="002C2D40">
        <w:rPr>
          <w:rFonts w:asciiTheme="minorHAnsi" w:hAnsiTheme="minorHAnsi"/>
        </w:rPr>
        <w:t xml:space="preserve">ł wyrok za </w:t>
      </w:r>
      <w:r w:rsidRPr="002C2D40">
        <w:rPr>
          <w:rFonts w:asciiTheme="minorHAnsi" w:hAnsiTheme="minorHAnsi"/>
        </w:rPr>
        <w:t xml:space="preserve">wykonany. </w:t>
      </w:r>
    </w:p>
    <w:p w:rsidR="001D4EB7" w:rsidRPr="002C2D40" w:rsidRDefault="001D4EB7" w:rsidP="003F20CE">
      <w:pPr>
        <w:numPr>
          <w:ilvl w:val="0"/>
          <w:numId w:val="3"/>
        </w:numPr>
        <w:spacing w:before="120" w:after="120"/>
        <w:ind w:left="0" w:firstLine="0"/>
        <w:jc w:val="both"/>
        <w:rPr>
          <w:rFonts w:asciiTheme="minorHAnsi" w:hAnsiTheme="minorHAnsi"/>
        </w:rPr>
      </w:pPr>
      <w:r w:rsidRPr="002C2D40">
        <w:rPr>
          <w:rFonts w:asciiTheme="minorHAnsi" w:hAnsiTheme="minorHAnsi"/>
          <w:b/>
          <w:i/>
        </w:rPr>
        <w:t>Grabowski p. Polsce</w:t>
      </w:r>
      <w:r w:rsidRPr="002C2D40">
        <w:rPr>
          <w:rFonts w:asciiTheme="minorHAnsi" w:hAnsiTheme="minorHAnsi"/>
        </w:rPr>
        <w:t xml:space="preserve"> (skarga nr 57722/12) - naruszenie art. 5 ust. 1 Konwencji z powodu pozbawienia wolności osoby nieletniej w ramach postępowania poprawczego, bez właściwego postanowienia sądu oraz naruszenie art. 5 ust. 4 Konwencji z uwagi na to, że rozpoznając wniosek skarżącego o zwolnienie sąd nie wyjaśnił podstawy prawnej jego dalszego pozbawienia wolności w schronisku dla nieletnich. Informacja o środkach generalnych została przekazana do Rady Europy w dniu 20 maja 2020 r. </w:t>
      </w:r>
    </w:p>
    <w:p w:rsidR="001D4EB7" w:rsidRPr="002C2D40" w:rsidRDefault="001D4EB7" w:rsidP="003F20CE">
      <w:pPr>
        <w:numPr>
          <w:ilvl w:val="0"/>
          <w:numId w:val="3"/>
        </w:numPr>
        <w:spacing w:before="120"/>
        <w:ind w:left="0" w:firstLine="0"/>
        <w:jc w:val="both"/>
        <w:rPr>
          <w:rFonts w:asciiTheme="minorHAnsi" w:eastAsia="Calibri" w:hAnsiTheme="minorHAnsi"/>
          <w:b/>
          <w:u w:val="single"/>
          <w:lang w:eastAsia="en-US"/>
        </w:rPr>
      </w:pPr>
      <w:r w:rsidRPr="002C2D40">
        <w:rPr>
          <w:rFonts w:asciiTheme="minorHAnsi" w:eastAsia="Calibri" w:hAnsiTheme="minorHAnsi"/>
          <w:b/>
          <w:lang w:eastAsia="en-US"/>
        </w:rPr>
        <w:t xml:space="preserve">Grupa spraw </w:t>
      </w:r>
      <w:r w:rsidRPr="002C2D40">
        <w:rPr>
          <w:rFonts w:asciiTheme="minorHAnsi" w:eastAsia="Calibri" w:hAnsiTheme="minorHAnsi"/>
          <w:b/>
          <w:i/>
          <w:lang w:eastAsia="en-US"/>
        </w:rPr>
        <w:t>Beller p. Polsce</w:t>
      </w:r>
      <w:r w:rsidRPr="002C2D40">
        <w:rPr>
          <w:rFonts w:asciiTheme="minorHAnsi" w:eastAsia="Calibri" w:hAnsiTheme="minorHAnsi"/>
          <w:b/>
          <w:lang w:eastAsia="en-US"/>
        </w:rPr>
        <w:t xml:space="preserve"> </w:t>
      </w:r>
      <w:r w:rsidRPr="00162114">
        <w:rPr>
          <w:rFonts w:asciiTheme="minorHAnsi" w:eastAsia="Calibri" w:hAnsiTheme="minorHAnsi"/>
          <w:lang w:eastAsia="en-US"/>
        </w:rPr>
        <w:t>(skarga nr 51837/99)</w:t>
      </w:r>
      <w:r w:rsidRPr="002C2D40">
        <w:rPr>
          <w:rFonts w:asciiTheme="minorHAnsi" w:eastAsia="Calibri" w:hAnsiTheme="minorHAnsi"/>
          <w:b/>
          <w:i/>
          <w:lang w:eastAsia="en-US"/>
        </w:rPr>
        <w:t xml:space="preserve"> </w:t>
      </w:r>
      <w:r w:rsidRPr="002C2D40">
        <w:rPr>
          <w:rFonts w:asciiTheme="minorHAnsi" w:eastAsia="Calibri" w:hAnsiTheme="minorHAnsi"/>
          <w:lang w:eastAsia="en-US"/>
        </w:rPr>
        <w:t xml:space="preserve">– naruszenie art. 6 ust. 1 Konwencji z powodu przewlekłości postępowań toczących się przed organami administracyjnymi i/lub sądami administracyjnymi. Zaktualizowany plan działań dotyczący tej grupy wyroków został przesłany do Rady Europy w dniu 8 czerwca </w:t>
      </w:r>
      <w:r w:rsidRPr="003D380D">
        <w:rPr>
          <w:rFonts w:asciiTheme="minorHAnsi" w:eastAsia="Calibri" w:hAnsiTheme="minorHAnsi"/>
          <w:lang w:eastAsia="en-US"/>
        </w:rPr>
        <w:t>2020 r.,</w:t>
      </w:r>
      <w:r w:rsidRPr="002C2D40">
        <w:rPr>
          <w:rFonts w:asciiTheme="minorHAnsi" w:eastAsia="Calibri" w:hAnsiTheme="minorHAnsi"/>
          <w:lang w:eastAsia="en-US"/>
        </w:rPr>
        <w:t xml:space="preserve"> a następnie oceniony przez KM podczas posiedzenia KM-DH we wrześniu 2020 r., którego wynikiem było wydanie przez KM rezolucji uznającej za wykonane przez Polskę </w:t>
      </w:r>
      <w:r w:rsidRPr="002C2D40">
        <w:rPr>
          <w:rFonts w:asciiTheme="minorHAnsi" w:hAnsiTheme="minorHAnsi"/>
        </w:rPr>
        <w:t>3 wyroków dotyczących przewlekłości postępowań administracyjnych</w:t>
      </w:r>
      <w:r w:rsidRPr="002C2D40">
        <w:rPr>
          <w:rFonts w:asciiTheme="minorHAnsi" w:eastAsia="Calibri" w:hAnsiTheme="minorHAnsi"/>
          <w:lang w:eastAsia="en-US"/>
        </w:rPr>
        <w:t xml:space="preserve"> i sądowo-administracyjnych.</w:t>
      </w:r>
      <w:r w:rsidRPr="002C2D40">
        <w:rPr>
          <w:rFonts w:asciiTheme="minorHAnsi" w:eastAsia="Calibri" w:hAnsiTheme="minorHAnsi"/>
          <w:u w:val="single"/>
          <w:lang w:eastAsia="en-US"/>
        </w:rPr>
        <w:t xml:space="preserve"> </w:t>
      </w:r>
    </w:p>
    <w:p w:rsidR="001D4EB7" w:rsidRPr="002C2D40" w:rsidRDefault="001D4EB7" w:rsidP="003F20CE">
      <w:pPr>
        <w:numPr>
          <w:ilvl w:val="0"/>
          <w:numId w:val="3"/>
        </w:numPr>
        <w:spacing w:before="120" w:after="120"/>
        <w:ind w:left="0" w:firstLine="0"/>
        <w:jc w:val="both"/>
        <w:rPr>
          <w:rFonts w:asciiTheme="minorHAnsi" w:eastAsia="Calibri" w:hAnsiTheme="minorHAnsi"/>
          <w:lang w:eastAsia="en-US"/>
        </w:rPr>
      </w:pPr>
      <w:r w:rsidRPr="002C2D40">
        <w:rPr>
          <w:rFonts w:asciiTheme="minorHAnsi" w:hAnsiTheme="minorHAnsi"/>
          <w:b/>
          <w:i/>
        </w:rPr>
        <w:t>Zaręba p. Polsce</w:t>
      </w:r>
      <w:r w:rsidRPr="002C2D40">
        <w:rPr>
          <w:rFonts w:asciiTheme="minorHAnsi" w:hAnsiTheme="minorHAnsi"/>
        </w:rPr>
        <w:t xml:space="preserve"> (skarga nr 59955/15) - naruszenie art. 3 Konwencji w związku z nieodpowiednimi warunkami osadzenia skarżącego. Zaktualizowany raport z wykonania wyroku został przesłany do Rady Europy w dniu 3 lipca 2020 r. W dniu 1 października 2020 r. KM uznał wyrok za wykonany. </w:t>
      </w:r>
    </w:p>
    <w:p w:rsidR="001D4EB7" w:rsidRPr="002C2D40" w:rsidRDefault="001D4EB7" w:rsidP="003F20CE">
      <w:pPr>
        <w:numPr>
          <w:ilvl w:val="0"/>
          <w:numId w:val="3"/>
        </w:numPr>
        <w:spacing w:before="120"/>
        <w:ind w:left="0" w:firstLine="0"/>
        <w:jc w:val="both"/>
        <w:rPr>
          <w:rFonts w:asciiTheme="minorHAnsi" w:eastAsia="Calibri" w:hAnsiTheme="minorHAnsi"/>
          <w:b/>
          <w:u w:val="single"/>
          <w:lang w:eastAsia="en-US"/>
        </w:rPr>
      </w:pPr>
      <w:r w:rsidRPr="002C2D40">
        <w:rPr>
          <w:rFonts w:asciiTheme="minorHAnsi" w:eastAsia="Calibri" w:hAnsiTheme="minorHAnsi"/>
          <w:b/>
          <w:i/>
          <w:lang w:eastAsia="en-US"/>
        </w:rPr>
        <w:t xml:space="preserve">Kacper Nowakowski p. Polsce </w:t>
      </w:r>
      <w:r w:rsidRPr="00162114">
        <w:rPr>
          <w:rFonts w:asciiTheme="minorHAnsi" w:eastAsia="Calibri" w:hAnsiTheme="minorHAnsi"/>
          <w:lang w:eastAsia="en-US"/>
        </w:rPr>
        <w:t xml:space="preserve">(skarga nr </w:t>
      </w:r>
      <w:r w:rsidRPr="00162114">
        <w:rPr>
          <w:rFonts w:asciiTheme="minorHAnsi" w:hAnsiTheme="minorHAnsi"/>
        </w:rPr>
        <w:t>58683/08)</w:t>
      </w:r>
      <w:r w:rsidRPr="00162114">
        <w:rPr>
          <w:rFonts w:asciiTheme="minorHAnsi" w:eastAsia="Calibri" w:hAnsiTheme="minorHAnsi"/>
          <w:lang w:eastAsia="en-US"/>
        </w:rPr>
        <w:t xml:space="preserve"> –</w:t>
      </w:r>
      <w:r w:rsidRPr="002C2D40">
        <w:rPr>
          <w:rFonts w:asciiTheme="minorHAnsi" w:eastAsia="Calibri" w:hAnsiTheme="minorHAnsi"/>
          <w:lang w:eastAsia="en-US"/>
        </w:rPr>
        <w:t xml:space="preserve"> naruszenie </w:t>
      </w:r>
      <w:r w:rsidRPr="002C2D40">
        <w:rPr>
          <w:rFonts w:asciiTheme="minorHAnsi" w:hAnsiTheme="minorHAnsi"/>
        </w:rPr>
        <w:t>art. 8 Konwencji z powodu niedostatecznego rozważenia przez sądy krajowe możliwości rozszerzenia kontaktów skarżącego, będącego osobą głuchoniemą, z synem. Trybunał uznał, że sądy nie rozważyły żadnych środków, które mogły ułatwić skarżącemu pokonywanie barier wynikających z jego niepełnosprawności. Zaktualizowany r</w:t>
      </w:r>
      <w:r w:rsidRPr="002C2D40">
        <w:rPr>
          <w:rFonts w:asciiTheme="minorHAnsi" w:eastAsia="Calibri" w:hAnsiTheme="minorHAnsi"/>
          <w:lang w:eastAsia="en-US"/>
        </w:rPr>
        <w:t>aport z wykonania tego wyroku został przesłany do Rady Europy w dniu 15 lipca 2020 r.</w:t>
      </w:r>
    </w:p>
    <w:p w:rsidR="00AF15AE" w:rsidRPr="002C2D40" w:rsidRDefault="00A40BCD" w:rsidP="003F20CE">
      <w:pPr>
        <w:numPr>
          <w:ilvl w:val="0"/>
          <w:numId w:val="3"/>
        </w:numPr>
        <w:spacing w:before="120"/>
        <w:ind w:left="0" w:firstLine="0"/>
        <w:jc w:val="both"/>
        <w:rPr>
          <w:rFonts w:asciiTheme="minorHAnsi" w:eastAsia="Calibri" w:hAnsiTheme="minorHAnsi"/>
          <w:b/>
          <w:u w:val="single"/>
          <w:lang w:eastAsia="en-US"/>
        </w:rPr>
      </w:pPr>
      <w:r w:rsidRPr="002C2D40">
        <w:rPr>
          <w:rFonts w:asciiTheme="minorHAnsi" w:hAnsiTheme="minorHAnsi" w:cstheme="minorHAnsi"/>
          <w:b/>
          <w:i/>
          <w:color w:val="000000"/>
        </w:rPr>
        <w:t>K.J. p. Polsce</w:t>
      </w:r>
      <w:r w:rsidRPr="002C2D40">
        <w:rPr>
          <w:rFonts w:asciiTheme="minorHAnsi" w:hAnsiTheme="minorHAnsi" w:cstheme="minorHAnsi"/>
          <w:i/>
          <w:color w:val="000000"/>
        </w:rPr>
        <w:t xml:space="preserve"> </w:t>
      </w:r>
      <w:r w:rsidRPr="002C2D40">
        <w:rPr>
          <w:rFonts w:asciiTheme="minorHAnsi" w:hAnsiTheme="minorHAnsi" w:cstheme="minorHAnsi"/>
          <w:color w:val="000000"/>
        </w:rPr>
        <w:t>(skarga nr</w:t>
      </w:r>
      <w:r w:rsidRPr="002C2D40">
        <w:rPr>
          <w:rFonts w:asciiTheme="minorHAnsi" w:hAnsiTheme="minorHAnsi"/>
        </w:rPr>
        <w:t xml:space="preserve"> 30813/14), </w:t>
      </w:r>
      <w:r w:rsidRPr="002C2D40">
        <w:rPr>
          <w:rFonts w:asciiTheme="minorHAnsi" w:hAnsiTheme="minorHAnsi"/>
          <w:b/>
          <w:i/>
        </w:rPr>
        <w:t>G.N. p. Polsce</w:t>
      </w:r>
      <w:r w:rsidRPr="002C2D40">
        <w:rPr>
          <w:rFonts w:asciiTheme="minorHAnsi" w:hAnsiTheme="minorHAnsi"/>
          <w:i/>
        </w:rPr>
        <w:t xml:space="preserve"> </w:t>
      </w:r>
      <w:r w:rsidRPr="002C2D40">
        <w:rPr>
          <w:rFonts w:asciiTheme="minorHAnsi" w:hAnsiTheme="minorHAnsi"/>
        </w:rPr>
        <w:t xml:space="preserve">(skarga nr 2171/14), </w:t>
      </w:r>
      <w:r w:rsidRPr="002C2D40">
        <w:rPr>
          <w:rFonts w:asciiTheme="minorHAnsi" w:hAnsiTheme="minorHAnsi" w:cstheme="minorHAnsi"/>
          <w:b/>
          <w:i/>
          <w:color w:val="000000"/>
        </w:rPr>
        <w:t>Oller Kamińska p. Polsce</w:t>
      </w:r>
      <w:r w:rsidRPr="002C2D40">
        <w:rPr>
          <w:rFonts w:asciiTheme="minorHAnsi" w:hAnsiTheme="minorHAnsi"/>
        </w:rPr>
        <w:t xml:space="preserve"> (skarga nr 28481/12) – naruszenie art. 8 Konwencji, tj. </w:t>
      </w:r>
      <w:r w:rsidRPr="002C2D40">
        <w:rPr>
          <w:rFonts w:asciiTheme="minorHAnsi" w:hAnsiTheme="minorHAnsi" w:cstheme="minorHAnsi"/>
        </w:rPr>
        <w:t xml:space="preserve">prawa skarżących do poszanowania życia rodzinnego ze względu na brak ułatwienia przez władze łączenia skarżących z ich dziećmi, w szczególności z powodu długotrwałych postępowań na podstawie </w:t>
      </w:r>
      <w:r w:rsidRPr="002C2D40">
        <w:rPr>
          <w:rFonts w:asciiTheme="minorHAnsi" w:hAnsiTheme="minorHAnsi" w:cstheme="minorHAnsi"/>
          <w:i/>
        </w:rPr>
        <w:t>Konwencji o cywilnych aspektach uprowadzenia dziecka za granicę</w:t>
      </w:r>
      <w:r w:rsidRPr="002C2D40">
        <w:rPr>
          <w:rFonts w:asciiTheme="minorHAnsi" w:hAnsiTheme="minorHAnsi" w:cstheme="minorHAnsi"/>
        </w:rPr>
        <w:t xml:space="preserve"> i długotrwałych postępowań dotyczących wykonania orzeczeń nakazujących powrót dziecka. Zaktualizowany r</w:t>
      </w:r>
      <w:r w:rsidRPr="002C2D40">
        <w:rPr>
          <w:rFonts w:asciiTheme="minorHAnsi" w:hAnsiTheme="minorHAnsi"/>
        </w:rPr>
        <w:t xml:space="preserve">aport </w:t>
      </w:r>
      <w:r w:rsidRPr="002C2D40">
        <w:rPr>
          <w:rFonts w:asciiTheme="minorHAnsi" w:eastAsia="Calibri" w:hAnsiTheme="minorHAnsi"/>
          <w:lang w:eastAsia="en-US"/>
        </w:rPr>
        <w:t>z wykonania tej grupy wyroków został przesłany do Rady Europy w dniu 29 lipca 2020 r.</w:t>
      </w:r>
    </w:p>
    <w:p w:rsidR="00A40BCD" w:rsidRPr="002C2D40" w:rsidRDefault="00E73FF5" w:rsidP="003F20CE">
      <w:pPr>
        <w:numPr>
          <w:ilvl w:val="0"/>
          <w:numId w:val="3"/>
        </w:numPr>
        <w:spacing w:before="120" w:after="120"/>
        <w:ind w:left="0" w:firstLine="0"/>
        <w:jc w:val="both"/>
        <w:rPr>
          <w:rFonts w:asciiTheme="minorHAnsi" w:eastAsia="Calibri" w:hAnsiTheme="minorHAnsi"/>
          <w:lang w:eastAsia="en-US"/>
        </w:rPr>
      </w:pPr>
      <w:r w:rsidRPr="002C2D40">
        <w:rPr>
          <w:rFonts w:asciiTheme="minorHAnsi" w:hAnsiTheme="minorHAnsi"/>
          <w:b/>
          <w:i/>
        </w:rPr>
        <w:t xml:space="preserve">Tysiąc p. Polsce </w:t>
      </w:r>
      <w:r w:rsidRPr="002C2D40">
        <w:rPr>
          <w:rFonts w:asciiTheme="minorHAnsi" w:eastAsia="Calibri" w:hAnsiTheme="minorHAnsi"/>
          <w:lang w:eastAsia="en-US"/>
        </w:rPr>
        <w:t>(skarga nr 5410/03)</w:t>
      </w:r>
      <w:r w:rsidRPr="002C2D40">
        <w:rPr>
          <w:rFonts w:asciiTheme="minorHAnsi" w:hAnsiTheme="minorHAnsi"/>
          <w:b/>
          <w:i/>
        </w:rPr>
        <w:t xml:space="preserve"> i R.R. p Polsce </w:t>
      </w:r>
      <w:r w:rsidRPr="002C2D40">
        <w:rPr>
          <w:rFonts w:asciiTheme="minorHAnsi" w:eastAsia="Calibri" w:hAnsiTheme="minorHAnsi"/>
          <w:lang w:eastAsia="en-US"/>
        </w:rPr>
        <w:t xml:space="preserve">(skarga nr 27617/04) – naruszenie art. 8 Konwencji </w:t>
      </w:r>
      <w:r w:rsidR="00561A09" w:rsidRPr="002C2D40">
        <w:rPr>
          <w:rFonts w:asciiTheme="minorHAnsi" w:hAnsiTheme="minorHAnsi"/>
        </w:rPr>
        <w:t>z uwagi na brak</w:t>
      </w:r>
      <w:r w:rsidR="00561A09" w:rsidRPr="002C2D40">
        <w:rPr>
          <w:rFonts w:asciiTheme="minorHAnsi" w:hAnsiTheme="minorHAnsi"/>
          <w:color w:val="000000"/>
        </w:rPr>
        <w:t xml:space="preserve"> odpowiednich ram proceduralnych gwarantujących skarżącym dostęp do świadczeń medycznych w odpowiednim czasie, tj. zabiegu legalnej aborcji (</w:t>
      </w:r>
      <w:r w:rsidR="00561A09" w:rsidRPr="002C2D40">
        <w:rPr>
          <w:rFonts w:asciiTheme="minorHAnsi" w:hAnsiTheme="minorHAnsi"/>
          <w:i/>
          <w:color w:val="000000"/>
        </w:rPr>
        <w:t>Tysiąc</w:t>
      </w:r>
      <w:r w:rsidR="00561A09" w:rsidRPr="002C2D40">
        <w:rPr>
          <w:rFonts w:asciiTheme="minorHAnsi" w:hAnsiTheme="minorHAnsi"/>
          <w:color w:val="000000"/>
        </w:rPr>
        <w:t>) i badań prenatalnych (</w:t>
      </w:r>
      <w:r w:rsidR="00561A09" w:rsidRPr="002C2D40">
        <w:rPr>
          <w:rFonts w:asciiTheme="minorHAnsi" w:hAnsiTheme="minorHAnsi"/>
          <w:i/>
          <w:color w:val="000000"/>
        </w:rPr>
        <w:t>R.R.</w:t>
      </w:r>
      <w:r w:rsidR="00561A09" w:rsidRPr="002C2D40">
        <w:rPr>
          <w:rFonts w:asciiTheme="minorHAnsi" w:hAnsiTheme="minorHAnsi"/>
          <w:color w:val="000000"/>
        </w:rPr>
        <w:t xml:space="preserve">). W sprawie </w:t>
      </w:r>
      <w:r w:rsidR="00561A09" w:rsidRPr="002C2D40">
        <w:rPr>
          <w:rFonts w:asciiTheme="minorHAnsi" w:hAnsiTheme="minorHAnsi"/>
          <w:i/>
          <w:color w:val="000000"/>
        </w:rPr>
        <w:t>R.R.</w:t>
      </w:r>
      <w:r w:rsidR="00561A09" w:rsidRPr="002C2D40">
        <w:rPr>
          <w:rFonts w:asciiTheme="minorHAnsi" w:hAnsiTheme="minorHAnsi"/>
          <w:color w:val="000000"/>
        </w:rPr>
        <w:t xml:space="preserve"> Trybunał uznał, że doszło również do naruszenia art. 3 </w:t>
      </w:r>
      <w:r w:rsidR="00561A09" w:rsidRPr="002C2D40">
        <w:rPr>
          <w:rFonts w:asciiTheme="minorHAnsi" w:hAnsiTheme="minorHAnsi"/>
        </w:rPr>
        <w:t>Konwencji z powodu braku dostępu w odpowiednim czasie do badań prenatalnych.</w:t>
      </w:r>
      <w:r w:rsidRPr="002C2D40">
        <w:rPr>
          <w:rFonts w:asciiTheme="minorHAnsi" w:eastAsia="Calibri" w:hAnsiTheme="minorHAnsi"/>
          <w:i/>
          <w:lang w:eastAsia="en-US"/>
        </w:rPr>
        <w:t xml:space="preserve"> </w:t>
      </w:r>
      <w:r w:rsidRPr="002C2D40">
        <w:rPr>
          <w:rFonts w:asciiTheme="minorHAnsi" w:eastAsia="Calibri" w:hAnsiTheme="minorHAnsi"/>
          <w:lang w:eastAsia="en-US"/>
        </w:rPr>
        <w:t xml:space="preserve">W dniu </w:t>
      </w:r>
      <w:r w:rsidR="00A40BCD" w:rsidRPr="002C2D40">
        <w:rPr>
          <w:rFonts w:asciiTheme="minorHAnsi" w:eastAsia="Calibri" w:hAnsiTheme="minorHAnsi"/>
          <w:lang w:eastAsia="en-US"/>
        </w:rPr>
        <w:t>2 października 2020</w:t>
      </w:r>
      <w:r w:rsidRPr="002C2D40">
        <w:rPr>
          <w:rFonts w:asciiTheme="minorHAnsi" w:eastAsia="Calibri" w:hAnsiTheme="minorHAnsi"/>
          <w:lang w:eastAsia="en-US"/>
        </w:rPr>
        <w:t xml:space="preserve"> r. </w:t>
      </w:r>
      <w:r w:rsidR="00613232">
        <w:rPr>
          <w:rFonts w:asciiTheme="minorHAnsi" w:eastAsia="Calibri" w:hAnsiTheme="minorHAnsi"/>
          <w:lang w:eastAsia="en-US"/>
        </w:rPr>
        <w:t>R</w:t>
      </w:r>
      <w:r w:rsidRPr="002C2D40">
        <w:rPr>
          <w:rFonts w:asciiTheme="minorHAnsi" w:eastAsia="Calibri" w:hAnsiTheme="minorHAnsi"/>
          <w:lang w:eastAsia="en-US"/>
        </w:rPr>
        <w:t xml:space="preserve">ząd przesłał do Rady Europy pismo </w:t>
      </w:r>
      <w:r w:rsidR="00561A09" w:rsidRPr="002C2D40">
        <w:rPr>
          <w:rFonts w:asciiTheme="minorHAnsi" w:eastAsia="Calibri" w:hAnsiTheme="minorHAnsi"/>
          <w:lang w:eastAsia="en-US"/>
        </w:rPr>
        <w:t>informujące o jego stanowisku</w:t>
      </w:r>
      <w:r w:rsidRPr="002C2D40">
        <w:rPr>
          <w:rFonts w:asciiTheme="minorHAnsi" w:eastAsia="Calibri" w:hAnsiTheme="minorHAnsi"/>
          <w:lang w:eastAsia="en-US"/>
        </w:rPr>
        <w:t xml:space="preserve"> w zakresie</w:t>
      </w:r>
      <w:r w:rsidR="00A40BCD" w:rsidRPr="002C2D40">
        <w:rPr>
          <w:rFonts w:asciiTheme="minorHAnsi" w:eastAsia="Calibri" w:hAnsiTheme="minorHAnsi"/>
          <w:lang w:eastAsia="en-US"/>
        </w:rPr>
        <w:t xml:space="preserve"> realizacji środków generalnych.</w:t>
      </w:r>
    </w:p>
    <w:p w:rsidR="00E73FF5" w:rsidRPr="002C2D40" w:rsidRDefault="00E73FF5" w:rsidP="003F20CE">
      <w:pPr>
        <w:numPr>
          <w:ilvl w:val="0"/>
          <w:numId w:val="3"/>
        </w:numPr>
        <w:spacing w:before="120" w:after="120"/>
        <w:ind w:left="0" w:firstLine="0"/>
        <w:jc w:val="both"/>
        <w:rPr>
          <w:rFonts w:asciiTheme="minorHAnsi" w:eastAsia="Calibri" w:hAnsiTheme="minorHAnsi"/>
          <w:b/>
          <w:u w:val="single"/>
          <w:lang w:eastAsia="en-US"/>
        </w:rPr>
      </w:pPr>
      <w:r w:rsidRPr="002C2D40">
        <w:rPr>
          <w:rFonts w:asciiTheme="minorHAnsi" w:eastAsia="Calibri" w:hAnsiTheme="minorHAnsi"/>
          <w:b/>
          <w:i/>
          <w:lang w:eastAsia="en-US"/>
        </w:rPr>
        <w:t>Al Nashiri p. Polsce</w:t>
      </w:r>
      <w:r w:rsidRPr="002C2D40">
        <w:rPr>
          <w:rFonts w:asciiTheme="minorHAnsi" w:eastAsia="Calibri" w:hAnsiTheme="minorHAnsi"/>
          <w:b/>
          <w:lang w:eastAsia="en-US"/>
        </w:rPr>
        <w:t xml:space="preserve"> </w:t>
      </w:r>
      <w:r w:rsidRPr="002C2D40">
        <w:rPr>
          <w:rFonts w:asciiTheme="minorHAnsi" w:eastAsia="Calibri" w:hAnsiTheme="minorHAnsi"/>
          <w:lang w:eastAsia="en-US"/>
        </w:rPr>
        <w:t>(skarga nr 28761/11)</w:t>
      </w:r>
      <w:r w:rsidRPr="002C2D40">
        <w:rPr>
          <w:rFonts w:asciiTheme="minorHAnsi" w:eastAsia="Calibri" w:hAnsiTheme="minorHAnsi"/>
          <w:b/>
          <w:lang w:eastAsia="en-US"/>
        </w:rPr>
        <w:t xml:space="preserve"> </w:t>
      </w:r>
      <w:r w:rsidRPr="002C2D40">
        <w:rPr>
          <w:rFonts w:asciiTheme="minorHAnsi" w:eastAsia="Calibri" w:hAnsiTheme="minorHAnsi"/>
          <w:lang w:eastAsia="en-US"/>
        </w:rPr>
        <w:t xml:space="preserve">i </w:t>
      </w:r>
      <w:r w:rsidRPr="002C2D40">
        <w:rPr>
          <w:rFonts w:asciiTheme="minorHAnsi" w:eastAsia="Calibri" w:hAnsiTheme="minorHAnsi"/>
          <w:b/>
          <w:i/>
          <w:lang w:eastAsia="en-US"/>
        </w:rPr>
        <w:t xml:space="preserve">Abu Zubaydah p. Polsce </w:t>
      </w:r>
      <w:r w:rsidRPr="002C2D40">
        <w:rPr>
          <w:rFonts w:asciiTheme="minorHAnsi" w:eastAsia="Calibri" w:hAnsiTheme="minorHAnsi"/>
          <w:lang w:eastAsia="en-US"/>
        </w:rPr>
        <w:t xml:space="preserve">(skarga nr 7511/13) – w dniu </w:t>
      </w:r>
      <w:r w:rsidR="00A40BCD" w:rsidRPr="002C2D40">
        <w:rPr>
          <w:rFonts w:asciiTheme="minorHAnsi" w:eastAsia="Calibri" w:hAnsiTheme="minorHAnsi"/>
          <w:lang w:eastAsia="en-US"/>
        </w:rPr>
        <w:t xml:space="preserve">15 października 2020 </w:t>
      </w:r>
      <w:r w:rsidRPr="002C2D40">
        <w:rPr>
          <w:rFonts w:asciiTheme="minorHAnsi" w:eastAsia="Calibri" w:hAnsiTheme="minorHAnsi"/>
          <w:lang w:eastAsia="en-US"/>
        </w:rPr>
        <w:t xml:space="preserve">r. rząd przesłał do Rady Europy pismo informujące o działaniach podjętych w zakresie realizacji środków </w:t>
      </w:r>
      <w:r w:rsidR="00A40BCD" w:rsidRPr="002C2D40">
        <w:rPr>
          <w:rFonts w:asciiTheme="minorHAnsi" w:eastAsia="Calibri" w:hAnsiTheme="minorHAnsi"/>
          <w:lang w:eastAsia="en-US"/>
        </w:rPr>
        <w:t xml:space="preserve">indywidualnych i </w:t>
      </w:r>
      <w:r w:rsidRPr="002C2D40">
        <w:rPr>
          <w:rFonts w:asciiTheme="minorHAnsi" w:eastAsia="Calibri" w:hAnsiTheme="minorHAnsi"/>
          <w:lang w:eastAsia="en-US"/>
        </w:rPr>
        <w:t>generalnych.</w:t>
      </w:r>
    </w:p>
    <w:p w:rsidR="00A40BCD" w:rsidRPr="002C2D40" w:rsidRDefault="00A40BCD" w:rsidP="003F20CE">
      <w:pPr>
        <w:numPr>
          <w:ilvl w:val="0"/>
          <w:numId w:val="3"/>
        </w:numPr>
        <w:spacing w:before="120" w:after="120"/>
        <w:ind w:left="0" w:firstLine="0"/>
        <w:jc w:val="both"/>
        <w:rPr>
          <w:rStyle w:val="sfbbfee58"/>
          <w:rFonts w:asciiTheme="minorHAnsi" w:eastAsia="Calibri" w:hAnsiTheme="minorHAnsi"/>
          <w:b/>
          <w:u w:val="single"/>
          <w:lang w:eastAsia="en-US"/>
        </w:rPr>
      </w:pPr>
      <w:r w:rsidRPr="002C2D40">
        <w:rPr>
          <w:rFonts w:asciiTheme="minorHAnsi" w:eastAsia="Calibri" w:hAnsiTheme="minorHAnsi"/>
          <w:b/>
          <w:i/>
          <w:lang w:eastAsia="en-US"/>
        </w:rPr>
        <w:lastRenderedPageBreak/>
        <w:t xml:space="preserve">Olewnik-Cieplińska i Olewnik p. Polsce </w:t>
      </w:r>
      <w:r w:rsidRPr="002C2D40">
        <w:rPr>
          <w:rFonts w:asciiTheme="minorHAnsi" w:eastAsia="Calibri" w:hAnsiTheme="minorHAnsi"/>
          <w:lang w:eastAsia="en-US"/>
        </w:rPr>
        <w:t xml:space="preserve">(skarga nr </w:t>
      </w:r>
      <w:r w:rsidRPr="002C2D40">
        <w:rPr>
          <w:rFonts w:asciiTheme="minorHAnsi" w:hAnsiTheme="minorHAnsi"/>
        </w:rPr>
        <w:t xml:space="preserve">20147/15) – </w:t>
      </w:r>
      <w:r w:rsidRPr="002C2D40">
        <w:rPr>
          <w:rStyle w:val="sfbbfee58"/>
          <w:rFonts w:asciiTheme="minorHAnsi" w:hAnsiTheme="minorHAnsi"/>
        </w:rPr>
        <w:t>Trybunał stwierdził naruszenie art. 2 Konwencji w związku z porwaniem i śmiercią brata</w:t>
      </w:r>
      <w:r w:rsidR="00162114">
        <w:rPr>
          <w:rStyle w:val="sfbbfee58"/>
          <w:rFonts w:asciiTheme="minorHAnsi" w:hAnsiTheme="minorHAnsi"/>
        </w:rPr>
        <w:t xml:space="preserve"> i </w:t>
      </w:r>
      <w:r w:rsidRPr="002C2D40">
        <w:rPr>
          <w:rStyle w:val="sfbbfee58"/>
          <w:rFonts w:asciiTheme="minorHAnsi" w:hAnsiTheme="minorHAnsi"/>
        </w:rPr>
        <w:t>syna skarżących oraz brakiem odpowiedniego i skutecznego śledztwa w sprawie jego śmierci. Raport z wykonania wyroku został przesłany do Rady Europy w dniu 27 października 2020 r.</w:t>
      </w:r>
    </w:p>
    <w:p w:rsidR="00A40BCD" w:rsidRPr="002C2D40" w:rsidRDefault="00A40BCD" w:rsidP="003F20CE">
      <w:pPr>
        <w:numPr>
          <w:ilvl w:val="0"/>
          <w:numId w:val="3"/>
        </w:numPr>
        <w:spacing w:before="120" w:after="120"/>
        <w:ind w:left="0" w:firstLine="0"/>
        <w:jc w:val="both"/>
        <w:rPr>
          <w:rFonts w:asciiTheme="minorHAnsi" w:eastAsia="Calibri" w:hAnsiTheme="minorHAnsi"/>
          <w:b/>
          <w:u w:val="single"/>
          <w:lang w:eastAsia="en-US"/>
        </w:rPr>
      </w:pPr>
      <w:r w:rsidRPr="002C2D40">
        <w:rPr>
          <w:rStyle w:val="sfbbfee58"/>
          <w:rFonts w:asciiTheme="minorHAnsi" w:hAnsiTheme="minorHAnsi"/>
          <w:b/>
          <w:i/>
        </w:rPr>
        <w:t>Kanciał p. Polsce</w:t>
      </w:r>
      <w:r w:rsidRPr="002C2D40">
        <w:rPr>
          <w:rStyle w:val="sfbbfee58"/>
          <w:rFonts w:asciiTheme="minorHAnsi" w:hAnsiTheme="minorHAnsi"/>
        </w:rPr>
        <w:t xml:space="preserve"> (skarga nr </w:t>
      </w:r>
      <w:r w:rsidRPr="002C2D40">
        <w:rPr>
          <w:rFonts w:asciiTheme="minorHAnsi" w:hAnsiTheme="minorHAnsi"/>
        </w:rPr>
        <w:t xml:space="preserve">37023/13) - </w:t>
      </w:r>
      <w:r w:rsidRPr="002C2D40">
        <w:rPr>
          <w:rFonts w:asciiTheme="minorHAnsi" w:eastAsia="Calibri" w:hAnsiTheme="minorHAnsi"/>
        </w:rPr>
        <w:t>naruszenie art. 3 Konwencji w związku z użyciem nadmiernej siły przez policję (w tym paralizatorów) podczas zatrzymania skarżącego. Raport z wykonania wyroku został przesłany do Rady Europy w dniu 9 listopada 2020 r.</w:t>
      </w:r>
    </w:p>
    <w:p w:rsidR="00A40BCD" w:rsidRPr="002C2D40" w:rsidRDefault="00A40BCD" w:rsidP="003F20CE">
      <w:pPr>
        <w:numPr>
          <w:ilvl w:val="0"/>
          <w:numId w:val="3"/>
        </w:numPr>
        <w:spacing w:before="120" w:after="120"/>
        <w:ind w:left="0" w:firstLine="0"/>
        <w:jc w:val="both"/>
        <w:rPr>
          <w:rFonts w:asciiTheme="minorHAnsi" w:eastAsia="Calibri" w:hAnsiTheme="minorHAnsi"/>
          <w:b/>
          <w:u w:val="single"/>
          <w:lang w:eastAsia="en-US"/>
        </w:rPr>
      </w:pPr>
      <w:r w:rsidRPr="002C2D40">
        <w:rPr>
          <w:rFonts w:asciiTheme="minorHAnsi" w:eastAsia="Calibri" w:hAnsiTheme="minorHAnsi"/>
          <w:b/>
          <w:i/>
        </w:rPr>
        <w:t>Rasiński p. Polsce</w:t>
      </w:r>
      <w:r w:rsidRPr="002C2D40">
        <w:rPr>
          <w:rFonts w:asciiTheme="minorHAnsi" w:eastAsia="Calibri" w:hAnsiTheme="minorHAnsi"/>
        </w:rPr>
        <w:t xml:space="preserve"> (skarga nr </w:t>
      </w:r>
      <w:r w:rsidRPr="002C2D40">
        <w:rPr>
          <w:rFonts w:asciiTheme="minorHAnsi" w:hAnsiTheme="minorHAnsi"/>
        </w:rPr>
        <w:t xml:space="preserve">42969/18) - </w:t>
      </w:r>
      <w:r w:rsidR="00162114">
        <w:rPr>
          <w:rFonts w:asciiTheme="minorHAnsi" w:hAnsiTheme="minorHAnsi"/>
        </w:rPr>
        <w:t>n</w:t>
      </w:r>
      <w:r w:rsidRPr="002C2D40">
        <w:rPr>
          <w:rFonts w:asciiTheme="minorHAnsi" w:hAnsiTheme="minorHAnsi"/>
        </w:rPr>
        <w:t>aruszenie art. 3 Konwencji w związku z nieodpowiednimi warunkami osadzenia w trakcie tymczasowego aresztowania skarżącego.</w:t>
      </w:r>
      <w:r w:rsidRPr="002C2D40">
        <w:rPr>
          <w:rStyle w:val="sfbbfee58"/>
          <w:rFonts w:asciiTheme="minorHAnsi" w:hAnsiTheme="minorHAnsi"/>
        </w:rPr>
        <w:t xml:space="preserve"> </w:t>
      </w:r>
      <w:r w:rsidRPr="002C2D40">
        <w:rPr>
          <w:rFonts w:asciiTheme="minorHAnsi" w:eastAsia="Calibri" w:hAnsiTheme="minorHAnsi"/>
        </w:rPr>
        <w:t>Raport z wykonania wyroku został przesłany do Rady Europy w dniu 9 grudnia 2020 r.</w:t>
      </w:r>
    </w:p>
    <w:p w:rsidR="00A40BCD" w:rsidRPr="002C2D40" w:rsidRDefault="0050515C" w:rsidP="003F20CE">
      <w:pPr>
        <w:numPr>
          <w:ilvl w:val="0"/>
          <w:numId w:val="3"/>
        </w:numPr>
        <w:spacing w:before="120" w:after="120"/>
        <w:ind w:left="0" w:firstLine="0"/>
        <w:jc w:val="both"/>
        <w:rPr>
          <w:rFonts w:asciiTheme="minorHAnsi" w:eastAsia="Calibri" w:hAnsiTheme="minorHAnsi"/>
          <w:b/>
          <w:u w:val="single"/>
          <w:lang w:eastAsia="en-US"/>
        </w:rPr>
      </w:pPr>
      <w:r w:rsidRPr="002C2D40">
        <w:rPr>
          <w:rFonts w:asciiTheme="minorHAnsi" w:eastAsia="Calibri" w:hAnsiTheme="minorHAnsi"/>
          <w:b/>
          <w:i/>
          <w:lang w:eastAsia="en-US"/>
        </w:rPr>
        <w:t>Rechul p. Polsce</w:t>
      </w:r>
      <w:r w:rsidRPr="002C2D40">
        <w:rPr>
          <w:rFonts w:asciiTheme="minorHAnsi" w:eastAsia="Calibri" w:hAnsiTheme="minorHAnsi"/>
          <w:b/>
          <w:u w:val="single"/>
          <w:lang w:eastAsia="en-US"/>
        </w:rPr>
        <w:t xml:space="preserve"> </w:t>
      </w:r>
      <w:r w:rsidRPr="002C2D40">
        <w:rPr>
          <w:rFonts w:asciiTheme="minorHAnsi" w:hAnsiTheme="minorHAnsi"/>
        </w:rPr>
        <w:t xml:space="preserve">(skarga nr 69143/12) – naruszenie art. 6 ust. 1 Konwencji w związku z brakiem dostępu do sądu z powodu odmowy przez sądy krajowe zwolnienia skarżącego z opłat sądowych w 2012 r. Raport z wykonania wyroku został przesłany do Rady Europy w dniu 10 grudnia 2020 r. </w:t>
      </w:r>
    </w:p>
    <w:p w:rsidR="0050515C" w:rsidRPr="002C2D40" w:rsidRDefault="0050515C" w:rsidP="003F20CE">
      <w:pPr>
        <w:numPr>
          <w:ilvl w:val="0"/>
          <w:numId w:val="3"/>
        </w:numPr>
        <w:spacing w:before="120" w:after="120"/>
        <w:ind w:left="0" w:firstLine="0"/>
        <w:jc w:val="both"/>
        <w:rPr>
          <w:rFonts w:asciiTheme="minorHAnsi" w:eastAsia="Calibri" w:hAnsiTheme="minorHAnsi"/>
          <w:b/>
          <w:u w:val="single"/>
          <w:lang w:eastAsia="en-US"/>
        </w:rPr>
      </w:pPr>
      <w:r w:rsidRPr="002C2D40">
        <w:rPr>
          <w:rFonts w:asciiTheme="minorHAnsi" w:eastAsia="Calibri" w:hAnsiTheme="minorHAnsi"/>
          <w:b/>
          <w:i/>
          <w:lang w:eastAsia="en-US"/>
        </w:rPr>
        <w:t>Apanasewicz</w:t>
      </w:r>
      <w:r w:rsidR="00957009" w:rsidRPr="002C2D40">
        <w:rPr>
          <w:rFonts w:asciiTheme="minorHAnsi" w:eastAsia="Calibri" w:hAnsiTheme="minorHAnsi"/>
          <w:b/>
          <w:i/>
          <w:lang w:eastAsia="en-US"/>
        </w:rPr>
        <w:t xml:space="preserve"> p. </w:t>
      </w:r>
      <w:r w:rsidR="00957009" w:rsidRPr="00162114">
        <w:rPr>
          <w:rFonts w:asciiTheme="minorHAnsi" w:eastAsia="Calibri" w:hAnsiTheme="minorHAnsi"/>
          <w:b/>
          <w:i/>
          <w:lang w:eastAsia="en-US"/>
        </w:rPr>
        <w:t>Polsce</w:t>
      </w:r>
      <w:r w:rsidR="00957009" w:rsidRPr="00162114">
        <w:rPr>
          <w:rFonts w:asciiTheme="minorHAnsi" w:eastAsia="Calibri" w:hAnsiTheme="minorHAnsi"/>
          <w:b/>
          <w:lang w:eastAsia="en-US"/>
        </w:rPr>
        <w:t xml:space="preserve"> </w:t>
      </w:r>
      <w:r w:rsidR="00957009" w:rsidRPr="00162114">
        <w:rPr>
          <w:rFonts w:asciiTheme="minorHAnsi" w:hAnsiTheme="minorHAnsi"/>
        </w:rPr>
        <w:t>(</w:t>
      </w:r>
      <w:r w:rsidR="00957009" w:rsidRPr="002C2D40">
        <w:rPr>
          <w:rFonts w:asciiTheme="minorHAnsi" w:hAnsiTheme="minorHAnsi"/>
        </w:rPr>
        <w:t xml:space="preserve">skarga nr 6854/07) – Trybunał stwierdził </w:t>
      </w:r>
      <w:r w:rsidR="00957009" w:rsidRPr="002C2D40">
        <w:rPr>
          <w:rStyle w:val="sfbbfee58"/>
          <w:rFonts w:asciiTheme="minorHAnsi" w:hAnsiTheme="minorHAnsi"/>
        </w:rPr>
        <w:t xml:space="preserve">przewlekłość cywilnych i administracyjnych postępowań egzekucyjnych (naruszenie art. 6 ust. 1 Konwencji) oraz braku odpowiedniej ochrony przed negatywnymi konsekwencjami funkcjonowania </w:t>
      </w:r>
      <w:r w:rsidR="00162114">
        <w:rPr>
          <w:rStyle w:val="sfbbfee58"/>
          <w:rFonts w:asciiTheme="minorHAnsi" w:hAnsiTheme="minorHAnsi"/>
        </w:rPr>
        <w:t>zakładu produkcyjnego</w:t>
      </w:r>
      <w:r w:rsidR="00957009" w:rsidRPr="002C2D40">
        <w:rPr>
          <w:rStyle w:val="sfbbfee58"/>
          <w:rFonts w:asciiTheme="minorHAnsi" w:hAnsiTheme="minorHAnsi"/>
        </w:rPr>
        <w:t xml:space="preserve"> dla życia prywatnego skarżącej (naruszenie art. 8 ust. 1 Konwencji). Raport z wykonania wyroku został przesłany do Rady Europy w dniu 10 grudnia 2020 r. </w:t>
      </w:r>
    </w:p>
    <w:p w:rsidR="0050515C" w:rsidRPr="002C2D40" w:rsidRDefault="0050515C" w:rsidP="003F20CE">
      <w:pPr>
        <w:numPr>
          <w:ilvl w:val="0"/>
          <w:numId w:val="3"/>
        </w:numPr>
        <w:spacing w:before="120" w:after="120"/>
        <w:ind w:left="0" w:firstLine="0"/>
        <w:jc w:val="both"/>
        <w:rPr>
          <w:rFonts w:asciiTheme="minorHAnsi" w:eastAsia="Calibri" w:hAnsiTheme="minorHAnsi"/>
          <w:lang w:eastAsia="en-US"/>
        </w:rPr>
      </w:pPr>
      <w:r w:rsidRPr="002C2D40">
        <w:rPr>
          <w:rFonts w:asciiTheme="minorHAnsi" w:eastAsia="Calibri" w:hAnsiTheme="minorHAnsi"/>
          <w:b/>
          <w:i/>
          <w:lang w:eastAsia="en-US"/>
        </w:rPr>
        <w:t>Dziunikowski p. Polsce</w:t>
      </w:r>
      <w:r w:rsidRPr="002C2D40">
        <w:rPr>
          <w:rFonts w:asciiTheme="minorHAnsi" w:eastAsia="Calibri" w:hAnsiTheme="minorHAnsi"/>
          <w:lang w:eastAsia="en-US"/>
        </w:rPr>
        <w:t xml:space="preserve"> (skarga nr </w:t>
      </w:r>
      <w:r w:rsidRPr="002C2D40">
        <w:rPr>
          <w:rFonts w:asciiTheme="minorHAnsi" w:hAnsiTheme="minorHAnsi"/>
        </w:rPr>
        <w:t xml:space="preserve">65790/12) – Trybunał uznał, </w:t>
      </w:r>
      <w:r w:rsidR="00162114">
        <w:rPr>
          <w:rFonts w:asciiTheme="minorHAnsi" w:hAnsiTheme="minorHAnsi"/>
        </w:rPr>
        <w:t>ż</w:t>
      </w:r>
      <w:r w:rsidRPr="002C2D40">
        <w:rPr>
          <w:rFonts w:asciiTheme="minorHAnsi" w:hAnsiTheme="minorHAnsi"/>
        </w:rPr>
        <w:t>e doszło do naruszenia art. 3 Konwencji w związku z nieodpowiednim śledztwem w sprawie zarzucanego złego traktowania skarżącego przez funkcjonariuszy policji. Zaktualizowany raport z wykonania wyroku został przesłany do Rady Europy w dniu 11 grudnia 2020 r.</w:t>
      </w:r>
    </w:p>
    <w:p w:rsidR="0050515C" w:rsidRPr="002C2D40" w:rsidRDefault="0050515C" w:rsidP="003F20CE">
      <w:pPr>
        <w:numPr>
          <w:ilvl w:val="0"/>
          <w:numId w:val="3"/>
        </w:numPr>
        <w:spacing w:before="120" w:after="120"/>
        <w:ind w:left="0" w:firstLine="0"/>
        <w:jc w:val="both"/>
        <w:rPr>
          <w:rFonts w:asciiTheme="minorHAnsi" w:eastAsia="Calibri" w:hAnsiTheme="minorHAnsi"/>
          <w:b/>
          <w:lang w:eastAsia="en-US"/>
        </w:rPr>
      </w:pPr>
      <w:r w:rsidRPr="002C2D40">
        <w:rPr>
          <w:rFonts w:asciiTheme="minorHAnsi" w:hAnsiTheme="minorHAnsi"/>
          <w:b/>
          <w:i/>
        </w:rPr>
        <w:t>Pugžlys p. Polsce</w:t>
      </w:r>
      <w:r w:rsidRPr="002C2D40">
        <w:rPr>
          <w:rFonts w:asciiTheme="minorHAnsi" w:hAnsiTheme="minorHAnsi"/>
          <w:i/>
        </w:rPr>
        <w:t xml:space="preserve"> </w:t>
      </w:r>
      <w:r w:rsidRPr="002C2D40">
        <w:rPr>
          <w:rFonts w:asciiTheme="minorHAnsi" w:hAnsiTheme="minorHAnsi"/>
        </w:rPr>
        <w:t xml:space="preserve">(skarga nr 446/10) – naruszenie art. </w:t>
      </w:r>
      <w:r w:rsidRPr="002C2D40">
        <w:rPr>
          <w:rFonts w:asciiTheme="minorHAnsi" w:eastAsia="Calibri" w:hAnsiTheme="minorHAnsi"/>
          <w:lang w:eastAsia="en-US"/>
        </w:rPr>
        <w:t>3 Konwencji z powodu długotrwałego nałożenia reżimu „więźnia niebezpiecznego” na skarżącego oraz z powodu umieszczenia skarżącego w metalowej klatce podczas postępowania sądowego</w:t>
      </w:r>
      <w:r w:rsidRPr="002C2D40">
        <w:rPr>
          <w:rFonts w:asciiTheme="minorHAnsi" w:hAnsiTheme="minorHAnsi"/>
        </w:rPr>
        <w:t xml:space="preserve">. </w:t>
      </w:r>
      <w:bookmarkStart w:id="3" w:name="OLE_LINK1"/>
      <w:r w:rsidRPr="002C2D40">
        <w:rPr>
          <w:rFonts w:asciiTheme="minorHAnsi" w:hAnsiTheme="minorHAnsi"/>
        </w:rPr>
        <w:t xml:space="preserve">Zaktualizowany raport </w:t>
      </w:r>
      <w:r w:rsidRPr="002C2D40">
        <w:rPr>
          <w:rFonts w:asciiTheme="minorHAnsi" w:eastAsia="Calibri" w:hAnsiTheme="minorHAnsi"/>
          <w:lang w:eastAsia="en-US"/>
        </w:rPr>
        <w:t>z wykonania tego wyroku został przesłany do Rady Europy w dniu 11 grudnia 2020 r.</w:t>
      </w:r>
    </w:p>
    <w:bookmarkEnd w:id="3"/>
    <w:p w:rsidR="0050515C" w:rsidRPr="002C2D40" w:rsidRDefault="0050515C" w:rsidP="003F20CE">
      <w:pPr>
        <w:numPr>
          <w:ilvl w:val="0"/>
          <w:numId w:val="3"/>
        </w:numPr>
        <w:spacing w:before="120" w:after="120"/>
        <w:ind w:left="0" w:firstLine="0"/>
        <w:jc w:val="both"/>
        <w:rPr>
          <w:rFonts w:asciiTheme="minorHAnsi" w:hAnsiTheme="minorHAnsi"/>
        </w:rPr>
      </w:pPr>
      <w:r w:rsidRPr="002C2D40">
        <w:rPr>
          <w:rFonts w:asciiTheme="minorHAnsi" w:eastAsia="Calibri" w:hAnsiTheme="minorHAnsi"/>
          <w:b/>
          <w:i/>
          <w:lang w:eastAsia="en-US"/>
        </w:rPr>
        <w:t xml:space="preserve">Walczak p. Polsce </w:t>
      </w:r>
      <w:r w:rsidRPr="002C2D40">
        <w:rPr>
          <w:rFonts w:asciiTheme="minorHAnsi" w:hAnsiTheme="minorHAnsi"/>
        </w:rPr>
        <w:t>(skarga nr 45564/15) - naruszenie art. 8 Konwencji w związku z pozbawieniem skarżącego osobistego kontaktu z żoną w trakcie jego osadzenia w 2015 r. Raport z wykonania wyroku został przesłany do Rady Europy w dniu 14 grudnia 2020 r.</w:t>
      </w:r>
    </w:p>
    <w:p w:rsidR="0050515C" w:rsidRPr="002C2D40" w:rsidRDefault="0050515C" w:rsidP="003F20CE">
      <w:pPr>
        <w:numPr>
          <w:ilvl w:val="0"/>
          <w:numId w:val="3"/>
        </w:numPr>
        <w:spacing w:before="120" w:after="120"/>
        <w:ind w:left="0" w:firstLine="0"/>
        <w:jc w:val="both"/>
        <w:rPr>
          <w:rFonts w:asciiTheme="minorHAnsi" w:eastAsia="Calibri" w:hAnsiTheme="minorHAnsi"/>
          <w:b/>
          <w:u w:val="single"/>
          <w:lang w:eastAsia="en-US"/>
        </w:rPr>
      </w:pPr>
      <w:r w:rsidRPr="002C2D40">
        <w:rPr>
          <w:rFonts w:asciiTheme="minorHAnsi" w:eastAsia="Calibri" w:hAnsiTheme="minorHAnsi"/>
          <w:b/>
          <w:i/>
          <w:lang w:eastAsia="en-US"/>
        </w:rPr>
        <w:t xml:space="preserve">Jezior p. Polsce </w:t>
      </w:r>
      <w:r w:rsidRPr="002C2D40">
        <w:rPr>
          <w:rFonts w:asciiTheme="minorHAnsi" w:eastAsia="Calibri" w:hAnsiTheme="minorHAnsi"/>
          <w:i/>
          <w:lang w:eastAsia="en-US"/>
        </w:rPr>
        <w:t>(</w:t>
      </w:r>
      <w:r w:rsidRPr="002C2D40">
        <w:rPr>
          <w:rFonts w:asciiTheme="minorHAnsi" w:eastAsia="Calibri" w:hAnsiTheme="minorHAnsi"/>
          <w:lang w:eastAsia="en-US"/>
        </w:rPr>
        <w:t>skarga nr</w:t>
      </w:r>
      <w:r w:rsidR="00957009" w:rsidRPr="002C2D40">
        <w:rPr>
          <w:rFonts w:asciiTheme="minorHAnsi" w:eastAsia="Calibri" w:hAnsiTheme="minorHAnsi"/>
          <w:lang w:eastAsia="en-US"/>
        </w:rPr>
        <w:t xml:space="preserve"> </w:t>
      </w:r>
      <w:r w:rsidR="00957009" w:rsidRPr="002C2D40">
        <w:rPr>
          <w:rFonts w:asciiTheme="minorHAnsi" w:hAnsiTheme="minorHAnsi"/>
        </w:rPr>
        <w:t>31955/11</w:t>
      </w:r>
      <w:r w:rsidRPr="002C2D40">
        <w:rPr>
          <w:rFonts w:asciiTheme="minorHAnsi" w:eastAsia="Calibri" w:hAnsiTheme="minorHAnsi"/>
          <w:lang w:eastAsia="en-US"/>
        </w:rPr>
        <w:t xml:space="preserve">) </w:t>
      </w:r>
      <w:r w:rsidR="00957009" w:rsidRPr="002C2D40">
        <w:rPr>
          <w:rFonts w:asciiTheme="minorHAnsi" w:eastAsia="Calibri" w:hAnsiTheme="minorHAnsi"/>
          <w:lang w:eastAsia="en-US"/>
        </w:rPr>
        <w:t xml:space="preserve">– </w:t>
      </w:r>
      <w:r w:rsidR="00957009" w:rsidRPr="002C2D40">
        <w:rPr>
          <w:rFonts w:asciiTheme="minorHAnsi" w:eastAsia="Calibri" w:hAnsiTheme="minorHAnsi"/>
        </w:rPr>
        <w:t xml:space="preserve">naruszenie prawa do wolności wypowiedzi w kontekście wyborów lokalnych (naruszenie art. 10 Konwencji). W dniu 18 grudnia 2020 r. </w:t>
      </w:r>
      <w:r w:rsidR="00613232">
        <w:rPr>
          <w:rFonts w:asciiTheme="minorHAnsi" w:eastAsia="Calibri" w:hAnsiTheme="minorHAnsi"/>
        </w:rPr>
        <w:t>R</w:t>
      </w:r>
      <w:r w:rsidR="00957009" w:rsidRPr="002C2D40">
        <w:rPr>
          <w:rFonts w:asciiTheme="minorHAnsi" w:eastAsia="Calibri" w:hAnsiTheme="minorHAnsi"/>
        </w:rPr>
        <w:t xml:space="preserve">ząd przesłał do Rady Europy raport z wykonania wyroku. </w:t>
      </w:r>
      <w:r w:rsidRPr="002C2D40">
        <w:rPr>
          <w:rFonts w:asciiTheme="minorHAnsi" w:eastAsia="Calibri" w:hAnsiTheme="minorHAnsi"/>
          <w:b/>
          <w:u w:val="single"/>
          <w:lang w:eastAsia="en-US"/>
        </w:rPr>
        <w:t xml:space="preserve"> </w:t>
      </w:r>
    </w:p>
    <w:p w:rsidR="0050515C" w:rsidRPr="002C2D40" w:rsidRDefault="0050515C" w:rsidP="003F20CE">
      <w:pPr>
        <w:numPr>
          <w:ilvl w:val="0"/>
          <w:numId w:val="3"/>
        </w:numPr>
        <w:spacing w:before="120" w:after="120"/>
        <w:ind w:left="0" w:firstLine="0"/>
        <w:jc w:val="both"/>
        <w:rPr>
          <w:rFonts w:asciiTheme="minorHAnsi" w:hAnsiTheme="minorHAnsi"/>
        </w:rPr>
      </w:pPr>
      <w:r w:rsidRPr="002C2D40">
        <w:rPr>
          <w:rFonts w:asciiTheme="minorHAnsi" w:hAnsiTheme="minorHAnsi"/>
          <w:b/>
          <w:i/>
        </w:rPr>
        <w:t>Grabowski p. Polsce</w:t>
      </w:r>
      <w:r w:rsidRPr="002C2D40">
        <w:rPr>
          <w:rFonts w:asciiTheme="minorHAnsi" w:hAnsiTheme="minorHAnsi"/>
        </w:rPr>
        <w:t xml:space="preserve"> (skarga nr 57722/12) - naruszenie art. 5 ust. 1 Konwencji z powodu pozbawienia wolności osoby nieletniej w ramach postępowania poprawczego, bez właściwego postanowienia sądu oraz naruszenie art. 5 ust. 4 Konwencji z uwagi na to, że rozpoznając wniosek skarżącego o zwolnienie sąd nie wyjaśnił podstawy prawnej jego dalszego pozbawienia wolności w schronisku dla nieletnich. Informacja o </w:t>
      </w:r>
      <w:r w:rsidR="00162114">
        <w:rPr>
          <w:rFonts w:asciiTheme="minorHAnsi" w:hAnsiTheme="minorHAnsi"/>
        </w:rPr>
        <w:t xml:space="preserve">realizacji </w:t>
      </w:r>
      <w:r w:rsidRPr="002C2D40">
        <w:rPr>
          <w:rFonts w:asciiTheme="minorHAnsi" w:hAnsiTheme="minorHAnsi"/>
        </w:rPr>
        <w:t>środk</w:t>
      </w:r>
      <w:r w:rsidR="00162114">
        <w:rPr>
          <w:rFonts w:asciiTheme="minorHAnsi" w:hAnsiTheme="minorHAnsi"/>
        </w:rPr>
        <w:t>ów</w:t>
      </w:r>
      <w:r w:rsidRPr="002C2D40">
        <w:rPr>
          <w:rFonts w:asciiTheme="minorHAnsi" w:hAnsiTheme="minorHAnsi"/>
        </w:rPr>
        <w:t xml:space="preserve"> generalnych została przekazana do Rady Europy w dniu 20 maja 2020 r. </w:t>
      </w:r>
    </w:p>
    <w:p w:rsidR="0050515C" w:rsidRPr="002C2D40" w:rsidRDefault="0050515C" w:rsidP="003F20CE">
      <w:pPr>
        <w:numPr>
          <w:ilvl w:val="0"/>
          <w:numId w:val="3"/>
        </w:numPr>
        <w:spacing w:before="120" w:after="120"/>
        <w:ind w:left="0" w:firstLine="0"/>
        <w:jc w:val="both"/>
        <w:rPr>
          <w:rFonts w:asciiTheme="minorHAnsi" w:hAnsiTheme="minorHAnsi"/>
        </w:rPr>
      </w:pPr>
      <w:r w:rsidRPr="002C2D40">
        <w:rPr>
          <w:rFonts w:asciiTheme="minorHAnsi" w:eastAsia="Calibri" w:hAnsiTheme="minorHAnsi"/>
          <w:b/>
          <w:i/>
          <w:lang w:eastAsia="en-US"/>
        </w:rPr>
        <w:t>Grobelny</w:t>
      </w:r>
      <w:r w:rsidR="00957009" w:rsidRPr="002C2D40">
        <w:rPr>
          <w:rFonts w:asciiTheme="minorHAnsi" w:eastAsia="Calibri" w:hAnsiTheme="minorHAnsi"/>
          <w:b/>
          <w:i/>
          <w:lang w:eastAsia="en-US"/>
        </w:rPr>
        <w:t xml:space="preserve"> p. Polsce</w:t>
      </w:r>
      <w:r w:rsidR="00957009" w:rsidRPr="002C2D40">
        <w:rPr>
          <w:rFonts w:asciiTheme="minorHAnsi" w:eastAsia="Calibri" w:hAnsiTheme="minorHAnsi"/>
          <w:b/>
          <w:lang w:eastAsia="en-US"/>
        </w:rPr>
        <w:t xml:space="preserve"> </w:t>
      </w:r>
      <w:r w:rsidR="00957009" w:rsidRPr="002C2D40">
        <w:rPr>
          <w:rFonts w:asciiTheme="minorHAnsi" w:hAnsiTheme="minorHAnsi"/>
        </w:rPr>
        <w:t xml:space="preserve">(skarga nr 60477/12) - naruszenie art. 1 Protokołu nr 1 do Konwencji w związku z odmową przez sądy krajowe wypłacenia skarżącemu odszkodowania z </w:t>
      </w:r>
      <w:r w:rsidR="00957009" w:rsidRPr="002C2D40">
        <w:rPr>
          <w:rFonts w:asciiTheme="minorHAnsi" w:hAnsiTheme="minorHAnsi"/>
        </w:rPr>
        <w:lastRenderedPageBreak/>
        <w:t>tytułu zaprzestania wypłacania mu renty inwalidzkiej przez 21 miesięcy w związku z błędną oceną stanu jego zdrowia i zdolności do pracy. Raport z wykonania wyroku został przesłany do Rady Europy w dniu 18 grudnia 2020 r.</w:t>
      </w:r>
    </w:p>
    <w:p w:rsidR="0050515C" w:rsidRPr="002C2D40" w:rsidRDefault="0050515C" w:rsidP="003F20CE">
      <w:pPr>
        <w:numPr>
          <w:ilvl w:val="0"/>
          <w:numId w:val="3"/>
        </w:numPr>
        <w:spacing w:before="120" w:after="120"/>
        <w:ind w:left="0" w:firstLine="0"/>
        <w:jc w:val="both"/>
        <w:rPr>
          <w:rFonts w:asciiTheme="minorHAnsi" w:eastAsia="Calibri" w:hAnsiTheme="minorHAnsi"/>
          <w:b/>
          <w:lang w:eastAsia="en-US"/>
        </w:rPr>
      </w:pPr>
      <w:r w:rsidRPr="002C2D40">
        <w:rPr>
          <w:rFonts w:asciiTheme="minorHAnsi" w:hAnsiTheme="minorHAnsi"/>
          <w:b/>
          <w:i/>
        </w:rPr>
        <w:t>Parol p. Polsce</w:t>
      </w:r>
      <w:r w:rsidRPr="002C2D40">
        <w:rPr>
          <w:rFonts w:asciiTheme="minorHAnsi" w:hAnsiTheme="minorHAnsi"/>
          <w:i/>
        </w:rPr>
        <w:t xml:space="preserve"> </w:t>
      </w:r>
      <w:r w:rsidRPr="002C2D40">
        <w:rPr>
          <w:rFonts w:asciiTheme="minorHAnsi" w:hAnsiTheme="minorHAnsi"/>
        </w:rPr>
        <w:t xml:space="preserve">(skarga nr 65379/13) i </w:t>
      </w:r>
      <w:r w:rsidRPr="002C2D40">
        <w:rPr>
          <w:rFonts w:asciiTheme="minorHAnsi" w:hAnsiTheme="minorHAnsi"/>
          <w:b/>
          <w:i/>
        </w:rPr>
        <w:t>Adamkowski p. Polsce</w:t>
      </w:r>
      <w:r w:rsidRPr="002C2D40">
        <w:rPr>
          <w:rFonts w:asciiTheme="minorHAnsi" w:hAnsiTheme="minorHAnsi"/>
          <w:i/>
        </w:rPr>
        <w:t xml:space="preserve"> </w:t>
      </w:r>
      <w:r w:rsidRPr="002C2D40">
        <w:rPr>
          <w:rFonts w:asciiTheme="minorHAnsi" w:hAnsiTheme="minorHAnsi"/>
        </w:rPr>
        <w:t xml:space="preserve">(skarga nr 57814/12) – naruszenie art. 6 ust. 1 Konwencji w związku z odrzuceniem przez sądy krajowe apelacji skarżących z uwagi na wniesienie ich tylko w jednym egzemplarzu (nadmierny formalizm). Zaktualizowany raport </w:t>
      </w:r>
      <w:r w:rsidRPr="002C2D40">
        <w:rPr>
          <w:rFonts w:asciiTheme="minorHAnsi" w:eastAsia="Calibri" w:hAnsiTheme="minorHAnsi"/>
          <w:lang w:eastAsia="en-US"/>
        </w:rPr>
        <w:t xml:space="preserve">z wykonania tego wyroku został przesłany do Rady Europy w dniu 6 lutego 2020 r. </w:t>
      </w:r>
    </w:p>
    <w:p w:rsidR="0050515C" w:rsidRPr="002C2D40" w:rsidRDefault="0050515C" w:rsidP="003F20CE">
      <w:pPr>
        <w:numPr>
          <w:ilvl w:val="0"/>
          <w:numId w:val="3"/>
        </w:numPr>
        <w:spacing w:before="120" w:after="120"/>
        <w:ind w:left="0" w:firstLine="0"/>
        <w:jc w:val="both"/>
        <w:rPr>
          <w:rFonts w:asciiTheme="minorHAnsi" w:hAnsiTheme="minorHAnsi"/>
        </w:rPr>
      </w:pPr>
      <w:r w:rsidRPr="002C2D40">
        <w:rPr>
          <w:rFonts w:asciiTheme="minorHAnsi" w:hAnsiTheme="minorHAnsi" w:cstheme="minorHAnsi"/>
          <w:b/>
          <w:i/>
          <w:color w:val="000000"/>
        </w:rPr>
        <w:t xml:space="preserve">P. i S. p. Polsce </w:t>
      </w:r>
      <w:r w:rsidRPr="002C2D40">
        <w:rPr>
          <w:rFonts w:asciiTheme="minorHAnsi" w:hAnsiTheme="minorHAnsi" w:cstheme="minorHAnsi"/>
          <w:color w:val="000000"/>
        </w:rPr>
        <w:t>(</w:t>
      </w:r>
      <w:r w:rsidRPr="002C2D40">
        <w:rPr>
          <w:rFonts w:asciiTheme="minorHAnsi" w:eastAsia="Calibri" w:hAnsiTheme="minorHAnsi"/>
          <w:lang w:eastAsia="en-US"/>
        </w:rPr>
        <w:t xml:space="preserve">skarga nr 57375/08) – naruszenie art. </w:t>
      </w:r>
      <w:r w:rsidRPr="002C2D40">
        <w:rPr>
          <w:rFonts w:asciiTheme="minorHAnsi" w:hAnsiTheme="minorHAnsi"/>
        </w:rPr>
        <w:t xml:space="preserve">3 Konwencji w stosunku do pierwszej skarżącej (małoletniej) z uwagi na kumulatywny wpływ okoliczności sprawy na jej sytuację i sposób potraktowania P. przez organy państwa, które wywołały cierpienie przekraczające minimalny próg dolegliwości w rozumieniu tego przepisu. Ponadto Trybunał stwierdził naruszenie art. 5 ust. 1 Konwencji z powodu umieszczenia dziewczynki w pogotowiu opiekuńczym, a także naruszenie art. 8 Konwencji w stosunku do obu skarżących (matki i córki) z powodu niezapewnienia im skutecznego poszanowania ich życia prywatnego z uwagi na brak dostępu do informacji nt. warunków dostępu do legalnej aborcji i obowiązujących procedur, oraz z uwagi na bezprawne ujawnienie danych osobowych skarżących przez publiczny szpital. W dniu 31 grudnia 2020 r. </w:t>
      </w:r>
      <w:r w:rsidR="00613232">
        <w:rPr>
          <w:rFonts w:asciiTheme="minorHAnsi" w:hAnsiTheme="minorHAnsi"/>
        </w:rPr>
        <w:t>R</w:t>
      </w:r>
      <w:r w:rsidRPr="002C2D40">
        <w:rPr>
          <w:rFonts w:asciiTheme="minorHAnsi" w:hAnsiTheme="minorHAnsi"/>
        </w:rPr>
        <w:t xml:space="preserve">ząd przesłał do Rady Europy pismo informujące o działaniach podjętych w zakresie środków generalnych. </w:t>
      </w:r>
    </w:p>
    <w:p w:rsidR="0050515C" w:rsidRDefault="0050515C" w:rsidP="003F20CE">
      <w:pPr>
        <w:numPr>
          <w:ilvl w:val="0"/>
          <w:numId w:val="3"/>
        </w:numPr>
        <w:spacing w:before="120" w:after="120"/>
        <w:ind w:left="0" w:firstLine="0"/>
        <w:jc w:val="both"/>
        <w:rPr>
          <w:rFonts w:asciiTheme="minorHAnsi" w:hAnsiTheme="minorHAnsi"/>
        </w:rPr>
      </w:pPr>
      <w:r w:rsidRPr="002C2D40">
        <w:rPr>
          <w:rFonts w:asciiTheme="minorHAnsi" w:eastAsia="Calibri" w:hAnsiTheme="minorHAnsi"/>
          <w:b/>
          <w:i/>
          <w:lang w:eastAsia="en-US"/>
        </w:rPr>
        <w:t>Potomski i Potomska p. Polsce</w:t>
      </w:r>
      <w:r w:rsidRPr="002C2D40">
        <w:rPr>
          <w:rFonts w:asciiTheme="minorHAnsi" w:eastAsia="Calibri" w:hAnsiTheme="minorHAnsi"/>
          <w:b/>
          <w:lang w:eastAsia="en-US"/>
        </w:rPr>
        <w:t xml:space="preserve"> </w:t>
      </w:r>
      <w:r w:rsidRPr="002C2D40">
        <w:rPr>
          <w:rFonts w:asciiTheme="minorHAnsi" w:eastAsia="Calibri" w:hAnsiTheme="minorHAnsi"/>
          <w:lang w:eastAsia="en-US"/>
        </w:rPr>
        <w:t>(skarga nr</w:t>
      </w:r>
      <w:r w:rsidR="00957009" w:rsidRPr="002C2D40">
        <w:rPr>
          <w:rFonts w:asciiTheme="minorHAnsi" w:eastAsia="Calibri" w:hAnsiTheme="minorHAnsi"/>
          <w:lang w:eastAsia="en-US"/>
        </w:rPr>
        <w:t xml:space="preserve"> </w:t>
      </w:r>
      <w:r w:rsidR="00957009" w:rsidRPr="002C2D40">
        <w:rPr>
          <w:rFonts w:asciiTheme="minorHAnsi" w:hAnsiTheme="minorHAnsi" w:cs="Cambria,Italic"/>
          <w:iCs/>
        </w:rPr>
        <w:t>33949/05</w:t>
      </w:r>
      <w:r w:rsidRPr="002C2D40">
        <w:rPr>
          <w:rFonts w:asciiTheme="minorHAnsi" w:eastAsia="Calibri" w:hAnsiTheme="minorHAnsi"/>
          <w:lang w:eastAsia="en-US"/>
        </w:rPr>
        <w:t xml:space="preserve">) </w:t>
      </w:r>
      <w:r w:rsidRPr="002C2D40">
        <w:rPr>
          <w:rFonts w:asciiTheme="minorHAnsi" w:hAnsiTheme="minorHAnsi"/>
        </w:rPr>
        <w:t xml:space="preserve">- </w:t>
      </w:r>
      <w:r w:rsidR="00957009" w:rsidRPr="002C2D40">
        <w:rPr>
          <w:rFonts w:asciiTheme="minorHAnsi" w:hAnsiTheme="minorHAnsi"/>
        </w:rPr>
        <w:t>Trybunał stwierdził naruszenie art. 1 Protokołu Nr 1 do Konwencji z powodu braku możliwości uzyskania przez skarżących wywłaszczenia z adekwatnym odszkodowaniem należącej do nich nieruchomości, która została wpisana na listę zabytków, co uniemożliwiło skarżącym korzystanie z niej. Zaktualizowany plan działań mających na celu wykonanie wyroku został przesłany do Rady Europy w dniu 31 grudnia 2020 r.</w:t>
      </w:r>
      <w:r w:rsidRPr="002C2D40">
        <w:rPr>
          <w:rFonts w:asciiTheme="minorHAnsi" w:hAnsiTheme="minorHAnsi"/>
        </w:rPr>
        <w:t xml:space="preserve"> </w:t>
      </w:r>
    </w:p>
    <w:p w:rsidR="00613232" w:rsidRPr="002C2D40" w:rsidRDefault="00613232" w:rsidP="00613232">
      <w:pPr>
        <w:spacing w:before="120" w:after="120"/>
        <w:jc w:val="both"/>
        <w:rPr>
          <w:rFonts w:asciiTheme="minorHAnsi" w:hAnsiTheme="minorHAnsi"/>
        </w:rPr>
      </w:pPr>
    </w:p>
    <w:p w:rsidR="00DD0730" w:rsidRPr="002C2D40" w:rsidRDefault="00DD0730" w:rsidP="002C2D40">
      <w:pPr>
        <w:pStyle w:val="Nagwek1"/>
        <w:spacing w:before="120"/>
        <w:rPr>
          <w:rFonts w:asciiTheme="minorHAnsi" w:hAnsiTheme="minorHAnsi"/>
        </w:rPr>
      </w:pPr>
      <w:bookmarkStart w:id="4" w:name="_Toc67656262"/>
      <w:r w:rsidRPr="002C2D40">
        <w:rPr>
          <w:rFonts w:asciiTheme="minorHAnsi" w:hAnsiTheme="minorHAnsi"/>
        </w:rPr>
        <w:t>Informacje na temat zakończenia przez Komitet Ministrów nadzoru nad wykonywaniem wybranych wyroków wydanych w sprawach polskich</w:t>
      </w:r>
      <w:bookmarkEnd w:id="4"/>
    </w:p>
    <w:p w:rsidR="006E5117" w:rsidRPr="002C2D40" w:rsidRDefault="006E5117" w:rsidP="00613232">
      <w:pPr>
        <w:pStyle w:val="Akapitzlist"/>
        <w:spacing w:before="120" w:after="0" w:line="240" w:lineRule="auto"/>
        <w:ind w:left="0"/>
        <w:jc w:val="both"/>
        <w:rPr>
          <w:rFonts w:asciiTheme="minorHAnsi" w:hAnsiTheme="minorHAnsi"/>
          <w:sz w:val="24"/>
          <w:szCs w:val="24"/>
          <w:lang w:val="pl-PL"/>
        </w:rPr>
      </w:pPr>
      <w:r w:rsidRPr="002C2D40">
        <w:rPr>
          <w:rFonts w:asciiTheme="minorHAnsi" w:hAnsiTheme="minorHAnsi"/>
          <w:sz w:val="24"/>
          <w:szCs w:val="24"/>
          <w:lang w:val="pl-PL"/>
        </w:rPr>
        <w:t>W okresie sprawozdawczym KM uznał za</w:t>
      </w:r>
      <w:r w:rsidR="00F14CEE" w:rsidRPr="002C2D40">
        <w:rPr>
          <w:rFonts w:asciiTheme="minorHAnsi" w:hAnsiTheme="minorHAnsi"/>
          <w:sz w:val="24"/>
          <w:szCs w:val="24"/>
          <w:lang w:val="pl-PL"/>
        </w:rPr>
        <w:t xml:space="preserve"> wykonane przez Polskę łącznie 3</w:t>
      </w:r>
      <w:r w:rsidRPr="002C2D40">
        <w:rPr>
          <w:rFonts w:asciiTheme="minorHAnsi" w:hAnsiTheme="minorHAnsi"/>
          <w:sz w:val="24"/>
          <w:szCs w:val="24"/>
          <w:lang w:val="pl-PL"/>
        </w:rPr>
        <w:t xml:space="preserve">1 orzeczeń, w tym </w:t>
      </w:r>
      <w:r w:rsidR="00F14CEE" w:rsidRPr="002C2D40">
        <w:rPr>
          <w:rFonts w:asciiTheme="minorHAnsi" w:hAnsiTheme="minorHAnsi"/>
          <w:sz w:val="24"/>
          <w:szCs w:val="24"/>
          <w:lang w:val="pl-PL"/>
        </w:rPr>
        <w:t>12</w:t>
      </w:r>
      <w:r w:rsidRPr="002C2D40">
        <w:rPr>
          <w:rFonts w:asciiTheme="minorHAnsi" w:hAnsiTheme="minorHAnsi"/>
          <w:sz w:val="24"/>
          <w:szCs w:val="24"/>
          <w:lang w:val="pl-PL"/>
        </w:rPr>
        <w:t xml:space="preserve"> wyroków stwierdzających naruszenie</w:t>
      </w:r>
      <w:r w:rsidRPr="002C2D40">
        <w:rPr>
          <w:rFonts w:asciiTheme="minorHAnsi" w:hAnsiTheme="minorHAnsi"/>
          <w:sz w:val="24"/>
          <w:szCs w:val="24"/>
        </w:rPr>
        <w:t xml:space="preserve"> </w:t>
      </w:r>
      <w:r w:rsidRPr="002C2D40">
        <w:rPr>
          <w:rFonts w:asciiTheme="minorHAnsi" w:hAnsiTheme="minorHAnsi"/>
          <w:sz w:val="24"/>
          <w:szCs w:val="24"/>
          <w:lang w:val="pl-PL"/>
        </w:rPr>
        <w:t xml:space="preserve">i </w:t>
      </w:r>
      <w:r w:rsidR="00F14CEE" w:rsidRPr="002C2D40">
        <w:rPr>
          <w:rFonts w:asciiTheme="minorHAnsi" w:hAnsiTheme="minorHAnsi"/>
          <w:sz w:val="24"/>
          <w:szCs w:val="24"/>
          <w:lang w:val="pl-PL"/>
        </w:rPr>
        <w:t>19</w:t>
      </w:r>
      <w:r w:rsidRPr="002C2D40">
        <w:rPr>
          <w:rFonts w:asciiTheme="minorHAnsi" w:hAnsiTheme="minorHAnsi"/>
          <w:sz w:val="24"/>
          <w:szCs w:val="24"/>
          <w:lang w:val="pl-PL"/>
        </w:rPr>
        <w:t xml:space="preserve"> decyzji zatwierdzających ugody zawarte przez </w:t>
      </w:r>
      <w:r w:rsidR="00414F5A">
        <w:rPr>
          <w:rFonts w:asciiTheme="minorHAnsi" w:hAnsiTheme="minorHAnsi"/>
          <w:sz w:val="24"/>
          <w:szCs w:val="24"/>
          <w:lang w:val="pl-PL"/>
        </w:rPr>
        <w:t>R</w:t>
      </w:r>
      <w:r w:rsidRPr="002C2D40">
        <w:rPr>
          <w:rFonts w:asciiTheme="minorHAnsi" w:hAnsiTheme="minorHAnsi"/>
          <w:sz w:val="24"/>
          <w:szCs w:val="24"/>
          <w:lang w:val="pl-PL"/>
        </w:rPr>
        <w:t>ząd ze skarżącymi. Wyroki, które Komitet Ministrów RE uznał za wykonane w 20</w:t>
      </w:r>
      <w:r w:rsidR="00F14CEE" w:rsidRPr="002C2D40">
        <w:rPr>
          <w:rFonts w:asciiTheme="minorHAnsi" w:hAnsiTheme="minorHAnsi"/>
          <w:sz w:val="24"/>
          <w:szCs w:val="24"/>
          <w:lang w:val="pl-PL"/>
        </w:rPr>
        <w:t>20</w:t>
      </w:r>
      <w:r w:rsidRPr="002C2D40">
        <w:rPr>
          <w:rFonts w:asciiTheme="minorHAnsi" w:hAnsiTheme="minorHAnsi"/>
          <w:sz w:val="24"/>
          <w:szCs w:val="24"/>
          <w:lang w:val="pl-PL"/>
        </w:rPr>
        <w:t xml:space="preserve"> r., przyjmując rezolucję zamykającą nadzór nad wykonywaniem, to: </w:t>
      </w:r>
    </w:p>
    <w:p w:rsidR="00F14CEE" w:rsidRPr="00162114" w:rsidRDefault="00F14CEE" w:rsidP="00A1010F">
      <w:pPr>
        <w:pStyle w:val="Akapitzlist"/>
        <w:numPr>
          <w:ilvl w:val="0"/>
          <w:numId w:val="29"/>
        </w:numPr>
        <w:spacing w:before="120" w:after="120" w:line="240" w:lineRule="auto"/>
        <w:ind w:left="426" w:hanging="426"/>
        <w:jc w:val="both"/>
        <w:rPr>
          <w:rFonts w:asciiTheme="minorHAnsi" w:hAnsiTheme="minorHAnsi"/>
          <w:sz w:val="24"/>
          <w:szCs w:val="24"/>
        </w:rPr>
      </w:pPr>
      <w:r w:rsidRPr="00162114">
        <w:rPr>
          <w:rFonts w:asciiTheme="minorHAnsi" w:hAnsiTheme="minorHAnsi"/>
          <w:b/>
          <w:i/>
          <w:sz w:val="24"/>
          <w:szCs w:val="24"/>
          <w:lang w:val="pl-PL"/>
        </w:rPr>
        <w:t>Żuk p. Polsce</w:t>
      </w:r>
      <w:r w:rsidRPr="00162114">
        <w:rPr>
          <w:rFonts w:asciiTheme="minorHAnsi" w:hAnsiTheme="minorHAnsi"/>
          <w:sz w:val="24"/>
          <w:szCs w:val="24"/>
          <w:lang w:val="pl-PL"/>
        </w:rPr>
        <w:t xml:space="preserve"> (skarga nr </w:t>
      </w:r>
      <w:r w:rsidRPr="00162114">
        <w:rPr>
          <w:rFonts w:asciiTheme="minorHAnsi" w:eastAsia="Times New Roman" w:hAnsiTheme="minorHAnsi"/>
          <w:sz w:val="24"/>
          <w:szCs w:val="24"/>
          <w:lang w:eastAsia="pl-PL"/>
        </w:rPr>
        <w:t>48286/11</w:t>
      </w:r>
      <w:r w:rsidRPr="00162114">
        <w:rPr>
          <w:rFonts w:asciiTheme="minorHAnsi" w:eastAsia="Times New Roman" w:hAnsiTheme="minorHAnsi"/>
          <w:sz w:val="24"/>
          <w:szCs w:val="24"/>
          <w:lang w:val="pl-PL" w:eastAsia="pl-PL"/>
        </w:rPr>
        <w:t xml:space="preserve">) – KM przyjął rezolucję końcową </w:t>
      </w:r>
      <w:r w:rsidRPr="00162114">
        <w:rPr>
          <w:rFonts w:asciiTheme="minorHAnsi" w:eastAsia="Times New Roman" w:hAnsiTheme="minorHAnsi" w:cs="Helvetica"/>
          <w:bCs/>
          <w:sz w:val="24"/>
          <w:szCs w:val="24"/>
          <w:lang w:val="pl-PL" w:eastAsia="pl-PL"/>
        </w:rPr>
        <w:t>CM/ResDH(2020)25 podczas swojego 1366 posiedzenia w dniu 5 lutego 2020 r.,</w:t>
      </w:r>
    </w:p>
    <w:p w:rsidR="00F14CEE" w:rsidRPr="00162114" w:rsidRDefault="00F14CEE" w:rsidP="00A1010F">
      <w:pPr>
        <w:pStyle w:val="Akapitzlist"/>
        <w:numPr>
          <w:ilvl w:val="0"/>
          <w:numId w:val="29"/>
        </w:numPr>
        <w:spacing w:before="120" w:after="120" w:line="240" w:lineRule="auto"/>
        <w:ind w:left="426" w:hanging="426"/>
        <w:jc w:val="both"/>
        <w:rPr>
          <w:rFonts w:asciiTheme="minorHAnsi" w:hAnsiTheme="minorHAnsi"/>
          <w:sz w:val="24"/>
          <w:szCs w:val="24"/>
        </w:rPr>
      </w:pPr>
      <w:r w:rsidRPr="00162114">
        <w:rPr>
          <w:rFonts w:asciiTheme="minorHAnsi" w:hAnsiTheme="minorHAnsi"/>
          <w:b/>
          <w:i/>
          <w:sz w:val="24"/>
          <w:szCs w:val="24"/>
          <w:lang w:val="pl-PL"/>
        </w:rPr>
        <w:t>Wesołek p. Polsce</w:t>
      </w:r>
      <w:r w:rsidRPr="00162114">
        <w:rPr>
          <w:rFonts w:asciiTheme="minorHAnsi" w:hAnsiTheme="minorHAnsi"/>
          <w:sz w:val="24"/>
          <w:szCs w:val="24"/>
          <w:lang w:val="pl-PL"/>
        </w:rPr>
        <w:t xml:space="preserve"> (skarga nr </w:t>
      </w:r>
      <w:r w:rsidRPr="00162114">
        <w:rPr>
          <w:rFonts w:asciiTheme="minorHAnsi" w:eastAsia="Times New Roman" w:hAnsiTheme="minorHAnsi"/>
          <w:sz w:val="24"/>
          <w:szCs w:val="24"/>
          <w:lang w:eastAsia="pl-PL"/>
        </w:rPr>
        <w:t>65860/12</w:t>
      </w:r>
      <w:r w:rsidRPr="00162114">
        <w:rPr>
          <w:rFonts w:asciiTheme="minorHAnsi" w:eastAsia="Times New Roman" w:hAnsiTheme="minorHAnsi"/>
          <w:sz w:val="24"/>
          <w:szCs w:val="24"/>
          <w:lang w:val="pl-PL" w:eastAsia="pl-PL"/>
        </w:rPr>
        <w:t xml:space="preserve">) – KM przyjął rezolucję końcową </w:t>
      </w:r>
      <w:r w:rsidRPr="00162114">
        <w:rPr>
          <w:rFonts w:asciiTheme="minorHAnsi" w:eastAsia="Times New Roman" w:hAnsiTheme="minorHAnsi" w:cs="Helvetica"/>
          <w:bCs/>
          <w:sz w:val="24"/>
          <w:szCs w:val="24"/>
          <w:lang w:val="pl-PL" w:eastAsia="pl-PL"/>
        </w:rPr>
        <w:t>CM/ResDH(2020)24 podczas swojego 1366 posiedzenia w dniu 5 lutego 2020 r.,</w:t>
      </w:r>
    </w:p>
    <w:p w:rsidR="00F14CEE" w:rsidRPr="00162114" w:rsidRDefault="00F14CEE" w:rsidP="00A1010F">
      <w:pPr>
        <w:pStyle w:val="Akapitzlist"/>
        <w:numPr>
          <w:ilvl w:val="0"/>
          <w:numId w:val="29"/>
        </w:numPr>
        <w:spacing w:before="120" w:after="120" w:line="240" w:lineRule="auto"/>
        <w:ind w:left="426" w:hanging="426"/>
        <w:jc w:val="both"/>
        <w:rPr>
          <w:rFonts w:asciiTheme="minorHAnsi" w:hAnsiTheme="minorHAnsi"/>
          <w:sz w:val="24"/>
          <w:szCs w:val="24"/>
        </w:rPr>
      </w:pPr>
      <w:r w:rsidRPr="00162114">
        <w:rPr>
          <w:rFonts w:asciiTheme="minorHAnsi" w:hAnsiTheme="minorHAnsi"/>
          <w:b/>
          <w:i/>
          <w:sz w:val="24"/>
          <w:szCs w:val="24"/>
          <w:lang w:val="pl-PL"/>
        </w:rPr>
        <w:t>Jarmuż p. Polsce</w:t>
      </w:r>
      <w:r w:rsidRPr="00162114">
        <w:rPr>
          <w:rFonts w:asciiTheme="minorHAnsi" w:hAnsiTheme="minorHAnsi"/>
          <w:sz w:val="24"/>
          <w:szCs w:val="24"/>
          <w:lang w:val="pl-PL"/>
        </w:rPr>
        <w:t xml:space="preserve"> (skarga nr </w:t>
      </w:r>
      <w:r w:rsidRPr="00162114">
        <w:rPr>
          <w:rFonts w:asciiTheme="minorHAnsi" w:eastAsia="Times New Roman" w:hAnsiTheme="minorHAnsi"/>
          <w:sz w:val="24"/>
          <w:szCs w:val="24"/>
          <w:lang w:eastAsia="pl-PL"/>
        </w:rPr>
        <w:t>63696/12</w:t>
      </w:r>
      <w:r w:rsidRPr="00162114">
        <w:rPr>
          <w:rFonts w:asciiTheme="minorHAnsi" w:eastAsia="Times New Roman" w:hAnsiTheme="minorHAnsi"/>
          <w:sz w:val="24"/>
          <w:szCs w:val="24"/>
          <w:lang w:val="pl-PL" w:eastAsia="pl-PL"/>
        </w:rPr>
        <w:t xml:space="preserve">) – KM przyjął rezolucję końcową </w:t>
      </w:r>
      <w:r w:rsidRPr="00162114">
        <w:rPr>
          <w:rFonts w:asciiTheme="minorHAnsi" w:eastAsia="Times New Roman" w:hAnsiTheme="minorHAnsi" w:cs="Helvetica"/>
          <w:bCs/>
          <w:sz w:val="24"/>
          <w:szCs w:val="24"/>
          <w:lang w:val="pl-PL" w:eastAsia="pl-PL"/>
        </w:rPr>
        <w:t>CM/ResDH(2020)99 podczas swojego 1377 posiedzenia w dniu 4 czerwca 2020 r.,</w:t>
      </w:r>
    </w:p>
    <w:p w:rsidR="00F14CEE" w:rsidRPr="00162114" w:rsidRDefault="00F14CEE" w:rsidP="00A1010F">
      <w:pPr>
        <w:pStyle w:val="Akapitzlist"/>
        <w:numPr>
          <w:ilvl w:val="0"/>
          <w:numId w:val="29"/>
        </w:numPr>
        <w:spacing w:before="120" w:after="120" w:line="240" w:lineRule="auto"/>
        <w:ind w:left="426" w:hanging="426"/>
        <w:jc w:val="both"/>
        <w:rPr>
          <w:rFonts w:asciiTheme="minorHAnsi" w:hAnsiTheme="minorHAnsi"/>
          <w:sz w:val="24"/>
          <w:szCs w:val="24"/>
        </w:rPr>
      </w:pPr>
      <w:r w:rsidRPr="00162114">
        <w:rPr>
          <w:rFonts w:asciiTheme="minorHAnsi" w:hAnsiTheme="minorHAnsi"/>
          <w:b/>
          <w:i/>
          <w:sz w:val="24"/>
          <w:szCs w:val="24"/>
          <w:lang w:val="pl-PL"/>
        </w:rPr>
        <w:t>Tyrka p. Polsce</w:t>
      </w:r>
      <w:r w:rsidRPr="00162114">
        <w:rPr>
          <w:rFonts w:asciiTheme="minorHAnsi" w:hAnsiTheme="minorHAnsi"/>
          <w:sz w:val="24"/>
          <w:szCs w:val="24"/>
          <w:lang w:val="pl-PL"/>
        </w:rPr>
        <w:t xml:space="preserve"> (skarga nr </w:t>
      </w:r>
      <w:r w:rsidRPr="00162114">
        <w:rPr>
          <w:rFonts w:asciiTheme="minorHAnsi" w:eastAsia="Times New Roman" w:hAnsiTheme="minorHAnsi"/>
          <w:sz w:val="24"/>
          <w:szCs w:val="24"/>
          <w:lang w:eastAsia="pl-PL"/>
        </w:rPr>
        <w:t>37734/14</w:t>
      </w:r>
      <w:r w:rsidRPr="00162114">
        <w:rPr>
          <w:rFonts w:asciiTheme="minorHAnsi" w:eastAsia="Times New Roman" w:hAnsiTheme="minorHAnsi"/>
          <w:sz w:val="24"/>
          <w:szCs w:val="24"/>
          <w:lang w:val="pl-PL" w:eastAsia="pl-PL"/>
        </w:rPr>
        <w:t xml:space="preserve">) – KM przyjął rezolucję końcową </w:t>
      </w:r>
      <w:r w:rsidRPr="00162114">
        <w:rPr>
          <w:rFonts w:asciiTheme="minorHAnsi" w:eastAsia="Times New Roman" w:hAnsiTheme="minorHAnsi" w:cs="Helvetica"/>
          <w:bCs/>
          <w:sz w:val="24"/>
          <w:szCs w:val="24"/>
          <w:lang w:val="pl-PL" w:eastAsia="pl-PL"/>
        </w:rPr>
        <w:t>CM/ResDH(2020)99 podczas swojego 1377 posiedzenia w dniu 4 czerwca 2020 r.,</w:t>
      </w:r>
    </w:p>
    <w:p w:rsidR="00F14CEE" w:rsidRPr="00162114" w:rsidRDefault="00F14CEE" w:rsidP="00A1010F">
      <w:pPr>
        <w:pStyle w:val="Akapitzlist"/>
        <w:numPr>
          <w:ilvl w:val="0"/>
          <w:numId w:val="29"/>
        </w:numPr>
        <w:spacing w:before="120" w:after="120" w:line="240" w:lineRule="auto"/>
        <w:ind w:left="426" w:hanging="426"/>
        <w:jc w:val="both"/>
        <w:rPr>
          <w:rFonts w:asciiTheme="minorHAnsi" w:hAnsiTheme="minorHAnsi"/>
          <w:sz w:val="24"/>
          <w:szCs w:val="24"/>
        </w:rPr>
      </w:pPr>
      <w:r w:rsidRPr="00162114">
        <w:rPr>
          <w:rFonts w:asciiTheme="minorHAnsi" w:hAnsiTheme="minorHAnsi"/>
          <w:b/>
          <w:i/>
          <w:sz w:val="24"/>
          <w:szCs w:val="24"/>
          <w:lang w:val="pl-PL"/>
        </w:rPr>
        <w:t>Ziaja p. Polsce</w:t>
      </w:r>
      <w:r w:rsidRPr="00162114">
        <w:rPr>
          <w:rFonts w:asciiTheme="minorHAnsi" w:hAnsiTheme="minorHAnsi"/>
          <w:sz w:val="24"/>
          <w:szCs w:val="24"/>
          <w:lang w:val="pl-PL"/>
        </w:rPr>
        <w:t xml:space="preserve"> (skarga nr </w:t>
      </w:r>
      <w:r w:rsidRPr="00162114">
        <w:rPr>
          <w:rFonts w:asciiTheme="minorHAnsi" w:eastAsia="Times New Roman" w:hAnsiTheme="minorHAnsi"/>
          <w:sz w:val="24"/>
          <w:szCs w:val="24"/>
          <w:lang w:eastAsia="pl-PL"/>
        </w:rPr>
        <w:t>45751/10</w:t>
      </w:r>
      <w:r w:rsidRPr="00162114">
        <w:rPr>
          <w:rFonts w:asciiTheme="minorHAnsi" w:eastAsia="Times New Roman" w:hAnsiTheme="minorHAnsi"/>
          <w:sz w:val="24"/>
          <w:szCs w:val="24"/>
          <w:lang w:val="pl-PL" w:eastAsia="pl-PL"/>
        </w:rPr>
        <w:t xml:space="preserve">) – KM przyjął rezolucję końcową </w:t>
      </w:r>
      <w:r w:rsidRPr="00162114">
        <w:rPr>
          <w:rFonts w:asciiTheme="minorHAnsi" w:eastAsia="Times New Roman" w:hAnsiTheme="minorHAnsi" w:cs="Helvetica"/>
          <w:bCs/>
          <w:sz w:val="24"/>
          <w:szCs w:val="24"/>
          <w:lang w:val="pl-PL" w:eastAsia="pl-PL"/>
        </w:rPr>
        <w:t>CM/ResDH(2020)99 podczas swojego 1377 posiedzenia w dniu 4 czerwca 2020 r.,</w:t>
      </w:r>
    </w:p>
    <w:p w:rsidR="00F14CEE" w:rsidRPr="00162114" w:rsidRDefault="00F14CEE" w:rsidP="00A1010F">
      <w:pPr>
        <w:pStyle w:val="Akapitzlist"/>
        <w:numPr>
          <w:ilvl w:val="0"/>
          <w:numId w:val="29"/>
        </w:numPr>
        <w:spacing w:before="120" w:after="120" w:line="240" w:lineRule="auto"/>
        <w:ind w:left="426" w:hanging="426"/>
        <w:jc w:val="both"/>
        <w:rPr>
          <w:rFonts w:asciiTheme="minorHAnsi" w:hAnsiTheme="minorHAnsi"/>
          <w:sz w:val="24"/>
          <w:szCs w:val="24"/>
        </w:rPr>
      </w:pPr>
      <w:r w:rsidRPr="00162114">
        <w:rPr>
          <w:rFonts w:asciiTheme="minorHAnsi" w:hAnsiTheme="minorHAnsi"/>
          <w:b/>
          <w:i/>
          <w:sz w:val="24"/>
          <w:szCs w:val="24"/>
          <w:lang w:val="pl-PL"/>
        </w:rPr>
        <w:lastRenderedPageBreak/>
        <w:t>Klibisz p. Polsce</w:t>
      </w:r>
      <w:r w:rsidRPr="00162114">
        <w:rPr>
          <w:rFonts w:asciiTheme="minorHAnsi" w:hAnsiTheme="minorHAnsi"/>
          <w:sz w:val="24"/>
          <w:szCs w:val="24"/>
          <w:lang w:val="pl-PL"/>
        </w:rPr>
        <w:t xml:space="preserve"> (skarga nr </w:t>
      </w:r>
      <w:r w:rsidR="00AF15AE" w:rsidRPr="00162114">
        <w:rPr>
          <w:rFonts w:asciiTheme="minorHAnsi" w:eastAsia="Times New Roman" w:hAnsiTheme="minorHAnsi"/>
          <w:sz w:val="24"/>
          <w:szCs w:val="24"/>
          <w:lang w:eastAsia="pl-PL"/>
        </w:rPr>
        <w:t>2235/02</w:t>
      </w:r>
      <w:r w:rsidRPr="00162114">
        <w:rPr>
          <w:rFonts w:asciiTheme="minorHAnsi" w:eastAsia="Times New Roman" w:hAnsiTheme="minorHAnsi"/>
          <w:sz w:val="24"/>
          <w:szCs w:val="24"/>
          <w:lang w:val="pl-PL" w:eastAsia="pl-PL"/>
        </w:rPr>
        <w:t xml:space="preserve">) – KM przyjął rezolucję końcową </w:t>
      </w:r>
      <w:r w:rsidRPr="00162114">
        <w:rPr>
          <w:rFonts w:asciiTheme="minorHAnsi" w:eastAsia="Times New Roman" w:hAnsiTheme="minorHAnsi" w:cs="Helvetica"/>
          <w:bCs/>
          <w:sz w:val="24"/>
          <w:szCs w:val="24"/>
          <w:lang w:val="pl-PL" w:eastAsia="pl-PL"/>
        </w:rPr>
        <w:t>CM/ResDH(2020)150 podczas swojego</w:t>
      </w:r>
      <w:r w:rsidR="00AF15AE" w:rsidRPr="00162114">
        <w:rPr>
          <w:rFonts w:asciiTheme="minorHAnsi" w:eastAsia="Times New Roman" w:hAnsiTheme="minorHAnsi" w:cs="Helvetica"/>
          <w:bCs/>
          <w:sz w:val="24"/>
          <w:szCs w:val="24"/>
          <w:lang w:val="pl-PL" w:eastAsia="pl-PL"/>
        </w:rPr>
        <w:t xml:space="preserve"> 1380bis</w:t>
      </w:r>
      <w:r w:rsidRPr="00162114">
        <w:rPr>
          <w:rFonts w:asciiTheme="minorHAnsi" w:eastAsia="Times New Roman" w:hAnsiTheme="minorHAnsi" w:cs="Helvetica"/>
          <w:bCs/>
          <w:sz w:val="24"/>
          <w:szCs w:val="24"/>
          <w:lang w:val="pl-PL" w:eastAsia="pl-PL"/>
        </w:rPr>
        <w:t xml:space="preserve"> posiedzenia w dniu </w:t>
      </w:r>
      <w:r w:rsidR="00AF15AE" w:rsidRPr="00162114">
        <w:rPr>
          <w:rFonts w:asciiTheme="minorHAnsi" w:eastAsia="Times New Roman" w:hAnsiTheme="minorHAnsi" w:cs="Helvetica"/>
          <w:bCs/>
          <w:sz w:val="24"/>
          <w:szCs w:val="24"/>
          <w:lang w:val="pl-PL" w:eastAsia="pl-PL"/>
        </w:rPr>
        <w:t xml:space="preserve">8 lipca </w:t>
      </w:r>
      <w:r w:rsidRPr="00162114">
        <w:rPr>
          <w:rFonts w:asciiTheme="minorHAnsi" w:eastAsia="Times New Roman" w:hAnsiTheme="minorHAnsi" w:cs="Helvetica"/>
          <w:bCs/>
          <w:sz w:val="24"/>
          <w:szCs w:val="24"/>
          <w:lang w:val="pl-PL" w:eastAsia="pl-PL"/>
        </w:rPr>
        <w:t>2020 r.,</w:t>
      </w:r>
    </w:p>
    <w:p w:rsidR="00F14CEE" w:rsidRPr="00162114" w:rsidRDefault="00AF15AE" w:rsidP="00A1010F">
      <w:pPr>
        <w:pStyle w:val="Akapitzlist"/>
        <w:numPr>
          <w:ilvl w:val="0"/>
          <w:numId w:val="29"/>
        </w:numPr>
        <w:spacing w:before="120" w:after="120" w:line="240" w:lineRule="auto"/>
        <w:ind w:left="426" w:hanging="426"/>
        <w:jc w:val="both"/>
        <w:rPr>
          <w:rFonts w:asciiTheme="minorHAnsi" w:hAnsiTheme="minorHAnsi"/>
          <w:sz w:val="24"/>
          <w:szCs w:val="24"/>
        </w:rPr>
      </w:pPr>
      <w:r w:rsidRPr="00162114">
        <w:rPr>
          <w:rFonts w:asciiTheme="minorHAnsi" w:hAnsiTheme="minorHAnsi"/>
          <w:b/>
          <w:i/>
          <w:sz w:val="24"/>
          <w:szCs w:val="24"/>
          <w:lang w:val="pl-PL"/>
        </w:rPr>
        <w:t xml:space="preserve">Bukowski i inni </w:t>
      </w:r>
      <w:r w:rsidR="00F14CEE" w:rsidRPr="00162114">
        <w:rPr>
          <w:rFonts w:asciiTheme="minorHAnsi" w:hAnsiTheme="minorHAnsi"/>
          <w:b/>
          <w:i/>
          <w:sz w:val="24"/>
          <w:szCs w:val="24"/>
          <w:lang w:val="pl-PL"/>
        </w:rPr>
        <w:t>p. Polsce</w:t>
      </w:r>
      <w:r w:rsidR="00F14CEE" w:rsidRPr="00162114">
        <w:rPr>
          <w:rFonts w:asciiTheme="minorHAnsi" w:hAnsiTheme="minorHAnsi"/>
          <w:sz w:val="24"/>
          <w:szCs w:val="24"/>
          <w:lang w:val="pl-PL"/>
        </w:rPr>
        <w:t xml:space="preserve"> (skarga nr</w:t>
      </w:r>
      <w:r w:rsidRPr="00162114">
        <w:rPr>
          <w:rFonts w:asciiTheme="minorHAnsi" w:hAnsiTheme="minorHAnsi"/>
          <w:sz w:val="24"/>
          <w:szCs w:val="24"/>
          <w:lang w:val="pl-PL"/>
        </w:rPr>
        <w:t xml:space="preserve"> </w:t>
      </w:r>
      <w:r w:rsidRPr="00162114">
        <w:rPr>
          <w:rFonts w:asciiTheme="minorHAnsi" w:eastAsia="Times New Roman" w:hAnsiTheme="minorHAnsi"/>
          <w:sz w:val="24"/>
          <w:szCs w:val="24"/>
          <w:lang w:eastAsia="pl-PL"/>
        </w:rPr>
        <w:t>47395/09</w:t>
      </w:r>
      <w:r w:rsidR="00F14CEE" w:rsidRPr="00162114">
        <w:rPr>
          <w:rFonts w:asciiTheme="minorHAnsi" w:eastAsia="Times New Roman" w:hAnsiTheme="minorHAnsi"/>
          <w:sz w:val="24"/>
          <w:szCs w:val="24"/>
          <w:lang w:val="pl-PL" w:eastAsia="pl-PL"/>
        </w:rPr>
        <w:t xml:space="preserve">) – KM przyjął rezolucję końcową </w:t>
      </w:r>
      <w:r w:rsidR="00F14CEE" w:rsidRPr="00162114">
        <w:rPr>
          <w:rFonts w:asciiTheme="minorHAnsi" w:eastAsia="Times New Roman" w:hAnsiTheme="minorHAnsi" w:cs="Helvetica"/>
          <w:bCs/>
          <w:sz w:val="24"/>
          <w:szCs w:val="24"/>
          <w:lang w:val="pl-PL" w:eastAsia="pl-PL"/>
        </w:rPr>
        <w:t>CM/ResDH(2020)</w:t>
      </w:r>
      <w:r w:rsidRPr="00162114">
        <w:rPr>
          <w:rFonts w:asciiTheme="minorHAnsi" w:eastAsia="Times New Roman" w:hAnsiTheme="minorHAnsi" w:cs="Helvetica"/>
          <w:bCs/>
          <w:sz w:val="24"/>
          <w:szCs w:val="24"/>
          <w:lang w:val="pl-PL" w:eastAsia="pl-PL"/>
        </w:rPr>
        <w:t>181</w:t>
      </w:r>
      <w:r w:rsidR="00F14CEE" w:rsidRPr="00162114">
        <w:rPr>
          <w:rFonts w:asciiTheme="minorHAnsi" w:eastAsia="Times New Roman" w:hAnsiTheme="minorHAnsi" w:cs="Helvetica"/>
          <w:bCs/>
          <w:sz w:val="24"/>
          <w:szCs w:val="24"/>
          <w:lang w:val="pl-PL" w:eastAsia="pl-PL"/>
        </w:rPr>
        <w:t xml:space="preserve"> podczas swojego posiedzenia w </w:t>
      </w:r>
      <w:r w:rsidRPr="00162114">
        <w:rPr>
          <w:rFonts w:asciiTheme="minorHAnsi" w:eastAsia="Times New Roman" w:hAnsiTheme="minorHAnsi" w:cs="Helvetica"/>
          <w:bCs/>
          <w:sz w:val="24"/>
          <w:szCs w:val="24"/>
          <w:lang w:val="pl-PL" w:eastAsia="pl-PL"/>
        </w:rPr>
        <w:t xml:space="preserve">dniu 3 września </w:t>
      </w:r>
      <w:r w:rsidR="00F14CEE" w:rsidRPr="00162114">
        <w:rPr>
          <w:rFonts w:asciiTheme="minorHAnsi" w:eastAsia="Times New Roman" w:hAnsiTheme="minorHAnsi" w:cs="Helvetica"/>
          <w:bCs/>
          <w:sz w:val="24"/>
          <w:szCs w:val="24"/>
          <w:lang w:val="pl-PL" w:eastAsia="pl-PL"/>
        </w:rPr>
        <w:t>2020 r.,</w:t>
      </w:r>
    </w:p>
    <w:p w:rsidR="00F14CEE" w:rsidRPr="00162114" w:rsidRDefault="00AF15AE" w:rsidP="00A1010F">
      <w:pPr>
        <w:pStyle w:val="Akapitzlist"/>
        <w:numPr>
          <w:ilvl w:val="0"/>
          <w:numId w:val="29"/>
        </w:numPr>
        <w:spacing w:before="120" w:after="120" w:line="240" w:lineRule="auto"/>
        <w:ind w:left="426" w:hanging="426"/>
        <w:jc w:val="both"/>
        <w:rPr>
          <w:rFonts w:asciiTheme="minorHAnsi" w:hAnsiTheme="minorHAnsi"/>
          <w:sz w:val="24"/>
          <w:szCs w:val="24"/>
        </w:rPr>
      </w:pPr>
      <w:r w:rsidRPr="00162114">
        <w:rPr>
          <w:rFonts w:asciiTheme="minorHAnsi" w:hAnsiTheme="minorHAnsi"/>
          <w:b/>
          <w:i/>
          <w:sz w:val="24"/>
          <w:szCs w:val="24"/>
          <w:lang w:val="pl-PL"/>
        </w:rPr>
        <w:t xml:space="preserve">Kościół Chrześcijan Baptystów we Wrocławiu </w:t>
      </w:r>
      <w:r w:rsidR="00F14CEE" w:rsidRPr="00162114">
        <w:rPr>
          <w:rFonts w:asciiTheme="minorHAnsi" w:hAnsiTheme="minorHAnsi"/>
          <w:b/>
          <w:i/>
          <w:sz w:val="24"/>
          <w:szCs w:val="24"/>
          <w:lang w:val="pl-PL"/>
        </w:rPr>
        <w:t>p. Polsce</w:t>
      </w:r>
      <w:r w:rsidR="00F14CEE" w:rsidRPr="00162114">
        <w:rPr>
          <w:rFonts w:asciiTheme="minorHAnsi" w:hAnsiTheme="minorHAnsi"/>
          <w:sz w:val="24"/>
          <w:szCs w:val="24"/>
          <w:lang w:val="pl-PL"/>
        </w:rPr>
        <w:t xml:space="preserve"> (skarga nr</w:t>
      </w:r>
      <w:r w:rsidRPr="00162114">
        <w:rPr>
          <w:rFonts w:asciiTheme="minorHAnsi" w:hAnsiTheme="minorHAnsi"/>
          <w:sz w:val="24"/>
          <w:szCs w:val="24"/>
          <w:lang w:val="pl-PL"/>
        </w:rPr>
        <w:t xml:space="preserve"> </w:t>
      </w:r>
      <w:r w:rsidRPr="00162114">
        <w:rPr>
          <w:rFonts w:asciiTheme="minorHAnsi" w:eastAsia="Times New Roman" w:hAnsiTheme="minorHAnsi"/>
          <w:sz w:val="24"/>
          <w:szCs w:val="24"/>
          <w:lang w:eastAsia="pl-PL"/>
        </w:rPr>
        <w:t>32045/10</w:t>
      </w:r>
      <w:r w:rsidR="00F14CEE" w:rsidRPr="00162114">
        <w:rPr>
          <w:rFonts w:asciiTheme="minorHAnsi" w:eastAsia="Times New Roman" w:hAnsiTheme="minorHAnsi"/>
          <w:sz w:val="24"/>
          <w:szCs w:val="24"/>
          <w:lang w:val="pl-PL" w:eastAsia="pl-PL"/>
        </w:rPr>
        <w:t xml:space="preserve">) – KM przyjął rezolucję końcową </w:t>
      </w:r>
      <w:r w:rsidR="00F14CEE" w:rsidRPr="00162114">
        <w:rPr>
          <w:rFonts w:asciiTheme="minorHAnsi" w:eastAsia="Times New Roman" w:hAnsiTheme="minorHAnsi" w:cs="Helvetica"/>
          <w:bCs/>
          <w:sz w:val="24"/>
          <w:szCs w:val="24"/>
          <w:lang w:val="pl-PL" w:eastAsia="pl-PL"/>
        </w:rPr>
        <w:t>CM/ResDH(2020)</w:t>
      </w:r>
      <w:r w:rsidRPr="00162114">
        <w:rPr>
          <w:rFonts w:asciiTheme="minorHAnsi" w:eastAsia="Times New Roman" w:hAnsiTheme="minorHAnsi" w:cs="Helvetica"/>
          <w:bCs/>
          <w:sz w:val="24"/>
          <w:szCs w:val="24"/>
          <w:lang w:val="pl-PL" w:eastAsia="pl-PL"/>
        </w:rPr>
        <w:t>181</w:t>
      </w:r>
      <w:r w:rsidR="00F14CEE" w:rsidRPr="00162114">
        <w:rPr>
          <w:rFonts w:asciiTheme="minorHAnsi" w:eastAsia="Times New Roman" w:hAnsiTheme="minorHAnsi" w:cs="Helvetica"/>
          <w:bCs/>
          <w:sz w:val="24"/>
          <w:szCs w:val="24"/>
          <w:lang w:val="pl-PL" w:eastAsia="pl-PL"/>
        </w:rPr>
        <w:t xml:space="preserve"> podczas swojego posiedzenia w dniu </w:t>
      </w:r>
      <w:r w:rsidRPr="00162114">
        <w:rPr>
          <w:rFonts w:asciiTheme="minorHAnsi" w:eastAsia="Times New Roman" w:hAnsiTheme="minorHAnsi" w:cs="Helvetica"/>
          <w:bCs/>
          <w:sz w:val="24"/>
          <w:szCs w:val="24"/>
          <w:lang w:val="pl-PL" w:eastAsia="pl-PL"/>
        </w:rPr>
        <w:t xml:space="preserve">3 września </w:t>
      </w:r>
      <w:r w:rsidR="00F14CEE" w:rsidRPr="00162114">
        <w:rPr>
          <w:rFonts w:asciiTheme="minorHAnsi" w:eastAsia="Times New Roman" w:hAnsiTheme="minorHAnsi" w:cs="Helvetica"/>
          <w:bCs/>
          <w:sz w:val="24"/>
          <w:szCs w:val="24"/>
          <w:lang w:val="pl-PL" w:eastAsia="pl-PL"/>
        </w:rPr>
        <w:t>2020 r.,</w:t>
      </w:r>
    </w:p>
    <w:p w:rsidR="00F14CEE" w:rsidRPr="00162114" w:rsidRDefault="00AF15AE" w:rsidP="00A1010F">
      <w:pPr>
        <w:pStyle w:val="Akapitzlist"/>
        <w:numPr>
          <w:ilvl w:val="0"/>
          <w:numId w:val="29"/>
        </w:numPr>
        <w:spacing w:before="120" w:after="120" w:line="240" w:lineRule="auto"/>
        <w:ind w:left="426" w:hanging="426"/>
        <w:jc w:val="both"/>
        <w:rPr>
          <w:rFonts w:asciiTheme="minorHAnsi" w:hAnsiTheme="minorHAnsi"/>
          <w:sz w:val="24"/>
          <w:szCs w:val="24"/>
        </w:rPr>
      </w:pPr>
      <w:r w:rsidRPr="00162114">
        <w:rPr>
          <w:rFonts w:asciiTheme="minorHAnsi" w:hAnsiTheme="minorHAnsi"/>
          <w:b/>
          <w:i/>
          <w:sz w:val="24"/>
          <w:szCs w:val="24"/>
          <w:lang w:val="pl-PL"/>
        </w:rPr>
        <w:t>Lorenc p</w:t>
      </w:r>
      <w:r w:rsidR="00F14CEE" w:rsidRPr="00162114">
        <w:rPr>
          <w:rFonts w:asciiTheme="minorHAnsi" w:hAnsiTheme="minorHAnsi"/>
          <w:b/>
          <w:i/>
          <w:sz w:val="24"/>
          <w:szCs w:val="24"/>
          <w:lang w:val="pl-PL"/>
        </w:rPr>
        <w:t>. Polsce</w:t>
      </w:r>
      <w:r w:rsidR="00F14CEE" w:rsidRPr="00162114">
        <w:rPr>
          <w:rFonts w:asciiTheme="minorHAnsi" w:hAnsiTheme="minorHAnsi"/>
          <w:sz w:val="24"/>
          <w:szCs w:val="24"/>
          <w:lang w:val="pl-PL"/>
        </w:rPr>
        <w:t xml:space="preserve"> (skarga nr </w:t>
      </w:r>
      <w:r w:rsidRPr="00162114">
        <w:rPr>
          <w:rFonts w:asciiTheme="minorHAnsi" w:eastAsia="Times New Roman" w:hAnsiTheme="minorHAnsi"/>
          <w:sz w:val="24"/>
          <w:szCs w:val="24"/>
          <w:lang w:eastAsia="pl-PL"/>
        </w:rPr>
        <w:t>28604/03</w:t>
      </w:r>
      <w:r w:rsidR="00F14CEE" w:rsidRPr="00162114">
        <w:rPr>
          <w:rFonts w:asciiTheme="minorHAnsi" w:eastAsia="Times New Roman" w:hAnsiTheme="minorHAnsi"/>
          <w:sz w:val="24"/>
          <w:szCs w:val="24"/>
          <w:lang w:val="pl-PL" w:eastAsia="pl-PL"/>
        </w:rPr>
        <w:t xml:space="preserve">) – KM przyjął rezolucję końcową </w:t>
      </w:r>
      <w:r w:rsidR="00F14CEE" w:rsidRPr="00162114">
        <w:rPr>
          <w:rFonts w:asciiTheme="minorHAnsi" w:eastAsia="Times New Roman" w:hAnsiTheme="minorHAnsi" w:cs="Helvetica"/>
          <w:bCs/>
          <w:sz w:val="24"/>
          <w:szCs w:val="24"/>
          <w:lang w:val="pl-PL" w:eastAsia="pl-PL"/>
        </w:rPr>
        <w:t>CM/ResDH(2020)</w:t>
      </w:r>
      <w:r w:rsidRPr="00162114">
        <w:rPr>
          <w:rFonts w:asciiTheme="minorHAnsi" w:eastAsia="Times New Roman" w:hAnsiTheme="minorHAnsi" w:cs="Helvetica"/>
          <w:bCs/>
          <w:sz w:val="24"/>
          <w:szCs w:val="24"/>
          <w:lang w:val="pl-PL" w:eastAsia="pl-PL"/>
        </w:rPr>
        <w:t>181</w:t>
      </w:r>
      <w:r w:rsidR="00F14CEE" w:rsidRPr="00162114">
        <w:rPr>
          <w:rFonts w:asciiTheme="minorHAnsi" w:eastAsia="Times New Roman" w:hAnsiTheme="minorHAnsi" w:cs="Helvetica"/>
          <w:bCs/>
          <w:sz w:val="24"/>
          <w:szCs w:val="24"/>
          <w:lang w:val="pl-PL" w:eastAsia="pl-PL"/>
        </w:rPr>
        <w:t xml:space="preserve"> podczas swojego posiedzenia w dniu </w:t>
      </w:r>
      <w:r w:rsidRPr="00162114">
        <w:rPr>
          <w:rFonts w:asciiTheme="minorHAnsi" w:eastAsia="Times New Roman" w:hAnsiTheme="minorHAnsi" w:cs="Helvetica"/>
          <w:bCs/>
          <w:sz w:val="24"/>
          <w:szCs w:val="24"/>
          <w:lang w:val="pl-PL" w:eastAsia="pl-PL"/>
        </w:rPr>
        <w:t xml:space="preserve">3 września </w:t>
      </w:r>
      <w:r w:rsidR="00F14CEE" w:rsidRPr="00162114">
        <w:rPr>
          <w:rFonts w:asciiTheme="minorHAnsi" w:eastAsia="Times New Roman" w:hAnsiTheme="minorHAnsi" w:cs="Helvetica"/>
          <w:bCs/>
          <w:sz w:val="24"/>
          <w:szCs w:val="24"/>
          <w:lang w:val="pl-PL" w:eastAsia="pl-PL"/>
        </w:rPr>
        <w:t>2020 r.,</w:t>
      </w:r>
    </w:p>
    <w:p w:rsidR="00F14CEE" w:rsidRPr="00162114" w:rsidRDefault="00AF15AE" w:rsidP="00A1010F">
      <w:pPr>
        <w:pStyle w:val="Akapitzlist"/>
        <w:numPr>
          <w:ilvl w:val="0"/>
          <w:numId w:val="29"/>
        </w:numPr>
        <w:spacing w:before="120" w:after="120" w:line="240" w:lineRule="auto"/>
        <w:ind w:left="426" w:hanging="426"/>
        <w:jc w:val="both"/>
        <w:rPr>
          <w:rFonts w:asciiTheme="minorHAnsi" w:hAnsiTheme="minorHAnsi"/>
          <w:sz w:val="24"/>
          <w:szCs w:val="24"/>
        </w:rPr>
      </w:pPr>
      <w:r w:rsidRPr="00162114">
        <w:rPr>
          <w:rFonts w:asciiTheme="minorHAnsi" w:hAnsiTheme="minorHAnsi"/>
          <w:b/>
          <w:i/>
          <w:sz w:val="24"/>
          <w:szCs w:val="24"/>
          <w:lang w:val="pl-PL"/>
        </w:rPr>
        <w:t xml:space="preserve">Zaręba </w:t>
      </w:r>
      <w:r w:rsidR="00F14CEE" w:rsidRPr="00162114">
        <w:rPr>
          <w:rFonts w:asciiTheme="minorHAnsi" w:hAnsiTheme="minorHAnsi"/>
          <w:b/>
          <w:i/>
          <w:sz w:val="24"/>
          <w:szCs w:val="24"/>
          <w:lang w:val="pl-PL"/>
        </w:rPr>
        <w:t>p. Polsce</w:t>
      </w:r>
      <w:r w:rsidR="00F14CEE" w:rsidRPr="00162114">
        <w:rPr>
          <w:rFonts w:asciiTheme="minorHAnsi" w:hAnsiTheme="minorHAnsi"/>
          <w:sz w:val="24"/>
          <w:szCs w:val="24"/>
          <w:lang w:val="pl-PL"/>
        </w:rPr>
        <w:t xml:space="preserve"> (skarga nr </w:t>
      </w:r>
      <w:r w:rsidRPr="00162114">
        <w:rPr>
          <w:rFonts w:asciiTheme="minorHAnsi" w:eastAsia="Times New Roman" w:hAnsiTheme="minorHAnsi"/>
          <w:sz w:val="24"/>
          <w:szCs w:val="24"/>
          <w:lang w:eastAsia="pl-PL"/>
        </w:rPr>
        <w:t>59955/15</w:t>
      </w:r>
      <w:r w:rsidR="00F14CEE" w:rsidRPr="00162114">
        <w:rPr>
          <w:rFonts w:asciiTheme="minorHAnsi" w:eastAsia="Times New Roman" w:hAnsiTheme="minorHAnsi"/>
          <w:sz w:val="24"/>
          <w:szCs w:val="24"/>
          <w:lang w:val="pl-PL" w:eastAsia="pl-PL"/>
        </w:rPr>
        <w:t xml:space="preserve">) – KM przyjął rezolucję końcową </w:t>
      </w:r>
      <w:r w:rsidR="00F14CEE" w:rsidRPr="00162114">
        <w:rPr>
          <w:rFonts w:asciiTheme="minorHAnsi" w:eastAsia="Times New Roman" w:hAnsiTheme="minorHAnsi" w:cs="Helvetica"/>
          <w:bCs/>
          <w:sz w:val="24"/>
          <w:szCs w:val="24"/>
          <w:lang w:val="pl-PL" w:eastAsia="pl-PL"/>
        </w:rPr>
        <w:t>CM/ResDH(2020)</w:t>
      </w:r>
      <w:r w:rsidRPr="00162114">
        <w:rPr>
          <w:rFonts w:asciiTheme="minorHAnsi" w:eastAsia="Times New Roman" w:hAnsiTheme="minorHAnsi" w:cs="Helvetica"/>
          <w:bCs/>
          <w:sz w:val="24"/>
          <w:szCs w:val="24"/>
          <w:lang w:val="pl-PL" w:eastAsia="pl-PL"/>
        </w:rPr>
        <w:t>191</w:t>
      </w:r>
      <w:r w:rsidR="00F14CEE" w:rsidRPr="00162114">
        <w:rPr>
          <w:rFonts w:asciiTheme="minorHAnsi" w:eastAsia="Times New Roman" w:hAnsiTheme="minorHAnsi" w:cs="Helvetica"/>
          <w:bCs/>
          <w:sz w:val="24"/>
          <w:szCs w:val="24"/>
          <w:lang w:val="pl-PL" w:eastAsia="pl-PL"/>
        </w:rPr>
        <w:t xml:space="preserve"> podczas swojego </w:t>
      </w:r>
      <w:r w:rsidRPr="00162114">
        <w:rPr>
          <w:rFonts w:asciiTheme="minorHAnsi" w:eastAsia="Times New Roman" w:hAnsiTheme="minorHAnsi" w:cs="Helvetica"/>
          <w:bCs/>
          <w:sz w:val="24"/>
          <w:szCs w:val="24"/>
          <w:lang w:val="pl-PL" w:eastAsia="pl-PL"/>
        </w:rPr>
        <w:t>1383</w:t>
      </w:r>
      <w:r w:rsidR="00F14CEE" w:rsidRPr="00162114">
        <w:rPr>
          <w:rFonts w:asciiTheme="minorHAnsi" w:eastAsia="Times New Roman" w:hAnsiTheme="minorHAnsi" w:cs="Helvetica"/>
          <w:bCs/>
          <w:sz w:val="24"/>
          <w:szCs w:val="24"/>
          <w:lang w:val="pl-PL" w:eastAsia="pl-PL"/>
        </w:rPr>
        <w:t xml:space="preserve"> posiedzenia w dniu </w:t>
      </w:r>
      <w:r w:rsidRPr="00162114">
        <w:rPr>
          <w:rFonts w:asciiTheme="minorHAnsi" w:eastAsia="Times New Roman" w:hAnsiTheme="minorHAnsi" w:cs="Helvetica"/>
          <w:bCs/>
          <w:sz w:val="24"/>
          <w:szCs w:val="24"/>
          <w:lang w:val="pl-PL" w:eastAsia="pl-PL"/>
        </w:rPr>
        <w:t xml:space="preserve">1 października </w:t>
      </w:r>
      <w:r w:rsidR="00F14CEE" w:rsidRPr="00162114">
        <w:rPr>
          <w:rFonts w:asciiTheme="minorHAnsi" w:eastAsia="Times New Roman" w:hAnsiTheme="minorHAnsi" w:cs="Helvetica"/>
          <w:bCs/>
          <w:sz w:val="24"/>
          <w:szCs w:val="24"/>
          <w:lang w:val="pl-PL" w:eastAsia="pl-PL"/>
        </w:rPr>
        <w:t>2020 r.,</w:t>
      </w:r>
    </w:p>
    <w:p w:rsidR="00F14CEE" w:rsidRPr="00162114" w:rsidRDefault="00AF15AE" w:rsidP="00A1010F">
      <w:pPr>
        <w:pStyle w:val="Akapitzlist"/>
        <w:numPr>
          <w:ilvl w:val="0"/>
          <w:numId w:val="29"/>
        </w:numPr>
        <w:spacing w:before="120" w:after="120" w:line="240" w:lineRule="auto"/>
        <w:ind w:left="426" w:hanging="426"/>
        <w:jc w:val="both"/>
        <w:rPr>
          <w:rFonts w:asciiTheme="minorHAnsi" w:hAnsiTheme="minorHAnsi"/>
          <w:sz w:val="24"/>
          <w:szCs w:val="24"/>
        </w:rPr>
      </w:pPr>
      <w:r w:rsidRPr="00162114">
        <w:rPr>
          <w:rFonts w:asciiTheme="minorHAnsi" w:hAnsiTheme="minorHAnsi"/>
          <w:b/>
          <w:i/>
          <w:sz w:val="24"/>
          <w:szCs w:val="24"/>
          <w:lang w:val="pl-PL"/>
        </w:rPr>
        <w:t xml:space="preserve">Brzeziński </w:t>
      </w:r>
      <w:r w:rsidR="00F14CEE" w:rsidRPr="00162114">
        <w:rPr>
          <w:rFonts w:asciiTheme="minorHAnsi" w:hAnsiTheme="minorHAnsi"/>
          <w:b/>
          <w:i/>
          <w:sz w:val="24"/>
          <w:szCs w:val="24"/>
          <w:lang w:val="pl-PL"/>
        </w:rPr>
        <w:t>p. Polsce</w:t>
      </w:r>
      <w:r w:rsidR="00F14CEE" w:rsidRPr="00162114">
        <w:rPr>
          <w:rFonts w:asciiTheme="minorHAnsi" w:hAnsiTheme="minorHAnsi"/>
          <w:sz w:val="24"/>
          <w:szCs w:val="24"/>
          <w:lang w:val="pl-PL"/>
        </w:rPr>
        <w:t xml:space="preserve"> (skarga nr</w:t>
      </w:r>
      <w:r w:rsidRPr="00162114">
        <w:rPr>
          <w:rFonts w:asciiTheme="minorHAnsi" w:hAnsiTheme="minorHAnsi"/>
          <w:sz w:val="24"/>
          <w:szCs w:val="24"/>
          <w:lang w:val="pl-PL"/>
        </w:rPr>
        <w:t xml:space="preserve"> </w:t>
      </w:r>
      <w:r w:rsidRPr="00162114">
        <w:rPr>
          <w:rFonts w:asciiTheme="minorHAnsi" w:eastAsia="Times New Roman" w:hAnsiTheme="minorHAnsi"/>
          <w:sz w:val="24"/>
          <w:szCs w:val="24"/>
          <w:lang w:eastAsia="pl-PL"/>
        </w:rPr>
        <w:t>47542/07</w:t>
      </w:r>
      <w:r w:rsidR="00F14CEE" w:rsidRPr="00162114">
        <w:rPr>
          <w:rFonts w:asciiTheme="minorHAnsi" w:eastAsia="Times New Roman" w:hAnsiTheme="minorHAnsi"/>
          <w:sz w:val="24"/>
          <w:szCs w:val="24"/>
          <w:lang w:val="pl-PL" w:eastAsia="pl-PL"/>
        </w:rPr>
        <w:t xml:space="preserve">) – KM przyjął rezolucję końcową </w:t>
      </w:r>
      <w:r w:rsidR="00F14CEE" w:rsidRPr="00162114">
        <w:rPr>
          <w:rFonts w:asciiTheme="minorHAnsi" w:eastAsia="Times New Roman" w:hAnsiTheme="minorHAnsi" w:cs="Helvetica"/>
          <w:bCs/>
          <w:sz w:val="24"/>
          <w:szCs w:val="24"/>
          <w:lang w:val="pl-PL" w:eastAsia="pl-PL"/>
        </w:rPr>
        <w:t>CM/ResDH(2020)</w:t>
      </w:r>
      <w:r w:rsidRPr="00162114">
        <w:rPr>
          <w:rFonts w:asciiTheme="minorHAnsi" w:eastAsia="Times New Roman" w:hAnsiTheme="minorHAnsi" w:cs="Helvetica"/>
          <w:bCs/>
          <w:sz w:val="24"/>
          <w:szCs w:val="24"/>
          <w:lang w:val="pl-PL" w:eastAsia="pl-PL"/>
        </w:rPr>
        <w:t>278</w:t>
      </w:r>
      <w:r w:rsidR="00F14CEE" w:rsidRPr="00162114">
        <w:rPr>
          <w:rFonts w:asciiTheme="minorHAnsi" w:eastAsia="Times New Roman" w:hAnsiTheme="minorHAnsi" w:cs="Helvetica"/>
          <w:bCs/>
          <w:sz w:val="24"/>
          <w:szCs w:val="24"/>
          <w:lang w:val="pl-PL" w:eastAsia="pl-PL"/>
        </w:rPr>
        <w:t xml:space="preserve"> podczas swojego</w:t>
      </w:r>
      <w:r w:rsidRPr="00162114">
        <w:rPr>
          <w:rFonts w:asciiTheme="minorHAnsi" w:eastAsia="Times New Roman" w:hAnsiTheme="minorHAnsi" w:cs="Helvetica"/>
          <w:bCs/>
          <w:sz w:val="24"/>
          <w:szCs w:val="24"/>
          <w:lang w:val="pl-PL" w:eastAsia="pl-PL"/>
        </w:rPr>
        <w:t xml:space="preserve"> 1390</w:t>
      </w:r>
      <w:r w:rsidR="00F14CEE" w:rsidRPr="00162114">
        <w:rPr>
          <w:rFonts w:asciiTheme="minorHAnsi" w:eastAsia="Times New Roman" w:hAnsiTheme="minorHAnsi" w:cs="Helvetica"/>
          <w:bCs/>
          <w:sz w:val="24"/>
          <w:szCs w:val="24"/>
          <w:lang w:val="pl-PL" w:eastAsia="pl-PL"/>
        </w:rPr>
        <w:t xml:space="preserve"> posiedzenia w dniu </w:t>
      </w:r>
      <w:r w:rsidRPr="00162114">
        <w:rPr>
          <w:rFonts w:asciiTheme="minorHAnsi" w:eastAsia="Times New Roman" w:hAnsiTheme="minorHAnsi" w:cs="Helvetica"/>
          <w:bCs/>
          <w:sz w:val="24"/>
          <w:szCs w:val="24"/>
          <w:lang w:val="pl-PL" w:eastAsia="pl-PL"/>
        </w:rPr>
        <w:t xml:space="preserve">3 grudnia </w:t>
      </w:r>
      <w:r w:rsidR="00F14CEE" w:rsidRPr="00162114">
        <w:rPr>
          <w:rFonts w:asciiTheme="minorHAnsi" w:eastAsia="Times New Roman" w:hAnsiTheme="minorHAnsi" w:cs="Helvetica"/>
          <w:bCs/>
          <w:sz w:val="24"/>
          <w:szCs w:val="24"/>
          <w:lang w:val="pl-PL" w:eastAsia="pl-PL"/>
        </w:rPr>
        <w:t>2020 r.,</w:t>
      </w:r>
    </w:p>
    <w:p w:rsidR="00F14CEE" w:rsidRPr="00162114" w:rsidRDefault="00AF15AE" w:rsidP="00A1010F">
      <w:pPr>
        <w:pStyle w:val="Akapitzlist"/>
        <w:numPr>
          <w:ilvl w:val="0"/>
          <w:numId w:val="29"/>
        </w:numPr>
        <w:spacing w:before="120" w:after="120" w:line="240" w:lineRule="auto"/>
        <w:ind w:left="426" w:hanging="426"/>
        <w:jc w:val="both"/>
        <w:rPr>
          <w:rFonts w:asciiTheme="minorHAnsi" w:hAnsiTheme="minorHAnsi"/>
          <w:sz w:val="24"/>
          <w:szCs w:val="24"/>
        </w:rPr>
      </w:pPr>
      <w:r w:rsidRPr="00162114">
        <w:rPr>
          <w:rFonts w:asciiTheme="minorHAnsi" w:hAnsiTheme="minorHAnsi"/>
          <w:b/>
          <w:i/>
          <w:sz w:val="24"/>
          <w:szCs w:val="24"/>
          <w:lang w:val="pl-PL"/>
        </w:rPr>
        <w:t xml:space="preserve">Mierzejewski </w:t>
      </w:r>
      <w:r w:rsidR="00F14CEE" w:rsidRPr="00162114">
        <w:rPr>
          <w:rFonts w:asciiTheme="minorHAnsi" w:hAnsiTheme="minorHAnsi"/>
          <w:b/>
          <w:i/>
          <w:sz w:val="24"/>
          <w:szCs w:val="24"/>
          <w:lang w:val="pl-PL"/>
        </w:rPr>
        <w:t>p. Polsce</w:t>
      </w:r>
      <w:r w:rsidR="00F14CEE" w:rsidRPr="00162114">
        <w:rPr>
          <w:rFonts w:asciiTheme="minorHAnsi" w:hAnsiTheme="minorHAnsi"/>
          <w:sz w:val="24"/>
          <w:szCs w:val="24"/>
          <w:lang w:val="pl-PL"/>
        </w:rPr>
        <w:t xml:space="preserve"> (skarga nr </w:t>
      </w:r>
      <w:r w:rsidRPr="00162114">
        <w:rPr>
          <w:rFonts w:asciiTheme="minorHAnsi" w:eastAsia="Times New Roman" w:hAnsiTheme="minorHAnsi"/>
          <w:sz w:val="24"/>
          <w:szCs w:val="24"/>
          <w:lang w:eastAsia="pl-PL"/>
        </w:rPr>
        <w:t>9916/13</w:t>
      </w:r>
      <w:r w:rsidR="00F14CEE" w:rsidRPr="00162114">
        <w:rPr>
          <w:rFonts w:asciiTheme="minorHAnsi" w:eastAsia="Times New Roman" w:hAnsiTheme="minorHAnsi"/>
          <w:sz w:val="24"/>
          <w:szCs w:val="24"/>
          <w:lang w:val="pl-PL" w:eastAsia="pl-PL"/>
        </w:rPr>
        <w:t xml:space="preserve">) – KM przyjął rezolucję końcową </w:t>
      </w:r>
      <w:r w:rsidR="00F14CEE" w:rsidRPr="00162114">
        <w:rPr>
          <w:rFonts w:asciiTheme="minorHAnsi" w:eastAsia="Times New Roman" w:hAnsiTheme="minorHAnsi" w:cs="Helvetica"/>
          <w:bCs/>
          <w:sz w:val="24"/>
          <w:szCs w:val="24"/>
          <w:lang w:val="pl-PL" w:eastAsia="pl-PL"/>
        </w:rPr>
        <w:t>CM/ResDH(2020)</w:t>
      </w:r>
      <w:r w:rsidRPr="00162114">
        <w:rPr>
          <w:rFonts w:asciiTheme="minorHAnsi" w:eastAsia="Times New Roman" w:hAnsiTheme="minorHAnsi" w:cs="Helvetica"/>
          <w:bCs/>
          <w:sz w:val="24"/>
          <w:szCs w:val="24"/>
          <w:lang w:val="pl-PL" w:eastAsia="pl-PL"/>
        </w:rPr>
        <w:t>279</w:t>
      </w:r>
      <w:r w:rsidR="00F14CEE" w:rsidRPr="00162114">
        <w:rPr>
          <w:rFonts w:asciiTheme="minorHAnsi" w:eastAsia="Times New Roman" w:hAnsiTheme="minorHAnsi" w:cs="Helvetica"/>
          <w:bCs/>
          <w:sz w:val="24"/>
          <w:szCs w:val="24"/>
          <w:lang w:val="pl-PL" w:eastAsia="pl-PL"/>
        </w:rPr>
        <w:t xml:space="preserve"> podczas swojego </w:t>
      </w:r>
      <w:r w:rsidRPr="00162114">
        <w:rPr>
          <w:rFonts w:asciiTheme="minorHAnsi" w:eastAsia="Times New Roman" w:hAnsiTheme="minorHAnsi" w:cs="Helvetica"/>
          <w:bCs/>
          <w:sz w:val="24"/>
          <w:szCs w:val="24"/>
          <w:lang w:val="pl-PL" w:eastAsia="pl-PL"/>
        </w:rPr>
        <w:t>1390</w:t>
      </w:r>
      <w:r w:rsidR="00F14CEE" w:rsidRPr="00162114">
        <w:rPr>
          <w:rFonts w:asciiTheme="minorHAnsi" w:eastAsia="Times New Roman" w:hAnsiTheme="minorHAnsi" w:cs="Helvetica"/>
          <w:bCs/>
          <w:sz w:val="24"/>
          <w:szCs w:val="24"/>
          <w:lang w:val="pl-PL" w:eastAsia="pl-PL"/>
        </w:rPr>
        <w:t xml:space="preserve"> posiedzenia w dniu</w:t>
      </w:r>
      <w:r w:rsidRPr="00162114">
        <w:rPr>
          <w:rFonts w:asciiTheme="minorHAnsi" w:eastAsia="Times New Roman" w:hAnsiTheme="minorHAnsi" w:cs="Helvetica"/>
          <w:bCs/>
          <w:sz w:val="24"/>
          <w:szCs w:val="24"/>
          <w:lang w:val="pl-PL" w:eastAsia="pl-PL"/>
        </w:rPr>
        <w:t xml:space="preserve"> 3 grudnia 2020 r.</w:t>
      </w:r>
    </w:p>
    <w:p w:rsidR="006E5117" w:rsidRDefault="006E5117" w:rsidP="00613232">
      <w:pPr>
        <w:pStyle w:val="Akapitzlist"/>
        <w:spacing w:before="120" w:after="0" w:line="240" w:lineRule="auto"/>
        <w:ind w:left="0"/>
        <w:jc w:val="both"/>
        <w:rPr>
          <w:rFonts w:asciiTheme="minorHAnsi" w:hAnsiTheme="minorHAnsi"/>
          <w:sz w:val="24"/>
          <w:szCs w:val="24"/>
          <w:lang w:val="pl-PL"/>
        </w:rPr>
      </w:pPr>
      <w:r w:rsidRPr="00162114">
        <w:rPr>
          <w:rFonts w:asciiTheme="minorHAnsi" w:hAnsiTheme="minorHAnsi"/>
          <w:sz w:val="24"/>
          <w:szCs w:val="24"/>
          <w:lang w:val="pl-PL"/>
        </w:rPr>
        <w:t xml:space="preserve">W kontekście powyższych informacji należy dodać, że ze względu na fakt, iż rezolucje </w:t>
      </w:r>
      <w:r w:rsidRPr="002C2D40">
        <w:rPr>
          <w:rFonts w:asciiTheme="minorHAnsi" w:hAnsiTheme="minorHAnsi"/>
          <w:sz w:val="24"/>
          <w:szCs w:val="24"/>
          <w:lang w:val="pl-PL"/>
        </w:rPr>
        <w:t xml:space="preserve">końcowe przyjmowane przez KM stanowią najczęściej lakoniczne, techniczne dokumenty sprowadzające się do stwierdzenia, że państwo przedsięwzięło wszelkie wymagane środki w celu wykonania określonego wyroku, czy też grupy wyroków ETPC, w związku z czym KM zamyka swój nadzór nad wykonaniem tego wyroku, dołączając raport z wykonania, nie ma potrzeby dołączania do Raportu tekstów poszczególnych rezolucji (o treści j.w.). Jednakże, jak już wspomniano, pełna treść wszystkich raportów z wykonania przedstawionych przez rząd Komitetowi Ministrów w okresie sprawozdawczym, została dołączona do niniejszego Raportu </w:t>
      </w:r>
      <w:r w:rsidR="009B6D29" w:rsidRPr="002C2D40">
        <w:rPr>
          <w:rFonts w:asciiTheme="minorHAnsi" w:hAnsiTheme="minorHAnsi"/>
          <w:sz w:val="24"/>
          <w:szCs w:val="24"/>
          <w:lang w:val="pl-PL"/>
        </w:rPr>
        <w:t>w postaci Załącznika C</w:t>
      </w:r>
      <w:r w:rsidRPr="002C2D40">
        <w:rPr>
          <w:rFonts w:asciiTheme="minorHAnsi" w:hAnsiTheme="minorHAnsi"/>
          <w:sz w:val="24"/>
          <w:szCs w:val="24"/>
          <w:lang w:val="pl-PL"/>
        </w:rPr>
        <w:t>.</w:t>
      </w:r>
    </w:p>
    <w:p w:rsidR="00613232" w:rsidRDefault="00613232" w:rsidP="00162114">
      <w:pPr>
        <w:pStyle w:val="Akapitzlist"/>
        <w:spacing w:before="120" w:after="0" w:line="240" w:lineRule="auto"/>
        <w:ind w:left="0" w:firstLine="708"/>
        <w:jc w:val="both"/>
        <w:rPr>
          <w:rFonts w:asciiTheme="minorHAnsi" w:hAnsiTheme="minorHAnsi"/>
          <w:sz w:val="24"/>
          <w:szCs w:val="24"/>
          <w:lang w:val="pl-PL"/>
        </w:rPr>
      </w:pPr>
    </w:p>
    <w:p w:rsidR="00DD0730" w:rsidRPr="002C2D40" w:rsidRDefault="00DD0730" w:rsidP="002C2D40">
      <w:pPr>
        <w:pStyle w:val="Nagwek1"/>
        <w:spacing w:before="120"/>
        <w:rPr>
          <w:rFonts w:asciiTheme="minorHAnsi" w:hAnsiTheme="minorHAnsi"/>
        </w:rPr>
      </w:pPr>
      <w:bookmarkStart w:id="5" w:name="_Toc67656263"/>
      <w:r w:rsidRPr="002C2D40">
        <w:rPr>
          <w:rFonts w:asciiTheme="minorHAnsi" w:hAnsiTheme="minorHAnsi"/>
        </w:rPr>
        <w:t>Decyzje Komitetu Ministrów wydane w 20</w:t>
      </w:r>
      <w:r w:rsidR="00C121BB" w:rsidRPr="002C2D40">
        <w:rPr>
          <w:rFonts w:asciiTheme="minorHAnsi" w:hAnsiTheme="minorHAnsi"/>
          <w:lang w:val="pl-PL"/>
        </w:rPr>
        <w:t>20</w:t>
      </w:r>
      <w:r w:rsidRPr="002C2D40">
        <w:rPr>
          <w:rFonts w:asciiTheme="minorHAnsi" w:hAnsiTheme="minorHAnsi"/>
        </w:rPr>
        <w:t xml:space="preserve"> r. w sprawie realizacji niektórych wyroków </w:t>
      </w:r>
      <w:r w:rsidR="00092C73" w:rsidRPr="002C2D40">
        <w:rPr>
          <w:rFonts w:asciiTheme="minorHAnsi" w:hAnsiTheme="minorHAnsi"/>
        </w:rPr>
        <w:t>Trybunału</w:t>
      </w:r>
      <w:r w:rsidRPr="002C2D40">
        <w:rPr>
          <w:rFonts w:asciiTheme="minorHAnsi" w:hAnsiTheme="minorHAnsi"/>
        </w:rPr>
        <w:t xml:space="preserve"> w sprawach polskich</w:t>
      </w:r>
      <w:bookmarkEnd w:id="5"/>
      <w:r w:rsidRPr="002C2D40">
        <w:rPr>
          <w:rFonts w:asciiTheme="minorHAnsi" w:hAnsiTheme="minorHAnsi"/>
        </w:rPr>
        <w:t xml:space="preserve"> </w:t>
      </w:r>
    </w:p>
    <w:p w:rsidR="00DD0730" w:rsidRPr="002C2D40" w:rsidRDefault="00DD0730" w:rsidP="00A80847">
      <w:pPr>
        <w:pStyle w:val="Akapitzlist"/>
        <w:spacing w:before="120" w:after="0" w:line="240" w:lineRule="auto"/>
        <w:ind w:left="0"/>
        <w:jc w:val="both"/>
        <w:rPr>
          <w:rFonts w:asciiTheme="minorHAnsi" w:hAnsiTheme="minorHAnsi"/>
          <w:sz w:val="24"/>
          <w:szCs w:val="24"/>
          <w:lang w:val="pl-PL"/>
        </w:rPr>
      </w:pPr>
      <w:r w:rsidRPr="002C2D40">
        <w:rPr>
          <w:rFonts w:asciiTheme="minorHAnsi" w:hAnsiTheme="minorHAnsi"/>
          <w:sz w:val="24"/>
          <w:szCs w:val="24"/>
          <w:lang w:val="pl-PL"/>
        </w:rPr>
        <w:t>W okresie sprawozdawczym K</w:t>
      </w:r>
      <w:r w:rsidR="000F3CC4" w:rsidRPr="002C2D40">
        <w:rPr>
          <w:rFonts w:asciiTheme="minorHAnsi" w:hAnsiTheme="minorHAnsi"/>
          <w:sz w:val="24"/>
          <w:szCs w:val="24"/>
          <w:lang w:val="pl-PL"/>
        </w:rPr>
        <w:t xml:space="preserve">omitet </w:t>
      </w:r>
      <w:r w:rsidRPr="002C2D40">
        <w:rPr>
          <w:rFonts w:asciiTheme="minorHAnsi" w:hAnsiTheme="minorHAnsi"/>
          <w:sz w:val="24"/>
          <w:szCs w:val="24"/>
          <w:lang w:val="pl-PL"/>
        </w:rPr>
        <w:t>M</w:t>
      </w:r>
      <w:r w:rsidR="000F3CC4" w:rsidRPr="002C2D40">
        <w:rPr>
          <w:rFonts w:asciiTheme="minorHAnsi" w:hAnsiTheme="minorHAnsi"/>
          <w:sz w:val="24"/>
          <w:szCs w:val="24"/>
          <w:lang w:val="pl-PL"/>
        </w:rPr>
        <w:t>inistrów</w:t>
      </w:r>
      <w:r w:rsidRPr="002C2D40">
        <w:rPr>
          <w:rFonts w:asciiTheme="minorHAnsi" w:hAnsiTheme="minorHAnsi"/>
          <w:sz w:val="24"/>
          <w:szCs w:val="24"/>
          <w:lang w:val="pl-PL"/>
        </w:rPr>
        <w:t xml:space="preserve"> </w:t>
      </w:r>
      <w:r w:rsidR="000F3CC4" w:rsidRPr="002C2D40">
        <w:rPr>
          <w:rFonts w:asciiTheme="minorHAnsi" w:hAnsiTheme="minorHAnsi"/>
          <w:sz w:val="24"/>
          <w:szCs w:val="24"/>
          <w:lang w:val="pl-PL"/>
        </w:rPr>
        <w:t xml:space="preserve">RE przyjął </w:t>
      </w:r>
      <w:r w:rsidR="00C121BB" w:rsidRPr="002C2D40">
        <w:rPr>
          <w:rFonts w:asciiTheme="minorHAnsi" w:hAnsiTheme="minorHAnsi"/>
          <w:sz w:val="24"/>
          <w:szCs w:val="24"/>
          <w:lang w:val="pl-PL"/>
        </w:rPr>
        <w:t>6</w:t>
      </w:r>
      <w:r w:rsidR="007E4415" w:rsidRPr="002C2D40">
        <w:rPr>
          <w:rFonts w:asciiTheme="minorHAnsi" w:hAnsiTheme="minorHAnsi"/>
          <w:sz w:val="24"/>
          <w:szCs w:val="24"/>
          <w:lang w:val="pl-PL"/>
        </w:rPr>
        <w:t xml:space="preserve"> decyzj</w:t>
      </w:r>
      <w:r w:rsidR="00C121BB" w:rsidRPr="002C2D40">
        <w:rPr>
          <w:rFonts w:asciiTheme="minorHAnsi" w:hAnsiTheme="minorHAnsi"/>
          <w:sz w:val="24"/>
          <w:szCs w:val="24"/>
          <w:lang w:val="pl-PL"/>
        </w:rPr>
        <w:t>i</w:t>
      </w:r>
      <w:r w:rsidRPr="002C2D40">
        <w:rPr>
          <w:rFonts w:asciiTheme="minorHAnsi" w:hAnsiTheme="minorHAnsi"/>
          <w:sz w:val="24"/>
          <w:szCs w:val="24"/>
          <w:lang w:val="pl-PL"/>
        </w:rPr>
        <w:t xml:space="preserve">, w których ocenił stan wykonania wyroków w </w:t>
      </w:r>
      <w:r w:rsidR="000F3CC4" w:rsidRPr="002C2D40">
        <w:rPr>
          <w:rFonts w:asciiTheme="minorHAnsi" w:hAnsiTheme="minorHAnsi"/>
          <w:sz w:val="24"/>
          <w:szCs w:val="24"/>
          <w:lang w:val="pl-PL"/>
        </w:rPr>
        <w:t xml:space="preserve">następujących </w:t>
      </w:r>
      <w:r w:rsidRPr="002C2D40">
        <w:rPr>
          <w:rFonts w:asciiTheme="minorHAnsi" w:hAnsiTheme="minorHAnsi"/>
          <w:sz w:val="24"/>
          <w:szCs w:val="24"/>
          <w:lang w:val="pl-PL"/>
        </w:rPr>
        <w:t>polskich sprawach</w:t>
      </w:r>
      <w:r w:rsidR="000F3CC4" w:rsidRPr="002C2D40">
        <w:rPr>
          <w:rFonts w:asciiTheme="minorHAnsi" w:hAnsiTheme="minorHAnsi"/>
          <w:sz w:val="24"/>
          <w:szCs w:val="24"/>
          <w:lang w:val="pl-PL"/>
        </w:rPr>
        <w:t xml:space="preserve">/grupach spraw: </w:t>
      </w:r>
      <w:r w:rsidR="007E4415" w:rsidRPr="002C2D40">
        <w:rPr>
          <w:rFonts w:asciiTheme="minorHAnsi" w:hAnsiTheme="minorHAnsi"/>
          <w:sz w:val="24"/>
          <w:szCs w:val="24"/>
          <w:lang w:val="pl-PL"/>
        </w:rPr>
        <w:t xml:space="preserve">sprawa </w:t>
      </w:r>
      <w:r w:rsidR="007E4415" w:rsidRPr="002C2D40">
        <w:rPr>
          <w:rFonts w:asciiTheme="minorHAnsi" w:hAnsiTheme="minorHAnsi"/>
          <w:i/>
          <w:sz w:val="24"/>
          <w:szCs w:val="24"/>
          <w:lang w:val="pl-PL"/>
        </w:rPr>
        <w:t>P. i S.</w:t>
      </w:r>
      <w:r w:rsidR="007E4415" w:rsidRPr="002C2D40">
        <w:rPr>
          <w:rFonts w:asciiTheme="minorHAnsi" w:hAnsiTheme="minorHAnsi"/>
          <w:sz w:val="24"/>
          <w:szCs w:val="24"/>
          <w:lang w:val="pl-PL"/>
        </w:rPr>
        <w:t xml:space="preserve">, sprawy </w:t>
      </w:r>
      <w:r w:rsidR="007E4415" w:rsidRPr="002C2D40">
        <w:rPr>
          <w:rFonts w:asciiTheme="minorHAnsi" w:hAnsiTheme="minorHAnsi"/>
          <w:i/>
          <w:sz w:val="24"/>
          <w:szCs w:val="24"/>
          <w:lang w:val="pl-PL"/>
        </w:rPr>
        <w:t>Tysiąc</w:t>
      </w:r>
      <w:r w:rsidR="007E4415" w:rsidRPr="002C2D40">
        <w:rPr>
          <w:rFonts w:asciiTheme="minorHAnsi" w:hAnsiTheme="minorHAnsi"/>
          <w:sz w:val="24"/>
          <w:szCs w:val="24"/>
          <w:lang w:val="pl-PL"/>
        </w:rPr>
        <w:t xml:space="preserve"> i </w:t>
      </w:r>
      <w:r w:rsidR="007E4415" w:rsidRPr="002C2D40">
        <w:rPr>
          <w:rFonts w:asciiTheme="minorHAnsi" w:hAnsiTheme="minorHAnsi"/>
          <w:i/>
          <w:sz w:val="24"/>
          <w:szCs w:val="24"/>
          <w:lang w:val="pl-PL"/>
        </w:rPr>
        <w:t>R.R.</w:t>
      </w:r>
      <w:r w:rsidR="007E4415" w:rsidRPr="002C2D40">
        <w:rPr>
          <w:rFonts w:asciiTheme="minorHAnsi" w:hAnsiTheme="minorHAnsi"/>
          <w:sz w:val="24"/>
          <w:szCs w:val="24"/>
          <w:lang w:val="pl-PL"/>
        </w:rPr>
        <w:t xml:space="preserve">, grupa spraw </w:t>
      </w:r>
      <w:r w:rsidR="000F3CC4" w:rsidRPr="002C2D40">
        <w:rPr>
          <w:rFonts w:asciiTheme="minorHAnsi" w:hAnsiTheme="minorHAnsi"/>
          <w:i/>
          <w:sz w:val="24"/>
          <w:szCs w:val="24"/>
          <w:lang w:val="pl-PL"/>
        </w:rPr>
        <w:t>Al Nashiri</w:t>
      </w:r>
      <w:r w:rsidR="000F3CC4" w:rsidRPr="002C2D40">
        <w:rPr>
          <w:rFonts w:asciiTheme="minorHAnsi" w:hAnsiTheme="minorHAnsi"/>
          <w:sz w:val="24"/>
          <w:szCs w:val="24"/>
          <w:lang w:val="pl-PL"/>
        </w:rPr>
        <w:t xml:space="preserve"> i </w:t>
      </w:r>
      <w:r w:rsidR="000F3CC4" w:rsidRPr="002C2D40">
        <w:rPr>
          <w:rFonts w:asciiTheme="minorHAnsi" w:hAnsiTheme="minorHAnsi"/>
          <w:i/>
          <w:sz w:val="24"/>
          <w:szCs w:val="24"/>
          <w:lang w:val="pl-PL"/>
        </w:rPr>
        <w:t>Abu Zubaydah</w:t>
      </w:r>
      <w:r w:rsidR="00C121BB" w:rsidRPr="002C2D40">
        <w:rPr>
          <w:rFonts w:asciiTheme="minorHAnsi" w:hAnsiTheme="minorHAnsi"/>
          <w:sz w:val="24"/>
          <w:szCs w:val="24"/>
          <w:lang w:val="pl-PL"/>
        </w:rPr>
        <w:t xml:space="preserve">, grupa spraw </w:t>
      </w:r>
      <w:r w:rsidR="00C121BB" w:rsidRPr="002C2D40">
        <w:rPr>
          <w:rFonts w:asciiTheme="minorHAnsi" w:hAnsiTheme="minorHAnsi"/>
          <w:i/>
          <w:sz w:val="24"/>
          <w:szCs w:val="24"/>
          <w:lang w:val="pl-PL"/>
        </w:rPr>
        <w:t>Beller</w:t>
      </w:r>
      <w:r w:rsidR="00C121BB" w:rsidRPr="002C2D40">
        <w:rPr>
          <w:rFonts w:asciiTheme="minorHAnsi" w:hAnsiTheme="minorHAnsi"/>
          <w:sz w:val="24"/>
          <w:szCs w:val="24"/>
          <w:lang w:val="pl-PL"/>
        </w:rPr>
        <w:t xml:space="preserve">, grupa spraw </w:t>
      </w:r>
      <w:r w:rsidR="00C121BB" w:rsidRPr="002C2D40">
        <w:rPr>
          <w:rFonts w:asciiTheme="minorHAnsi" w:hAnsiTheme="minorHAnsi"/>
          <w:i/>
          <w:sz w:val="24"/>
          <w:szCs w:val="24"/>
          <w:lang w:val="pl-PL"/>
        </w:rPr>
        <w:t>Bąk, Majewski, Rutkowski i inni</w:t>
      </w:r>
      <w:r w:rsidR="00C121BB" w:rsidRPr="002C2D40">
        <w:rPr>
          <w:rFonts w:asciiTheme="minorHAnsi" w:hAnsiTheme="minorHAnsi"/>
          <w:sz w:val="24"/>
          <w:szCs w:val="24"/>
          <w:lang w:val="pl-PL"/>
        </w:rPr>
        <w:t>.</w:t>
      </w:r>
      <w:r w:rsidRPr="002C2D40">
        <w:rPr>
          <w:rFonts w:asciiTheme="minorHAnsi" w:hAnsiTheme="minorHAnsi"/>
          <w:sz w:val="24"/>
          <w:szCs w:val="24"/>
          <w:lang w:val="pl-PL"/>
        </w:rPr>
        <w:t xml:space="preserve"> Treść tych decyzji</w:t>
      </w:r>
      <w:r w:rsidR="00162114">
        <w:rPr>
          <w:rFonts w:asciiTheme="minorHAnsi" w:hAnsiTheme="minorHAnsi"/>
          <w:sz w:val="24"/>
          <w:szCs w:val="24"/>
          <w:lang w:val="pl-PL"/>
        </w:rPr>
        <w:t xml:space="preserve"> przetłumaczonych na język polski</w:t>
      </w:r>
      <w:r w:rsidRPr="002C2D40">
        <w:rPr>
          <w:rFonts w:asciiTheme="minorHAnsi" w:hAnsiTheme="minorHAnsi"/>
          <w:sz w:val="24"/>
          <w:szCs w:val="24"/>
          <w:lang w:val="pl-PL"/>
        </w:rPr>
        <w:t xml:space="preserve"> została przedstawiona w całości poniżej.</w:t>
      </w:r>
      <w:r w:rsidR="00162114">
        <w:rPr>
          <w:rFonts w:asciiTheme="minorHAnsi" w:hAnsiTheme="minorHAnsi"/>
          <w:sz w:val="24"/>
          <w:szCs w:val="24"/>
          <w:lang w:val="pl-PL"/>
        </w:rPr>
        <w:t xml:space="preserve"> </w:t>
      </w:r>
    </w:p>
    <w:p w:rsidR="00D07F92" w:rsidRPr="002C2D40" w:rsidRDefault="00D07F92" w:rsidP="0026790A">
      <w:pPr>
        <w:pStyle w:val="Akapitzlist"/>
        <w:numPr>
          <w:ilvl w:val="0"/>
          <w:numId w:val="9"/>
        </w:numPr>
        <w:spacing w:before="120" w:after="0" w:line="240" w:lineRule="auto"/>
        <w:ind w:left="1134" w:hanging="426"/>
        <w:jc w:val="both"/>
        <w:rPr>
          <w:rFonts w:asciiTheme="minorHAnsi" w:hAnsiTheme="minorHAnsi"/>
          <w:sz w:val="24"/>
          <w:szCs w:val="24"/>
          <w:lang w:val="pl-PL"/>
        </w:rPr>
      </w:pPr>
      <w:r w:rsidRPr="002C2D40">
        <w:rPr>
          <w:rFonts w:asciiTheme="minorHAnsi" w:hAnsiTheme="minorHAnsi"/>
          <w:sz w:val="24"/>
          <w:szCs w:val="24"/>
          <w:lang w:val="pl-PL"/>
        </w:rPr>
        <w:t xml:space="preserve">Decyzja z dnia 5 marca 2020 r. w sprawach </w:t>
      </w:r>
      <w:r w:rsidRPr="00F0681D">
        <w:rPr>
          <w:rFonts w:asciiTheme="minorHAnsi" w:hAnsiTheme="minorHAnsi"/>
          <w:i/>
          <w:sz w:val="24"/>
          <w:szCs w:val="24"/>
          <w:lang w:val="pl-PL"/>
        </w:rPr>
        <w:t>Al. Nashiri p. Polsce</w:t>
      </w:r>
      <w:r w:rsidRPr="002C2D40">
        <w:rPr>
          <w:rFonts w:asciiTheme="minorHAnsi" w:hAnsiTheme="minorHAnsi"/>
          <w:sz w:val="24"/>
          <w:szCs w:val="24"/>
          <w:lang w:val="pl-PL"/>
        </w:rPr>
        <w:t xml:space="preserve"> i </w:t>
      </w:r>
      <w:r w:rsidRPr="00F0681D">
        <w:rPr>
          <w:rFonts w:asciiTheme="minorHAnsi" w:hAnsiTheme="minorHAnsi"/>
          <w:i/>
          <w:sz w:val="24"/>
          <w:szCs w:val="24"/>
          <w:lang w:val="pl-PL"/>
        </w:rPr>
        <w:t xml:space="preserve">Abu Zubaydah p. Polsce </w:t>
      </w:r>
      <w:r w:rsidRPr="002C2D40">
        <w:rPr>
          <w:rFonts w:asciiTheme="minorHAnsi" w:hAnsiTheme="minorHAnsi"/>
          <w:sz w:val="24"/>
          <w:szCs w:val="24"/>
          <w:lang w:val="pl-PL"/>
        </w:rPr>
        <w:t xml:space="preserve">(CM/Del/Dec(2020)1369/H46-19), w której delegacji do KM: </w:t>
      </w:r>
    </w:p>
    <w:p w:rsidR="00D07F92" w:rsidRPr="002C2D40" w:rsidRDefault="00D07F92" w:rsidP="0026790A">
      <w:pPr>
        <w:pStyle w:val="Akapitzlist"/>
        <w:numPr>
          <w:ilvl w:val="0"/>
          <w:numId w:val="10"/>
        </w:numPr>
        <w:spacing w:before="120" w:after="0" w:line="240" w:lineRule="auto"/>
        <w:ind w:left="709" w:hanging="425"/>
        <w:jc w:val="both"/>
        <w:rPr>
          <w:rFonts w:asciiTheme="minorHAnsi" w:hAnsiTheme="minorHAnsi"/>
          <w:sz w:val="24"/>
          <w:szCs w:val="24"/>
          <w:lang w:val="pl-PL"/>
        </w:rPr>
      </w:pPr>
      <w:r w:rsidRPr="002C2D40">
        <w:rPr>
          <w:rFonts w:asciiTheme="minorHAnsi" w:hAnsiTheme="minorHAnsi"/>
          <w:sz w:val="24"/>
          <w:szCs w:val="24"/>
          <w:lang w:val="pl-PL"/>
        </w:rPr>
        <w:t>przypominają</w:t>
      </w:r>
      <w:r w:rsidR="00FE67B7">
        <w:rPr>
          <w:rFonts w:asciiTheme="minorHAnsi" w:hAnsiTheme="minorHAnsi"/>
          <w:sz w:val="24"/>
          <w:szCs w:val="24"/>
          <w:lang w:val="pl-PL"/>
        </w:rPr>
        <w:t>c</w:t>
      </w:r>
      <w:r w:rsidRPr="002C2D40">
        <w:rPr>
          <w:rFonts w:asciiTheme="minorHAnsi" w:hAnsiTheme="minorHAnsi"/>
          <w:sz w:val="24"/>
          <w:szCs w:val="24"/>
          <w:lang w:val="pl-PL"/>
        </w:rPr>
        <w:t xml:space="preserve">, że w tych wyrokach </w:t>
      </w:r>
      <w:r w:rsidR="00297924" w:rsidRPr="002C2D40">
        <w:rPr>
          <w:rFonts w:asciiTheme="minorHAnsi" w:hAnsiTheme="minorHAnsi"/>
          <w:sz w:val="24"/>
          <w:szCs w:val="24"/>
          <w:lang w:val="pl-PL"/>
        </w:rPr>
        <w:t xml:space="preserve">Europejski </w:t>
      </w:r>
      <w:r w:rsidRPr="002C2D40">
        <w:rPr>
          <w:rFonts w:asciiTheme="minorHAnsi" w:hAnsiTheme="minorHAnsi"/>
          <w:sz w:val="24"/>
          <w:szCs w:val="24"/>
          <w:lang w:val="pl-PL"/>
        </w:rPr>
        <w:t xml:space="preserve">Trybunał stwierdził odpowiedzialność Polski wynikającą z Konwencji ze względu na jej wiedzę i zaangażowanie w realizację Programu CIA </w:t>
      </w:r>
      <w:r w:rsidR="00F0681D">
        <w:rPr>
          <w:rFonts w:asciiTheme="minorHAnsi" w:hAnsiTheme="minorHAnsi"/>
          <w:sz w:val="24"/>
          <w:szCs w:val="24"/>
          <w:lang w:val="pl-PL"/>
        </w:rPr>
        <w:t xml:space="preserve">„High-Value Detainees” (HVD - </w:t>
      </w:r>
      <w:r w:rsidRPr="002C2D40">
        <w:rPr>
          <w:rFonts w:asciiTheme="minorHAnsi" w:hAnsiTheme="minorHAnsi"/>
          <w:sz w:val="24"/>
          <w:szCs w:val="24"/>
          <w:lang w:val="pl-PL"/>
        </w:rPr>
        <w:t>szczególnie ważnych wi</w:t>
      </w:r>
      <w:r w:rsidR="00F0681D">
        <w:rPr>
          <w:rFonts w:asciiTheme="minorHAnsi" w:hAnsiTheme="minorHAnsi"/>
          <w:sz w:val="24"/>
          <w:szCs w:val="24"/>
          <w:lang w:val="pl-PL"/>
        </w:rPr>
        <w:t>ęźniów</w:t>
      </w:r>
      <w:r w:rsidRPr="002C2D40">
        <w:rPr>
          <w:rFonts w:asciiTheme="minorHAnsi" w:hAnsiTheme="minorHAnsi"/>
          <w:sz w:val="24"/>
          <w:szCs w:val="24"/>
          <w:lang w:val="pl-PL"/>
        </w:rPr>
        <w:t xml:space="preserve">) i stwierdził poważne naruszenia </w:t>
      </w:r>
      <w:r w:rsidR="00F0681D">
        <w:rPr>
          <w:rFonts w:asciiTheme="minorHAnsi" w:hAnsiTheme="minorHAnsi"/>
          <w:sz w:val="24"/>
          <w:szCs w:val="24"/>
          <w:lang w:val="pl-PL"/>
        </w:rPr>
        <w:t>szeregu</w:t>
      </w:r>
      <w:r w:rsidRPr="002C2D40">
        <w:rPr>
          <w:rFonts w:asciiTheme="minorHAnsi" w:hAnsiTheme="minorHAnsi"/>
          <w:sz w:val="24"/>
          <w:szCs w:val="24"/>
          <w:lang w:val="pl-PL"/>
        </w:rPr>
        <w:t xml:space="preserve"> praw </w:t>
      </w:r>
      <w:r w:rsidR="00F0681D">
        <w:rPr>
          <w:rFonts w:asciiTheme="minorHAnsi" w:hAnsiTheme="minorHAnsi"/>
          <w:sz w:val="24"/>
          <w:szCs w:val="24"/>
          <w:lang w:val="pl-PL"/>
        </w:rPr>
        <w:t>chronionych</w:t>
      </w:r>
      <w:r w:rsidRPr="002C2D40">
        <w:rPr>
          <w:rFonts w:asciiTheme="minorHAnsi" w:hAnsiTheme="minorHAnsi"/>
          <w:sz w:val="24"/>
          <w:szCs w:val="24"/>
          <w:lang w:val="pl-PL"/>
        </w:rPr>
        <w:t xml:space="preserve"> Konwencj</w:t>
      </w:r>
      <w:r w:rsidR="00F0681D">
        <w:rPr>
          <w:rFonts w:asciiTheme="minorHAnsi" w:hAnsiTheme="minorHAnsi"/>
          <w:sz w:val="24"/>
          <w:szCs w:val="24"/>
          <w:lang w:val="pl-PL"/>
        </w:rPr>
        <w:t>ą</w:t>
      </w:r>
      <w:r w:rsidRPr="002C2D40">
        <w:rPr>
          <w:rFonts w:asciiTheme="minorHAnsi" w:hAnsiTheme="minorHAnsi"/>
          <w:sz w:val="24"/>
          <w:szCs w:val="24"/>
          <w:lang w:val="pl-PL"/>
        </w:rPr>
        <w:t xml:space="preserve"> przez Polskę w kontekście operacji „wydawania w trybie nadzwyczajnym”</w:t>
      </w:r>
      <w:r w:rsidR="00F0681D">
        <w:rPr>
          <w:rFonts w:asciiTheme="minorHAnsi" w:hAnsiTheme="minorHAnsi"/>
          <w:sz w:val="24"/>
          <w:szCs w:val="24"/>
          <w:lang w:val="pl-PL"/>
        </w:rPr>
        <w:t xml:space="preserve"> („extraordinary rendition”)</w:t>
      </w:r>
      <w:r w:rsidRPr="002C2D40">
        <w:rPr>
          <w:rFonts w:asciiTheme="minorHAnsi" w:hAnsiTheme="minorHAnsi"/>
          <w:sz w:val="24"/>
          <w:szCs w:val="24"/>
          <w:lang w:val="pl-PL"/>
        </w:rPr>
        <w:t xml:space="preserve">, które umożliwiły CIA bezprawne </w:t>
      </w:r>
      <w:r w:rsidR="00F0681D">
        <w:rPr>
          <w:rFonts w:asciiTheme="minorHAnsi" w:hAnsiTheme="minorHAnsi"/>
          <w:sz w:val="24"/>
          <w:szCs w:val="24"/>
          <w:lang w:val="pl-PL"/>
        </w:rPr>
        <w:t xml:space="preserve">sprowadzenie </w:t>
      </w:r>
      <w:r w:rsidRPr="002C2D40">
        <w:rPr>
          <w:rFonts w:asciiTheme="minorHAnsi" w:hAnsiTheme="minorHAnsi"/>
          <w:sz w:val="24"/>
          <w:szCs w:val="24"/>
          <w:lang w:val="pl-PL"/>
        </w:rPr>
        <w:t xml:space="preserve">skarżących </w:t>
      </w:r>
      <w:r w:rsidR="00F0681D">
        <w:rPr>
          <w:rFonts w:asciiTheme="minorHAnsi" w:hAnsiTheme="minorHAnsi"/>
          <w:sz w:val="24"/>
          <w:szCs w:val="24"/>
          <w:lang w:val="pl-PL"/>
        </w:rPr>
        <w:t xml:space="preserve">pod </w:t>
      </w:r>
      <w:r w:rsidRPr="002C2D40">
        <w:rPr>
          <w:rFonts w:asciiTheme="minorHAnsi" w:hAnsiTheme="minorHAnsi"/>
          <w:sz w:val="24"/>
          <w:szCs w:val="24"/>
          <w:lang w:val="pl-PL"/>
        </w:rPr>
        <w:t>jurysdykcj</w:t>
      </w:r>
      <w:r w:rsidR="00F0681D">
        <w:rPr>
          <w:rFonts w:asciiTheme="minorHAnsi" w:hAnsiTheme="minorHAnsi"/>
          <w:sz w:val="24"/>
          <w:szCs w:val="24"/>
          <w:lang w:val="pl-PL"/>
        </w:rPr>
        <w:t>ę</w:t>
      </w:r>
      <w:r w:rsidR="00C13B95">
        <w:rPr>
          <w:rFonts w:asciiTheme="minorHAnsi" w:hAnsiTheme="minorHAnsi"/>
          <w:sz w:val="24"/>
          <w:szCs w:val="24"/>
          <w:lang w:val="pl-PL"/>
        </w:rPr>
        <w:t xml:space="preserve"> Stanów Zjednoczonych;</w:t>
      </w:r>
    </w:p>
    <w:p w:rsidR="00D07F92" w:rsidRPr="002C2D40" w:rsidRDefault="00D07F92" w:rsidP="002C2D40">
      <w:pPr>
        <w:shd w:val="clear" w:color="auto" w:fill="FFFFFF"/>
        <w:spacing w:before="120"/>
        <w:jc w:val="both"/>
        <w:rPr>
          <w:rFonts w:asciiTheme="minorHAnsi" w:hAnsiTheme="minorHAnsi"/>
          <w:i/>
        </w:rPr>
      </w:pPr>
      <w:r w:rsidRPr="002C2D40">
        <w:rPr>
          <w:rFonts w:asciiTheme="minorHAnsi" w:hAnsiTheme="minorHAnsi"/>
          <w:i/>
        </w:rPr>
        <w:lastRenderedPageBreak/>
        <w:t xml:space="preserve">W odniesieniu do środków indywidualnych </w:t>
      </w:r>
    </w:p>
    <w:p w:rsidR="00D07F92" w:rsidRPr="002C2D40" w:rsidRDefault="00D07F92" w:rsidP="0026790A">
      <w:pPr>
        <w:pStyle w:val="Akapitzlist"/>
        <w:numPr>
          <w:ilvl w:val="0"/>
          <w:numId w:val="10"/>
        </w:numPr>
        <w:spacing w:before="120" w:after="0" w:line="240" w:lineRule="auto"/>
        <w:ind w:left="709" w:hanging="425"/>
        <w:jc w:val="both"/>
        <w:rPr>
          <w:rFonts w:asciiTheme="minorHAnsi" w:hAnsiTheme="minorHAnsi"/>
          <w:sz w:val="24"/>
          <w:szCs w:val="24"/>
        </w:rPr>
      </w:pPr>
      <w:r w:rsidRPr="002C2D40">
        <w:rPr>
          <w:rFonts w:asciiTheme="minorHAnsi" w:hAnsiTheme="minorHAnsi"/>
          <w:sz w:val="24"/>
          <w:szCs w:val="24"/>
        </w:rPr>
        <w:t>przypominają</w:t>
      </w:r>
      <w:r w:rsidR="00FE67B7">
        <w:rPr>
          <w:rFonts w:asciiTheme="minorHAnsi" w:hAnsiTheme="minorHAnsi"/>
          <w:sz w:val="24"/>
          <w:szCs w:val="24"/>
          <w:lang w:val="pl-PL"/>
        </w:rPr>
        <w:t>c</w:t>
      </w:r>
      <w:r w:rsidRPr="002C2D40">
        <w:rPr>
          <w:rFonts w:asciiTheme="minorHAnsi" w:hAnsiTheme="minorHAnsi"/>
          <w:sz w:val="24"/>
          <w:szCs w:val="24"/>
        </w:rPr>
        <w:t xml:space="preserve"> dalej, że konsekwencje naruszeń Konwencji dla skarżących nie zostały naprawione</w:t>
      </w:r>
      <w:r w:rsidR="00297924">
        <w:rPr>
          <w:rFonts w:asciiTheme="minorHAnsi" w:hAnsiTheme="minorHAnsi"/>
          <w:sz w:val="24"/>
          <w:szCs w:val="24"/>
          <w:lang w:val="pl-PL"/>
        </w:rPr>
        <w:t>,</w:t>
      </w:r>
      <w:r w:rsidRPr="002C2D40">
        <w:rPr>
          <w:rFonts w:asciiTheme="minorHAnsi" w:hAnsiTheme="minorHAnsi"/>
          <w:sz w:val="24"/>
          <w:szCs w:val="24"/>
        </w:rPr>
        <w:t xml:space="preserve"> </w:t>
      </w:r>
      <w:r w:rsidR="00F0681D">
        <w:rPr>
          <w:rFonts w:asciiTheme="minorHAnsi" w:hAnsiTheme="minorHAnsi"/>
          <w:sz w:val="24"/>
          <w:szCs w:val="24"/>
          <w:lang w:val="pl-PL"/>
        </w:rPr>
        <w:t>ponieważ</w:t>
      </w:r>
      <w:r w:rsidRPr="002C2D40">
        <w:rPr>
          <w:rFonts w:asciiTheme="minorHAnsi" w:hAnsiTheme="minorHAnsi"/>
          <w:sz w:val="24"/>
          <w:szCs w:val="24"/>
        </w:rPr>
        <w:t xml:space="preserve"> pan Al Nashiri </w:t>
      </w:r>
      <w:r w:rsidR="00F0681D">
        <w:rPr>
          <w:rFonts w:asciiTheme="minorHAnsi" w:hAnsiTheme="minorHAnsi"/>
          <w:sz w:val="24"/>
          <w:szCs w:val="24"/>
          <w:lang w:val="pl-PL"/>
        </w:rPr>
        <w:t xml:space="preserve">podlega ryzyku </w:t>
      </w:r>
      <w:r w:rsidRPr="002C2D40">
        <w:rPr>
          <w:rFonts w:asciiTheme="minorHAnsi" w:hAnsiTheme="minorHAnsi"/>
          <w:sz w:val="24"/>
          <w:szCs w:val="24"/>
        </w:rPr>
        <w:t>rażąc</w:t>
      </w:r>
      <w:r w:rsidR="00F0681D">
        <w:rPr>
          <w:rFonts w:asciiTheme="minorHAnsi" w:hAnsiTheme="minorHAnsi"/>
          <w:sz w:val="24"/>
          <w:szCs w:val="24"/>
          <w:lang w:val="pl-PL"/>
        </w:rPr>
        <w:t>ej</w:t>
      </w:r>
      <w:r w:rsidR="00F0681D">
        <w:rPr>
          <w:rFonts w:asciiTheme="minorHAnsi" w:hAnsiTheme="minorHAnsi"/>
          <w:sz w:val="24"/>
          <w:szCs w:val="24"/>
        </w:rPr>
        <w:t xml:space="preserve"> odmowy</w:t>
      </w:r>
      <w:r w:rsidRPr="002C2D40">
        <w:rPr>
          <w:rFonts w:asciiTheme="minorHAnsi" w:hAnsiTheme="minorHAnsi"/>
          <w:sz w:val="24"/>
          <w:szCs w:val="24"/>
        </w:rPr>
        <w:t xml:space="preserve"> sprawiedliwości w postępowaniu przed komisją wojskową </w:t>
      </w:r>
      <w:r w:rsidR="00F0681D">
        <w:rPr>
          <w:rFonts w:asciiTheme="minorHAnsi" w:hAnsiTheme="minorHAnsi"/>
          <w:sz w:val="24"/>
          <w:szCs w:val="24"/>
          <w:lang w:val="pl-PL"/>
        </w:rPr>
        <w:t xml:space="preserve">oraz podlega ryzyku zastosowania </w:t>
      </w:r>
      <w:r w:rsidRPr="002C2D40">
        <w:rPr>
          <w:rFonts w:asciiTheme="minorHAnsi" w:hAnsiTheme="minorHAnsi"/>
          <w:sz w:val="24"/>
          <w:szCs w:val="24"/>
        </w:rPr>
        <w:t>kar</w:t>
      </w:r>
      <w:r w:rsidR="00F0681D">
        <w:rPr>
          <w:rFonts w:asciiTheme="minorHAnsi" w:hAnsiTheme="minorHAnsi"/>
          <w:sz w:val="24"/>
          <w:szCs w:val="24"/>
          <w:lang w:val="pl-PL"/>
        </w:rPr>
        <w:t>y</w:t>
      </w:r>
      <w:r w:rsidRPr="002C2D40">
        <w:rPr>
          <w:rFonts w:asciiTheme="minorHAnsi" w:hAnsiTheme="minorHAnsi"/>
          <w:sz w:val="24"/>
          <w:szCs w:val="24"/>
        </w:rPr>
        <w:t xml:space="preserve"> śmierci, a pan Abu Zubaydah pozostaje poddany rażącej odmowie sprawiedliwości, w szczególności z powodu jego „bezterminowego aresztowania” </w:t>
      </w:r>
      <w:r w:rsidR="00F0681D">
        <w:rPr>
          <w:rFonts w:asciiTheme="minorHAnsi" w:hAnsiTheme="minorHAnsi"/>
          <w:sz w:val="24"/>
          <w:szCs w:val="24"/>
          <w:lang w:val="pl-PL"/>
        </w:rPr>
        <w:t xml:space="preserve">bez postawienia zarzutów </w:t>
      </w:r>
      <w:r w:rsidRPr="002C2D40">
        <w:rPr>
          <w:rFonts w:asciiTheme="minorHAnsi" w:hAnsiTheme="minorHAnsi"/>
          <w:sz w:val="24"/>
          <w:szCs w:val="24"/>
        </w:rPr>
        <w:t>od 2002</w:t>
      </w:r>
      <w:r w:rsidR="00297924">
        <w:rPr>
          <w:rFonts w:asciiTheme="minorHAnsi" w:hAnsiTheme="minorHAnsi"/>
          <w:sz w:val="24"/>
          <w:szCs w:val="24"/>
          <w:lang w:val="pl-PL"/>
        </w:rPr>
        <w:t xml:space="preserve"> r.</w:t>
      </w:r>
      <w:r w:rsidRPr="002C2D40">
        <w:rPr>
          <w:rFonts w:asciiTheme="minorHAnsi" w:hAnsiTheme="minorHAnsi"/>
          <w:sz w:val="24"/>
          <w:szCs w:val="24"/>
        </w:rPr>
        <w:t>;</w:t>
      </w:r>
    </w:p>
    <w:p w:rsidR="00D07F92" w:rsidRPr="002C2D40" w:rsidRDefault="00D07F92" w:rsidP="0026790A">
      <w:pPr>
        <w:pStyle w:val="Akapitzlist"/>
        <w:numPr>
          <w:ilvl w:val="0"/>
          <w:numId w:val="10"/>
        </w:numPr>
        <w:spacing w:before="120" w:after="0" w:line="240" w:lineRule="auto"/>
        <w:ind w:left="709" w:hanging="425"/>
        <w:jc w:val="both"/>
        <w:rPr>
          <w:rFonts w:asciiTheme="minorHAnsi" w:hAnsiTheme="minorHAnsi"/>
          <w:sz w:val="24"/>
          <w:szCs w:val="24"/>
        </w:rPr>
      </w:pPr>
      <w:r w:rsidRPr="002C2D40">
        <w:rPr>
          <w:rFonts w:asciiTheme="minorHAnsi" w:hAnsiTheme="minorHAnsi"/>
          <w:sz w:val="24"/>
          <w:szCs w:val="24"/>
        </w:rPr>
        <w:t>odnotowują informację o nowym polskim wniosku o zapewnienie gwarancji dyplomatycznych dla obu skarżących i podkreślają w tym względzie, że dla wypełnienia zobowiązań wynikających z art. 46 Konwencji kluczowe jest, aby polskie władze aktywnie kontynuowały wysiłki dyplomatyczne i dążyły do wszelkich możliwych środków mających na celu usunięcie ryzyka ponoszonego przez skarżących;</w:t>
      </w:r>
    </w:p>
    <w:p w:rsidR="00D07F92" w:rsidRPr="002C2D40" w:rsidRDefault="00D07F92" w:rsidP="0026790A">
      <w:pPr>
        <w:pStyle w:val="Akapitzlist"/>
        <w:numPr>
          <w:ilvl w:val="0"/>
          <w:numId w:val="10"/>
        </w:numPr>
        <w:spacing w:before="120" w:after="0" w:line="240" w:lineRule="auto"/>
        <w:ind w:left="709" w:hanging="425"/>
        <w:jc w:val="both"/>
        <w:rPr>
          <w:rFonts w:asciiTheme="minorHAnsi" w:hAnsiTheme="minorHAnsi"/>
          <w:sz w:val="24"/>
          <w:szCs w:val="24"/>
        </w:rPr>
      </w:pPr>
      <w:r w:rsidRPr="002C2D40">
        <w:rPr>
          <w:rFonts w:asciiTheme="minorHAnsi" w:hAnsiTheme="minorHAnsi"/>
          <w:sz w:val="24"/>
          <w:szCs w:val="24"/>
        </w:rPr>
        <w:t>przypominają</w:t>
      </w:r>
      <w:r w:rsidR="00FE67B7">
        <w:rPr>
          <w:rFonts w:asciiTheme="minorHAnsi" w:hAnsiTheme="minorHAnsi"/>
          <w:sz w:val="24"/>
          <w:szCs w:val="24"/>
          <w:lang w:val="pl-PL"/>
        </w:rPr>
        <w:t>c</w:t>
      </w:r>
      <w:r w:rsidRPr="002C2D40">
        <w:rPr>
          <w:rFonts w:asciiTheme="minorHAnsi" w:hAnsiTheme="minorHAnsi"/>
          <w:sz w:val="24"/>
          <w:szCs w:val="24"/>
        </w:rPr>
        <w:t xml:space="preserve"> o ich wcześniejszych nieudanych próbach oraz tych podejmowanych przez inne zainteresowane państwa członkowskie Rady Europy, pomimo ich starań</w:t>
      </w:r>
      <w:r w:rsidR="00F0681D">
        <w:rPr>
          <w:rFonts w:asciiTheme="minorHAnsi" w:hAnsiTheme="minorHAnsi"/>
          <w:sz w:val="24"/>
          <w:szCs w:val="24"/>
          <w:lang w:val="pl-PL"/>
        </w:rPr>
        <w:t>,</w:t>
      </w:r>
      <w:r w:rsidRPr="002C2D40">
        <w:rPr>
          <w:rFonts w:asciiTheme="minorHAnsi" w:hAnsiTheme="minorHAnsi"/>
          <w:sz w:val="24"/>
          <w:szCs w:val="24"/>
        </w:rPr>
        <w:t xml:space="preserve"> uzyskani</w:t>
      </w:r>
      <w:r w:rsidR="00F0681D">
        <w:rPr>
          <w:rFonts w:asciiTheme="minorHAnsi" w:hAnsiTheme="minorHAnsi"/>
          <w:sz w:val="24"/>
          <w:szCs w:val="24"/>
          <w:lang w:val="pl-PL"/>
        </w:rPr>
        <w:t>a</w:t>
      </w:r>
      <w:r w:rsidRPr="002C2D40">
        <w:rPr>
          <w:rFonts w:asciiTheme="minorHAnsi" w:hAnsiTheme="minorHAnsi"/>
          <w:sz w:val="24"/>
          <w:szCs w:val="24"/>
        </w:rPr>
        <w:t xml:space="preserve"> gwarancji dla skarżących, zachęcają polskie władze, aby kontynuując i intensyfikując wysiłki dyplomatyczne, rozważyły inne drogi, które umożliwiłyby im poszukiwanie usunięcia tych ryzyk, np. interweniowanie jako </w:t>
      </w:r>
      <w:r w:rsidRPr="002C2D40">
        <w:rPr>
          <w:rFonts w:asciiTheme="minorHAnsi" w:hAnsiTheme="minorHAnsi"/>
          <w:i/>
          <w:sz w:val="24"/>
          <w:szCs w:val="24"/>
        </w:rPr>
        <w:t>amicus curiae</w:t>
      </w:r>
      <w:r w:rsidRPr="002C2D40">
        <w:rPr>
          <w:rFonts w:asciiTheme="minorHAnsi" w:hAnsiTheme="minorHAnsi"/>
          <w:sz w:val="24"/>
          <w:szCs w:val="24"/>
        </w:rPr>
        <w:t xml:space="preserve"> we wszelkich odpowiednich postępowaniach toczących się w Stanach Zjednoczonych; w tym kontekście zwracają się do zainteresowanych państw członkowskich Rady Europy o udzielenie polskim władzom wszelkiej możliwej pomocy;</w:t>
      </w:r>
    </w:p>
    <w:p w:rsidR="00D07F92" w:rsidRPr="002C2D40" w:rsidRDefault="00D07F92" w:rsidP="0026790A">
      <w:pPr>
        <w:pStyle w:val="Akapitzlist"/>
        <w:numPr>
          <w:ilvl w:val="0"/>
          <w:numId w:val="10"/>
        </w:numPr>
        <w:spacing w:before="120" w:after="0" w:line="240" w:lineRule="auto"/>
        <w:ind w:left="709" w:hanging="425"/>
        <w:jc w:val="both"/>
        <w:rPr>
          <w:rFonts w:asciiTheme="minorHAnsi" w:hAnsiTheme="minorHAnsi"/>
          <w:sz w:val="24"/>
          <w:szCs w:val="24"/>
        </w:rPr>
      </w:pPr>
      <w:r w:rsidRPr="002C2D40">
        <w:rPr>
          <w:rFonts w:asciiTheme="minorHAnsi" w:hAnsiTheme="minorHAnsi"/>
          <w:sz w:val="24"/>
          <w:szCs w:val="24"/>
        </w:rPr>
        <w:t>w odniesieniu do wypłaty zadośćuczynienia dla pana Abu Zubaydah, zauważają, że chociaż zadośćuczynienie przyznane za szkodę niematerialną zostało przelane na rachunek depozytowy, pełnomocnik skarżącego wskazał na trudności w spełnieniu warunków uwolnienia środków, biorąc pod uwagę wyjątkowy charakter sytuacji skarżącego; zapraszają w związku z tym władze do współpracy z pełnomocnikiem skarżącego oraz Sekretariatem w celu znalezienia rozwiązań umożliwiających niezwłoczne uwolnienie środków;</w:t>
      </w:r>
    </w:p>
    <w:p w:rsidR="00D07F92" w:rsidRPr="002C2D40" w:rsidRDefault="00D07F92" w:rsidP="0026790A">
      <w:pPr>
        <w:pStyle w:val="Akapitzlist"/>
        <w:numPr>
          <w:ilvl w:val="0"/>
          <w:numId w:val="10"/>
        </w:numPr>
        <w:spacing w:before="120" w:after="0" w:line="240" w:lineRule="auto"/>
        <w:ind w:left="709" w:hanging="425"/>
        <w:jc w:val="both"/>
        <w:rPr>
          <w:rFonts w:asciiTheme="minorHAnsi" w:hAnsiTheme="minorHAnsi"/>
          <w:sz w:val="24"/>
          <w:szCs w:val="24"/>
        </w:rPr>
      </w:pPr>
      <w:r w:rsidRPr="002C2D40">
        <w:rPr>
          <w:rFonts w:asciiTheme="minorHAnsi" w:hAnsiTheme="minorHAnsi"/>
          <w:sz w:val="24"/>
          <w:szCs w:val="24"/>
          <w:lang w:val="pl-PL"/>
        </w:rPr>
        <w:t>w</w:t>
      </w:r>
      <w:r w:rsidRPr="002C2D40">
        <w:rPr>
          <w:rFonts w:asciiTheme="minorHAnsi" w:hAnsiTheme="minorHAnsi"/>
          <w:sz w:val="24"/>
          <w:szCs w:val="24"/>
        </w:rPr>
        <w:t xml:space="preserve"> odniesieniu do postępowania karnego odnotowują z zainteresowaniem informację, że w śledztwie krajowym jest jeden podejrzany i wzywają polskie władze do przedstawienia dodatkowych szczegółów dotyczących zarzutów karnych postawionych tej osobie; w tym kontekście z zadowoleniem przyjmują również starania władz we współpracy z przedstawicielami skarżących w celu zbadania alternatywnych sposobów przezwyciężenia skutków odmowy przez władze USA udzielenia Polsce pomocy prawnej i uzyskania dowodów niezbędnych</w:t>
      </w:r>
      <w:r w:rsidR="00971859">
        <w:rPr>
          <w:rFonts w:asciiTheme="minorHAnsi" w:hAnsiTheme="minorHAnsi"/>
          <w:sz w:val="24"/>
          <w:szCs w:val="24"/>
        </w:rPr>
        <w:t xml:space="preserve"> do krajowego śledztwa i zachęcają</w:t>
      </w:r>
      <w:r w:rsidR="00971859">
        <w:rPr>
          <w:rFonts w:asciiTheme="minorHAnsi" w:hAnsiTheme="minorHAnsi"/>
          <w:sz w:val="24"/>
          <w:szCs w:val="24"/>
          <w:lang w:val="pl-PL"/>
        </w:rPr>
        <w:t xml:space="preserve"> </w:t>
      </w:r>
      <w:r w:rsidRPr="002C2D40">
        <w:rPr>
          <w:rFonts w:asciiTheme="minorHAnsi" w:hAnsiTheme="minorHAnsi"/>
          <w:sz w:val="24"/>
          <w:szCs w:val="24"/>
        </w:rPr>
        <w:t xml:space="preserve">władze do kontynuowania wysiłków w tym zakresie; </w:t>
      </w:r>
    </w:p>
    <w:p w:rsidR="00D07F92" w:rsidRPr="002C2D40" w:rsidRDefault="00D07F92" w:rsidP="0026790A">
      <w:pPr>
        <w:pStyle w:val="Akapitzlist"/>
        <w:numPr>
          <w:ilvl w:val="0"/>
          <w:numId w:val="10"/>
        </w:numPr>
        <w:spacing w:before="120" w:after="0" w:line="240" w:lineRule="auto"/>
        <w:ind w:left="709" w:hanging="425"/>
        <w:jc w:val="both"/>
        <w:rPr>
          <w:rFonts w:asciiTheme="minorHAnsi" w:hAnsiTheme="minorHAnsi"/>
          <w:sz w:val="24"/>
          <w:szCs w:val="24"/>
        </w:rPr>
      </w:pPr>
      <w:r w:rsidRPr="002C2D40">
        <w:rPr>
          <w:rFonts w:asciiTheme="minorHAnsi" w:hAnsiTheme="minorHAnsi"/>
          <w:sz w:val="24"/>
          <w:szCs w:val="24"/>
        </w:rPr>
        <w:t>zauważają jednak z głębokim zaniepokojeniem, że śledztwo krajowe toczy się od prawie 12 lat; przypominają w tym kontekście kluczow</w:t>
      </w:r>
      <w:r w:rsidR="00971859">
        <w:rPr>
          <w:rFonts w:asciiTheme="minorHAnsi" w:hAnsiTheme="minorHAnsi"/>
          <w:sz w:val="24"/>
          <w:szCs w:val="24"/>
          <w:lang w:val="pl-PL"/>
        </w:rPr>
        <w:t>ą</w:t>
      </w:r>
      <w:r w:rsidRPr="002C2D40">
        <w:rPr>
          <w:rFonts w:asciiTheme="minorHAnsi" w:hAnsiTheme="minorHAnsi"/>
          <w:sz w:val="24"/>
          <w:szCs w:val="24"/>
        </w:rPr>
        <w:t xml:space="preserve"> </w:t>
      </w:r>
      <w:r w:rsidR="00971859">
        <w:rPr>
          <w:rFonts w:asciiTheme="minorHAnsi" w:hAnsiTheme="minorHAnsi"/>
          <w:sz w:val="24"/>
          <w:szCs w:val="24"/>
          <w:lang w:val="pl-PL"/>
        </w:rPr>
        <w:t>wagę</w:t>
      </w:r>
      <w:r w:rsidRPr="002C2D40">
        <w:rPr>
          <w:rFonts w:asciiTheme="minorHAnsi" w:hAnsiTheme="minorHAnsi"/>
          <w:sz w:val="24"/>
          <w:szCs w:val="24"/>
        </w:rPr>
        <w:t xml:space="preserve"> zakończenia śledztwa dotyczącego </w:t>
      </w:r>
      <w:r w:rsidR="00971859">
        <w:rPr>
          <w:rFonts w:asciiTheme="minorHAnsi" w:hAnsiTheme="minorHAnsi"/>
          <w:sz w:val="24"/>
          <w:szCs w:val="24"/>
          <w:lang w:val="pl-PL"/>
        </w:rPr>
        <w:t>ustalonych</w:t>
      </w:r>
      <w:r w:rsidRPr="002C2D40">
        <w:rPr>
          <w:rFonts w:asciiTheme="minorHAnsi" w:hAnsiTheme="minorHAnsi"/>
          <w:sz w:val="24"/>
          <w:szCs w:val="24"/>
        </w:rPr>
        <w:t xml:space="preserve"> poważnych naruszeń praw człowieka, w szczególności tortur i </w:t>
      </w:r>
      <w:r w:rsidR="00971859">
        <w:rPr>
          <w:rFonts w:asciiTheme="minorHAnsi" w:hAnsiTheme="minorHAnsi"/>
          <w:sz w:val="24"/>
          <w:szCs w:val="24"/>
          <w:lang w:val="pl-PL"/>
        </w:rPr>
        <w:t>niepotwierdzonego zatrzymania</w:t>
      </w:r>
      <w:r w:rsidRPr="002C2D40">
        <w:rPr>
          <w:rFonts w:asciiTheme="minorHAnsi" w:hAnsiTheme="minorHAnsi"/>
          <w:sz w:val="24"/>
          <w:szCs w:val="24"/>
        </w:rPr>
        <w:t>, a także kwestii zasadności i legalności zarówno decyzji podj</w:t>
      </w:r>
      <w:r w:rsidR="00971859">
        <w:rPr>
          <w:rFonts w:asciiTheme="minorHAnsi" w:hAnsiTheme="minorHAnsi"/>
          <w:sz w:val="24"/>
          <w:szCs w:val="24"/>
          <w:lang w:val="pl-PL"/>
        </w:rPr>
        <w:t>ętych</w:t>
      </w:r>
      <w:r w:rsidRPr="002C2D40">
        <w:rPr>
          <w:rFonts w:asciiTheme="minorHAnsi" w:hAnsiTheme="minorHAnsi"/>
          <w:sz w:val="24"/>
          <w:szCs w:val="24"/>
        </w:rPr>
        <w:t xml:space="preserve"> przez funkcjonariuszy państwa polskiego, jak i działań, w któr</w:t>
      </w:r>
      <w:r w:rsidR="00971859">
        <w:rPr>
          <w:rFonts w:asciiTheme="minorHAnsi" w:hAnsiTheme="minorHAnsi"/>
          <w:sz w:val="24"/>
          <w:szCs w:val="24"/>
          <w:lang w:val="pl-PL"/>
        </w:rPr>
        <w:t>e</w:t>
      </w:r>
      <w:r w:rsidRPr="002C2D40">
        <w:rPr>
          <w:rFonts w:asciiTheme="minorHAnsi" w:hAnsiTheme="minorHAnsi"/>
          <w:sz w:val="24"/>
          <w:szCs w:val="24"/>
        </w:rPr>
        <w:t xml:space="preserve"> </w:t>
      </w:r>
      <w:r w:rsidR="00971859">
        <w:rPr>
          <w:rFonts w:asciiTheme="minorHAnsi" w:hAnsiTheme="minorHAnsi"/>
          <w:sz w:val="24"/>
          <w:szCs w:val="24"/>
          <w:lang w:val="pl-PL"/>
        </w:rPr>
        <w:t xml:space="preserve">zaangażowane były </w:t>
      </w:r>
      <w:r w:rsidRPr="002C2D40">
        <w:rPr>
          <w:rFonts w:asciiTheme="minorHAnsi" w:hAnsiTheme="minorHAnsi"/>
          <w:sz w:val="24"/>
          <w:szCs w:val="24"/>
        </w:rPr>
        <w:t xml:space="preserve">krajowe służby </w:t>
      </w:r>
      <w:r w:rsidR="00971859">
        <w:rPr>
          <w:rFonts w:asciiTheme="minorHAnsi" w:hAnsiTheme="minorHAnsi"/>
          <w:sz w:val="24"/>
          <w:szCs w:val="24"/>
          <w:lang w:val="pl-PL"/>
        </w:rPr>
        <w:t>specjalne i wywiadowcze</w:t>
      </w:r>
      <w:r w:rsidRPr="002C2D40">
        <w:rPr>
          <w:rFonts w:asciiTheme="minorHAnsi" w:hAnsiTheme="minorHAnsi"/>
          <w:sz w:val="24"/>
          <w:szCs w:val="24"/>
        </w:rPr>
        <w:t xml:space="preserve"> w </w:t>
      </w:r>
      <w:r w:rsidR="00971859">
        <w:rPr>
          <w:rFonts w:asciiTheme="minorHAnsi" w:hAnsiTheme="minorHAnsi"/>
          <w:sz w:val="24"/>
          <w:szCs w:val="24"/>
          <w:lang w:val="pl-PL"/>
        </w:rPr>
        <w:t xml:space="preserve">ramach wdrażania </w:t>
      </w:r>
      <w:r w:rsidRPr="002C2D40">
        <w:rPr>
          <w:rFonts w:asciiTheme="minorHAnsi" w:hAnsiTheme="minorHAnsi"/>
          <w:sz w:val="24"/>
          <w:szCs w:val="24"/>
        </w:rPr>
        <w:t>programu CIA HVD na terytorium Polski i w związku z tym ponownie usilnie wzywają polskie władze do podwojenia wysiłków w celu zakończenia</w:t>
      </w:r>
      <w:r w:rsidR="0026790A">
        <w:rPr>
          <w:rFonts w:asciiTheme="minorHAnsi" w:hAnsiTheme="minorHAnsi"/>
          <w:sz w:val="24"/>
          <w:szCs w:val="24"/>
        </w:rPr>
        <w:t xml:space="preserve"> śledztwa bez dalszej zwłoki;</w:t>
      </w:r>
    </w:p>
    <w:p w:rsidR="00D07F92" w:rsidRPr="002C2D40" w:rsidRDefault="00D07F92" w:rsidP="0026790A">
      <w:pPr>
        <w:pStyle w:val="Akapitzlist"/>
        <w:numPr>
          <w:ilvl w:val="0"/>
          <w:numId w:val="10"/>
        </w:numPr>
        <w:spacing w:before="120" w:after="0" w:line="240" w:lineRule="auto"/>
        <w:ind w:left="709" w:hanging="425"/>
        <w:jc w:val="both"/>
        <w:rPr>
          <w:rFonts w:asciiTheme="minorHAnsi" w:hAnsiTheme="minorHAnsi"/>
          <w:sz w:val="24"/>
          <w:szCs w:val="24"/>
        </w:rPr>
      </w:pPr>
      <w:r w:rsidRPr="002C2D40">
        <w:rPr>
          <w:rFonts w:asciiTheme="minorHAnsi" w:hAnsiTheme="minorHAnsi"/>
          <w:sz w:val="24"/>
          <w:szCs w:val="24"/>
        </w:rPr>
        <w:lastRenderedPageBreak/>
        <w:t xml:space="preserve">w tym kontekście wzywają władze do szybkiego zakończenia refleksji, czy wybrane elementy informacji dotyczących śledztwa, jego zakresu i orientacyjnych ram czasowych dla pozostałych czynności śledczych mogą zostać podane do wiadomości publicznej lub przynajmniej przekazane </w:t>
      </w:r>
      <w:r w:rsidR="0026790A">
        <w:rPr>
          <w:rFonts w:asciiTheme="minorHAnsi" w:hAnsiTheme="minorHAnsi"/>
          <w:sz w:val="24"/>
          <w:szCs w:val="24"/>
        </w:rPr>
        <w:t>Komitetowi w sposób poufny;</w:t>
      </w:r>
    </w:p>
    <w:p w:rsidR="00D07F92" w:rsidRPr="002C2D40" w:rsidRDefault="0098734A" w:rsidP="0026790A">
      <w:pPr>
        <w:pStyle w:val="Akapitzlist"/>
        <w:numPr>
          <w:ilvl w:val="0"/>
          <w:numId w:val="10"/>
        </w:numPr>
        <w:spacing w:before="120" w:after="0" w:line="240" w:lineRule="auto"/>
        <w:ind w:left="709" w:hanging="425"/>
        <w:jc w:val="both"/>
        <w:rPr>
          <w:rFonts w:asciiTheme="minorHAnsi" w:hAnsiTheme="minorHAnsi"/>
          <w:sz w:val="24"/>
          <w:szCs w:val="24"/>
        </w:rPr>
      </w:pPr>
      <w:r>
        <w:rPr>
          <w:rFonts w:asciiTheme="minorHAnsi" w:hAnsiTheme="minorHAnsi"/>
          <w:sz w:val="24"/>
          <w:szCs w:val="24"/>
        </w:rPr>
        <w:t>przypominając</w:t>
      </w:r>
      <w:r w:rsidR="00D07F92" w:rsidRPr="002C2D40">
        <w:rPr>
          <w:rFonts w:asciiTheme="minorHAnsi" w:hAnsiTheme="minorHAnsi"/>
          <w:sz w:val="24"/>
          <w:szCs w:val="24"/>
        </w:rPr>
        <w:t xml:space="preserve"> raz jeszcze, że Stany Zjednoczone mają status obserwatora w Radzie Europy i jako takie popierają jej ideały i wartości, uznali, że ten status oraz takie ideały i wartości zachęcają do współpracy; </w:t>
      </w:r>
      <w:r>
        <w:rPr>
          <w:rFonts w:asciiTheme="minorHAnsi" w:hAnsiTheme="minorHAnsi"/>
          <w:sz w:val="24"/>
          <w:szCs w:val="24"/>
          <w:lang w:val="pl-PL"/>
        </w:rPr>
        <w:t>usilnie nalegają</w:t>
      </w:r>
      <w:r w:rsidR="00D07F92" w:rsidRPr="002C2D40">
        <w:rPr>
          <w:rFonts w:asciiTheme="minorHAnsi" w:hAnsiTheme="minorHAnsi"/>
          <w:sz w:val="24"/>
          <w:szCs w:val="24"/>
        </w:rPr>
        <w:t xml:space="preserve"> na władze Stanów Zjednoczonych, aby ponownie rozważyły swoje stanowisko i zapewniły niezbędne </w:t>
      </w:r>
      <w:r>
        <w:rPr>
          <w:rFonts w:asciiTheme="minorHAnsi" w:hAnsiTheme="minorHAnsi"/>
          <w:sz w:val="24"/>
          <w:szCs w:val="24"/>
          <w:lang w:val="pl-PL"/>
        </w:rPr>
        <w:t>gwarancje</w:t>
      </w:r>
      <w:r w:rsidR="00D07F92" w:rsidRPr="002C2D40">
        <w:rPr>
          <w:rFonts w:asciiTheme="minorHAnsi" w:hAnsiTheme="minorHAnsi"/>
          <w:sz w:val="24"/>
          <w:szCs w:val="24"/>
        </w:rPr>
        <w:t xml:space="preserve"> i pomoc </w:t>
      </w:r>
      <w:r>
        <w:rPr>
          <w:rFonts w:asciiTheme="minorHAnsi" w:hAnsiTheme="minorHAnsi"/>
          <w:sz w:val="24"/>
          <w:szCs w:val="24"/>
          <w:lang w:val="pl-PL"/>
        </w:rPr>
        <w:t xml:space="preserve">prawną </w:t>
      </w:r>
      <w:r>
        <w:rPr>
          <w:rFonts w:asciiTheme="minorHAnsi" w:hAnsiTheme="minorHAnsi"/>
          <w:sz w:val="24"/>
          <w:szCs w:val="24"/>
        </w:rPr>
        <w:t xml:space="preserve">lub podjęły inne ekwiwalentne </w:t>
      </w:r>
      <w:r w:rsidR="00D07F92" w:rsidRPr="002C2D40">
        <w:rPr>
          <w:rFonts w:asciiTheme="minorHAnsi" w:hAnsiTheme="minorHAnsi"/>
          <w:sz w:val="24"/>
          <w:szCs w:val="24"/>
        </w:rPr>
        <w:t>środki, zwłaszcza że obecna sytuacja skarżących jest wynikiem nielegalnej operacji „wydawania w trybie nadzwyczajnym” zorganizowanej przez CIA na terytorium Polski;</w:t>
      </w:r>
    </w:p>
    <w:p w:rsidR="00D07F92" w:rsidRPr="002C2D40" w:rsidRDefault="00D07F92" w:rsidP="002C2D40">
      <w:pPr>
        <w:shd w:val="clear" w:color="auto" w:fill="FFFFFF"/>
        <w:spacing w:before="120"/>
        <w:jc w:val="both"/>
        <w:rPr>
          <w:rFonts w:asciiTheme="minorHAnsi" w:hAnsiTheme="minorHAnsi"/>
          <w:i/>
        </w:rPr>
      </w:pPr>
      <w:r w:rsidRPr="002C2D40">
        <w:rPr>
          <w:rFonts w:asciiTheme="minorHAnsi" w:hAnsiTheme="minorHAnsi"/>
          <w:i/>
        </w:rPr>
        <w:t xml:space="preserve">W odniesieniu do środków generalnych </w:t>
      </w:r>
    </w:p>
    <w:p w:rsidR="00D07F92" w:rsidRPr="002C2D40" w:rsidRDefault="00F325DA" w:rsidP="0026790A">
      <w:pPr>
        <w:pStyle w:val="Akapitzlist"/>
        <w:numPr>
          <w:ilvl w:val="0"/>
          <w:numId w:val="10"/>
        </w:numPr>
        <w:spacing w:before="120" w:after="0" w:line="240" w:lineRule="auto"/>
        <w:ind w:left="709" w:hanging="425"/>
        <w:jc w:val="both"/>
        <w:rPr>
          <w:rFonts w:asciiTheme="minorHAnsi" w:hAnsiTheme="minorHAnsi"/>
          <w:sz w:val="24"/>
          <w:szCs w:val="24"/>
        </w:rPr>
      </w:pPr>
      <w:r>
        <w:rPr>
          <w:rFonts w:asciiTheme="minorHAnsi" w:hAnsiTheme="minorHAnsi"/>
          <w:sz w:val="24"/>
          <w:szCs w:val="24"/>
          <w:lang w:val="pl-PL"/>
        </w:rPr>
        <w:t>z głębokim żalem przyjmują</w:t>
      </w:r>
      <w:r>
        <w:rPr>
          <w:rFonts w:asciiTheme="minorHAnsi" w:hAnsiTheme="minorHAnsi"/>
          <w:sz w:val="24"/>
          <w:szCs w:val="24"/>
        </w:rPr>
        <w:t xml:space="preserve"> brak</w:t>
      </w:r>
      <w:r w:rsidR="00D07F92" w:rsidRPr="002C2D40">
        <w:rPr>
          <w:rFonts w:asciiTheme="minorHAnsi" w:hAnsiTheme="minorHAnsi"/>
          <w:sz w:val="24"/>
          <w:szCs w:val="24"/>
        </w:rPr>
        <w:t xml:space="preserve"> informacji na temat wniosków ustawodawczych mających wzmocnić nadzór nad służbami wywiadowczymi; w związku z tym </w:t>
      </w:r>
      <w:r>
        <w:rPr>
          <w:rFonts w:asciiTheme="minorHAnsi" w:hAnsiTheme="minorHAnsi"/>
          <w:sz w:val="24"/>
          <w:szCs w:val="24"/>
          <w:lang w:val="pl-PL"/>
        </w:rPr>
        <w:t>usilnie wzywają</w:t>
      </w:r>
      <w:r w:rsidR="00D07F92" w:rsidRPr="002C2D40">
        <w:rPr>
          <w:rFonts w:asciiTheme="minorHAnsi" w:hAnsiTheme="minorHAnsi"/>
          <w:sz w:val="24"/>
          <w:szCs w:val="24"/>
        </w:rPr>
        <w:t xml:space="preserve"> władz</w:t>
      </w:r>
      <w:r>
        <w:rPr>
          <w:rFonts w:asciiTheme="minorHAnsi" w:hAnsiTheme="minorHAnsi"/>
          <w:sz w:val="24"/>
          <w:szCs w:val="24"/>
          <w:lang w:val="pl-PL"/>
        </w:rPr>
        <w:t>e do</w:t>
      </w:r>
      <w:r w:rsidR="00D07F92" w:rsidRPr="002C2D40">
        <w:rPr>
          <w:rFonts w:asciiTheme="minorHAnsi" w:hAnsiTheme="minorHAnsi"/>
          <w:sz w:val="24"/>
          <w:szCs w:val="24"/>
        </w:rPr>
        <w:t xml:space="preserve"> zintensyfikowani</w:t>
      </w:r>
      <w:r>
        <w:rPr>
          <w:rFonts w:asciiTheme="minorHAnsi" w:hAnsiTheme="minorHAnsi"/>
          <w:sz w:val="24"/>
          <w:szCs w:val="24"/>
          <w:lang w:val="pl-PL"/>
        </w:rPr>
        <w:t>a</w:t>
      </w:r>
      <w:r w:rsidR="00D07F92" w:rsidRPr="002C2D40">
        <w:rPr>
          <w:rFonts w:asciiTheme="minorHAnsi" w:hAnsiTheme="minorHAnsi"/>
          <w:sz w:val="24"/>
          <w:szCs w:val="24"/>
        </w:rPr>
        <w:t xml:space="preserve"> wysiłków na rzecz wprowadzenia niezbędnych reform i poinformowani</w:t>
      </w:r>
      <w:r>
        <w:rPr>
          <w:rFonts w:asciiTheme="minorHAnsi" w:hAnsiTheme="minorHAnsi"/>
          <w:sz w:val="24"/>
          <w:szCs w:val="24"/>
          <w:lang w:val="pl-PL"/>
        </w:rPr>
        <w:t>a</w:t>
      </w:r>
      <w:r w:rsidR="00D07F92" w:rsidRPr="002C2D40">
        <w:rPr>
          <w:rFonts w:asciiTheme="minorHAnsi" w:hAnsiTheme="minorHAnsi"/>
          <w:sz w:val="24"/>
          <w:szCs w:val="24"/>
        </w:rPr>
        <w:t xml:space="preserve"> Komitetu o ich zakresie i kierunku;</w:t>
      </w:r>
    </w:p>
    <w:p w:rsidR="00D07F92" w:rsidRPr="002C2D40" w:rsidRDefault="00D07F92" w:rsidP="0026790A">
      <w:pPr>
        <w:pStyle w:val="Akapitzlist"/>
        <w:numPr>
          <w:ilvl w:val="0"/>
          <w:numId w:val="10"/>
        </w:numPr>
        <w:spacing w:before="120" w:after="0" w:line="240" w:lineRule="auto"/>
        <w:ind w:left="709" w:hanging="425"/>
        <w:jc w:val="both"/>
        <w:rPr>
          <w:rFonts w:asciiTheme="minorHAnsi" w:hAnsiTheme="minorHAnsi"/>
          <w:sz w:val="24"/>
          <w:szCs w:val="24"/>
        </w:rPr>
      </w:pPr>
      <w:r w:rsidRPr="002C2D40">
        <w:rPr>
          <w:rFonts w:asciiTheme="minorHAnsi" w:hAnsiTheme="minorHAnsi"/>
          <w:sz w:val="24"/>
          <w:szCs w:val="24"/>
        </w:rPr>
        <w:t xml:space="preserve">wzywają polskie władze do pilnego przekazania informacji, w jaki sposób zagwarantują, że dokumenty niejawne, o które zwróci się </w:t>
      </w:r>
      <w:r w:rsidR="00F325DA" w:rsidRPr="002C2D40">
        <w:rPr>
          <w:rFonts w:asciiTheme="minorHAnsi" w:hAnsiTheme="minorHAnsi"/>
          <w:sz w:val="24"/>
          <w:szCs w:val="24"/>
        </w:rPr>
        <w:t>Europejski</w:t>
      </w:r>
      <w:r w:rsidR="00F325DA">
        <w:rPr>
          <w:rFonts w:asciiTheme="minorHAnsi" w:hAnsiTheme="minorHAnsi"/>
          <w:sz w:val="24"/>
          <w:szCs w:val="24"/>
          <w:lang w:val="pl-PL"/>
        </w:rPr>
        <w:t xml:space="preserve"> </w:t>
      </w:r>
      <w:r w:rsidRPr="002C2D40">
        <w:rPr>
          <w:rFonts w:asciiTheme="minorHAnsi" w:hAnsiTheme="minorHAnsi"/>
          <w:sz w:val="24"/>
          <w:szCs w:val="24"/>
        </w:rPr>
        <w:t>Trybunał zostaną mu przekazane, gdyby podobna sytuacja miała miejsce w przyszłości</w:t>
      </w:r>
      <w:r w:rsidRPr="002C2D40">
        <w:rPr>
          <w:rFonts w:asciiTheme="minorHAnsi" w:hAnsiTheme="minorHAnsi"/>
          <w:sz w:val="24"/>
          <w:szCs w:val="24"/>
          <w:lang w:val="pl-PL"/>
        </w:rPr>
        <w:t>;</w:t>
      </w:r>
      <w:r w:rsidRPr="002C2D40">
        <w:rPr>
          <w:rFonts w:asciiTheme="minorHAnsi" w:hAnsiTheme="minorHAnsi"/>
          <w:sz w:val="24"/>
          <w:szCs w:val="24"/>
        </w:rPr>
        <w:t> </w:t>
      </w:r>
    </w:p>
    <w:p w:rsidR="00D07F92" w:rsidRPr="002C2D40" w:rsidRDefault="00D07F92" w:rsidP="0026790A">
      <w:pPr>
        <w:pStyle w:val="Akapitzlist"/>
        <w:numPr>
          <w:ilvl w:val="0"/>
          <w:numId w:val="10"/>
        </w:numPr>
        <w:spacing w:before="120" w:after="0" w:line="240" w:lineRule="auto"/>
        <w:ind w:left="709" w:hanging="425"/>
        <w:jc w:val="both"/>
        <w:rPr>
          <w:rFonts w:asciiTheme="minorHAnsi" w:hAnsiTheme="minorHAnsi"/>
          <w:sz w:val="24"/>
          <w:szCs w:val="24"/>
        </w:rPr>
      </w:pPr>
      <w:r w:rsidRPr="002C2D40">
        <w:rPr>
          <w:rFonts w:asciiTheme="minorHAnsi" w:hAnsiTheme="minorHAnsi"/>
          <w:sz w:val="24"/>
          <w:szCs w:val="24"/>
        </w:rPr>
        <w:t xml:space="preserve">ponownie odnotowują z głębokim </w:t>
      </w:r>
      <w:r w:rsidR="00F325DA">
        <w:rPr>
          <w:rFonts w:asciiTheme="minorHAnsi" w:hAnsiTheme="minorHAnsi"/>
          <w:sz w:val="24"/>
          <w:szCs w:val="24"/>
          <w:lang w:val="pl-PL"/>
        </w:rPr>
        <w:t>żalem</w:t>
      </w:r>
      <w:r w:rsidRPr="002C2D40">
        <w:rPr>
          <w:rFonts w:asciiTheme="minorHAnsi" w:hAnsiTheme="minorHAnsi"/>
          <w:sz w:val="24"/>
          <w:szCs w:val="24"/>
        </w:rPr>
        <w:t xml:space="preserve"> uporczywy brak jasnego </w:t>
      </w:r>
      <w:r w:rsidR="00F325DA">
        <w:rPr>
          <w:rFonts w:asciiTheme="minorHAnsi" w:hAnsiTheme="minorHAnsi"/>
          <w:sz w:val="24"/>
          <w:szCs w:val="24"/>
          <w:lang w:val="pl-PL"/>
        </w:rPr>
        <w:t xml:space="preserve">sygnału od najwyższych </w:t>
      </w:r>
      <w:r w:rsidRPr="002C2D40">
        <w:rPr>
          <w:rFonts w:asciiTheme="minorHAnsi" w:hAnsiTheme="minorHAnsi"/>
          <w:sz w:val="24"/>
          <w:szCs w:val="24"/>
        </w:rPr>
        <w:t xml:space="preserve">władz do służb wywiadowczych i bezpieczeństwa </w:t>
      </w:r>
      <w:r w:rsidR="00F325DA">
        <w:rPr>
          <w:rFonts w:asciiTheme="minorHAnsi" w:hAnsiTheme="minorHAnsi"/>
          <w:sz w:val="24"/>
          <w:szCs w:val="24"/>
          <w:lang w:val="pl-PL"/>
        </w:rPr>
        <w:t xml:space="preserve">o </w:t>
      </w:r>
      <w:r w:rsidRPr="002C2D40">
        <w:rPr>
          <w:rFonts w:asciiTheme="minorHAnsi" w:hAnsiTheme="minorHAnsi"/>
          <w:sz w:val="24"/>
          <w:szCs w:val="24"/>
        </w:rPr>
        <w:t>absolutn</w:t>
      </w:r>
      <w:r w:rsidR="00F325DA">
        <w:rPr>
          <w:rFonts w:asciiTheme="minorHAnsi" w:hAnsiTheme="minorHAnsi"/>
          <w:sz w:val="24"/>
          <w:szCs w:val="24"/>
          <w:lang w:val="pl-PL"/>
        </w:rPr>
        <w:t>ym</w:t>
      </w:r>
      <w:r w:rsidRPr="002C2D40">
        <w:rPr>
          <w:rFonts w:asciiTheme="minorHAnsi" w:hAnsiTheme="minorHAnsi"/>
          <w:sz w:val="24"/>
          <w:szCs w:val="24"/>
        </w:rPr>
        <w:t xml:space="preserve"> </w:t>
      </w:r>
      <w:r w:rsidR="00F325DA">
        <w:rPr>
          <w:rFonts w:asciiTheme="minorHAnsi" w:hAnsiTheme="minorHAnsi"/>
          <w:sz w:val="24"/>
          <w:szCs w:val="24"/>
          <w:lang w:val="pl-PL"/>
        </w:rPr>
        <w:t xml:space="preserve">braku akceptacji i </w:t>
      </w:r>
      <w:r w:rsidRPr="002C2D40">
        <w:rPr>
          <w:rFonts w:asciiTheme="minorHAnsi" w:hAnsiTheme="minorHAnsi"/>
          <w:sz w:val="24"/>
          <w:szCs w:val="24"/>
        </w:rPr>
        <w:t>zerowej tolerancji dla arbitraln</w:t>
      </w:r>
      <w:r w:rsidR="00F325DA">
        <w:rPr>
          <w:rFonts w:asciiTheme="minorHAnsi" w:hAnsiTheme="minorHAnsi"/>
          <w:sz w:val="24"/>
          <w:szCs w:val="24"/>
          <w:lang w:val="pl-PL"/>
        </w:rPr>
        <w:t>ego pozbawienia wolności</w:t>
      </w:r>
      <w:r w:rsidRPr="002C2D40">
        <w:rPr>
          <w:rFonts w:asciiTheme="minorHAnsi" w:hAnsiTheme="minorHAnsi"/>
          <w:sz w:val="24"/>
          <w:szCs w:val="24"/>
        </w:rPr>
        <w:t xml:space="preserve">, tortur i tajnych operacji wydawania; powtarzają swój pilny apel do władz o dostarczenie jednoznacznego przesłania w tej sprawie i ponownie wzywają je do podania szczegółów na temat środków podjętych lub planowanych w celu uznania roli i odpowiedzialności </w:t>
      </w:r>
      <w:r w:rsidR="00F325DA">
        <w:rPr>
          <w:rFonts w:asciiTheme="minorHAnsi" w:hAnsiTheme="minorHAnsi"/>
          <w:sz w:val="24"/>
          <w:szCs w:val="24"/>
          <w:lang w:val="pl-PL"/>
        </w:rPr>
        <w:t xml:space="preserve">Polski </w:t>
      </w:r>
      <w:r w:rsidRPr="002C2D40">
        <w:rPr>
          <w:rFonts w:asciiTheme="minorHAnsi" w:hAnsiTheme="minorHAnsi"/>
          <w:sz w:val="24"/>
          <w:szCs w:val="24"/>
        </w:rPr>
        <w:t>za naruszenia praw człowieka, które miały miejsce w tych sprawach, bez dalszej zwłoki;</w:t>
      </w:r>
    </w:p>
    <w:p w:rsidR="00D07F92" w:rsidRPr="002C2D40" w:rsidRDefault="00D07F92" w:rsidP="0026790A">
      <w:pPr>
        <w:pStyle w:val="Akapitzlist"/>
        <w:numPr>
          <w:ilvl w:val="0"/>
          <w:numId w:val="10"/>
        </w:numPr>
        <w:spacing w:before="120" w:after="0" w:line="240" w:lineRule="auto"/>
        <w:ind w:left="709" w:hanging="425"/>
        <w:jc w:val="both"/>
        <w:rPr>
          <w:rFonts w:asciiTheme="minorHAnsi" w:hAnsiTheme="minorHAnsi"/>
          <w:sz w:val="24"/>
          <w:szCs w:val="24"/>
        </w:rPr>
      </w:pPr>
      <w:r w:rsidRPr="002C2D40">
        <w:rPr>
          <w:rFonts w:asciiTheme="minorHAnsi" w:hAnsiTheme="minorHAnsi"/>
          <w:sz w:val="24"/>
          <w:szCs w:val="24"/>
        </w:rPr>
        <w:t xml:space="preserve">proszą władze o przedstawienie informacji we wskazanych wyżej kwestiach najpóźniej do 30 września 2020 r. i decydują o ponownym rozpatrywaniu tych spraw na 1390 posiedzeniu (grudzień 2020 r.). </w:t>
      </w:r>
    </w:p>
    <w:p w:rsidR="00D07F92" w:rsidRPr="002C2D40" w:rsidRDefault="00D07F92" w:rsidP="002C2D40">
      <w:pPr>
        <w:spacing w:before="120"/>
        <w:jc w:val="both"/>
        <w:rPr>
          <w:rFonts w:asciiTheme="minorHAnsi" w:hAnsiTheme="minorHAnsi"/>
        </w:rPr>
      </w:pPr>
    </w:p>
    <w:p w:rsidR="00D07F92" w:rsidRPr="002C2D40" w:rsidRDefault="00D07F92" w:rsidP="0026790A">
      <w:pPr>
        <w:pStyle w:val="Akapitzlist"/>
        <w:numPr>
          <w:ilvl w:val="0"/>
          <w:numId w:val="9"/>
        </w:numPr>
        <w:spacing w:before="120" w:line="240" w:lineRule="auto"/>
        <w:ind w:left="1134" w:hanging="426"/>
        <w:jc w:val="both"/>
        <w:rPr>
          <w:rFonts w:asciiTheme="minorHAnsi" w:hAnsiTheme="minorHAnsi"/>
          <w:sz w:val="24"/>
          <w:szCs w:val="24"/>
        </w:rPr>
      </w:pPr>
      <w:r w:rsidRPr="002C2D40">
        <w:rPr>
          <w:rFonts w:asciiTheme="minorHAnsi" w:hAnsiTheme="minorHAnsi"/>
          <w:sz w:val="24"/>
          <w:szCs w:val="24"/>
        </w:rPr>
        <w:t xml:space="preserve">Decyzja z dnia 5 marca 2020 r. w sprawie </w:t>
      </w:r>
      <w:r w:rsidRPr="002C2D40">
        <w:rPr>
          <w:rFonts w:asciiTheme="minorHAnsi" w:hAnsiTheme="minorHAnsi"/>
          <w:i/>
          <w:sz w:val="24"/>
          <w:szCs w:val="24"/>
        </w:rPr>
        <w:t>P. i S. p. Polsce</w:t>
      </w:r>
      <w:r w:rsidRPr="002C2D40">
        <w:rPr>
          <w:rFonts w:asciiTheme="minorHAnsi" w:hAnsiTheme="minorHAnsi"/>
          <w:sz w:val="24"/>
          <w:szCs w:val="24"/>
        </w:rPr>
        <w:t xml:space="preserve"> (</w:t>
      </w:r>
      <w:r w:rsidRPr="002C2D40">
        <w:rPr>
          <w:rFonts w:asciiTheme="minorHAnsi" w:hAnsiTheme="minorHAnsi"/>
          <w:bCs/>
          <w:sz w:val="24"/>
          <w:szCs w:val="24"/>
        </w:rPr>
        <w:t>CM/Del/Dec(2020)1369/H46-20</w:t>
      </w:r>
      <w:r w:rsidRPr="002C2D40">
        <w:rPr>
          <w:rFonts w:asciiTheme="minorHAnsi" w:hAnsiTheme="minorHAnsi"/>
          <w:sz w:val="24"/>
          <w:szCs w:val="24"/>
        </w:rPr>
        <w:t xml:space="preserve">), w której delegacji do KM: </w:t>
      </w:r>
    </w:p>
    <w:p w:rsidR="00D07F92" w:rsidRPr="002C2D40" w:rsidRDefault="00D07F92" w:rsidP="0026790A">
      <w:pPr>
        <w:pStyle w:val="Akapitzlist"/>
        <w:numPr>
          <w:ilvl w:val="0"/>
          <w:numId w:val="11"/>
        </w:numPr>
        <w:spacing w:before="120" w:after="0" w:line="240" w:lineRule="auto"/>
        <w:ind w:left="709" w:hanging="425"/>
        <w:jc w:val="both"/>
        <w:rPr>
          <w:rFonts w:asciiTheme="minorHAnsi" w:hAnsiTheme="minorHAnsi" w:cs="Helvetica"/>
          <w:sz w:val="24"/>
          <w:szCs w:val="24"/>
        </w:rPr>
      </w:pPr>
      <w:r w:rsidRPr="002C2D40">
        <w:rPr>
          <w:rFonts w:asciiTheme="minorHAnsi" w:hAnsiTheme="minorHAnsi"/>
          <w:sz w:val="24"/>
          <w:szCs w:val="24"/>
        </w:rPr>
        <w:t>przypominają</w:t>
      </w:r>
      <w:r w:rsidRPr="002C2D40">
        <w:rPr>
          <w:rFonts w:asciiTheme="minorHAnsi" w:hAnsiTheme="minorHAnsi" w:cs="Helvetica"/>
          <w:sz w:val="24"/>
          <w:szCs w:val="24"/>
        </w:rPr>
        <w:t xml:space="preserve">, że niniejsza sprawa dotyczy niezapewnienia przez władze dostępu do </w:t>
      </w:r>
      <w:r w:rsidR="00E233FC">
        <w:rPr>
          <w:rFonts w:asciiTheme="minorHAnsi" w:hAnsiTheme="minorHAnsi" w:cs="Helvetica"/>
          <w:sz w:val="24"/>
          <w:szCs w:val="24"/>
          <w:lang w:val="pl-PL"/>
        </w:rPr>
        <w:t>rzetelnej</w:t>
      </w:r>
      <w:r w:rsidRPr="002C2D40">
        <w:rPr>
          <w:rFonts w:asciiTheme="minorHAnsi" w:hAnsiTheme="minorHAnsi" w:cs="Helvetica"/>
          <w:sz w:val="24"/>
          <w:szCs w:val="24"/>
        </w:rPr>
        <w:t xml:space="preserve"> informacji na temat warunków i proc</w:t>
      </w:r>
      <w:r w:rsidR="00E233FC">
        <w:rPr>
          <w:rFonts w:asciiTheme="minorHAnsi" w:hAnsiTheme="minorHAnsi" w:cs="Helvetica"/>
          <w:sz w:val="24"/>
          <w:szCs w:val="24"/>
        </w:rPr>
        <w:t xml:space="preserve">edur umożliwiających kobietom </w:t>
      </w:r>
      <w:r w:rsidRPr="002C2D40">
        <w:rPr>
          <w:rFonts w:asciiTheme="minorHAnsi" w:hAnsiTheme="minorHAnsi" w:cs="Helvetica"/>
          <w:sz w:val="24"/>
          <w:szCs w:val="24"/>
        </w:rPr>
        <w:t>i dziewczętom</w:t>
      </w:r>
      <w:r w:rsidR="00E233FC">
        <w:rPr>
          <w:rFonts w:asciiTheme="minorHAnsi" w:hAnsiTheme="minorHAnsi" w:cs="Helvetica"/>
          <w:sz w:val="24"/>
          <w:szCs w:val="24"/>
          <w:lang w:val="pl-PL"/>
        </w:rPr>
        <w:t xml:space="preserve"> w ciąży</w:t>
      </w:r>
      <w:r w:rsidRPr="002C2D40">
        <w:rPr>
          <w:rFonts w:asciiTheme="minorHAnsi" w:hAnsiTheme="minorHAnsi" w:cs="Helvetica"/>
          <w:sz w:val="24"/>
          <w:szCs w:val="24"/>
        </w:rPr>
        <w:t>, w tym ofiarom gwałtu, skutecz</w:t>
      </w:r>
      <w:r w:rsidR="0026790A">
        <w:rPr>
          <w:rFonts w:asciiTheme="minorHAnsi" w:hAnsiTheme="minorHAnsi" w:cs="Helvetica"/>
          <w:sz w:val="24"/>
          <w:szCs w:val="24"/>
        </w:rPr>
        <w:t>ny dostęp do legalnej aborcji;</w:t>
      </w:r>
    </w:p>
    <w:p w:rsidR="00D07F92" w:rsidRPr="002C2D40" w:rsidRDefault="00D07F92" w:rsidP="0026790A">
      <w:pPr>
        <w:pStyle w:val="Akapitzlist"/>
        <w:numPr>
          <w:ilvl w:val="0"/>
          <w:numId w:val="11"/>
        </w:numPr>
        <w:spacing w:before="120" w:after="0" w:line="240" w:lineRule="auto"/>
        <w:ind w:left="709" w:hanging="425"/>
        <w:jc w:val="both"/>
        <w:rPr>
          <w:rFonts w:asciiTheme="minorHAnsi" w:eastAsia="Times New Roman" w:hAnsiTheme="minorHAnsi" w:cs="Helvetica"/>
          <w:sz w:val="24"/>
          <w:szCs w:val="24"/>
          <w:lang w:eastAsia="pl-PL"/>
        </w:rPr>
      </w:pPr>
      <w:r w:rsidRPr="002C2D40">
        <w:rPr>
          <w:rFonts w:asciiTheme="minorHAnsi" w:eastAsia="Times New Roman" w:hAnsiTheme="minorHAnsi" w:cs="Helvetica"/>
          <w:sz w:val="24"/>
          <w:szCs w:val="24"/>
          <w:lang w:eastAsia="pl-PL"/>
        </w:rPr>
        <w:t xml:space="preserve">z zainteresowaniem odnotowują informacje o zaleceniach konsultantów krajowych z </w:t>
      </w:r>
      <w:r w:rsidRPr="002C2D40">
        <w:rPr>
          <w:rFonts w:asciiTheme="minorHAnsi" w:hAnsiTheme="minorHAnsi"/>
          <w:sz w:val="24"/>
          <w:szCs w:val="24"/>
        </w:rPr>
        <w:t>zakresu</w:t>
      </w:r>
      <w:r w:rsidRPr="002C2D40">
        <w:rPr>
          <w:rFonts w:asciiTheme="minorHAnsi" w:eastAsia="Times New Roman" w:hAnsiTheme="minorHAnsi" w:cs="Helvetica"/>
          <w:sz w:val="24"/>
          <w:szCs w:val="24"/>
          <w:lang w:eastAsia="pl-PL"/>
        </w:rPr>
        <w:t xml:space="preserve"> położnictwa, ginekologii i perinatologii w zakresie opieki nad kobietami ubiegającymi się o legalną aborcję oraz zwracają się do władz o ocenę ich wpływu na skuteczny dostęp do rzetelnych informacji o warunkach legalnej aborcji oraz procedurach, które należy p</w:t>
      </w:r>
      <w:r w:rsidR="003C27D8">
        <w:rPr>
          <w:rFonts w:asciiTheme="minorHAnsi" w:eastAsia="Times New Roman" w:hAnsiTheme="minorHAnsi" w:cs="Helvetica"/>
          <w:sz w:val="24"/>
          <w:szCs w:val="24"/>
          <w:lang w:val="pl-PL" w:eastAsia="pl-PL"/>
        </w:rPr>
        <w:t>odjąć</w:t>
      </w:r>
      <w:r w:rsidRPr="002C2D40">
        <w:rPr>
          <w:rFonts w:asciiTheme="minorHAnsi" w:eastAsia="Times New Roman" w:hAnsiTheme="minorHAnsi" w:cs="Helvetica"/>
          <w:sz w:val="24"/>
          <w:szCs w:val="24"/>
          <w:lang w:eastAsia="pl-PL"/>
        </w:rPr>
        <w:t>;</w:t>
      </w:r>
    </w:p>
    <w:p w:rsidR="00D07F92" w:rsidRPr="002C2D40" w:rsidRDefault="00D07F92" w:rsidP="0026790A">
      <w:pPr>
        <w:pStyle w:val="Akapitzlist"/>
        <w:numPr>
          <w:ilvl w:val="0"/>
          <w:numId w:val="11"/>
        </w:numPr>
        <w:spacing w:before="120" w:after="0" w:line="240" w:lineRule="auto"/>
        <w:ind w:left="709" w:hanging="425"/>
        <w:jc w:val="both"/>
        <w:rPr>
          <w:rFonts w:asciiTheme="minorHAnsi" w:eastAsia="Times New Roman" w:hAnsiTheme="minorHAnsi" w:cs="Helvetica"/>
          <w:sz w:val="24"/>
          <w:szCs w:val="24"/>
          <w:lang w:eastAsia="pl-PL"/>
        </w:rPr>
      </w:pPr>
      <w:r w:rsidRPr="002C2D40">
        <w:rPr>
          <w:rFonts w:asciiTheme="minorHAnsi" w:eastAsia="Times New Roman" w:hAnsiTheme="minorHAnsi" w:cs="Helvetica"/>
          <w:sz w:val="24"/>
          <w:szCs w:val="24"/>
          <w:lang w:eastAsia="pl-PL"/>
        </w:rPr>
        <w:lastRenderedPageBreak/>
        <w:t>w związku z tym przypominają o potrzebie zagwarantowania przez władze jasnych i skutecznych procedur zapewniających kobietom ubiegającym się o legalną aborcję odpowiednią informację o krokach, jakie muszą podjąć, w tym w przypadku odmowy przez lekarza dokonania aborcji z przyczyn</w:t>
      </w:r>
      <w:r w:rsidR="003C27D8">
        <w:rPr>
          <w:rFonts w:asciiTheme="minorHAnsi" w:eastAsia="Times New Roman" w:hAnsiTheme="minorHAnsi" w:cs="Helvetica"/>
          <w:sz w:val="24"/>
          <w:szCs w:val="24"/>
          <w:lang w:val="pl-PL" w:eastAsia="pl-PL"/>
        </w:rPr>
        <w:t xml:space="preserve"> dotyczących</w:t>
      </w:r>
      <w:r w:rsidRPr="002C2D40">
        <w:rPr>
          <w:rFonts w:asciiTheme="minorHAnsi" w:eastAsia="Times New Roman" w:hAnsiTheme="minorHAnsi" w:cs="Helvetica"/>
          <w:sz w:val="24"/>
          <w:szCs w:val="24"/>
          <w:lang w:eastAsia="pl-PL"/>
        </w:rPr>
        <w:t xml:space="preserve"> sumienia i </w:t>
      </w:r>
      <w:r w:rsidR="003C27D8">
        <w:rPr>
          <w:rFonts w:asciiTheme="minorHAnsi" w:eastAsia="Times New Roman" w:hAnsiTheme="minorHAnsi" w:cs="Helvetica"/>
          <w:sz w:val="24"/>
          <w:szCs w:val="24"/>
          <w:lang w:val="pl-PL" w:eastAsia="pl-PL"/>
        </w:rPr>
        <w:t>nalegają na</w:t>
      </w:r>
      <w:r w:rsidRPr="002C2D40">
        <w:rPr>
          <w:rFonts w:asciiTheme="minorHAnsi" w:eastAsia="Times New Roman" w:hAnsiTheme="minorHAnsi" w:cs="Helvetica"/>
          <w:sz w:val="24"/>
          <w:szCs w:val="24"/>
          <w:lang w:eastAsia="pl-PL"/>
        </w:rPr>
        <w:t xml:space="preserve"> władze</w:t>
      </w:r>
      <w:r w:rsidR="003C27D8">
        <w:rPr>
          <w:rFonts w:asciiTheme="minorHAnsi" w:eastAsia="Times New Roman" w:hAnsiTheme="minorHAnsi" w:cs="Helvetica"/>
          <w:sz w:val="24"/>
          <w:szCs w:val="24"/>
          <w:lang w:val="pl-PL" w:eastAsia="pl-PL"/>
        </w:rPr>
        <w:t xml:space="preserve">, aby </w:t>
      </w:r>
      <w:r w:rsidRPr="002C2D40">
        <w:rPr>
          <w:rFonts w:asciiTheme="minorHAnsi" w:eastAsia="Times New Roman" w:hAnsiTheme="minorHAnsi" w:cs="Helvetica"/>
          <w:sz w:val="24"/>
          <w:szCs w:val="24"/>
          <w:lang w:eastAsia="pl-PL"/>
        </w:rPr>
        <w:t>niezwłoczn</w:t>
      </w:r>
      <w:r w:rsidR="003C27D8">
        <w:rPr>
          <w:rFonts w:asciiTheme="minorHAnsi" w:eastAsia="Times New Roman" w:hAnsiTheme="minorHAnsi" w:cs="Helvetica"/>
          <w:sz w:val="24"/>
          <w:szCs w:val="24"/>
          <w:lang w:val="pl-PL" w:eastAsia="pl-PL"/>
        </w:rPr>
        <w:t>ie</w:t>
      </w:r>
      <w:r w:rsidRPr="002C2D40">
        <w:rPr>
          <w:rFonts w:asciiTheme="minorHAnsi" w:eastAsia="Times New Roman" w:hAnsiTheme="minorHAnsi" w:cs="Helvetica"/>
          <w:sz w:val="24"/>
          <w:szCs w:val="24"/>
          <w:lang w:eastAsia="pl-PL"/>
        </w:rPr>
        <w:t xml:space="preserve"> przyję</w:t>
      </w:r>
      <w:r w:rsidR="003C27D8">
        <w:rPr>
          <w:rFonts w:asciiTheme="minorHAnsi" w:eastAsia="Times New Roman" w:hAnsiTheme="minorHAnsi" w:cs="Helvetica"/>
          <w:sz w:val="24"/>
          <w:szCs w:val="24"/>
          <w:lang w:val="pl-PL" w:eastAsia="pl-PL"/>
        </w:rPr>
        <w:t>ły</w:t>
      </w:r>
      <w:r w:rsidRPr="002C2D40">
        <w:rPr>
          <w:rFonts w:asciiTheme="minorHAnsi" w:eastAsia="Times New Roman" w:hAnsiTheme="minorHAnsi" w:cs="Helvetica"/>
          <w:sz w:val="24"/>
          <w:szCs w:val="24"/>
          <w:lang w:eastAsia="pl-PL"/>
        </w:rPr>
        <w:t xml:space="preserve"> taki</w:t>
      </w:r>
      <w:r w:rsidR="003C27D8">
        <w:rPr>
          <w:rFonts w:asciiTheme="minorHAnsi" w:eastAsia="Times New Roman" w:hAnsiTheme="minorHAnsi" w:cs="Helvetica"/>
          <w:sz w:val="24"/>
          <w:szCs w:val="24"/>
          <w:lang w:val="pl-PL" w:eastAsia="pl-PL"/>
        </w:rPr>
        <w:t xml:space="preserve">e </w:t>
      </w:r>
      <w:r w:rsidRPr="002C2D40">
        <w:rPr>
          <w:rFonts w:asciiTheme="minorHAnsi" w:eastAsia="Times New Roman" w:hAnsiTheme="minorHAnsi" w:cs="Helvetica"/>
          <w:sz w:val="24"/>
          <w:szCs w:val="24"/>
          <w:lang w:eastAsia="pl-PL"/>
        </w:rPr>
        <w:t>procedur</w:t>
      </w:r>
      <w:r w:rsidR="003C27D8">
        <w:rPr>
          <w:rFonts w:asciiTheme="minorHAnsi" w:eastAsia="Times New Roman" w:hAnsiTheme="minorHAnsi" w:cs="Helvetica"/>
          <w:sz w:val="24"/>
          <w:szCs w:val="24"/>
          <w:lang w:val="pl-PL" w:eastAsia="pl-PL"/>
        </w:rPr>
        <w:t>y</w:t>
      </w:r>
      <w:r w:rsidRPr="002C2D40">
        <w:rPr>
          <w:rFonts w:asciiTheme="minorHAnsi" w:eastAsia="Times New Roman" w:hAnsiTheme="minorHAnsi" w:cs="Helvetica"/>
          <w:sz w:val="24"/>
          <w:szCs w:val="24"/>
          <w:lang w:eastAsia="pl-PL"/>
        </w:rPr>
        <w:t>; przypominają w tym kontekście, że poszanowanie praworządności wymaga od państw zapewnienia prawnych i praktycznych warunków skutecznego wykonywania praw przyznanych prawem;</w:t>
      </w:r>
    </w:p>
    <w:p w:rsidR="00D07F92" w:rsidRPr="002C2D40" w:rsidRDefault="00D07F92" w:rsidP="0026790A">
      <w:pPr>
        <w:pStyle w:val="Akapitzlist"/>
        <w:numPr>
          <w:ilvl w:val="0"/>
          <w:numId w:val="11"/>
        </w:numPr>
        <w:spacing w:before="120" w:after="0" w:line="240" w:lineRule="auto"/>
        <w:ind w:left="709" w:hanging="425"/>
        <w:jc w:val="both"/>
        <w:rPr>
          <w:rFonts w:asciiTheme="minorHAnsi" w:eastAsia="Times New Roman" w:hAnsiTheme="minorHAnsi" w:cs="Helvetica"/>
          <w:sz w:val="24"/>
          <w:szCs w:val="24"/>
          <w:lang w:eastAsia="pl-PL"/>
        </w:rPr>
      </w:pPr>
      <w:r w:rsidRPr="002C2D40">
        <w:rPr>
          <w:rFonts w:asciiTheme="minorHAnsi" w:eastAsia="Times New Roman" w:hAnsiTheme="minorHAnsi" w:cs="Helvetica"/>
          <w:sz w:val="24"/>
          <w:szCs w:val="24"/>
          <w:lang w:eastAsia="pl-PL"/>
        </w:rPr>
        <w:t xml:space="preserve">odnotowują z zainteresowaniem zamiar władz </w:t>
      </w:r>
      <w:r w:rsidR="003C27D8">
        <w:rPr>
          <w:rFonts w:asciiTheme="minorHAnsi" w:eastAsia="Times New Roman" w:hAnsiTheme="minorHAnsi" w:cs="Helvetica"/>
          <w:sz w:val="24"/>
          <w:szCs w:val="24"/>
          <w:lang w:val="pl-PL" w:eastAsia="pl-PL"/>
        </w:rPr>
        <w:t xml:space="preserve">dotyczący </w:t>
      </w:r>
      <w:r w:rsidRPr="002C2D40">
        <w:rPr>
          <w:rFonts w:asciiTheme="minorHAnsi" w:eastAsia="Times New Roman" w:hAnsiTheme="minorHAnsi" w:cs="Helvetica"/>
          <w:sz w:val="24"/>
          <w:szCs w:val="24"/>
          <w:lang w:eastAsia="pl-PL"/>
        </w:rPr>
        <w:t>zmiany ustawy o zawodach lekarza i lekarza dentysty w taki sposób, aby wyraźnie wskazać, że świadczeniodawca ma obowiązek informowania pacjentów o sposobie uzyskania świadczeń opieki zdrowotnej niewykonanych ze względu na klauzulę sumienia oraz mocno zachęcają do niezwłocznego przyjęcia takiej zmiany, uwzględniając uwagi zgłoszone w tym zakresie przez Komisarza Praw Człowieka Rady Europy, Rzecznika Praw Obywatelskich i społeczeństwo obywatelskie;</w:t>
      </w:r>
    </w:p>
    <w:p w:rsidR="00D07F92" w:rsidRPr="002C2D40" w:rsidRDefault="003C27D8" w:rsidP="0026790A">
      <w:pPr>
        <w:pStyle w:val="Akapitzlist"/>
        <w:numPr>
          <w:ilvl w:val="0"/>
          <w:numId w:val="11"/>
        </w:numPr>
        <w:spacing w:before="120" w:after="0" w:line="240" w:lineRule="auto"/>
        <w:ind w:left="709" w:hanging="425"/>
        <w:jc w:val="both"/>
        <w:rPr>
          <w:rFonts w:asciiTheme="minorHAnsi" w:eastAsia="Times New Roman" w:hAnsiTheme="minorHAnsi" w:cs="Helvetica"/>
          <w:sz w:val="24"/>
          <w:szCs w:val="24"/>
          <w:lang w:eastAsia="pl-PL"/>
        </w:rPr>
      </w:pPr>
      <w:r>
        <w:rPr>
          <w:rFonts w:asciiTheme="minorHAnsi" w:eastAsia="Times New Roman" w:hAnsiTheme="minorHAnsi" w:cs="Helvetica"/>
          <w:sz w:val="24"/>
          <w:szCs w:val="24"/>
          <w:lang w:val="pl-PL" w:eastAsia="pl-PL"/>
        </w:rPr>
        <w:t>nalegają na władze, aby p</w:t>
      </w:r>
      <w:r w:rsidR="00D07F92" w:rsidRPr="002C2D40">
        <w:rPr>
          <w:rFonts w:asciiTheme="minorHAnsi" w:eastAsia="Times New Roman" w:hAnsiTheme="minorHAnsi" w:cs="Helvetica"/>
          <w:sz w:val="24"/>
          <w:szCs w:val="24"/>
          <w:lang w:eastAsia="pl-PL"/>
        </w:rPr>
        <w:t>rzekaza</w:t>
      </w:r>
      <w:r>
        <w:rPr>
          <w:rFonts w:asciiTheme="minorHAnsi" w:eastAsia="Times New Roman" w:hAnsiTheme="minorHAnsi" w:cs="Helvetica"/>
          <w:sz w:val="24"/>
          <w:szCs w:val="24"/>
          <w:lang w:val="pl-PL" w:eastAsia="pl-PL"/>
        </w:rPr>
        <w:t>ły</w:t>
      </w:r>
      <w:r w:rsidR="00D07F92" w:rsidRPr="002C2D40">
        <w:rPr>
          <w:rFonts w:asciiTheme="minorHAnsi" w:eastAsia="Times New Roman" w:hAnsiTheme="minorHAnsi" w:cs="Helvetica"/>
          <w:sz w:val="24"/>
          <w:szCs w:val="24"/>
          <w:lang w:eastAsia="pl-PL"/>
        </w:rPr>
        <w:t xml:space="preserve"> informacj</w:t>
      </w:r>
      <w:r>
        <w:rPr>
          <w:rFonts w:asciiTheme="minorHAnsi" w:eastAsia="Times New Roman" w:hAnsiTheme="minorHAnsi" w:cs="Helvetica"/>
          <w:sz w:val="24"/>
          <w:szCs w:val="24"/>
          <w:lang w:val="pl-PL" w:eastAsia="pl-PL"/>
        </w:rPr>
        <w:t>e</w:t>
      </w:r>
      <w:r w:rsidR="00D07F92" w:rsidRPr="002C2D40">
        <w:rPr>
          <w:rFonts w:asciiTheme="minorHAnsi" w:eastAsia="Times New Roman" w:hAnsiTheme="minorHAnsi" w:cs="Helvetica"/>
          <w:sz w:val="24"/>
          <w:szCs w:val="24"/>
          <w:lang w:eastAsia="pl-PL"/>
        </w:rPr>
        <w:t>, w tym dan</w:t>
      </w:r>
      <w:r>
        <w:rPr>
          <w:rFonts w:asciiTheme="minorHAnsi" w:eastAsia="Times New Roman" w:hAnsiTheme="minorHAnsi" w:cs="Helvetica"/>
          <w:sz w:val="24"/>
          <w:szCs w:val="24"/>
          <w:lang w:val="pl-PL" w:eastAsia="pl-PL"/>
        </w:rPr>
        <w:t>e</w:t>
      </w:r>
      <w:r w:rsidR="00D07F92" w:rsidRPr="002C2D40">
        <w:rPr>
          <w:rFonts w:asciiTheme="minorHAnsi" w:eastAsia="Times New Roman" w:hAnsiTheme="minorHAnsi" w:cs="Helvetica"/>
          <w:sz w:val="24"/>
          <w:szCs w:val="24"/>
          <w:lang w:eastAsia="pl-PL"/>
        </w:rPr>
        <w:t xml:space="preserve"> statystyczn</w:t>
      </w:r>
      <w:r>
        <w:rPr>
          <w:rFonts w:asciiTheme="minorHAnsi" w:eastAsia="Times New Roman" w:hAnsiTheme="minorHAnsi" w:cs="Helvetica"/>
          <w:sz w:val="24"/>
          <w:szCs w:val="24"/>
          <w:lang w:val="pl-PL" w:eastAsia="pl-PL"/>
        </w:rPr>
        <w:t>e</w:t>
      </w:r>
      <w:r w:rsidR="00D07F92" w:rsidRPr="002C2D40">
        <w:rPr>
          <w:rFonts w:asciiTheme="minorHAnsi" w:eastAsia="Times New Roman" w:hAnsiTheme="minorHAnsi" w:cs="Helvetica"/>
          <w:sz w:val="24"/>
          <w:szCs w:val="24"/>
          <w:lang w:eastAsia="pl-PL"/>
        </w:rPr>
        <w:t>, o dostępności legalnej aborcji w całym kraju, wraz z oceną ewentualnych regionalnych dysproporcji w tym zakresie, jak wskazali Komisarz Praw Człowieka Rady Europy, polski Rzecznik Praw Obywatelskich i społeczeństwo obywatelskie oraz przewidywan</w:t>
      </w:r>
      <w:r>
        <w:rPr>
          <w:rFonts w:asciiTheme="minorHAnsi" w:eastAsia="Times New Roman" w:hAnsiTheme="minorHAnsi" w:cs="Helvetica"/>
          <w:sz w:val="24"/>
          <w:szCs w:val="24"/>
          <w:lang w:val="pl-PL" w:eastAsia="pl-PL"/>
        </w:rPr>
        <w:t>ych</w:t>
      </w:r>
      <w:r w:rsidR="00D07F92" w:rsidRPr="002C2D40">
        <w:rPr>
          <w:rFonts w:asciiTheme="minorHAnsi" w:eastAsia="Times New Roman" w:hAnsiTheme="minorHAnsi" w:cs="Helvetica"/>
          <w:sz w:val="24"/>
          <w:szCs w:val="24"/>
          <w:lang w:eastAsia="pl-PL"/>
        </w:rPr>
        <w:t xml:space="preserve"> rozwiąza</w:t>
      </w:r>
      <w:r>
        <w:rPr>
          <w:rFonts w:asciiTheme="minorHAnsi" w:eastAsia="Times New Roman" w:hAnsiTheme="minorHAnsi" w:cs="Helvetica"/>
          <w:sz w:val="24"/>
          <w:szCs w:val="24"/>
          <w:lang w:val="pl-PL" w:eastAsia="pl-PL"/>
        </w:rPr>
        <w:t>ń</w:t>
      </w:r>
      <w:r w:rsidR="0026790A">
        <w:rPr>
          <w:rFonts w:asciiTheme="minorHAnsi" w:eastAsia="Times New Roman" w:hAnsiTheme="minorHAnsi" w:cs="Helvetica"/>
          <w:sz w:val="24"/>
          <w:szCs w:val="24"/>
          <w:lang w:eastAsia="pl-PL"/>
        </w:rPr>
        <w:t>;</w:t>
      </w:r>
    </w:p>
    <w:p w:rsidR="00D07F92" w:rsidRPr="002C2D40" w:rsidRDefault="003C27D8" w:rsidP="0026790A">
      <w:pPr>
        <w:pStyle w:val="Akapitzlist"/>
        <w:numPr>
          <w:ilvl w:val="0"/>
          <w:numId w:val="11"/>
        </w:numPr>
        <w:spacing w:before="120" w:after="0" w:line="240" w:lineRule="auto"/>
        <w:ind w:left="709" w:hanging="425"/>
        <w:jc w:val="both"/>
        <w:rPr>
          <w:rFonts w:asciiTheme="minorHAnsi" w:eastAsia="Times New Roman" w:hAnsiTheme="minorHAnsi" w:cs="Helvetica"/>
          <w:sz w:val="24"/>
          <w:szCs w:val="24"/>
          <w:lang w:eastAsia="pl-PL"/>
        </w:rPr>
      </w:pPr>
      <w:r>
        <w:rPr>
          <w:rFonts w:asciiTheme="minorHAnsi" w:eastAsia="Times New Roman" w:hAnsiTheme="minorHAnsi" w:cs="Helvetica"/>
          <w:sz w:val="24"/>
          <w:szCs w:val="24"/>
          <w:lang w:val="pl-PL" w:eastAsia="pl-PL"/>
        </w:rPr>
        <w:t xml:space="preserve">nalegają na </w:t>
      </w:r>
      <w:r w:rsidR="00D07F92" w:rsidRPr="002C2D40">
        <w:rPr>
          <w:rFonts w:asciiTheme="minorHAnsi" w:eastAsia="Times New Roman" w:hAnsiTheme="minorHAnsi" w:cs="Helvetica"/>
          <w:sz w:val="24"/>
          <w:szCs w:val="24"/>
          <w:lang w:eastAsia="pl-PL"/>
        </w:rPr>
        <w:t>władze</w:t>
      </w:r>
      <w:r>
        <w:rPr>
          <w:rFonts w:asciiTheme="minorHAnsi" w:eastAsia="Times New Roman" w:hAnsiTheme="minorHAnsi" w:cs="Helvetica"/>
          <w:sz w:val="24"/>
          <w:szCs w:val="24"/>
          <w:lang w:val="pl-PL" w:eastAsia="pl-PL"/>
        </w:rPr>
        <w:t xml:space="preserve">, aby zebrały </w:t>
      </w:r>
      <w:r w:rsidR="00D07F92" w:rsidRPr="002C2D40">
        <w:rPr>
          <w:rFonts w:asciiTheme="minorHAnsi" w:eastAsia="Times New Roman" w:hAnsiTheme="minorHAnsi" w:cs="Helvetica"/>
          <w:sz w:val="24"/>
          <w:szCs w:val="24"/>
          <w:lang w:eastAsia="pl-PL"/>
        </w:rPr>
        <w:t>informacj</w:t>
      </w:r>
      <w:r>
        <w:rPr>
          <w:rFonts w:asciiTheme="minorHAnsi" w:eastAsia="Times New Roman" w:hAnsiTheme="minorHAnsi" w:cs="Helvetica"/>
          <w:sz w:val="24"/>
          <w:szCs w:val="24"/>
          <w:lang w:val="pl-PL" w:eastAsia="pl-PL"/>
        </w:rPr>
        <w:t>e</w:t>
      </w:r>
      <w:r w:rsidR="00D07F92" w:rsidRPr="002C2D40">
        <w:rPr>
          <w:rFonts w:asciiTheme="minorHAnsi" w:eastAsia="Times New Roman" w:hAnsiTheme="minorHAnsi" w:cs="Helvetica"/>
          <w:sz w:val="24"/>
          <w:szCs w:val="24"/>
          <w:lang w:eastAsia="pl-PL"/>
        </w:rPr>
        <w:t xml:space="preserve"> o szpitalach odmawiających wykonania legalnej aborcji ze względu na stosowanie przez personel medyczny klauzuli sumienia oraz</w:t>
      </w:r>
      <w:r>
        <w:rPr>
          <w:rFonts w:asciiTheme="minorHAnsi" w:eastAsia="Times New Roman" w:hAnsiTheme="minorHAnsi" w:cs="Helvetica"/>
          <w:sz w:val="24"/>
          <w:szCs w:val="24"/>
          <w:lang w:val="pl-PL" w:eastAsia="pl-PL"/>
        </w:rPr>
        <w:t xml:space="preserve"> aby </w:t>
      </w:r>
      <w:r w:rsidR="00D07F92" w:rsidRPr="002C2D40">
        <w:rPr>
          <w:rFonts w:asciiTheme="minorHAnsi" w:eastAsia="Times New Roman" w:hAnsiTheme="minorHAnsi" w:cs="Helvetica"/>
          <w:sz w:val="24"/>
          <w:szCs w:val="24"/>
          <w:lang w:eastAsia="pl-PL"/>
        </w:rPr>
        <w:t>zapewni</w:t>
      </w:r>
      <w:r>
        <w:rPr>
          <w:rFonts w:asciiTheme="minorHAnsi" w:eastAsia="Times New Roman" w:hAnsiTheme="minorHAnsi" w:cs="Helvetica"/>
          <w:sz w:val="24"/>
          <w:szCs w:val="24"/>
          <w:lang w:val="pl-PL" w:eastAsia="pl-PL"/>
        </w:rPr>
        <w:t>ły</w:t>
      </w:r>
      <w:r w:rsidR="00D07F92" w:rsidRPr="002C2D40">
        <w:rPr>
          <w:rFonts w:asciiTheme="minorHAnsi" w:eastAsia="Times New Roman" w:hAnsiTheme="minorHAnsi" w:cs="Helvetica"/>
          <w:sz w:val="24"/>
          <w:szCs w:val="24"/>
          <w:lang w:eastAsia="pl-PL"/>
        </w:rPr>
        <w:t xml:space="preserve"> skuteczne</w:t>
      </w:r>
      <w:r>
        <w:rPr>
          <w:rFonts w:asciiTheme="minorHAnsi" w:eastAsia="Times New Roman" w:hAnsiTheme="minorHAnsi" w:cs="Helvetica"/>
          <w:sz w:val="24"/>
          <w:szCs w:val="24"/>
          <w:lang w:eastAsia="pl-PL"/>
        </w:rPr>
        <w:t xml:space="preserve"> funkcjonowanie</w:t>
      </w:r>
      <w:r w:rsidR="00D07F92" w:rsidRPr="002C2D40">
        <w:rPr>
          <w:rFonts w:asciiTheme="minorHAnsi" w:eastAsia="Times New Roman" w:hAnsiTheme="minorHAnsi" w:cs="Helvetica"/>
          <w:sz w:val="24"/>
          <w:szCs w:val="24"/>
          <w:lang w:eastAsia="pl-PL"/>
        </w:rPr>
        <w:t xml:space="preserve"> mechanizmu opartego na odpowiedzialności świadczeniodawców za naruszenie ich umownego obowiązku wykonania legalnej aborcji oraz</w:t>
      </w:r>
      <w:r>
        <w:rPr>
          <w:rFonts w:asciiTheme="minorHAnsi" w:eastAsia="Times New Roman" w:hAnsiTheme="minorHAnsi" w:cs="Helvetica"/>
          <w:sz w:val="24"/>
          <w:szCs w:val="24"/>
          <w:lang w:val="pl-PL" w:eastAsia="pl-PL"/>
        </w:rPr>
        <w:t xml:space="preserve"> aby </w:t>
      </w:r>
      <w:r w:rsidR="00D07F92" w:rsidRPr="002C2D40">
        <w:rPr>
          <w:rFonts w:asciiTheme="minorHAnsi" w:eastAsia="Times New Roman" w:hAnsiTheme="minorHAnsi" w:cs="Helvetica"/>
          <w:sz w:val="24"/>
          <w:szCs w:val="24"/>
          <w:lang w:eastAsia="pl-PL"/>
        </w:rPr>
        <w:t>dostarcz</w:t>
      </w:r>
      <w:r>
        <w:rPr>
          <w:rFonts w:asciiTheme="minorHAnsi" w:eastAsia="Times New Roman" w:hAnsiTheme="minorHAnsi" w:cs="Helvetica"/>
          <w:sz w:val="24"/>
          <w:szCs w:val="24"/>
          <w:lang w:val="pl-PL" w:eastAsia="pl-PL"/>
        </w:rPr>
        <w:t>yły</w:t>
      </w:r>
      <w:r w:rsidR="00D07F92" w:rsidRPr="002C2D40">
        <w:rPr>
          <w:rFonts w:asciiTheme="minorHAnsi" w:eastAsia="Times New Roman" w:hAnsiTheme="minorHAnsi" w:cs="Helvetica"/>
          <w:sz w:val="24"/>
          <w:szCs w:val="24"/>
          <w:lang w:eastAsia="pl-PL"/>
        </w:rPr>
        <w:t xml:space="preserve"> Komitetowi przykład</w:t>
      </w:r>
      <w:r>
        <w:rPr>
          <w:rFonts w:asciiTheme="minorHAnsi" w:eastAsia="Times New Roman" w:hAnsiTheme="minorHAnsi" w:cs="Helvetica"/>
          <w:sz w:val="24"/>
          <w:szCs w:val="24"/>
          <w:lang w:val="pl-PL" w:eastAsia="pl-PL"/>
        </w:rPr>
        <w:t>y</w:t>
      </w:r>
      <w:r w:rsidR="00D07F92" w:rsidRPr="002C2D40">
        <w:rPr>
          <w:rFonts w:asciiTheme="minorHAnsi" w:eastAsia="Times New Roman" w:hAnsiTheme="minorHAnsi" w:cs="Helvetica"/>
          <w:sz w:val="24"/>
          <w:szCs w:val="24"/>
          <w:lang w:eastAsia="pl-PL"/>
        </w:rPr>
        <w:t xml:space="preserve"> konkretnych działań w tym za</w:t>
      </w:r>
      <w:r w:rsidR="0026790A">
        <w:rPr>
          <w:rFonts w:asciiTheme="minorHAnsi" w:eastAsia="Times New Roman" w:hAnsiTheme="minorHAnsi" w:cs="Helvetica"/>
          <w:sz w:val="24"/>
          <w:szCs w:val="24"/>
          <w:lang w:eastAsia="pl-PL"/>
        </w:rPr>
        <w:t>kresie;</w:t>
      </w:r>
    </w:p>
    <w:p w:rsidR="00D07F92" w:rsidRDefault="00D07F92" w:rsidP="0026790A">
      <w:pPr>
        <w:pStyle w:val="Akapitzlist"/>
        <w:numPr>
          <w:ilvl w:val="0"/>
          <w:numId w:val="11"/>
        </w:numPr>
        <w:spacing w:before="120" w:after="0" w:line="240" w:lineRule="auto"/>
        <w:ind w:left="709" w:hanging="425"/>
        <w:jc w:val="both"/>
        <w:rPr>
          <w:rFonts w:asciiTheme="minorHAnsi" w:eastAsia="Times New Roman" w:hAnsiTheme="minorHAnsi" w:cs="Helvetica"/>
          <w:sz w:val="24"/>
          <w:szCs w:val="24"/>
          <w:lang w:eastAsia="pl-PL"/>
        </w:rPr>
      </w:pPr>
      <w:r w:rsidRPr="002C2D40">
        <w:rPr>
          <w:rFonts w:asciiTheme="minorHAnsi" w:eastAsia="Times New Roman" w:hAnsiTheme="minorHAnsi" w:cs="Helvetica"/>
          <w:sz w:val="24"/>
          <w:szCs w:val="24"/>
          <w:lang w:eastAsia="pl-PL"/>
        </w:rPr>
        <w:t xml:space="preserve">ponownie zachęcają władze do ścisłej współpracy z Sekretariatem w celu wykonania niniejszego wyroku; polecają Sekretariatowi, aby przygotował projekt rezolucji tymczasowej do rozpatrzenia podczas kolejnego omawiania tych spraw najpóźniej na posiedzeniu DH w marcu 2021 r., jeśli </w:t>
      </w:r>
      <w:r w:rsidR="00BE5E49">
        <w:rPr>
          <w:rFonts w:asciiTheme="minorHAnsi" w:eastAsia="Times New Roman" w:hAnsiTheme="minorHAnsi" w:cs="Helvetica"/>
          <w:sz w:val="24"/>
          <w:szCs w:val="24"/>
          <w:lang w:val="pl-PL" w:eastAsia="pl-PL"/>
        </w:rPr>
        <w:t xml:space="preserve">nie </w:t>
      </w:r>
      <w:r w:rsidRPr="002C2D40">
        <w:rPr>
          <w:rFonts w:asciiTheme="minorHAnsi" w:eastAsia="Times New Roman" w:hAnsiTheme="minorHAnsi" w:cs="Helvetica"/>
          <w:sz w:val="24"/>
          <w:szCs w:val="24"/>
          <w:lang w:eastAsia="pl-PL"/>
        </w:rPr>
        <w:t>będzie żadnych informacji o znaczących postępach w przyjęciu środk</w:t>
      </w:r>
      <w:r w:rsidR="0026790A">
        <w:rPr>
          <w:rFonts w:asciiTheme="minorHAnsi" w:eastAsia="Times New Roman" w:hAnsiTheme="minorHAnsi" w:cs="Helvetica"/>
          <w:sz w:val="24"/>
          <w:szCs w:val="24"/>
          <w:lang w:eastAsia="pl-PL"/>
        </w:rPr>
        <w:t>ów generalnych w tej sprawie.</w:t>
      </w:r>
    </w:p>
    <w:p w:rsidR="00BE5E49" w:rsidRPr="002C2D40" w:rsidRDefault="00BE5E49" w:rsidP="0026790A">
      <w:pPr>
        <w:pStyle w:val="Akapitzlist"/>
        <w:spacing w:before="120" w:after="0" w:line="240" w:lineRule="auto"/>
        <w:ind w:left="709" w:hanging="425"/>
        <w:jc w:val="both"/>
        <w:rPr>
          <w:rFonts w:asciiTheme="minorHAnsi" w:eastAsia="Times New Roman" w:hAnsiTheme="minorHAnsi" w:cs="Helvetica"/>
          <w:sz w:val="24"/>
          <w:szCs w:val="24"/>
          <w:lang w:eastAsia="pl-PL"/>
        </w:rPr>
      </w:pPr>
    </w:p>
    <w:p w:rsidR="00D07F92" w:rsidRPr="002C2D40" w:rsidRDefault="00D07F92" w:rsidP="0026790A">
      <w:pPr>
        <w:pStyle w:val="Akapitzlist"/>
        <w:numPr>
          <w:ilvl w:val="0"/>
          <w:numId w:val="9"/>
        </w:numPr>
        <w:shd w:val="clear" w:color="auto" w:fill="FFFFFF"/>
        <w:spacing w:before="120" w:line="240" w:lineRule="auto"/>
        <w:ind w:left="1134" w:hanging="426"/>
        <w:jc w:val="both"/>
        <w:rPr>
          <w:rFonts w:asciiTheme="minorHAnsi" w:hAnsiTheme="minorHAnsi" w:cs="Helvetica"/>
          <w:sz w:val="24"/>
          <w:szCs w:val="24"/>
        </w:rPr>
      </w:pPr>
      <w:r w:rsidRPr="002C2D40">
        <w:rPr>
          <w:rFonts w:asciiTheme="minorHAnsi" w:hAnsiTheme="minorHAnsi" w:cs="Helvetica"/>
          <w:sz w:val="24"/>
          <w:szCs w:val="24"/>
        </w:rPr>
        <w:t xml:space="preserve">Decyzja z dnia 5 marca 2020 r. w sprawach </w:t>
      </w:r>
      <w:r w:rsidRPr="002C2D40">
        <w:rPr>
          <w:rFonts w:asciiTheme="minorHAnsi" w:hAnsiTheme="minorHAnsi" w:cs="Helvetica"/>
          <w:i/>
          <w:sz w:val="24"/>
          <w:szCs w:val="24"/>
        </w:rPr>
        <w:t>R.R. p. Polsce</w:t>
      </w:r>
      <w:r w:rsidRPr="002C2D40">
        <w:rPr>
          <w:rFonts w:asciiTheme="minorHAnsi" w:hAnsiTheme="minorHAnsi" w:cs="Helvetica"/>
          <w:sz w:val="24"/>
          <w:szCs w:val="24"/>
        </w:rPr>
        <w:t xml:space="preserve"> i </w:t>
      </w:r>
      <w:r w:rsidRPr="002C2D40">
        <w:rPr>
          <w:rFonts w:asciiTheme="minorHAnsi" w:hAnsiTheme="minorHAnsi" w:cs="Helvetica"/>
          <w:i/>
          <w:sz w:val="24"/>
          <w:szCs w:val="24"/>
        </w:rPr>
        <w:t>Tysiąc p. Polsce</w:t>
      </w:r>
      <w:r w:rsidRPr="002C2D40">
        <w:rPr>
          <w:rFonts w:asciiTheme="minorHAnsi" w:hAnsiTheme="minorHAnsi" w:cs="Helvetica"/>
          <w:sz w:val="24"/>
          <w:szCs w:val="24"/>
        </w:rPr>
        <w:t xml:space="preserve"> (CM/Del/Dec(2020)1369/H46-21), w której delegacji do KM: </w:t>
      </w:r>
    </w:p>
    <w:p w:rsidR="00D07F92" w:rsidRPr="002C2D40" w:rsidRDefault="00D07F92" w:rsidP="00720E4B">
      <w:pPr>
        <w:pStyle w:val="Akapitzlist"/>
        <w:numPr>
          <w:ilvl w:val="0"/>
          <w:numId w:val="12"/>
        </w:numPr>
        <w:spacing w:before="120" w:after="0" w:line="240" w:lineRule="auto"/>
        <w:ind w:hanging="436"/>
        <w:jc w:val="both"/>
        <w:rPr>
          <w:rFonts w:asciiTheme="minorHAnsi" w:eastAsia="Times New Roman" w:hAnsiTheme="minorHAnsi" w:cs="Helvetica"/>
          <w:sz w:val="24"/>
          <w:szCs w:val="24"/>
          <w:lang w:eastAsia="pl-PL"/>
        </w:rPr>
      </w:pPr>
      <w:r w:rsidRPr="002C2D40">
        <w:rPr>
          <w:rFonts w:asciiTheme="minorHAnsi" w:eastAsia="Times New Roman" w:hAnsiTheme="minorHAnsi" w:cs="Helvetica"/>
          <w:sz w:val="24"/>
          <w:szCs w:val="24"/>
          <w:lang w:eastAsia="pl-PL"/>
        </w:rPr>
        <w:t>przypominają, że sprawy te dotyczą braku skutecznych mechanizmów proceduralnych umożliwiających kobietom skuteczny dostęp do legalnej aborcji ze względu na stan zdrowia matki lub płodu w przypadku, gdy lekarz nie zgadza się, że takie przesłanki istnieją (</w:t>
      </w:r>
      <w:r w:rsidRPr="00BE5E49">
        <w:rPr>
          <w:rFonts w:asciiTheme="minorHAnsi" w:eastAsia="Times New Roman" w:hAnsiTheme="minorHAnsi" w:cs="Helvetica"/>
          <w:i/>
          <w:sz w:val="24"/>
          <w:szCs w:val="24"/>
          <w:lang w:eastAsia="pl-PL"/>
        </w:rPr>
        <w:t>Tysiąc</w:t>
      </w:r>
      <w:r w:rsidRPr="002C2D40">
        <w:rPr>
          <w:rFonts w:asciiTheme="minorHAnsi" w:eastAsia="Times New Roman" w:hAnsiTheme="minorHAnsi" w:cs="Helvetica"/>
          <w:sz w:val="24"/>
          <w:szCs w:val="24"/>
          <w:lang w:eastAsia="pl-PL"/>
        </w:rPr>
        <w:t>) lub że badania prenatalne niezbędne do oceny tego są uzasadnione (</w:t>
      </w:r>
      <w:r w:rsidRPr="00BE5E49">
        <w:rPr>
          <w:rFonts w:asciiTheme="minorHAnsi" w:eastAsia="Times New Roman" w:hAnsiTheme="minorHAnsi" w:cs="Helvetica"/>
          <w:i/>
          <w:sz w:val="24"/>
          <w:szCs w:val="24"/>
          <w:lang w:eastAsia="pl-PL"/>
        </w:rPr>
        <w:t>R.R</w:t>
      </w:r>
      <w:r w:rsidR="0026790A">
        <w:rPr>
          <w:rFonts w:asciiTheme="minorHAnsi" w:eastAsia="Times New Roman" w:hAnsiTheme="minorHAnsi" w:cs="Helvetica"/>
          <w:sz w:val="24"/>
          <w:szCs w:val="24"/>
          <w:lang w:eastAsia="pl-PL"/>
        </w:rPr>
        <w:t>.);</w:t>
      </w:r>
    </w:p>
    <w:p w:rsidR="00D07F92" w:rsidRPr="002C2D40" w:rsidRDefault="00D07F92" w:rsidP="00720E4B">
      <w:pPr>
        <w:pStyle w:val="Akapitzlist"/>
        <w:numPr>
          <w:ilvl w:val="0"/>
          <w:numId w:val="12"/>
        </w:numPr>
        <w:spacing w:before="120" w:after="0" w:line="240" w:lineRule="auto"/>
        <w:ind w:hanging="436"/>
        <w:jc w:val="both"/>
        <w:rPr>
          <w:rFonts w:asciiTheme="minorHAnsi" w:eastAsia="Times New Roman" w:hAnsiTheme="minorHAnsi" w:cs="Helvetica"/>
          <w:sz w:val="24"/>
          <w:szCs w:val="24"/>
          <w:lang w:eastAsia="pl-PL"/>
        </w:rPr>
      </w:pPr>
      <w:r w:rsidRPr="002C2D40">
        <w:rPr>
          <w:rFonts w:asciiTheme="minorHAnsi" w:eastAsia="Times New Roman" w:hAnsiTheme="minorHAnsi" w:cs="Helvetica"/>
          <w:sz w:val="24"/>
          <w:szCs w:val="24"/>
          <w:lang w:eastAsia="pl-PL"/>
        </w:rPr>
        <w:t>ponownie podkreślają, jak ważne jest, aby kobiety w ciąży mogły skutecznie kwestionować takie decyzje lekarzy</w:t>
      </w:r>
      <w:r w:rsidR="00BE5E49">
        <w:rPr>
          <w:rFonts w:asciiTheme="minorHAnsi" w:eastAsia="Times New Roman" w:hAnsiTheme="minorHAnsi" w:cs="Helvetica"/>
          <w:sz w:val="24"/>
          <w:szCs w:val="24"/>
          <w:lang w:val="pl-PL" w:eastAsia="pl-PL"/>
        </w:rPr>
        <w:t>,</w:t>
      </w:r>
      <w:r w:rsidRPr="002C2D40">
        <w:rPr>
          <w:rFonts w:asciiTheme="minorHAnsi" w:eastAsia="Times New Roman" w:hAnsiTheme="minorHAnsi" w:cs="Helvetica"/>
          <w:sz w:val="24"/>
          <w:szCs w:val="24"/>
          <w:lang w:eastAsia="pl-PL"/>
        </w:rPr>
        <w:t xml:space="preserve"> a ich zastrzeżenia mogły być szybko rozpatrywane, biorąc pod uwagę, że czas ma kluczowe znaczenie dla kobiet rozważających legalną aborcję;</w:t>
      </w:r>
    </w:p>
    <w:p w:rsidR="00D07F92" w:rsidRPr="002C2D40" w:rsidRDefault="00D07F92" w:rsidP="00720E4B">
      <w:pPr>
        <w:pStyle w:val="Akapitzlist"/>
        <w:numPr>
          <w:ilvl w:val="0"/>
          <w:numId w:val="12"/>
        </w:numPr>
        <w:spacing w:before="120" w:after="0" w:line="240" w:lineRule="auto"/>
        <w:ind w:hanging="436"/>
        <w:jc w:val="both"/>
        <w:rPr>
          <w:rFonts w:asciiTheme="minorHAnsi" w:eastAsia="Times New Roman" w:hAnsiTheme="minorHAnsi" w:cs="Helvetica"/>
          <w:sz w:val="24"/>
          <w:szCs w:val="24"/>
          <w:lang w:eastAsia="pl-PL"/>
        </w:rPr>
      </w:pPr>
      <w:r w:rsidRPr="002C2D40">
        <w:rPr>
          <w:rFonts w:asciiTheme="minorHAnsi" w:eastAsia="Times New Roman" w:hAnsiTheme="minorHAnsi" w:cs="Helvetica"/>
          <w:sz w:val="24"/>
          <w:szCs w:val="24"/>
          <w:lang w:eastAsia="pl-PL"/>
        </w:rPr>
        <w:lastRenderedPageBreak/>
        <w:t xml:space="preserve">w świetle braku reformy procedury sprzeciwu oraz utrzymujących się obaw co do jej skuteczności, wyrażanych przez Komisarza Praw Człowieka Rady Europy, polskiego Rzecznika Praw Obywatelskich i społeczeństwo obywatelskie, </w:t>
      </w:r>
      <w:r w:rsidR="00BE5E49">
        <w:rPr>
          <w:rFonts w:asciiTheme="minorHAnsi" w:eastAsia="Times New Roman" w:hAnsiTheme="minorHAnsi" w:cs="Helvetica"/>
          <w:sz w:val="24"/>
          <w:szCs w:val="24"/>
          <w:lang w:val="pl-PL" w:eastAsia="pl-PL"/>
        </w:rPr>
        <w:t>usilnie</w:t>
      </w:r>
      <w:r w:rsidRPr="002C2D40">
        <w:rPr>
          <w:rFonts w:asciiTheme="minorHAnsi" w:eastAsia="Times New Roman" w:hAnsiTheme="minorHAnsi" w:cs="Helvetica"/>
          <w:sz w:val="24"/>
          <w:szCs w:val="24"/>
          <w:lang w:eastAsia="pl-PL"/>
        </w:rPr>
        <w:t xml:space="preserve"> nalegają na władze, aby przyjęły niezbędne reformy bez dalszej zwłoki i przypominają w tym kontekście, że poszanowanie praworządności wymaga od państw zapewnienia prawnych i praktycznych warunków skutecznego wykonywania praw</w:t>
      </w:r>
      <w:r w:rsidR="0026790A">
        <w:rPr>
          <w:rFonts w:asciiTheme="minorHAnsi" w:eastAsia="Times New Roman" w:hAnsiTheme="minorHAnsi" w:cs="Helvetica"/>
          <w:sz w:val="24"/>
          <w:szCs w:val="24"/>
          <w:lang w:eastAsia="pl-PL"/>
        </w:rPr>
        <w:t xml:space="preserve"> przyznanych na mocy prawa;</w:t>
      </w:r>
    </w:p>
    <w:p w:rsidR="00D07F92" w:rsidRPr="002C2D40" w:rsidRDefault="00D07F92" w:rsidP="00720E4B">
      <w:pPr>
        <w:pStyle w:val="Akapitzlist"/>
        <w:numPr>
          <w:ilvl w:val="0"/>
          <w:numId w:val="12"/>
        </w:numPr>
        <w:spacing w:before="120" w:after="0" w:line="240" w:lineRule="auto"/>
        <w:ind w:hanging="436"/>
        <w:jc w:val="both"/>
        <w:rPr>
          <w:rFonts w:asciiTheme="minorHAnsi" w:eastAsia="Times New Roman" w:hAnsiTheme="minorHAnsi" w:cs="Helvetica"/>
          <w:sz w:val="24"/>
          <w:szCs w:val="24"/>
          <w:lang w:eastAsia="pl-PL"/>
        </w:rPr>
      </w:pPr>
      <w:r w:rsidRPr="002C2D40">
        <w:rPr>
          <w:rFonts w:asciiTheme="minorHAnsi" w:eastAsia="Times New Roman" w:hAnsiTheme="minorHAnsi" w:cs="Helvetica"/>
          <w:sz w:val="24"/>
          <w:szCs w:val="24"/>
          <w:lang w:eastAsia="pl-PL"/>
        </w:rPr>
        <w:t xml:space="preserve">polecają Sekretariatowi przygotowanie projektu rezolucji tymczasowej do rozpatrzenia podczas kolejnego omawiania tych spraw najpóźniej na posiedzeniu DH w marcu 2021 r., jeśli </w:t>
      </w:r>
      <w:r w:rsidR="00CB75F3" w:rsidRPr="002C2D40">
        <w:rPr>
          <w:rFonts w:asciiTheme="minorHAnsi" w:eastAsia="Times New Roman" w:hAnsiTheme="minorHAnsi" w:cs="Helvetica"/>
          <w:sz w:val="24"/>
          <w:szCs w:val="24"/>
          <w:lang w:eastAsia="pl-PL"/>
        </w:rPr>
        <w:t xml:space="preserve">przed </w:t>
      </w:r>
      <w:r w:rsidR="00720E4B">
        <w:rPr>
          <w:rFonts w:asciiTheme="minorHAnsi" w:eastAsia="Times New Roman" w:hAnsiTheme="minorHAnsi" w:cs="Helvetica"/>
          <w:sz w:val="24"/>
          <w:szCs w:val="24"/>
          <w:lang w:eastAsia="pl-PL"/>
        </w:rPr>
        <w:t xml:space="preserve">końcem września 2020 r. </w:t>
      </w:r>
      <w:r w:rsidRPr="002C2D40">
        <w:rPr>
          <w:rFonts w:asciiTheme="minorHAnsi" w:eastAsia="Times New Roman" w:hAnsiTheme="minorHAnsi" w:cs="Helvetica"/>
          <w:sz w:val="24"/>
          <w:szCs w:val="24"/>
          <w:lang w:eastAsia="pl-PL"/>
        </w:rPr>
        <w:t xml:space="preserve">nie </w:t>
      </w:r>
      <w:r w:rsidR="00CB75F3">
        <w:rPr>
          <w:rFonts w:asciiTheme="minorHAnsi" w:eastAsia="Times New Roman" w:hAnsiTheme="minorHAnsi" w:cs="Helvetica"/>
          <w:sz w:val="24"/>
          <w:szCs w:val="24"/>
          <w:lang w:val="pl-PL" w:eastAsia="pl-PL"/>
        </w:rPr>
        <w:t xml:space="preserve">zostanie przekazana </w:t>
      </w:r>
      <w:r w:rsidRPr="002C2D40">
        <w:rPr>
          <w:rFonts w:asciiTheme="minorHAnsi" w:eastAsia="Times New Roman" w:hAnsiTheme="minorHAnsi" w:cs="Helvetica"/>
          <w:sz w:val="24"/>
          <w:szCs w:val="24"/>
          <w:lang w:eastAsia="pl-PL"/>
        </w:rPr>
        <w:t>informacj</w:t>
      </w:r>
      <w:r w:rsidR="00CB75F3">
        <w:rPr>
          <w:rFonts w:asciiTheme="minorHAnsi" w:eastAsia="Times New Roman" w:hAnsiTheme="minorHAnsi" w:cs="Helvetica"/>
          <w:sz w:val="24"/>
          <w:szCs w:val="24"/>
          <w:lang w:val="pl-PL" w:eastAsia="pl-PL"/>
        </w:rPr>
        <w:t>a</w:t>
      </w:r>
      <w:r w:rsidRPr="002C2D40">
        <w:rPr>
          <w:rFonts w:asciiTheme="minorHAnsi" w:eastAsia="Times New Roman" w:hAnsiTheme="minorHAnsi" w:cs="Helvetica"/>
          <w:sz w:val="24"/>
          <w:szCs w:val="24"/>
          <w:lang w:eastAsia="pl-PL"/>
        </w:rPr>
        <w:t xml:space="preserve"> o postępach w</w:t>
      </w:r>
      <w:r w:rsidR="00CB75F3">
        <w:rPr>
          <w:rFonts w:asciiTheme="minorHAnsi" w:eastAsia="Times New Roman" w:hAnsiTheme="minorHAnsi" w:cs="Helvetica"/>
          <w:sz w:val="24"/>
          <w:szCs w:val="24"/>
          <w:lang w:val="pl-PL" w:eastAsia="pl-PL"/>
        </w:rPr>
        <w:t xml:space="preserve"> zakresie</w:t>
      </w:r>
      <w:r w:rsidRPr="002C2D40">
        <w:rPr>
          <w:rFonts w:asciiTheme="minorHAnsi" w:eastAsia="Times New Roman" w:hAnsiTheme="minorHAnsi" w:cs="Helvetica"/>
          <w:sz w:val="24"/>
          <w:szCs w:val="24"/>
          <w:lang w:eastAsia="pl-PL"/>
        </w:rPr>
        <w:t xml:space="preserve"> reform</w:t>
      </w:r>
      <w:r w:rsidR="00CB75F3">
        <w:rPr>
          <w:rFonts w:asciiTheme="minorHAnsi" w:eastAsia="Times New Roman" w:hAnsiTheme="minorHAnsi" w:cs="Helvetica"/>
          <w:sz w:val="24"/>
          <w:szCs w:val="24"/>
          <w:lang w:val="pl-PL" w:eastAsia="pl-PL"/>
        </w:rPr>
        <w:t>y</w:t>
      </w:r>
      <w:r w:rsidR="00720E4B">
        <w:rPr>
          <w:rFonts w:asciiTheme="minorHAnsi" w:eastAsia="Times New Roman" w:hAnsiTheme="minorHAnsi" w:cs="Helvetica"/>
          <w:sz w:val="24"/>
          <w:szCs w:val="24"/>
          <w:lang w:eastAsia="pl-PL"/>
        </w:rPr>
        <w:t xml:space="preserve"> procedury sprzeciwu.</w:t>
      </w:r>
    </w:p>
    <w:p w:rsidR="00D07F92" w:rsidRPr="002C2D40" w:rsidRDefault="00D07F92" w:rsidP="002C2D40">
      <w:pPr>
        <w:spacing w:before="120"/>
        <w:jc w:val="both"/>
        <w:rPr>
          <w:rFonts w:asciiTheme="minorHAnsi" w:hAnsiTheme="minorHAnsi"/>
        </w:rPr>
      </w:pPr>
    </w:p>
    <w:p w:rsidR="00D07F92" w:rsidRPr="002C2D40" w:rsidRDefault="00D07F92" w:rsidP="00720E4B">
      <w:pPr>
        <w:pStyle w:val="Akapitzlist"/>
        <w:numPr>
          <w:ilvl w:val="0"/>
          <w:numId w:val="9"/>
        </w:numPr>
        <w:shd w:val="clear" w:color="auto" w:fill="FFFFFF"/>
        <w:spacing w:before="120" w:line="240" w:lineRule="auto"/>
        <w:ind w:left="1134" w:hanging="426"/>
        <w:jc w:val="both"/>
        <w:rPr>
          <w:rFonts w:asciiTheme="minorHAnsi" w:hAnsiTheme="minorHAnsi" w:cs="Helvetica"/>
          <w:sz w:val="24"/>
          <w:szCs w:val="24"/>
        </w:rPr>
      </w:pPr>
      <w:r w:rsidRPr="002C2D40">
        <w:rPr>
          <w:rFonts w:asciiTheme="minorHAnsi" w:hAnsiTheme="minorHAnsi" w:cs="Helvetica"/>
          <w:sz w:val="24"/>
          <w:szCs w:val="24"/>
        </w:rPr>
        <w:t xml:space="preserve">Decyzja z dnia 4 czerwca 2020 r. w sprawach </w:t>
      </w:r>
      <w:r w:rsidRPr="002C2D40">
        <w:rPr>
          <w:rFonts w:asciiTheme="minorHAnsi" w:hAnsiTheme="minorHAnsi" w:cs="Helvetica"/>
          <w:i/>
          <w:sz w:val="24"/>
          <w:szCs w:val="24"/>
        </w:rPr>
        <w:t>Bąk p. Polsce, Majewski p. Polsce, Rutkowski i inni p. Polsce, Jan Załuska i Marianna Rogalska</w:t>
      </w:r>
      <w:r w:rsidRPr="002C2D40">
        <w:rPr>
          <w:rFonts w:asciiTheme="minorHAnsi" w:hAnsiTheme="minorHAnsi" w:cs="Helvetica"/>
          <w:sz w:val="24"/>
          <w:szCs w:val="24"/>
        </w:rPr>
        <w:t xml:space="preserve"> </w:t>
      </w:r>
      <w:r w:rsidRPr="002C2D40">
        <w:rPr>
          <w:rFonts w:asciiTheme="minorHAnsi" w:hAnsiTheme="minorHAnsi" w:cs="Helvetica"/>
          <w:i/>
          <w:sz w:val="24"/>
          <w:szCs w:val="24"/>
        </w:rPr>
        <w:t>i 398 innych skarg p. Polsce</w:t>
      </w:r>
      <w:r w:rsidRPr="002C2D40">
        <w:rPr>
          <w:rFonts w:asciiTheme="minorHAnsi" w:hAnsiTheme="minorHAnsi" w:cs="Helvetica"/>
          <w:sz w:val="24"/>
          <w:szCs w:val="24"/>
        </w:rPr>
        <w:t xml:space="preserve"> (CM/Del/Dec(2020)1377/H46-24), w której delegacji do KM: </w:t>
      </w:r>
    </w:p>
    <w:p w:rsidR="00D07F92" w:rsidRPr="002C2D40" w:rsidRDefault="00540E00" w:rsidP="00720E4B">
      <w:pPr>
        <w:pStyle w:val="Akapitzlist"/>
        <w:numPr>
          <w:ilvl w:val="0"/>
          <w:numId w:val="13"/>
        </w:numPr>
        <w:spacing w:before="120" w:after="0" w:line="240" w:lineRule="auto"/>
        <w:ind w:hanging="436"/>
        <w:jc w:val="both"/>
        <w:rPr>
          <w:rFonts w:asciiTheme="minorHAnsi" w:eastAsia="Times New Roman" w:hAnsiTheme="minorHAnsi" w:cs="Helvetica"/>
          <w:sz w:val="24"/>
          <w:szCs w:val="24"/>
          <w:lang w:eastAsia="pl-PL"/>
        </w:rPr>
      </w:pPr>
      <w:r w:rsidRPr="002C2D40">
        <w:rPr>
          <w:rFonts w:asciiTheme="minorHAnsi" w:eastAsia="Times New Roman" w:hAnsiTheme="minorHAnsi" w:cs="Helvetica"/>
          <w:sz w:val="24"/>
          <w:szCs w:val="24"/>
          <w:lang w:val="pl-PL" w:eastAsia="pl-PL"/>
        </w:rPr>
        <w:t>p</w:t>
      </w:r>
      <w:r w:rsidR="00D07F92" w:rsidRPr="002C2D40">
        <w:rPr>
          <w:rFonts w:asciiTheme="minorHAnsi" w:eastAsia="Times New Roman" w:hAnsiTheme="minorHAnsi" w:cs="Helvetica"/>
          <w:sz w:val="24"/>
          <w:szCs w:val="24"/>
          <w:lang w:eastAsia="pl-PL"/>
        </w:rPr>
        <w:t>rzypominają, że sprawy te dotyczą przewlekłości postępowań karnych i cywilnych, a także pewnych problemów w funkcjonowaniu krajowego środka odwoławczego w tym zakresie;</w:t>
      </w:r>
    </w:p>
    <w:p w:rsidR="00D07F92" w:rsidRPr="002C2D40" w:rsidRDefault="00D07F92" w:rsidP="002C2D40">
      <w:pPr>
        <w:shd w:val="clear" w:color="auto" w:fill="FFFFFF"/>
        <w:spacing w:before="120"/>
        <w:jc w:val="both"/>
        <w:rPr>
          <w:rFonts w:asciiTheme="minorHAnsi" w:hAnsiTheme="minorHAnsi" w:cs="Helvetica"/>
        </w:rPr>
      </w:pPr>
      <w:r w:rsidRPr="002C2D40">
        <w:rPr>
          <w:rFonts w:asciiTheme="minorHAnsi" w:hAnsiTheme="minorHAnsi" w:cs="Helvetica"/>
          <w:i/>
        </w:rPr>
        <w:t>W zakresie środków indywidualnych</w:t>
      </w:r>
      <w:r w:rsidRPr="002C2D40">
        <w:rPr>
          <w:rFonts w:asciiTheme="minorHAnsi" w:hAnsiTheme="minorHAnsi" w:cs="Helvetica"/>
        </w:rPr>
        <w:t xml:space="preserve"> </w:t>
      </w:r>
    </w:p>
    <w:p w:rsidR="00D07F92" w:rsidRPr="002C2D40" w:rsidRDefault="00D07F92" w:rsidP="00720E4B">
      <w:pPr>
        <w:pStyle w:val="Akapitzlist"/>
        <w:numPr>
          <w:ilvl w:val="0"/>
          <w:numId w:val="13"/>
        </w:numPr>
        <w:spacing w:before="120" w:after="0" w:line="240" w:lineRule="auto"/>
        <w:ind w:left="709" w:hanging="425"/>
        <w:jc w:val="both"/>
        <w:rPr>
          <w:rFonts w:asciiTheme="minorHAnsi" w:eastAsia="Times New Roman" w:hAnsiTheme="minorHAnsi" w:cs="Helvetica"/>
          <w:sz w:val="24"/>
          <w:szCs w:val="24"/>
          <w:lang w:val="pl-PL" w:eastAsia="pl-PL"/>
        </w:rPr>
      </w:pPr>
      <w:r w:rsidRPr="002C2D40">
        <w:rPr>
          <w:rFonts w:asciiTheme="minorHAnsi" w:eastAsia="Times New Roman" w:hAnsiTheme="minorHAnsi" w:cs="Helvetica"/>
          <w:sz w:val="24"/>
          <w:szCs w:val="24"/>
          <w:lang w:val="pl-PL" w:eastAsia="pl-PL"/>
        </w:rPr>
        <w:t>z zainteresowaniem</w:t>
      </w:r>
      <w:r w:rsidR="001E58EC">
        <w:rPr>
          <w:rFonts w:asciiTheme="minorHAnsi" w:eastAsia="Times New Roman" w:hAnsiTheme="minorHAnsi" w:cs="Helvetica"/>
          <w:sz w:val="24"/>
          <w:szCs w:val="24"/>
          <w:lang w:val="pl-PL" w:eastAsia="pl-PL"/>
        </w:rPr>
        <w:t xml:space="preserve"> odnotowali </w:t>
      </w:r>
      <w:r w:rsidRPr="002C2D40">
        <w:rPr>
          <w:rFonts w:asciiTheme="minorHAnsi" w:eastAsia="Times New Roman" w:hAnsiTheme="minorHAnsi" w:cs="Helvetica"/>
          <w:sz w:val="24"/>
          <w:szCs w:val="24"/>
          <w:lang w:val="pl-PL" w:eastAsia="pl-PL"/>
        </w:rPr>
        <w:t>informacj</w:t>
      </w:r>
      <w:r w:rsidR="001E58EC">
        <w:rPr>
          <w:rFonts w:asciiTheme="minorHAnsi" w:eastAsia="Times New Roman" w:hAnsiTheme="minorHAnsi" w:cs="Helvetica"/>
          <w:sz w:val="24"/>
          <w:szCs w:val="24"/>
          <w:lang w:val="pl-PL" w:eastAsia="pl-PL"/>
        </w:rPr>
        <w:t>e</w:t>
      </w:r>
      <w:r w:rsidRPr="002C2D40">
        <w:rPr>
          <w:rFonts w:asciiTheme="minorHAnsi" w:eastAsia="Times New Roman" w:hAnsiTheme="minorHAnsi" w:cs="Helvetica"/>
          <w:sz w:val="24"/>
          <w:szCs w:val="24"/>
          <w:lang w:val="pl-PL" w:eastAsia="pl-PL"/>
        </w:rPr>
        <w:t xml:space="preserve"> przekazan</w:t>
      </w:r>
      <w:r w:rsidR="001E58EC">
        <w:rPr>
          <w:rFonts w:asciiTheme="minorHAnsi" w:eastAsia="Times New Roman" w:hAnsiTheme="minorHAnsi" w:cs="Helvetica"/>
          <w:sz w:val="24"/>
          <w:szCs w:val="24"/>
          <w:lang w:val="pl-PL" w:eastAsia="pl-PL"/>
        </w:rPr>
        <w:t>e</w:t>
      </w:r>
      <w:r w:rsidRPr="002C2D40">
        <w:rPr>
          <w:rFonts w:asciiTheme="minorHAnsi" w:eastAsia="Times New Roman" w:hAnsiTheme="minorHAnsi" w:cs="Helvetica"/>
          <w:sz w:val="24"/>
          <w:szCs w:val="24"/>
          <w:lang w:val="pl-PL" w:eastAsia="pl-PL"/>
        </w:rPr>
        <w:t xml:space="preserve"> przez </w:t>
      </w:r>
      <w:r w:rsidR="001E58EC">
        <w:rPr>
          <w:rFonts w:asciiTheme="minorHAnsi" w:eastAsia="Times New Roman" w:hAnsiTheme="minorHAnsi" w:cs="Helvetica"/>
          <w:sz w:val="24"/>
          <w:szCs w:val="24"/>
          <w:lang w:val="pl-PL" w:eastAsia="pl-PL"/>
        </w:rPr>
        <w:t xml:space="preserve">polskie </w:t>
      </w:r>
      <w:r w:rsidRPr="002C2D40">
        <w:rPr>
          <w:rFonts w:asciiTheme="minorHAnsi" w:eastAsia="Times New Roman" w:hAnsiTheme="minorHAnsi" w:cs="Helvetica"/>
          <w:sz w:val="24"/>
          <w:szCs w:val="24"/>
          <w:lang w:val="pl-PL" w:eastAsia="pl-PL"/>
        </w:rPr>
        <w:t>władze na temat monitoringu administracyjnego postępowań, które są nadal w toku w tych skargach</w:t>
      </w:r>
      <w:r w:rsidR="001E58EC">
        <w:rPr>
          <w:rFonts w:asciiTheme="minorHAnsi" w:eastAsia="Times New Roman" w:hAnsiTheme="minorHAnsi" w:cs="Helvetica"/>
          <w:sz w:val="24"/>
          <w:szCs w:val="24"/>
          <w:lang w:val="pl-PL" w:eastAsia="pl-PL"/>
        </w:rPr>
        <w:t>,</w:t>
      </w:r>
      <w:r w:rsidRPr="002C2D40">
        <w:rPr>
          <w:rFonts w:asciiTheme="minorHAnsi" w:eastAsia="Times New Roman" w:hAnsiTheme="minorHAnsi" w:cs="Helvetica"/>
          <w:sz w:val="24"/>
          <w:szCs w:val="24"/>
          <w:lang w:val="pl-PL" w:eastAsia="pl-PL"/>
        </w:rPr>
        <w:t xml:space="preserve"> które zostały zakomunikowane w ramach procedury wyroku pilotażowego i proszą władze</w:t>
      </w:r>
      <w:r w:rsidR="001E58EC">
        <w:rPr>
          <w:rFonts w:asciiTheme="minorHAnsi" w:eastAsia="Times New Roman" w:hAnsiTheme="minorHAnsi" w:cs="Helvetica"/>
          <w:sz w:val="24"/>
          <w:szCs w:val="24"/>
          <w:lang w:val="pl-PL" w:eastAsia="pl-PL"/>
        </w:rPr>
        <w:t>,</w:t>
      </w:r>
      <w:r w:rsidRPr="002C2D40">
        <w:rPr>
          <w:rFonts w:asciiTheme="minorHAnsi" w:eastAsia="Times New Roman" w:hAnsiTheme="minorHAnsi" w:cs="Helvetica"/>
          <w:sz w:val="24"/>
          <w:szCs w:val="24"/>
          <w:lang w:val="pl-PL" w:eastAsia="pl-PL"/>
        </w:rPr>
        <w:t xml:space="preserve"> aby informowały Komi</w:t>
      </w:r>
      <w:r w:rsidR="001E58EC">
        <w:rPr>
          <w:rFonts w:asciiTheme="minorHAnsi" w:eastAsia="Times New Roman" w:hAnsiTheme="minorHAnsi" w:cs="Helvetica"/>
          <w:sz w:val="24"/>
          <w:szCs w:val="24"/>
          <w:lang w:val="pl-PL" w:eastAsia="pl-PL"/>
        </w:rPr>
        <w:t>tet</w:t>
      </w:r>
      <w:r w:rsidRPr="002C2D40">
        <w:rPr>
          <w:rFonts w:asciiTheme="minorHAnsi" w:eastAsia="Times New Roman" w:hAnsiTheme="minorHAnsi" w:cs="Helvetica"/>
          <w:sz w:val="24"/>
          <w:szCs w:val="24"/>
          <w:lang w:val="pl-PL" w:eastAsia="pl-PL"/>
        </w:rPr>
        <w:t xml:space="preserve"> o postępach w tym zakresie;</w:t>
      </w:r>
    </w:p>
    <w:p w:rsidR="00D07F92" w:rsidRPr="002C2D40" w:rsidRDefault="001E58EC" w:rsidP="00720E4B">
      <w:pPr>
        <w:pStyle w:val="Akapitzlist"/>
        <w:numPr>
          <w:ilvl w:val="0"/>
          <w:numId w:val="13"/>
        </w:numPr>
        <w:spacing w:before="120" w:after="0" w:line="240" w:lineRule="auto"/>
        <w:ind w:left="709" w:hanging="425"/>
        <w:jc w:val="both"/>
        <w:rPr>
          <w:rFonts w:asciiTheme="minorHAnsi" w:eastAsia="Times New Roman" w:hAnsiTheme="minorHAnsi" w:cs="Helvetica"/>
          <w:sz w:val="24"/>
          <w:szCs w:val="24"/>
          <w:lang w:val="pl-PL" w:eastAsia="pl-PL"/>
        </w:rPr>
      </w:pPr>
      <w:r>
        <w:rPr>
          <w:rFonts w:asciiTheme="minorHAnsi" w:eastAsia="Times New Roman" w:hAnsiTheme="minorHAnsi" w:cs="Helvetica"/>
          <w:sz w:val="24"/>
          <w:szCs w:val="24"/>
          <w:lang w:val="pl-PL" w:eastAsia="pl-PL"/>
        </w:rPr>
        <w:t xml:space="preserve">odnotowują </w:t>
      </w:r>
      <w:r w:rsidR="00D07F92" w:rsidRPr="002C2D40">
        <w:rPr>
          <w:rFonts w:asciiTheme="minorHAnsi" w:eastAsia="Times New Roman" w:hAnsiTheme="minorHAnsi" w:cs="Helvetica"/>
          <w:sz w:val="24"/>
          <w:szCs w:val="24"/>
          <w:lang w:val="pl-PL" w:eastAsia="pl-PL"/>
        </w:rPr>
        <w:t xml:space="preserve">ponadto, że dalsze środki indywidualne nie są wymagane w sprawach </w:t>
      </w:r>
      <w:r w:rsidR="00D07F92" w:rsidRPr="002C2D40">
        <w:rPr>
          <w:rFonts w:asciiTheme="minorHAnsi" w:eastAsia="Times New Roman" w:hAnsiTheme="minorHAnsi" w:cs="Helvetica"/>
          <w:i/>
          <w:sz w:val="24"/>
          <w:szCs w:val="24"/>
          <w:lang w:val="pl-PL" w:eastAsia="pl-PL"/>
        </w:rPr>
        <w:t>Bąk, Majewski, Jarmuż, Tyrka</w:t>
      </w:r>
      <w:r>
        <w:rPr>
          <w:rFonts w:asciiTheme="minorHAnsi" w:eastAsia="Times New Roman" w:hAnsiTheme="minorHAnsi" w:cs="Helvetica"/>
          <w:i/>
          <w:sz w:val="24"/>
          <w:szCs w:val="24"/>
          <w:lang w:val="pl-PL" w:eastAsia="pl-PL"/>
        </w:rPr>
        <w:t xml:space="preserve">, </w:t>
      </w:r>
      <w:r w:rsidR="00D07F92" w:rsidRPr="002C2D40">
        <w:rPr>
          <w:rFonts w:asciiTheme="minorHAnsi" w:eastAsia="Times New Roman" w:hAnsiTheme="minorHAnsi" w:cs="Helvetica"/>
          <w:i/>
          <w:sz w:val="24"/>
          <w:szCs w:val="24"/>
          <w:lang w:val="pl-PL" w:eastAsia="pl-PL"/>
        </w:rPr>
        <w:t>Ziaja</w:t>
      </w:r>
      <w:r w:rsidR="00D07F92" w:rsidRPr="002C2D40">
        <w:rPr>
          <w:rFonts w:asciiTheme="minorHAnsi" w:eastAsia="Times New Roman" w:hAnsiTheme="minorHAnsi" w:cs="Helvetica"/>
          <w:sz w:val="24"/>
          <w:szCs w:val="24"/>
          <w:lang w:val="pl-PL" w:eastAsia="pl-PL"/>
        </w:rPr>
        <w:t xml:space="preserve"> i przyjmują rez</w:t>
      </w:r>
      <w:r w:rsidR="00720E4B">
        <w:rPr>
          <w:rFonts w:asciiTheme="minorHAnsi" w:eastAsia="Times New Roman" w:hAnsiTheme="minorHAnsi" w:cs="Helvetica"/>
          <w:sz w:val="24"/>
          <w:szCs w:val="24"/>
          <w:lang w:val="pl-PL" w:eastAsia="pl-PL"/>
        </w:rPr>
        <w:t xml:space="preserve">olucję końcową CM/ResDH(2020)99 </w:t>
      </w:r>
      <w:r w:rsidR="00D07F92" w:rsidRPr="002C2D40">
        <w:rPr>
          <w:rFonts w:asciiTheme="minorHAnsi" w:eastAsia="Times New Roman" w:hAnsiTheme="minorHAnsi" w:cs="Helvetica"/>
          <w:sz w:val="24"/>
          <w:szCs w:val="24"/>
          <w:lang w:val="pl-PL" w:eastAsia="pl-PL"/>
        </w:rPr>
        <w:t>dotyczącą ostatnich trzech spraw, które są powtarzalne;</w:t>
      </w:r>
    </w:p>
    <w:p w:rsidR="00D07F92" w:rsidRPr="002C2D40" w:rsidRDefault="00D07F92" w:rsidP="002C2D40">
      <w:pPr>
        <w:shd w:val="clear" w:color="auto" w:fill="FFFFFF"/>
        <w:spacing w:before="120"/>
        <w:jc w:val="both"/>
        <w:rPr>
          <w:rFonts w:asciiTheme="minorHAnsi" w:hAnsiTheme="minorHAnsi" w:cs="Helvetica"/>
          <w:i/>
        </w:rPr>
      </w:pPr>
      <w:r w:rsidRPr="002C2D40">
        <w:rPr>
          <w:rFonts w:asciiTheme="minorHAnsi" w:hAnsiTheme="minorHAnsi" w:cs="Helvetica"/>
          <w:i/>
        </w:rPr>
        <w:t>W zakresie środków generalnych</w:t>
      </w:r>
    </w:p>
    <w:p w:rsidR="00D07F92" w:rsidRPr="002C2D40" w:rsidRDefault="00D07F92" w:rsidP="00720E4B">
      <w:pPr>
        <w:pStyle w:val="Akapitzlist"/>
        <w:numPr>
          <w:ilvl w:val="0"/>
          <w:numId w:val="13"/>
        </w:numPr>
        <w:spacing w:before="120" w:after="0" w:line="240" w:lineRule="auto"/>
        <w:ind w:left="709" w:hanging="425"/>
        <w:jc w:val="both"/>
        <w:rPr>
          <w:rFonts w:asciiTheme="minorHAnsi" w:hAnsiTheme="minorHAnsi" w:cs="Helvetica"/>
          <w:sz w:val="24"/>
          <w:szCs w:val="24"/>
        </w:rPr>
      </w:pPr>
      <w:r w:rsidRPr="002C2D40">
        <w:rPr>
          <w:rFonts w:asciiTheme="minorHAnsi" w:eastAsia="Times New Roman" w:hAnsiTheme="minorHAnsi" w:cs="Helvetica"/>
          <w:sz w:val="24"/>
          <w:szCs w:val="24"/>
          <w:lang w:val="pl-PL" w:eastAsia="pl-PL"/>
        </w:rPr>
        <w:t>odnotowują z zainteresowaniem zmiany wprowadzone w 2019 r. do Kodeksu Postępowania Cywilnego i Karnego mające na celu rozwiązanie problemu wadliwej</w:t>
      </w:r>
      <w:r w:rsidRPr="002C2D40">
        <w:rPr>
          <w:rFonts w:asciiTheme="minorHAnsi" w:hAnsiTheme="minorHAnsi" w:cs="Helvetica"/>
          <w:sz w:val="24"/>
          <w:szCs w:val="24"/>
        </w:rPr>
        <w:t xml:space="preserve"> organizacji rozpraw, która została wskazana w wyroku pilotażowym w sprawie </w:t>
      </w:r>
      <w:r w:rsidRPr="006D7009">
        <w:rPr>
          <w:rFonts w:asciiTheme="minorHAnsi" w:hAnsiTheme="minorHAnsi" w:cs="Helvetica"/>
          <w:i/>
          <w:sz w:val="24"/>
          <w:szCs w:val="24"/>
        </w:rPr>
        <w:t xml:space="preserve">Rutkowski </w:t>
      </w:r>
      <w:r w:rsidRPr="002C2D40">
        <w:rPr>
          <w:rFonts w:asciiTheme="minorHAnsi" w:hAnsiTheme="minorHAnsi" w:cs="Helvetica"/>
          <w:sz w:val="24"/>
          <w:szCs w:val="24"/>
        </w:rPr>
        <w:t>jako jedna z przyczyn problemu przewlekłości postępowania;</w:t>
      </w:r>
    </w:p>
    <w:p w:rsidR="00D07F92" w:rsidRPr="002C2D40" w:rsidRDefault="00D07F92" w:rsidP="00720E4B">
      <w:pPr>
        <w:pStyle w:val="Akapitzlist"/>
        <w:numPr>
          <w:ilvl w:val="0"/>
          <w:numId w:val="13"/>
        </w:numPr>
        <w:spacing w:before="120" w:after="0" w:line="240" w:lineRule="auto"/>
        <w:ind w:left="709" w:hanging="425"/>
        <w:jc w:val="both"/>
        <w:rPr>
          <w:rFonts w:asciiTheme="minorHAnsi" w:hAnsiTheme="minorHAnsi" w:cs="Helvetica"/>
          <w:sz w:val="24"/>
          <w:szCs w:val="24"/>
        </w:rPr>
      </w:pPr>
      <w:r w:rsidRPr="002C2D40">
        <w:rPr>
          <w:rFonts w:asciiTheme="minorHAnsi" w:hAnsiTheme="minorHAnsi" w:cs="Helvetica"/>
          <w:sz w:val="24"/>
          <w:szCs w:val="24"/>
        </w:rPr>
        <w:t xml:space="preserve">wyrażają zaniepokojenie brakiem konkretnych kroków legislacyjnych w celu zreformowania systemu biegłych sądowych i wzywają władze do przyspieszenia prac w </w:t>
      </w:r>
      <w:r w:rsidR="006D7009">
        <w:rPr>
          <w:rFonts w:asciiTheme="minorHAnsi" w:hAnsiTheme="minorHAnsi" w:cs="Helvetica"/>
          <w:sz w:val="24"/>
          <w:szCs w:val="24"/>
          <w:lang w:val="pl-PL"/>
        </w:rPr>
        <w:t>tym zakresie</w:t>
      </w:r>
      <w:r w:rsidRPr="002C2D40">
        <w:rPr>
          <w:rFonts w:asciiTheme="minorHAnsi" w:hAnsiTheme="minorHAnsi" w:cs="Helvetica"/>
          <w:sz w:val="24"/>
          <w:szCs w:val="24"/>
        </w:rPr>
        <w:t xml:space="preserve">; ponownie </w:t>
      </w:r>
      <w:r w:rsidR="006D7009">
        <w:rPr>
          <w:rFonts w:asciiTheme="minorHAnsi" w:hAnsiTheme="minorHAnsi" w:cs="Helvetica"/>
          <w:sz w:val="24"/>
          <w:szCs w:val="24"/>
          <w:lang w:val="pl-PL"/>
        </w:rPr>
        <w:t>zapraszają</w:t>
      </w:r>
      <w:r w:rsidRPr="002C2D40">
        <w:rPr>
          <w:rFonts w:asciiTheme="minorHAnsi" w:hAnsiTheme="minorHAnsi" w:cs="Helvetica"/>
          <w:sz w:val="24"/>
          <w:szCs w:val="24"/>
        </w:rPr>
        <w:t xml:space="preserve"> władze do przedstawienia informacji na temat praktycznego wpływu ostatnich zmian legislacyjnych</w:t>
      </w:r>
      <w:r w:rsidR="006D7009">
        <w:rPr>
          <w:rFonts w:asciiTheme="minorHAnsi" w:hAnsiTheme="minorHAnsi" w:cs="Helvetica"/>
          <w:sz w:val="24"/>
          <w:szCs w:val="24"/>
          <w:lang w:val="pl-PL"/>
        </w:rPr>
        <w:t>,</w:t>
      </w:r>
      <w:r w:rsidRPr="002C2D40">
        <w:rPr>
          <w:rFonts w:asciiTheme="minorHAnsi" w:hAnsiTheme="minorHAnsi" w:cs="Helvetica"/>
          <w:sz w:val="24"/>
          <w:szCs w:val="24"/>
        </w:rPr>
        <w:t xml:space="preserve"> mających na celu zapobieżenie sytuacji przekazywania spraw do ponownego rozpoznania przez sądy drugiej instancji oraz wskazania, czy przyjęte dotychczas reformy legislacyjne ograniczyły, zgodnie z zapowiedzią władz, zakres właściwości sądów;</w:t>
      </w:r>
    </w:p>
    <w:p w:rsidR="00D07F92" w:rsidRPr="002C2D40" w:rsidRDefault="00D07F92" w:rsidP="00720E4B">
      <w:pPr>
        <w:pStyle w:val="Akapitzlist"/>
        <w:numPr>
          <w:ilvl w:val="0"/>
          <w:numId w:val="13"/>
        </w:numPr>
        <w:spacing w:before="120" w:after="0" w:line="240" w:lineRule="auto"/>
        <w:ind w:left="709" w:hanging="425"/>
        <w:jc w:val="both"/>
        <w:rPr>
          <w:rFonts w:asciiTheme="minorHAnsi" w:hAnsiTheme="minorHAnsi" w:cs="Helvetica"/>
          <w:sz w:val="24"/>
          <w:szCs w:val="24"/>
        </w:rPr>
      </w:pPr>
      <w:r w:rsidRPr="002C2D40">
        <w:rPr>
          <w:rFonts w:asciiTheme="minorHAnsi" w:hAnsiTheme="minorHAnsi" w:cs="Helvetica"/>
          <w:sz w:val="24"/>
          <w:szCs w:val="24"/>
        </w:rPr>
        <w:t xml:space="preserve">odnotowując z satysfakcją informacje o dalszych inwestycjach w wymiarze sprawiedliwości, wzroście budżetu sądów i kadr administracyjnych, z zaniepokojeniem odnotowują stale rosnącą liczbę wolnych stanowisk sędziowskich w Polsce i wzywają </w:t>
      </w:r>
      <w:r w:rsidRPr="002C2D40">
        <w:rPr>
          <w:rFonts w:asciiTheme="minorHAnsi" w:hAnsiTheme="minorHAnsi" w:cs="Helvetica"/>
          <w:sz w:val="24"/>
          <w:szCs w:val="24"/>
        </w:rPr>
        <w:lastRenderedPageBreak/>
        <w:t>władze do przekazania informacji o rozwiązaniach mających na celu rozwiązanie tej sytuacji;</w:t>
      </w:r>
    </w:p>
    <w:p w:rsidR="00D07F92" w:rsidRPr="002C2D40" w:rsidRDefault="00D07F92" w:rsidP="00720E4B">
      <w:pPr>
        <w:pStyle w:val="Akapitzlist"/>
        <w:numPr>
          <w:ilvl w:val="0"/>
          <w:numId w:val="13"/>
        </w:numPr>
        <w:spacing w:before="120" w:after="0" w:line="240" w:lineRule="auto"/>
        <w:ind w:left="709" w:hanging="425"/>
        <w:jc w:val="both"/>
        <w:rPr>
          <w:rFonts w:asciiTheme="minorHAnsi" w:hAnsiTheme="minorHAnsi" w:cs="Helvetica"/>
          <w:sz w:val="24"/>
          <w:szCs w:val="24"/>
        </w:rPr>
      </w:pPr>
      <w:r w:rsidRPr="002C2D40">
        <w:rPr>
          <w:rFonts w:asciiTheme="minorHAnsi" w:hAnsiTheme="minorHAnsi" w:cs="Helvetica"/>
          <w:sz w:val="24"/>
          <w:szCs w:val="24"/>
        </w:rPr>
        <w:t>odnotowują z głębokim zaniepokojeniem, że pomimo ciągłych reform wymiaru sprawiedliwości w Polsce nie jest jeszcze widoczny pozytywny wpływ tych reform na skuteczne sprawowanie wymiaru sprawiedliwości, a zaległości w sprawach wciąż rosną; w związku z tym wzywają władze do dostarczenia Komitetowi kompleksowej oceny praktycznego i konkretnego wpływu już wdrożonych środków, w tym danych statystycznych dotyczących średniej długości postępowań różnego rodzaju, wraz z wnioskami co do potrzeby dalszych reform;</w:t>
      </w:r>
    </w:p>
    <w:p w:rsidR="00D07F92" w:rsidRPr="002C2D40" w:rsidRDefault="00D07F92" w:rsidP="00720E4B">
      <w:pPr>
        <w:pStyle w:val="Akapitzlist"/>
        <w:numPr>
          <w:ilvl w:val="0"/>
          <w:numId w:val="13"/>
        </w:numPr>
        <w:spacing w:before="120" w:after="0" w:line="240" w:lineRule="auto"/>
        <w:ind w:left="709" w:hanging="425"/>
        <w:jc w:val="both"/>
        <w:rPr>
          <w:rFonts w:asciiTheme="minorHAnsi" w:hAnsiTheme="minorHAnsi" w:cs="Helvetica"/>
          <w:sz w:val="24"/>
          <w:szCs w:val="24"/>
        </w:rPr>
      </w:pPr>
      <w:r w:rsidRPr="002C2D40">
        <w:rPr>
          <w:rFonts w:asciiTheme="minorHAnsi" w:hAnsiTheme="minorHAnsi" w:cs="Helvetica"/>
          <w:sz w:val="24"/>
          <w:szCs w:val="24"/>
        </w:rPr>
        <w:t>w odniesieniu do wszelkich planowanych dodatkowych reform w celu zwiększenia skuteczności wymiaru sprawiedliwości w celu rozwiązania problemu przewlekłości postępowania, co Trybunał stwierdził w obecnej grupie wyroków, podkreślają, że powinny one być zgodne z zasadą niezawisłości sędziowskiej oraz zachęcają polskie władze do współpracy w tym zakresie z Komisją Wenecką</w:t>
      </w:r>
      <w:r w:rsidR="00540E00" w:rsidRPr="002C2D40">
        <w:rPr>
          <w:rFonts w:asciiTheme="minorHAnsi" w:hAnsiTheme="minorHAnsi" w:cs="Helvetica"/>
          <w:sz w:val="24"/>
          <w:szCs w:val="24"/>
          <w:lang w:val="pl-PL"/>
        </w:rPr>
        <w:t>;</w:t>
      </w:r>
    </w:p>
    <w:p w:rsidR="00D07F92" w:rsidRPr="002C2D40" w:rsidRDefault="00D07F92" w:rsidP="00720E4B">
      <w:pPr>
        <w:pStyle w:val="Akapitzlist"/>
        <w:numPr>
          <w:ilvl w:val="0"/>
          <w:numId w:val="13"/>
        </w:numPr>
        <w:spacing w:before="120" w:after="0" w:line="240" w:lineRule="auto"/>
        <w:ind w:left="709" w:hanging="425"/>
        <w:jc w:val="both"/>
        <w:rPr>
          <w:rFonts w:asciiTheme="minorHAnsi" w:hAnsiTheme="minorHAnsi" w:cs="Helvetica"/>
          <w:sz w:val="24"/>
          <w:szCs w:val="24"/>
        </w:rPr>
      </w:pPr>
      <w:r w:rsidRPr="002C2D40">
        <w:rPr>
          <w:rFonts w:asciiTheme="minorHAnsi" w:hAnsiTheme="minorHAnsi" w:cs="Helvetica"/>
          <w:sz w:val="24"/>
          <w:szCs w:val="24"/>
        </w:rPr>
        <w:t>odnotowują z satysfakcją, że problem fragmentaryzacji postępowań przy ocenie ich długości został rozwiązany poprzez nowelizację ustawy z 2004 r. i odpowiednie zmiany w praktyce sądów krajowych; biorą również pod uwagę fakt, że decyzje odrzucające wnioski o zasądzenie kwoty pieniężnej nie wydają się nadmiernie formalistyczne, gdyż tylko niewielka ich część wynika z braku uzasadnienia</w:t>
      </w:r>
      <w:r w:rsidR="006D7009">
        <w:rPr>
          <w:rFonts w:asciiTheme="minorHAnsi" w:hAnsiTheme="minorHAnsi" w:cs="Helvetica"/>
          <w:sz w:val="24"/>
          <w:szCs w:val="24"/>
          <w:lang w:val="pl-PL"/>
        </w:rPr>
        <w:t xml:space="preserve"> okoliczności</w:t>
      </w:r>
      <w:r w:rsidR="00540E00" w:rsidRPr="002C2D40">
        <w:rPr>
          <w:rFonts w:asciiTheme="minorHAnsi" w:hAnsiTheme="minorHAnsi" w:cs="Helvetica"/>
          <w:sz w:val="24"/>
          <w:szCs w:val="24"/>
          <w:lang w:val="pl-PL"/>
        </w:rPr>
        <w:t>;</w:t>
      </w:r>
    </w:p>
    <w:p w:rsidR="00D07F92" w:rsidRPr="002C2D40" w:rsidRDefault="00540E00" w:rsidP="00720E4B">
      <w:pPr>
        <w:pStyle w:val="Akapitzlist"/>
        <w:numPr>
          <w:ilvl w:val="0"/>
          <w:numId w:val="13"/>
        </w:numPr>
        <w:spacing w:before="120" w:after="0" w:line="240" w:lineRule="auto"/>
        <w:ind w:left="709" w:hanging="425"/>
        <w:jc w:val="both"/>
        <w:rPr>
          <w:rFonts w:asciiTheme="minorHAnsi" w:hAnsiTheme="minorHAnsi" w:cs="Helvetica"/>
          <w:sz w:val="24"/>
          <w:szCs w:val="24"/>
        </w:rPr>
      </w:pPr>
      <w:r w:rsidRPr="002C2D40">
        <w:rPr>
          <w:rFonts w:asciiTheme="minorHAnsi" w:hAnsiTheme="minorHAnsi" w:cs="Helvetica"/>
          <w:sz w:val="24"/>
          <w:szCs w:val="24"/>
          <w:lang w:val="pl-PL"/>
        </w:rPr>
        <w:t>o</w:t>
      </w:r>
      <w:r w:rsidR="00D07F92" w:rsidRPr="002C2D40">
        <w:rPr>
          <w:rFonts w:asciiTheme="minorHAnsi" w:hAnsiTheme="minorHAnsi" w:cs="Helvetica"/>
          <w:sz w:val="24"/>
          <w:szCs w:val="24"/>
        </w:rPr>
        <w:t>dnotowując z zainteresowaniem znaczny wzrost średnich orzeczeń za przewlekłość postępowań karnych, zauważy</w:t>
      </w:r>
      <w:r w:rsidR="006D7009">
        <w:rPr>
          <w:rFonts w:asciiTheme="minorHAnsi" w:hAnsiTheme="minorHAnsi" w:cs="Helvetica"/>
          <w:sz w:val="24"/>
          <w:szCs w:val="24"/>
          <w:lang w:val="pl-PL"/>
        </w:rPr>
        <w:t>li</w:t>
      </w:r>
      <w:r w:rsidR="00D07F92" w:rsidRPr="002C2D40">
        <w:rPr>
          <w:rFonts w:asciiTheme="minorHAnsi" w:hAnsiTheme="minorHAnsi" w:cs="Helvetica"/>
          <w:sz w:val="24"/>
          <w:szCs w:val="24"/>
        </w:rPr>
        <w:t xml:space="preserve"> jednak, że przeciętne kwoty zasądzeń w sprawach cywilnych, które stanowią ponad 80% wszystkich skarg dotyczących przewlekłości, pozostają prawie niezmienione; w związku z tym z zadowoleniem przyjmują szczegółowe badanie przeprowadzone przez władze w sprawie stosowania krajowego środka przeciwko przewlekłości postępowań i zachęcają je do dalszego monitor</w:t>
      </w:r>
      <w:r w:rsidR="006D7009">
        <w:rPr>
          <w:rFonts w:asciiTheme="minorHAnsi" w:hAnsiTheme="minorHAnsi" w:cs="Helvetica"/>
          <w:sz w:val="24"/>
          <w:szCs w:val="24"/>
          <w:lang w:val="pl-PL"/>
        </w:rPr>
        <w:t>ingu</w:t>
      </w:r>
      <w:r w:rsidR="00D07F92" w:rsidRPr="002C2D40">
        <w:rPr>
          <w:rFonts w:asciiTheme="minorHAnsi" w:hAnsiTheme="minorHAnsi" w:cs="Helvetica"/>
          <w:sz w:val="24"/>
          <w:szCs w:val="24"/>
        </w:rPr>
        <w:t xml:space="preserve"> w celu zapewnienia odpowiedniego poziomu zasądzeń we wszystkich rodzajach spraw oraz, w razie potrzeby, do podjęcia dodatkowych środków;</w:t>
      </w:r>
    </w:p>
    <w:p w:rsidR="00D07F92" w:rsidRPr="002C2D40" w:rsidRDefault="006D7009" w:rsidP="00720E4B">
      <w:pPr>
        <w:pStyle w:val="Akapitzlist"/>
        <w:numPr>
          <w:ilvl w:val="0"/>
          <w:numId w:val="13"/>
        </w:numPr>
        <w:spacing w:before="120" w:after="0" w:line="240" w:lineRule="auto"/>
        <w:ind w:left="709" w:hanging="425"/>
        <w:jc w:val="both"/>
        <w:rPr>
          <w:rFonts w:asciiTheme="minorHAnsi" w:hAnsiTheme="minorHAnsi" w:cs="Helvetica"/>
          <w:sz w:val="24"/>
          <w:szCs w:val="24"/>
        </w:rPr>
      </w:pPr>
      <w:r>
        <w:rPr>
          <w:rFonts w:asciiTheme="minorHAnsi" w:hAnsiTheme="minorHAnsi" w:cs="Helvetica"/>
          <w:sz w:val="24"/>
          <w:szCs w:val="24"/>
          <w:lang w:val="pl-PL"/>
        </w:rPr>
        <w:t>za</w:t>
      </w:r>
      <w:r w:rsidR="00D07F92" w:rsidRPr="002C2D40">
        <w:rPr>
          <w:rFonts w:asciiTheme="minorHAnsi" w:hAnsiTheme="minorHAnsi" w:cs="Helvetica"/>
          <w:sz w:val="24"/>
          <w:szCs w:val="24"/>
        </w:rPr>
        <w:t>pr</w:t>
      </w:r>
      <w:r>
        <w:rPr>
          <w:rFonts w:asciiTheme="minorHAnsi" w:hAnsiTheme="minorHAnsi" w:cs="Helvetica"/>
          <w:sz w:val="24"/>
          <w:szCs w:val="24"/>
          <w:lang w:val="pl-PL"/>
        </w:rPr>
        <w:t>aszają</w:t>
      </w:r>
      <w:r w:rsidR="00D07F92" w:rsidRPr="002C2D40">
        <w:rPr>
          <w:rFonts w:asciiTheme="minorHAnsi" w:hAnsiTheme="minorHAnsi" w:cs="Helvetica"/>
          <w:sz w:val="24"/>
          <w:szCs w:val="24"/>
        </w:rPr>
        <w:t xml:space="preserve"> władze </w:t>
      </w:r>
      <w:r>
        <w:rPr>
          <w:rFonts w:asciiTheme="minorHAnsi" w:hAnsiTheme="minorHAnsi" w:cs="Helvetica"/>
          <w:sz w:val="24"/>
          <w:szCs w:val="24"/>
          <w:lang w:val="pl-PL"/>
        </w:rPr>
        <w:t>d</w:t>
      </w:r>
      <w:r w:rsidR="00D07F92" w:rsidRPr="002C2D40">
        <w:rPr>
          <w:rFonts w:asciiTheme="minorHAnsi" w:hAnsiTheme="minorHAnsi" w:cs="Helvetica"/>
          <w:sz w:val="24"/>
          <w:szCs w:val="24"/>
        </w:rPr>
        <w:t>o przedstawieni</w:t>
      </w:r>
      <w:r>
        <w:rPr>
          <w:rFonts w:asciiTheme="minorHAnsi" w:hAnsiTheme="minorHAnsi" w:cs="Helvetica"/>
          <w:sz w:val="24"/>
          <w:szCs w:val="24"/>
          <w:lang w:val="pl-PL"/>
        </w:rPr>
        <w:t>a</w:t>
      </w:r>
      <w:r w:rsidR="00D07F92" w:rsidRPr="002C2D40">
        <w:rPr>
          <w:rFonts w:asciiTheme="minorHAnsi" w:hAnsiTheme="minorHAnsi" w:cs="Helvetica"/>
          <w:sz w:val="24"/>
          <w:szCs w:val="24"/>
        </w:rPr>
        <w:t xml:space="preserve"> dodatkowych informacji w zakresie powyższych kwestii do 31 grudnia 2020 r.</w:t>
      </w:r>
    </w:p>
    <w:p w:rsidR="00D07F92" w:rsidRPr="002C2D40" w:rsidRDefault="00D07F92" w:rsidP="002C2D40">
      <w:pPr>
        <w:shd w:val="clear" w:color="auto" w:fill="FFFFFF"/>
        <w:spacing w:before="120"/>
        <w:jc w:val="both"/>
        <w:rPr>
          <w:rFonts w:asciiTheme="minorHAnsi" w:hAnsiTheme="minorHAnsi" w:cs="Helvetica"/>
        </w:rPr>
      </w:pPr>
    </w:p>
    <w:p w:rsidR="00D07F92" w:rsidRPr="002C2D40" w:rsidRDefault="00D07F92" w:rsidP="00373128">
      <w:pPr>
        <w:pStyle w:val="Akapitzlist"/>
        <w:numPr>
          <w:ilvl w:val="0"/>
          <w:numId w:val="9"/>
        </w:numPr>
        <w:shd w:val="clear" w:color="auto" w:fill="FFFFFF"/>
        <w:spacing w:before="120" w:line="240" w:lineRule="auto"/>
        <w:ind w:left="1134" w:hanging="426"/>
        <w:jc w:val="both"/>
        <w:rPr>
          <w:rFonts w:asciiTheme="minorHAnsi" w:hAnsiTheme="minorHAnsi" w:cs="Helvetica"/>
          <w:sz w:val="24"/>
          <w:szCs w:val="24"/>
        </w:rPr>
      </w:pPr>
      <w:r w:rsidRPr="002C2D40">
        <w:rPr>
          <w:rFonts w:asciiTheme="minorHAnsi" w:hAnsiTheme="minorHAnsi" w:cs="Helvetica"/>
          <w:sz w:val="24"/>
          <w:szCs w:val="24"/>
        </w:rPr>
        <w:t xml:space="preserve">Decyzja z dnia 3 września 2020 r. w sprawie grupy spraw </w:t>
      </w:r>
      <w:r w:rsidRPr="002C2D40">
        <w:rPr>
          <w:rFonts w:asciiTheme="minorHAnsi" w:hAnsiTheme="minorHAnsi" w:cs="Helvetica"/>
          <w:i/>
          <w:sz w:val="24"/>
          <w:szCs w:val="24"/>
        </w:rPr>
        <w:t>Bel</w:t>
      </w:r>
      <w:r w:rsidR="00540E00" w:rsidRPr="002C2D40">
        <w:rPr>
          <w:rFonts w:asciiTheme="minorHAnsi" w:hAnsiTheme="minorHAnsi" w:cs="Helvetica"/>
          <w:i/>
          <w:sz w:val="24"/>
          <w:szCs w:val="24"/>
          <w:lang w:val="pl-PL"/>
        </w:rPr>
        <w:t>l</w:t>
      </w:r>
      <w:r w:rsidRPr="002C2D40">
        <w:rPr>
          <w:rFonts w:asciiTheme="minorHAnsi" w:hAnsiTheme="minorHAnsi" w:cs="Helvetica"/>
          <w:i/>
          <w:sz w:val="24"/>
          <w:szCs w:val="24"/>
        </w:rPr>
        <w:t>er p. Polsce</w:t>
      </w:r>
      <w:r w:rsidRPr="002C2D40">
        <w:rPr>
          <w:rFonts w:asciiTheme="minorHAnsi" w:hAnsiTheme="minorHAnsi" w:cs="Helvetica"/>
          <w:sz w:val="24"/>
          <w:szCs w:val="24"/>
        </w:rPr>
        <w:t xml:space="preserve"> CM/Del/Dec(2020)1377bis/H46-45), w której delegacji do KM: </w:t>
      </w:r>
    </w:p>
    <w:p w:rsidR="00D07F92" w:rsidRPr="002C2D40" w:rsidRDefault="00D07F92" w:rsidP="00373128">
      <w:pPr>
        <w:pStyle w:val="Akapitzlist"/>
        <w:numPr>
          <w:ilvl w:val="0"/>
          <w:numId w:val="14"/>
        </w:numPr>
        <w:spacing w:before="120" w:after="0" w:line="240" w:lineRule="auto"/>
        <w:ind w:left="709" w:hanging="425"/>
        <w:jc w:val="both"/>
        <w:rPr>
          <w:rFonts w:asciiTheme="minorHAnsi" w:hAnsiTheme="minorHAnsi" w:cs="Helvetica"/>
          <w:sz w:val="24"/>
          <w:szCs w:val="24"/>
        </w:rPr>
      </w:pPr>
      <w:r w:rsidRPr="002C2D40">
        <w:rPr>
          <w:rFonts w:asciiTheme="minorHAnsi" w:hAnsiTheme="minorHAnsi" w:cs="Helvetica"/>
          <w:sz w:val="24"/>
          <w:szCs w:val="24"/>
        </w:rPr>
        <w:t>przypominają, że ta grupa spraw dotyczy przewlekłości postępowań przed organami i sądami administracyjnymi, w tym Naczelnym Sądem Administracyjnym, oraz nieskuteczności krajowych środków odwoławczych w tym zakresie;</w:t>
      </w:r>
    </w:p>
    <w:p w:rsidR="00D07F92" w:rsidRPr="002C2D40" w:rsidRDefault="00D07F92" w:rsidP="00373128">
      <w:pPr>
        <w:pStyle w:val="Akapitzlist"/>
        <w:numPr>
          <w:ilvl w:val="0"/>
          <w:numId w:val="14"/>
        </w:numPr>
        <w:spacing w:before="120" w:after="0" w:line="240" w:lineRule="auto"/>
        <w:ind w:left="709" w:hanging="425"/>
        <w:jc w:val="both"/>
        <w:rPr>
          <w:rFonts w:asciiTheme="minorHAnsi" w:hAnsiTheme="minorHAnsi" w:cs="Helvetica"/>
          <w:sz w:val="24"/>
          <w:szCs w:val="24"/>
        </w:rPr>
      </w:pPr>
      <w:r w:rsidRPr="002C2D40">
        <w:rPr>
          <w:rFonts w:asciiTheme="minorHAnsi" w:hAnsiTheme="minorHAnsi" w:cs="Helvetica"/>
          <w:sz w:val="24"/>
          <w:szCs w:val="24"/>
        </w:rPr>
        <w:t>odnotowują informację wskazującą, że zmiany wprowadzone w ostatnich latach w ustawie o postępowaniu przed sądami administracyjnymi oraz w Kodeksie postępowania administracyjnego są stosowane w praktyce i z zadowoleniem przyjmują fakt, że w 2/3 orzeczeń Naczelny Sąd Administracyjny rozstrzyga teraz co do meritum, unikając w ten sposób przekazywania spraw do poprzednich etapów postępowania;</w:t>
      </w:r>
    </w:p>
    <w:p w:rsidR="00D07F92" w:rsidRPr="002C2D40" w:rsidRDefault="00D07F92" w:rsidP="00373128">
      <w:pPr>
        <w:pStyle w:val="Akapitzlist"/>
        <w:numPr>
          <w:ilvl w:val="0"/>
          <w:numId w:val="14"/>
        </w:numPr>
        <w:spacing w:before="120" w:after="0" w:line="240" w:lineRule="auto"/>
        <w:ind w:left="709" w:hanging="425"/>
        <w:jc w:val="both"/>
        <w:rPr>
          <w:rFonts w:asciiTheme="minorHAnsi" w:hAnsiTheme="minorHAnsi" w:cs="Helvetica"/>
          <w:sz w:val="24"/>
          <w:szCs w:val="24"/>
        </w:rPr>
      </w:pPr>
      <w:r w:rsidRPr="002C2D40">
        <w:rPr>
          <w:rFonts w:asciiTheme="minorHAnsi" w:hAnsiTheme="minorHAnsi" w:cs="Helvetica"/>
          <w:sz w:val="24"/>
          <w:szCs w:val="24"/>
        </w:rPr>
        <w:t xml:space="preserve">odnotowują jednak z zaniepokojeniem, że pomimo szerokiego zakresu reform legislacyjnych i stosowania nowych zasad w praktyce, liczba skarg na bezczynność i </w:t>
      </w:r>
      <w:r w:rsidRPr="002C2D40">
        <w:rPr>
          <w:rFonts w:asciiTheme="minorHAnsi" w:hAnsiTheme="minorHAnsi" w:cs="Helvetica"/>
          <w:sz w:val="24"/>
          <w:szCs w:val="24"/>
        </w:rPr>
        <w:lastRenderedPageBreak/>
        <w:t>przewlekłość postępowań przed organami administracyjnymi kierowanych do sądów administracyjnych, a także liczba skarg uznanych za zasadne rośnie; zauważają ponadto, że niepokojąca jest sytuacja przed sądami administracyjnymi i Naczelnym Sądem Administracyjnym, ponieważ ich zaległości w sprawach wzrosły w 2019 r.;</w:t>
      </w:r>
    </w:p>
    <w:p w:rsidR="00D07F92" w:rsidRPr="002C2D40" w:rsidRDefault="00D07F92" w:rsidP="00373128">
      <w:pPr>
        <w:pStyle w:val="Akapitzlist"/>
        <w:numPr>
          <w:ilvl w:val="0"/>
          <w:numId w:val="14"/>
        </w:numPr>
        <w:spacing w:before="120" w:after="0" w:line="240" w:lineRule="auto"/>
        <w:ind w:left="709" w:hanging="425"/>
        <w:jc w:val="both"/>
        <w:rPr>
          <w:rFonts w:asciiTheme="minorHAnsi" w:hAnsiTheme="minorHAnsi" w:cs="Helvetica"/>
          <w:sz w:val="24"/>
          <w:szCs w:val="24"/>
        </w:rPr>
      </w:pPr>
      <w:r w:rsidRPr="002C2D40">
        <w:rPr>
          <w:rFonts w:asciiTheme="minorHAnsi" w:hAnsiTheme="minorHAnsi" w:cs="Helvetica"/>
          <w:sz w:val="24"/>
          <w:szCs w:val="24"/>
        </w:rPr>
        <w:t xml:space="preserve">w związku z tym, zachęcając władze do kontynuowania wdrażania środków ograniczających długość postępowań przed organami i sądami administracyjnymi, </w:t>
      </w:r>
      <w:r w:rsidR="00B4543A">
        <w:rPr>
          <w:rFonts w:asciiTheme="minorHAnsi" w:hAnsiTheme="minorHAnsi" w:cs="Helvetica"/>
          <w:sz w:val="24"/>
          <w:szCs w:val="24"/>
          <w:lang w:val="pl-PL"/>
        </w:rPr>
        <w:t>zapraszają j</w:t>
      </w:r>
      <w:r w:rsidRPr="002C2D40">
        <w:rPr>
          <w:rFonts w:asciiTheme="minorHAnsi" w:hAnsiTheme="minorHAnsi" w:cs="Helvetica"/>
          <w:sz w:val="24"/>
          <w:szCs w:val="24"/>
        </w:rPr>
        <w:t xml:space="preserve">e </w:t>
      </w:r>
      <w:r w:rsidR="00B4543A">
        <w:rPr>
          <w:rFonts w:asciiTheme="minorHAnsi" w:hAnsiTheme="minorHAnsi" w:cs="Helvetica"/>
          <w:sz w:val="24"/>
          <w:szCs w:val="24"/>
          <w:lang w:val="pl-PL"/>
        </w:rPr>
        <w:t>d</w:t>
      </w:r>
      <w:r w:rsidRPr="002C2D40">
        <w:rPr>
          <w:rFonts w:asciiTheme="minorHAnsi" w:hAnsiTheme="minorHAnsi" w:cs="Helvetica"/>
          <w:sz w:val="24"/>
          <w:szCs w:val="24"/>
        </w:rPr>
        <w:t>o bezzwłoczne</w:t>
      </w:r>
      <w:r w:rsidR="00B4543A">
        <w:rPr>
          <w:rFonts w:asciiTheme="minorHAnsi" w:hAnsiTheme="minorHAnsi" w:cs="Helvetica"/>
          <w:sz w:val="24"/>
          <w:szCs w:val="24"/>
          <w:lang w:val="pl-PL"/>
        </w:rPr>
        <w:t>go</w:t>
      </w:r>
      <w:r w:rsidRPr="002C2D40">
        <w:rPr>
          <w:rFonts w:asciiTheme="minorHAnsi" w:hAnsiTheme="minorHAnsi" w:cs="Helvetica"/>
          <w:sz w:val="24"/>
          <w:szCs w:val="24"/>
        </w:rPr>
        <w:t xml:space="preserve"> zakończeni</w:t>
      </w:r>
      <w:r w:rsidR="00B4543A">
        <w:rPr>
          <w:rFonts w:asciiTheme="minorHAnsi" w:hAnsiTheme="minorHAnsi" w:cs="Helvetica"/>
          <w:sz w:val="24"/>
          <w:szCs w:val="24"/>
          <w:lang w:val="pl-PL"/>
        </w:rPr>
        <w:t>a</w:t>
      </w:r>
      <w:r w:rsidRPr="002C2D40">
        <w:rPr>
          <w:rFonts w:asciiTheme="minorHAnsi" w:hAnsiTheme="minorHAnsi" w:cs="Helvetica"/>
          <w:sz w:val="24"/>
          <w:szCs w:val="24"/>
        </w:rPr>
        <w:t xml:space="preserve"> oceny skutków zmian w Kodeksie postępowania administracyjnego przewidzianych na 2020 r. oraz przedstawieni</w:t>
      </w:r>
      <w:r w:rsidR="00B4543A">
        <w:rPr>
          <w:rFonts w:asciiTheme="minorHAnsi" w:hAnsiTheme="minorHAnsi" w:cs="Helvetica"/>
          <w:sz w:val="24"/>
          <w:szCs w:val="24"/>
          <w:lang w:val="pl-PL"/>
        </w:rPr>
        <w:t>a</w:t>
      </w:r>
      <w:r w:rsidRPr="002C2D40">
        <w:rPr>
          <w:rFonts w:asciiTheme="minorHAnsi" w:hAnsiTheme="minorHAnsi" w:cs="Helvetica"/>
          <w:sz w:val="24"/>
          <w:szCs w:val="24"/>
        </w:rPr>
        <w:t xml:space="preserve"> Komitetowi wszechstronnej oceny praktycznego wpływu już wdrożonych środków; </w:t>
      </w:r>
      <w:r w:rsidR="00B4543A">
        <w:rPr>
          <w:rFonts w:asciiTheme="minorHAnsi" w:hAnsiTheme="minorHAnsi" w:cs="Helvetica"/>
          <w:sz w:val="24"/>
          <w:szCs w:val="24"/>
          <w:lang w:val="pl-PL"/>
        </w:rPr>
        <w:t xml:space="preserve">zapraszają </w:t>
      </w:r>
      <w:r w:rsidRPr="002C2D40">
        <w:rPr>
          <w:rFonts w:asciiTheme="minorHAnsi" w:hAnsiTheme="minorHAnsi" w:cs="Helvetica"/>
          <w:sz w:val="24"/>
          <w:szCs w:val="24"/>
        </w:rPr>
        <w:t xml:space="preserve">także </w:t>
      </w:r>
      <w:r w:rsidR="00B4543A">
        <w:rPr>
          <w:rFonts w:asciiTheme="minorHAnsi" w:hAnsiTheme="minorHAnsi" w:cs="Helvetica"/>
          <w:sz w:val="24"/>
          <w:szCs w:val="24"/>
          <w:lang w:val="pl-PL"/>
        </w:rPr>
        <w:t>d</w:t>
      </w:r>
      <w:r w:rsidRPr="002C2D40">
        <w:rPr>
          <w:rFonts w:asciiTheme="minorHAnsi" w:hAnsiTheme="minorHAnsi" w:cs="Helvetica"/>
          <w:sz w:val="24"/>
          <w:szCs w:val="24"/>
        </w:rPr>
        <w:t>o złożeni</w:t>
      </w:r>
      <w:r w:rsidR="00B4543A">
        <w:rPr>
          <w:rFonts w:asciiTheme="minorHAnsi" w:hAnsiTheme="minorHAnsi" w:cs="Helvetica"/>
          <w:sz w:val="24"/>
          <w:szCs w:val="24"/>
          <w:lang w:val="pl-PL"/>
        </w:rPr>
        <w:t>a</w:t>
      </w:r>
      <w:r w:rsidRPr="002C2D40">
        <w:rPr>
          <w:rFonts w:asciiTheme="minorHAnsi" w:hAnsiTheme="minorHAnsi" w:cs="Helvetica"/>
          <w:sz w:val="24"/>
          <w:szCs w:val="24"/>
        </w:rPr>
        <w:t xml:space="preserve"> wyjaśnień co do przyczyn wzrostu liczby skarg na bezczynność i przewlekłość postępowań przed organami administracyjnymi oraz w zakresie zaległości w sprawach przed sądami administracyjnymi i Naczelnym Sądem Administracyjnym;</w:t>
      </w:r>
    </w:p>
    <w:p w:rsidR="00D07F92" w:rsidRPr="002C2D40" w:rsidRDefault="00D07F92" w:rsidP="00373128">
      <w:pPr>
        <w:pStyle w:val="Akapitzlist"/>
        <w:numPr>
          <w:ilvl w:val="0"/>
          <w:numId w:val="14"/>
        </w:numPr>
        <w:spacing w:before="120" w:after="0" w:line="240" w:lineRule="auto"/>
        <w:ind w:left="709" w:hanging="425"/>
        <w:jc w:val="both"/>
        <w:rPr>
          <w:rFonts w:asciiTheme="minorHAnsi" w:hAnsiTheme="minorHAnsi" w:cs="Helvetica"/>
          <w:sz w:val="24"/>
          <w:szCs w:val="24"/>
        </w:rPr>
      </w:pPr>
      <w:r w:rsidRPr="002C2D40">
        <w:rPr>
          <w:rFonts w:asciiTheme="minorHAnsi" w:hAnsiTheme="minorHAnsi" w:cs="Helvetica"/>
          <w:sz w:val="24"/>
          <w:szCs w:val="24"/>
        </w:rPr>
        <w:t xml:space="preserve">odnotowują z zaniepokojeniem wskazanie władz, że istniejące środki odwoławcze nie przewidują możliwości uwzględnienia długości postępowań przed organami administracyjnymi przy ocenie całkowitej długości postępowań administracyjnych; </w:t>
      </w:r>
      <w:r w:rsidR="00B4543A">
        <w:rPr>
          <w:rFonts w:asciiTheme="minorHAnsi" w:hAnsiTheme="minorHAnsi" w:cs="Helvetica"/>
          <w:sz w:val="24"/>
          <w:szCs w:val="24"/>
          <w:lang w:val="pl-PL"/>
        </w:rPr>
        <w:t xml:space="preserve">zwracają </w:t>
      </w:r>
      <w:r w:rsidRPr="002C2D40">
        <w:rPr>
          <w:rFonts w:asciiTheme="minorHAnsi" w:hAnsiTheme="minorHAnsi" w:cs="Helvetica"/>
          <w:sz w:val="24"/>
          <w:szCs w:val="24"/>
        </w:rPr>
        <w:t xml:space="preserve">się w związku z tym do władz o zastanowienie się, jak dostosować praktykę krajową do wymogów orzecznictwa Europejskiego Trybunału w </w:t>
      </w:r>
      <w:r w:rsidR="00B4543A">
        <w:rPr>
          <w:rFonts w:asciiTheme="minorHAnsi" w:hAnsiTheme="minorHAnsi" w:cs="Helvetica"/>
          <w:sz w:val="24"/>
          <w:szCs w:val="24"/>
          <w:lang w:val="pl-PL"/>
        </w:rPr>
        <w:t>tym zakresie</w:t>
      </w:r>
      <w:r w:rsidRPr="002C2D40">
        <w:rPr>
          <w:rFonts w:asciiTheme="minorHAnsi" w:hAnsiTheme="minorHAnsi" w:cs="Helvetica"/>
          <w:sz w:val="24"/>
          <w:szCs w:val="24"/>
        </w:rPr>
        <w:t xml:space="preserve"> oraz o poinformowanie Komitetu o środkach podjętych w tym celu;</w:t>
      </w:r>
    </w:p>
    <w:p w:rsidR="00D07F92" w:rsidRDefault="00B4543A" w:rsidP="00373128">
      <w:pPr>
        <w:pStyle w:val="Akapitzlist"/>
        <w:numPr>
          <w:ilvl w:val="0"/>
          <w:numId w:val="14"/>
        </w:numPr>
        <w:spacing w:before="120" w:after="0" w:line="240" w:lineRule="auto"/>
        <w:ind w:left="709" w:hanging="425"/>
        <w:jc w:val="both"/>
        <w:rPr>
          <w:rFonts w:asciiTheme="minorHAnsi" w:hAnsiTheme="minorHAnsi" w:cs="Helvetica"/>
          <w:sz w:val="24"/>
          <w:szCs w:val="24"/>
        </w:rPr>
      </w:pPr>
      <w:r>
        <w:rPr>
          <w:rFonts w:asciiTheme="minorHAnsi" w:hAnsiTheme="minorHAnsi" w:cs="Helvetica"/>
          <w:sz w:val="24"/>
          <w:szCs w:val="24"/>
          <w:lang w:val="pl-PL"/>
        </w:rPr>
        <w:t>decydują</w:t>
      </w:r>
      <w:r w:rsidR="00D07F92" w:rsidRPr="002C2D40">
        <w:rPr>
          <w:rFonts w:asciiTheme="minorHAnsi" w:hAnsiTheme="minorHAnsi" w:cs="Helvetica"/>
          <w:sz w:val="24"/>
          <w:szCs w:val="24"/>
        </w:rPr>
        <w:t xml:space="preserve"> o zamknięciu trzech powtarzalnych spraw, w których nie są konieczne dalsze środki indywidualne i przyj</w:t>
      </w:r>
      <w:r>
        <w:rPr>
          <w:rFonts w:asciiTheme="minorHAnsi" w:hAnsiTheme="minorHAnsi" w:cs="Helvetica"/>
          <w:sz w:val="24"/>
          <w:szCs w:val="24"/>
          <w:lang w:val="pl-PL"/>
        </w:rPr>
        <w:t xml:space="preserve">mują </w:t>
      </w:r>
      <w:r w:rsidR="00D07F92" w:rsidRPr="002C2D40">
        <w:rPr>
          <w:rFonts w:asciiTheme="minorHAnsi" w:hAnsiTheme="minorHAnsi" w:cs="Helvetica"/>
          <w:sz w:val="24"/>
          <w:szCs w:val="24"/>
        </w:rPr>
        <w:t>rezolucj</w:t>
      </w:r>
      <w:r>
        <w:rPr>
          <w:rFonts w:asciiTheme="minorHAnsi" w:hAnsiTheme="minorHAnsi" w:cs="Helvetica"/>
          <w:sz w:val="24"/>
          <w:szCs w:val="24"/>
          <w:lang w:val="pl-PL"/>
        </w:rPr>
        <w:t>ę</w:t>
      </w:r>
      <w:r w:rsidR="00D07F92" w:rsidRPr="002C2D40">
        <w:rPr>
          <w:rFonts w:asciiTheme="minorHAnsi" w:hAnsiTheme="minorHAnsi" w:cs="Helvetica"/>
          <w:sz w:val="24"/>
          <w:szCs w:val="24"/>
        </w:rPr>
        <w:t xml:space="preserve"> końcową CM/ResDH(2020)182.</w:t>
      </w:r>
    </w:p>
    <w:p w:rsidR="00B4543A" w:rsidRPr="002C2D40" w:rsidRDefault="00B4543A" w:rsidP="00373128">
      <w:pPr>
        <w:pStyle w:val="Akapitzlist"/>
        <w:spacing w:before="120" w:after="0" w:line="240" w:lineRule="auto"/>
        <w:ind w:left="709" w:hanging="425"/>
        <w:jc w:val="both"/>
        <w:rPr>
          <w:rFonts w:asciiTheme="minorHAnsi" w:hAnsiTheme="minorHAnsi" w:cs="Helvetica"/>
          <w:sz w:val="24"/>
          <w:szCs w:val="24"/>
        </w:rPr>
      </w:pPr>
    </w:p>
    <w:p w:rsidR="00D07F92" w:rsidRPr="002C2D40" w:rsidRDefault="00B4543A" w:rsidP="00373128">
      <w:pPr>
        <w:pStyle w:val="Akapitzlist"/>
        <w:numPr>
          <w:ilvl w:val="0"/>
          <w:numId w:val="9"/>
        </w:numPr>
        <w:shd w:val="clear" w:color="auto" w:fill="FFFFFF"/>
        <w:spacing w:before="120" w:line="240" w:lineRule="auto"/>
        <w:ind w:left="1134" w:hanging="426"/>
        <w:jc w:val="both"/>
        <w:rPr>
          <w:rFonts w:asciiTheme="minorHAnsi" w:hAnsiTheme="minorHAnsi" w:cs="Helvetica"/>
          <w:sz w:val="24"/>
          <w:szCs w:val="24"/>
        </w:rPr>
      </w:pPr>
      <w:r>
        <w:rPr>
          <w:rFonts w:asciiTheme="minorHAnsi" w:hAnsiTheme="minorHAnsi" w:cs="Helvetica"/>
          <w:sz w:val="24"/>
          <w:szCs w:val="24"/>
          <w:lang w:val="pl-PL"/>
        </w:rPr>
        <w:t>D</w:t>
      </w:r>
      <w:r w:rsidR="00D07F92" w:rsidRPr="002C2D40">
        <w:rPr>
          <w:rFonts w:asciiTheme="minorHAnsi" w:hAnsiTheme="minorHAnsi" w:cs="Helvetica"/>
          <w:sz w:val="24"/>
          <w:szCs w:val="24"/>
        </w:rPr>
        <w:t xml:space="preserve">ecyzja z dnia 3 grudnia 2020 r. w sprawach </w:t>
      </w:r>
      <w:r w:rsidR="00D07F92" w:rsidRPr="002C2D40">
        <w:rPr>
          <w:rFonts w:asciiTheme="minorHAnsi" w:hAnsiTheme="minorHAnsi" w:cs="Helvetica"/>
          <w:i/>
          <w:sz w:val="24"/>
          <w:szCs w:val="24"/>
        </w:rPr>
        <w:t>Al Nashiri p. Polsce i Abu Zubaydah p. Polsce</w:t>
      </w:r>
      <w:r w:rsidR="00D07F92" w:rsidRPr="002C2D40">
        <w:rPr>
          <w:rFonts w:asciiTheme="minorHAnsi" w:hAnsiTheme="minorHAnsi" w:cs="Helvetica"/>
          <w:sz w:val="24"/>
          <w:szCs w:val="24"/>
        </w:rPr>
        <w:t xml:space="preserve"> (CM/Del/Dec(2020)1390/H46-16), w której delegacji do KM: </w:t>
      </w:r>
    </w:p>
    <w:p w:rsidR="00D07F92" w:rsidRPr="002C2D40" w:rsidRDefault="00D07F92" w:rsidP="00373128">
      <w:pPr>
        <w:pStyle w:val="Akapitzlist"/>
        <w:numPr>
          <w:ilvl w:val="0"/>
          <w:numId w:val="15"/>
        </w:numPr>
        <w:spacing w:before="120" w:after="0" w:line="240" w:lineRule="auto"/>
        <w:ind w:left="709" w:hanging="425"/>
        <w:jc w:val="both"/>
        <w:rPr>
          <w:rFonts w:asciiTheme="minorHAnsi" w:hAnsiTheme="minorHAnsi"/>
          <w:sz w:val="24"/>
          <w:szCs w:val="24"/>
        </w:rPr>
      </w:pPr>
      <w:r w:rsidRPr="002C2D40">
        <w:rPr>
          <w:rFonts w:asciiTheme="minorHAnsi" w:hAnsiTheme="minorHAnsi" w:cs="Helvetica"/>
          <w:sz w:val="24"/>
          <w:szCs w:val="24"/>
        </w:rPr>
        <w:t>przypominają</w:t>
      </w:r>
      <w:r w:rsidR="00FE67B7">
        <w:rPr>
          <w:rFonts w:asciiTheme="minorHAnsi" w:hAnsiTheme="minorHAnsi" w:cs="Helvetica"/>
          <w:sz w:val="24"/>
          <w:szCs w:val="24"/>
          <w:lang w:val="pl-PL"/>
        </w:rPr>
        <w:t>c</w:t>
      </w:r>
      <w:r w:rsidRPr="002C2D40">
        <w:rPr>
          <w:rFonts w:asciiTheme="minorHAnsi" w:hAnsiTheme="minorHAnsi" w:cs="Helvetica"/>
          <w:sz w:val="24"/>
          <w:szCs w:val="24"/>
        </w:rPr>
        <w:t>, że w tych wyrokach Trybunał Europejski stwierdził odpowiedzialność</w:t>
      </w:r>
      <w:r w:rsidRPr="002C2D40">
        <w:rPr>
          <w:rFonts w:asciiTheme="minorHAnsi" w:hAnsiTheme="minorHAnsi"/>
          <w:sz w:val="24"/>
          <w:szCs w:val="24"/>
        </w:rPr>
        <w:t xml:space="preserve"> Polski wynikającą z Konwencji ze względu na wiedzę władz i ich zaangażowanie w realizację Programu CIA</w:t>
      </w:r>
      <w:r w:rsidR="00297924">
        <w:rPr>
          <w:rFonts w:asciiTheme="minorHAnsi" w:hAnsiTheme="minorHAnsi"/>
          <w:sz w:val="24"/>
          <w:szCs w:val="24"/>
          <w:lang w:val="pl-PL"/>
        </w:rPr>
        <w:t xml:space="preserve"> „High-Value Detainees” (HVD - </w:t>
      </w:r>
      <w:r w:rsidR="00297924" w:rsidRPr="002C2D40">
        <w:rPr>
          <w:rFonts w:asciiTheme="minorHAnsi" w:hAnsiTheme="minorHAnsi"/>
          <w:sz w:val="24"/>
          <w:szCs w:val="24"/>
          <w:lang w:val="pl-PL"/>
        </w:rPr>
        <w:t>szczególnie ważnych wi</w:t>
      </w:r>
      <w:r w:rsidR="00297924">
        <w:rPr>
          <w:rFonts w:asciiTheme="minorHAnsi" w:hAnsiTheme="minorHAnsi"/>
          <w:sz w:val="24"/>
          <w:szCs w:val="24"/>
          <w:lang w:val="pl-PL"/>
        </w:rPr>
        <w:t>ęźniów</w:t>
      </w:r>
      <w:r w:rsidR="00297924" w:rsidRPr="002C2D40">
        <w:rPr>
          <w:rFonts w:asciiTheme="minorHAnsi" w:hAnsiTheme="minorHAnsi"/>
          <w:sz w:val="24"/>
          <w:szCs w:val="24"/>
          <w:lang w:val="pl-PL"/>
        </w:rPr>
        <w:t>)</w:t>
      </w:r>
      <w:r w:rsidRPr="002C2D40">
        <w:rPr>
          <w:rFonts w:asciiTheme="minorHAnsi" w:hAnsiTheme="minorHAnsi"/>
          <w:sz w:val="24"/>
          <w:szCs w:val="24"/>
        </w:rPr>
        <w:t xml:space="preserve"> i stwierdził poważne naruszenia przez Polskę </w:t>
      </w:r>
      <w:r w:rsidR="00297924">
        <w:rPr>
          <w:rFonts w:asciiTheme="minorHAnsi" w:hAnsiTheme="minorHAnsi"/>
          <w:sz w:val="24"/>
          <w:szCs w:val="24"/>
          <w:lang w:val="pl-PL"/>
        </w:rPr>
        <w:t>szeregu</w:t>
      </w:r>
      <w:r w:rsidRPr="002C2D40">
        <w:rPr>
          <w:rFonts w:asciiTheme="minorHAnsi" w:hAnsiTheme="minorHAnsi"/>
          <w:sz w:val="24"/>
          <w:szCs w:val="24"/>
        </w:rPr>
        <w:t xml:space="preserve"> praw </w:t>
      </w:r>
      <w:r w:rsidR="00297924">
        <w:rPr>
          <w:rFonts w:asciiTheme="minorHAnsi" w:hAnsiTheme="minorHAnsi"/>
          <w:sz w:val="24"/>
          <w:szCs w:val="24"/>
          <w:lang w:val="pl-PL"/>
        </w:rPr>
        <w:t>chronionych</w:t>
      </w:r>
      <w:r w:rsidRPr="002C2D40">
        <w:rPr>
          <w:rFonts w:asciiTheme="minorHAnsi" w:hAnsiTheme="minorHAnsi"/>
          <w:sz w:val="24"/>
          <w:szCs w:val="24"/>
        </w:rPr>
        <w:t xml:space="preserve"> Konwencj</w:t>
      </w:r>
      <w:r w:rsidR="00297924">
        <w:rPr>
          <w:rFonts w:asciiTheme="minorHAnsi" w:hAnsiTheme="minorHAnsi"/>
          <w:sz w:val="24"/>
          <w:szCs w:val="24"/>
          <w:lang w:val="pl-PL"/>
        </w:rPr>
        <w:t>ą</w:t>
      </w:r>
      <w:r w:rsidRPr="002C2D40">
        <w:rPr>
          <w:rFonts w:asciiTheme="minorHAnsi" w:hAnsiTheme="minorHAnsi"/>
          <w:sz w:val="24"/>
          <w:szCs w:val="24"/>
        </w:rPr>
        <w:t xml:space="preserve"> w kontekście operacji „wydawania w trybie nadzwyczajnym”, które umożliwiły CIA bezprawne </w:t>
      </w:r>
      <w:r w:rsidR="00297924">
        <w:rPr>
          <w:rFonts w:asciiTheme="minorHAnsi" w:hAnsiTheme="minorHAnsi"/>
          <w:sz w:val="24"/>
          <w:szCs w:val="24"/>
          <w:lang w:val="pl-PL"/>
        </w:rPr>
        <w:t xml:space="preserve">sprowadzenie </w:t>
      </w:r>
      <w:r w:rsidRPr="002C2D40">
        <w:rPr>
          <w:rFonts w:asciiTheme="minorHAnsi" w:hAnsiTheme="minorHAnsi"/>
          <w:sz w:val="24"/>
          <w:szCs w:val="24"/>
        </w:rPr>
        <w:t xml:space="preserve">skarżących </w:t>
      </w:r>
      <w:r w:rsidR="00297924">
        <w:rPr>
          <w:rFonts w:asciiTheme="minorHAnsi" w:hAnsiTheme="minorHAnsi"/>
          <w:sz w:val="24"/>
          <w:szCs w:val="24"/>
          <w:lang w:val="pl-PL"/>
        </w:rPr>
        <w:t xml:space="preserve">pod </w:t>
      </w:r>
      <w:r w:rsidRPr="002C2D40">
        <w:rPr>
          <w:rFonts w:asciiTheme="minorHAnsi" w:hAnsiTheme="minorHAnsi"/>
          <w:sz w:val="24"/>
          <w:szCs w:val="24"/>
        </w:rPr>
        <w:t>jurysdykcj</w:t>
      </w:r>
      <w:r w:rsidR="00297924">
        <w:rPr>
          <w:rFonts w:asciiTheme="minorHAnsi" w:hAnsiTheme="minorHAnsi"/>
          <w:sz w:val="24"/>
          <w:szCs w:val="24"/>
          <w:lang w:val="pl-PL"/>
        </w:rPr>
        <w:t>ę</w:t>
      </w:r>
      <w:r w:rsidR="00373128">
        <w:rPr>
          <w:rFonts w:asciiTheme="minorHAnsi" w:hAnsiTheme="minorHAnsi"/>
          <w:sz w:val="24"/>
          <w:szCs w:val="24"/>
        </w:rPr>
        <w:t xml:space="preserve"> Stanów Zjednoczonych;</w:t>
      </w:r>
    </w:p>
    <w:p w:rsidR="00D07F92" w:rsidRPr="002C2D40" w:rsidRDefault="00D07F92" w:rsidP="002C2D40">
      <w:pPr>
        <w:shd w:val="clear" w:color="auto" w:fill="FFFFFF"/>
        <w:spacing w:before="120"/>
        <w:jc w:val="both"/>
        <w:rPr>
          <w:rFonts w:asciiTheme="minorHAnsi" w:hAnsiTheme="minorHAnsi"/>
          <w:i/>
        </w:rPr>
      </w:pPr>
      <w:r w:rsidRPr="002C2D40">
        <w:rPr>
          <w:rFonts w:asciiTheme="minorHAnsi" w:hAnsiTheme="minorHAnsi"/>
          <w:i/>
        </w:rPr>
        <w:t xml:space="preserve">W odniesieniu do środków indywidualnych </w:t>
      </w:r>
    </w:p>
    <w:p w:rsidR="00D07F92" w:rsidRPr="002C2D40" w:rsidRDefault="00D07F92" w:rsidP="00373128">
      <w:pPr>
        <w:pStyle w:val="Akapitzlist"/>
        <w:numPr>
          <w:ilvl w:val="0"/>
          <w:numId w:val="15"/>
        </w:numPr>
        <w:spacing w:before="120" w:after="0" w:line="240" w:lineRule="auto"/>
        <w:ind w:left="709" w:hanging="425"/>
        <w:jc w:val="both"/>
        <w:rPr>
          <w:rFonts w:asciiTheme="minorHAnsi" w:hAnsiTheme="minorHAnsi"/>
          <w:sz w:val="24"/>
          <w:szCs w:val="24"/>
        </w:rPr>
      </w:pPr>
      <w:r w:rsidRPr="002C2D40">
        <w:rPr>
          <w:rFonts w:asciiTheme="minorHAnsi" w:hAnsiTheme="minorHAnsi"/>
          <w:sz w:val="24"/>
          <w:szCs w:val="24"/>
        </w:rPr>
        <w:t xml:space="preserve">przypominając dalej, </w:t>
      </w:r>
      <w:r w:rsidR="00297924" w:rsidRPr="002C2D40">
        <w:rPr>
          <w:rFonts w:asciiTheme="minorHAnsi" w:hAnsiTheme="minorHAnsi"/>
          <w:sz w:val="24"/>
          <w:szCs w:val="24"/>
        </w:rPr>
        <w:t>że konsekwencje naruszeń Konwencji dla skarżących nie zostały naprawione</w:t>
      </w:r>
      <w:r w:rsidR="00297924">
        <w:rPr>
          <w:rFonts w:asciiTheme="minorHAnsi" w:hAnsiTheme="minorHAnsi"/>
          <w:sz w:val="24"/>
          <w:szCs w:val="24"/>
          <w:lang w:val="pl-PL"/>
        </w:rPr>
        <w:t>,</w:t>
      </w:r>
      <w:r w:rsidR="00297924" w:rsidRPr="002C2D40">
        <w:rPr>
          <w:rFonts w:asciiTheme="minorHAnsi" w:hAnsiTheme="minorHAnsi"/>
          <w:sz w:val="24"/>
          <w:szCs w:val="24"/>
        </w:rPr>
        <w:t xml:space="preserve"> </w:t>
      </w:r>
      <w:r w:rsidR="00297924">
        <w:rPr>
          <w:rFonts w:asciiTheme="minorHAnsi" w:hAnsiTheme="minorHAnsi"/>
          <w:sz w:val="24"/>
          <w:szCs w:val="24"/>
          <w:lang w:val="pl-PL"/>
        </w:rPr>
        <w:t>ponieważ</w:t>
      </w:r>
      <w:r w:rsidR="00297924" w:rsidRPr="002C2D40">
        <w:rPr>
          <w:rFonts w:asciiTheme="minorHAnsi" w:hAnsiTheme="minorHAnsi"/>
          <w:sz w:val="24"/>
          <w:szCs w:val="24"/>
        </w:rPr>
        <w:t xml:space="preserve"> pan Al Nashiri </w:t>
      </w:r>
      <w:r w:rsidR="00297924">
        <w:rPr>
          <w:rFonts w:asciiTheme="minorHAnsi" w:hAnsiTheme="minorHAnsi"/>
          <w:sz w:val="24"/>
          <w:szCs w:val="24"/>
          <w:lang w:val="pl-PL"/>
        </w:rPr>
        <w:t xml:space="preserve">podlega ryzyku </w:t>
      </w:r>
      <w:r w:rsidR="00297924" w:rsidRPr="002C2D40">
        <w:rPr>
          <w:rFonts w:asciiTheme="minorHAnsi" w:hAnsiTheme="minorHAnsi"/>
          <w:sz w:val="24"/>
          <w:szCs w:val="24"/>
        </w:rPr>
        <w:t>rażąc</w:t>
      </w:r>
      <w:r w:rsidR="00297924">
        <w:rPr>
          <w:rFonts w:asciiTheme="minorHAnsi" w:hAnsiTheme="minorHAnsi"/>
          <w:sz w:val="24"/>
          <w:szCs w:val="24"/>
          <w:lang w:val="pl-PL"/>
        </w:rPr>
        <w:t>ej</w:t>
      </w:r>
      <w:r w:rsidR="00297924">
        <w:rPr>
          <w:rFonts w:asciiTheme="minorHAnsi" w:hAnsiTheme="minorHAnsi"/>
          <w:sz w:val="24"/>
          <w:szCs w:val="24"/>
        </w:rPr>
        <w:t xml:space="preserve"> odmowy</w:t>
      </w:r>
      <w:r w:rsidR="00297924" w:rsidRPr="002C2D40">
        <w:rPr>
          <w:rFonts w:asciiTheme="minorHAnsi" w:hAnsiTheme="minorHAnsi"/>
          <w:sz w:val="24"/>
          <w:szCs w:val="24"/>
        </w:rPr>
        <w:t xml:space="preserve"> sprawiedliwości w postępowaniu przed komisją wojskową </w:t>
      </w:r>
      <w:r w:rsidR="00297924">
        <w:rPr>
          <w:rFonts w:asciiTheme="minorHAnsi" w:hAnsiTheme="minorHAnsi"/>
          <w:sz w:val="24"/>
          <w:szCs w:val="24"/>
          <w:lang w:val="pl-PL"/>
        </w:rPr>
        <w:t xml:space="preserve">oraz podlega ryzyku zastosowania </w:t>
      </w:r>
      <w:r w:rsidR="00297924" w:rsidRPr="002C2D40">
        <w:rPr>
          <w:rFonts w:asciiTheme="minorHAnsi" w:hAnsiTheme="minorHAnsi"/>
          <w:sz w:val="24"/>
          <w:szCs w:val="24"/>
        </w:rPr>
        <w:t>kar</w:t>
      </w:r>
      <w:r w:rsidR="00297924">
        <w:rPr>
          <w:rFonts w:asciiTheme="minorHAnsi" w:hAnsiTheme="minorHAnsi"/>
          <w:sz w:val="24"/>
          <w:szCs w:val="24"/>
          <w:lang w:val="pl-PL"/>
        </w:rPr>
        <w:t>y</w:t>
      </w:r>
      <w:r w:rsidR="00297924" w:rsidRPr="002C2D40">
        <w:rPr>
          <w:rFonts w:asciiTheme="minorHAnsi" w:hAnsiTheme="minorHAnsi"/>
          <w:sz w:val="24"/>
          <w:szCs w:val="24"/>
        </w:rPr>
        <w:t xml:space="preserve"> śmierci, a pan Abu Zubaydah pozostaje poddany rażącej odmowie sprawiedliwości, w szczególności z powodu jego „bezterminowego aresztowania” </w:t>
      </w:r>
      <w:r w:rsidR="00297924">
        <w:rPr>
          <w:rFonts w:asciiTheme="minorHAnsi" w:hAnsiTheme="minorHAnsi"/>
          <w:sz w:val="24"/>
          <w:szCs w:val="24"/>
          <w:lang w:val="pl-PL"/>
        </w:rPr>
        <w:t xml:space="preserve">bez postawienia zarzutów </w:t>
      </w:r>
      <w:r w:rsidR="00297924" w:rsidRPr="002C2D40">
        <w:rPr>
          <w:rFonts w:asciiTheme="minorHAnsi" w:hAnsiTheme="minorHAnsi"/>
          <w:sz w:val="24"/>
          <w:szCs w:val="24"/>
        </w:rPr>
        <w:t>od 2002</w:t>
      </w:r>
      <w:r w:rsidR="00297924">
        <w:rPr>
          <w:rFonts w:asciiTheme="minorHAnsi" w:hAnsiTheme="minorHAnsi"/>
          <w:sz w:val="24"/>
          <w:szCs w:val="24"/>
          <w:lang w:val="pl-PL"/>
        </w:rPr>
        <w:t xml:space="preserve"> r.</w:t>
      </w:r>
      <w:r w:rsidR="00297924" w:rsidRPr="002C2D40">
        <w:rPr>
          <w:rFonts w:asciiTheme="minorHAnsi" w:hAnsiTheme="minorHAnsi"/>
          <w:sz w:val="24"/>
          <w:szCs w:val="24"/>
        </w:rPr>
        <w:t>;</w:t>
      </w:r>
    </w:p>
    <w:p w:rsidR="00D07F92" w:rsidRPr="002C2D40" w:rsidRDefault="00D07F92" w:rsidP="00373128">
      <w:pPr>
        <w:pStyle w:val="Akapitzlist"/>
        <w:numPr>
          <w:ilvl w:val="0"/>
          <w:numId w:val="15"/>
        </w:numPr>
        <w:spacing w:before="120" w:after="0" w:line="240" w:lineRule="auto"/>
        <w:ind w:left="709" w:hanging="425"/>
        <w:jc w:val="both"/>
        <w:rPr>
          <w:rFonts w:asciiTheme="minorHAnsi" w:hAnsiTheme="minorHAnsi" w:cs="Helvetica"/>
          <w:sz w:val="24"/>
          <w:szCs w:val="24"/>
        </w:rPr>
      </w:pPr>
      <w:r w:rsidRPr="002C2D40">
        <w:rPr>
          <w:rFonts w:asciiTheme="minorHAnsi" w:hAnsiTheme="minorHAnsi" w:cs="Helvetica"/>
          <w:sz w:val="24"/>
          <w:szCs w:val="24"/>
        </w:rPr>
        <w:t>podkreślając raz jeszcze swój zdecydowany, jednoznaczny sprzeciw wobec kary śmierci, wyrazili głębokie zaniepokojenie tym, że władze Stanów Zjednoczonych utrzymują swoje stanowisko, aby nie popierać wniosków o zapewnienie</w:t>
      </w:r>
      <w:r w:rsidR="00297924">
        <w:rPr>
          <w:rFonts w:asciiTheme="minorHAnsi" w:hAnsiTheme="minorHAnsi" w:cs="Helvetica"/>
          <w:sz w:val="24"/>
          <w:szCs w:val="24"/>
          <w:lang w:val="pl-PL"/>
        </w:rPr>
        <w:t xml:space="preserve"> gwarancji </w:t>
      </w:r>
      <w:r w:rsidRPr="002C2D40">
        <w:rPr>
          <w:rFonts w:asciiTheme="minorHAnsi" w:hAnsiTheme="minorHAnsi" w:cs="Helvetica"/>
          <w:sz w:val="24"/>
          <w:szCs w:val="24"/>
        </w:rPr>
        <w:t>dyplomatyczn</w:t>
      </w:r>
      <w:r w:rsidR="00297924">
        <w:rPr>
          <w:rFonts w:asciiTheme="minorHAnsi" w:hAnsiTheme="minorHAnsi" w:cs="Helvetica"/>
          <w:sz w:val="24"/>
          <w:szCs w:val="24"/>
          <w:lang w:val="pl-PL"/>
        </w:rPr>
        <w:t>ych</w:t>
      </w:r>
      <w:r w:rsidRPr="002C2D40">
        <w:rPr>
          <w:rFonts w:asciiTheme="minorHAnsi" w:hAnsiTheme="minorHAnsi" w:cs="Helvetica"/>
          <w:sz w:val="24"/>
          <w:szCs w:val="24"/>
        </w:rPr>
        <w:t xml:space="preserve">, że </w:t>
      </w:r>
      <w:r w:rsidR="00297924">
        <w:rPr>
          <w:rFonts w:asciiTheme="minorHAnsi" w:hAnsiTheme="minorHAnsi" w:cs="Helvetica"/>
          <w:sz w:val="24"/>
          <w:szCs w:val="24"/>
          <w:lang w:val="pl-PL"/>
        </w:rPr>
        <w:t>p</w:t>
      </w:r>
      <w:r w:rsidRPr="002C2D40">
        <w:rPr>
          <w:rFonts w:asciiTheme="minorHAnsi" w:hAnsiTheme="minorHAnsi" w:cs="Helvetica"/>
          <w:sz w:val="24"/>
          <w:szCs w:val="24"/>
        </w:rPr>
        <w:t xml:space="preserve">an Al Nashiri nie zostanie poddany karze śmierci i że żaden ze </w:t>
      </w:r>
      <w:r w:rsidRPr="002C2D40">
        <w:rPr>
          <w:rFonts w:asciiTheme="minorHAnsi" w:hAnsiTheme="minorHAnsi" w:cs="Helvetica"/>
          <w:sz w:val="24"/>
          <w:szCs w:val="24"/>
        </w:rPr>
        <w:lastRenderedPageBreak/>
        <w:t>skarżących nie będzie dalej narażony na rażąc</w:t>
      </w:r>
      <w:r w:rsidR="00297924">
        <w:rPr>
          <w:rFonts w:asciiTheme="minorHAnsi" w:hAnsiTheme="minorHAnsi" w:cs="Helvetica"/>
          <w:sz w:val="24"/>
          <w:szCs w:val="24"/>
          <w:lang w:val="pl-PL"/>
        </w:rPr>
        <w:t>ą odmowę sprawiedliwości</w:t>
      </w:r>
      <w:r w:rsidRPr="002C2D40">
        <w:rPr>
          <w:rFonts w:asciiTheme="minorHAnsi" w:hAnsiTheme="minorHAnsi" w:cs="Helvetica"/>
          <w:sz w:val="24"/>
          <w:szCs w:val="24"/>
        </w:rPr>
        <w:t>, czego dowodem jest decyzja o odrzuceniu kolejnego wniosku polskich władz;</w:t>
      </w:r>
    </w:p>
    <w:p w:rsidR="00D07F92" w:rsidRPr="002C2D40" w:rsidRDefault="00D07F92" w:rsidP="00373128">
      <w:pPr>
        <w:pStyle w:val="Akapitzlist"/>
        <w:numPr>
          <w:ilvl w:val="0"/>
          <w:numId w:val="15"/>
        </w:numPr>
        <w:spacing w:before="120" w:after="0" w:line="240" w:lineRule="auto"/>
        <w:ind w:left="709" w:hanging="425"/>
        <w:jc w:val="both"/>
        <w:rPr>
          <w:rFonts w:asciiTheme="minorHAnsi" w:hAnsiTheme="minorHAnsi" w:cs="Helvetica"/>
          <w:sz w:val="24"/>
          <w:szCs w:val="24"/>
        </w:rPr>
      </w:pPr>
      <w:r w:rsidRPr="002C2D40">
        <w:rPr>
          <w:rFonts w:asciiTheme="minorHAnsi" w:hAnsiTheme="minorHAnsi" w:cs="Helvetica"/>
          <w:sz w:val="24"/>
          <w:szCs w:val="24"/>
        </w:rPr>
        <w:t>odnotowując gotowość władz polskich do rozważenia dalszych działań, uznają, że sytuacja wymaga od nich zaangażowania się w bardziej skuteczny dialog z władzami Stanów Zjednoczonych oraz ustalenia jasnej i spójnej strategii zintensyfikowania wysiłków dyplomatycznych, w tym na wyższym szczeblu; ponownie podkreślają, że w celu wypełnienia zobowiązań wynikających z art. 46 Konwencji władze powinny aktywnie kontynuować wysiłki dyplomatyczne i podejmować wszelkie możliwe środki w celu usunięcia ryzyka ponoszonego przez skarżących</w:t>
      </w:r>
      <w:r w:rsidR="00F314BC" w:rsidRPr="002C2D40">
        <w:rPr>
          <w:rFonts w:asciiTheme="minorHAnsi" w:hAnsiTheme="minorHAnsi" w:cs="Helvetica"/>
          <w:sz w:val="24"/>
          <w:szCs w:val="24"/>
          <w:lang w:val="pl-PL"/>
        </w:rPr>
        <w:t>;</w:t>
      </w:r>
    </w:p>
    <w:p w:rsidR="00D07F92" w:rsidRPr="002C2D40" w:rsidRDefault="00D07F92" w:rsidP="00373128">
      <w:pPr>
        <w:pStyle w:val="Akapitzlist"/>
        <w:numPr>
          <w:ilvl w:val="0"/>
          <w:numId w:val="15"/>
        </w:numPr>
        <w:spacing w:before="120" w:after="0" w:line="240" w:lineRule="auto"/>
        <w:ind w:left="709" w:hanging="425"/>
        <w:jc w:val="both"/>
        <w:rPr>
          <w:rFonts w:asciiTheme="minorHAnsi" w:hAnsiTheme="minorHAnsi"/>
          <w:sz w:val="24"/>
          <w:szCs w:val="24"/>
        </w:rPr>
      </w:pPr>
      <w:r w:rsidRPr="002C2D40">
        <w:rPr>
          <w:rFonts w:asciiTheme="minorHAnsi" w:hAnsiTheme="minorHAnsi"/>
          <w:sz w:val="24"/>
          <w:szCs w:val="24"/>
        </w:rPr>
        <w:t xml:space="preserve">w świetle poprzednich nieudanych prób Polski oraz tych podejmowanych przez inne zainteresowane państwa członkowskie Rady Europy, pomimo ich starań o uzyskanie gwarancji dla skarżących, zachęcają polskie władze, aby rozważyły inne drogi, które umożliwiłyby im poszukiwanie usunięcia tych ryzyk, np. interweniowanie jako </w:t>
      </w:r>
      <w:r w:rsidRPr="00297924">
        <w:rPr>
          <w:rFonts w:asciiTheme="minorHAnsi" w:hAnsiTheme="minorHAnsi"/>
          <w:i/>
          <w:sz w:val="24"/>
          <w:szCs w:val="24"/>
        </w:rPr>
        <w:t>amicus curiae</w:t>
      </w:r>
      <w:r w:rsidRPr="002C2D40">
        <w:rPr>
          <w:rFonts w:asciiTheme="minorHAnsi" w:hAnsiTheme="minorHAnsi"/>
          <w:sz w:val="24"/>
          <w:szCs w:val="24"/>
        </w:rPr>
        <w:t xml:space="preserve"> we wszelkich odpowiednich postępowaniach toczących się w Stanach Zjednoczonych; w tym kontekście ponawiają prośbę do zainteresowanych państw członkowskich Rady Europy o udzielenie polskim władzom wszelkiej możliwej pomocy;</w:t>
      </w:r>
    </w:p>
    <w:p w:rsidR="00D07F92" w:rsidRPr="002C2D40" w:rsidRDefault="00D07F92" w:rsidP="00373128">
      <w:pPr>
        <w:pStyle w:val="Akapitzlist"/>
        <w:numPr>
          <w:ilvl w:val="0"/>
          <w:numId w:val="15"/>
        </w:numPr>
        <w:spacing w:before="120" w:after="0" w:line="240" w:lineRule="auto"/>
        <w:ind w:left="709" w:hanging="425"/>
        <w:jc w:val="both"/>
        <w:rPr>
          <w:rFonts w:asciiTheme="minorHAnsi" w:hAnsiTheme="minorHAnsi"/>
          <w:sz w:val="24"/>
          <w:szCs w:val="24"/>
        </w:rPr>
      </w:pPr>
      <w:r w:rsidRPr="002C2D40">
        <w:rPr>
          <w:rFonts w:asciiTheme="minorHAnsi" w:hAnsiTheme="minorHAnsi"/>
          <w:sz w:val="24"/>
          <w:szCs w:val="24"/>
        </w:rPr>
        <w:t>wyrażając głębokie zaniepokojenie brakiem informacji</w:t>
      </w:r>
      <w:r w:rsidR="00FD5268">
        <w:rPr>
          <w:rFonts w:asciiTheme="minorHAnsi" w:hAnsiTheme="minorHAnsi"/>
          <w:sz w:val="24"/>
          <w:szCs w:val="24"/>
          <w:lang w:val="pl-PL"/>
        </w:rPr>
        <w:t xml:space="preserve"> świadczących o </w:t>
      </w:r>
      <w:r w:rsidRPr="002C2D40">
        <w:rPr>
          <w:rFonts w:asciiTheme="minorHAnsi" w:hAnsiTheme="minorHAnsi"/>
          <w:sz w:val="24"/>
          <w:szCs w:val="24"/>
        </w:rPr>
        <w:t>postęp</w:t>
      </w:r>
      <w:r w:rsidR="00FD5268">
        <w:rPr>
          <w:rFonts w:asciiTheme="minorHAnsi" w:hAnsiTheme="minorHAnsi"/>
          <w:sz w:val="24"/>
          <w:szCs w:val="24"/>
          <w:lang w:val="pl-PL"/>
        </w:rPr>
        <w:t>ie</w:t>
      </w:r>
      <w:r w:rsidRPr="002C2D40">
        <w:rPr>
          <w:rFonts w:asciiTheme="minorHAnsi" w:hAnsiTheme="minorHAnsi"/>
          <w:sz w:val="24"/>
          <w:szCs w:val="24"/>
        </w:rPr>
        <w:t xml:space="preserve"> w śledztwie krajowym, które toczy się od ponad 12 lat, </w:t>
      </w:r>
      <w:r w:rsidR="00FD5268">
        <w:rPr>
          <w:rFonts w:asciiTheme="minorHAnsi" w:hAnsiTheme="minorHAnsi"/>
          <w:sz w:val="24"/>
          <w:szCs w:val="24"/>
          <w:lang w:val="pl-PL"/>
        </w:rPr>
        <w:t xml:space="preserve">nalegają na </w:t>
      </w:r>
      <w:r w:rsidRPr="002C2D40">
        <w:rPr>
          <w:rFonts w:asciiTheme="minorHAnsi" w:hAnsiTheme="minorHAnsi"/>
          <w:sz w:val="24"/>
          <w:szCs w:val="24"/>
        </w:rPr>
        <w:t>władze</w:t>
      </w:r>
      <w:r w:rsidR="00FD5268">
        <w:rPr>
          <w:rFonts w:asciiTheme="minorHAnsi" w:hAnsiTheme="minorHAnsi"/>
          <w:sz w:val="24"/>
          <w:szCs w:val="24"/>
          <w:lang w:val="pl-PL"/>
        </w:rPr>
        <w:t xml:space="preserve">, aby </w:t>
      </w:r>
      <w:r w:rsidRPr="002C2D40">
        <w:rPr>
          <w:rFonts w:asciiTheme="minorHAnsi" w:hAnsiTheme="minorHAnsi"/>
          <w:sz w:val="24"/>
          <w:szCs w:val="24"/>
        </w:rPr>
        <w:t>niezwłoczn</w:t>
      </w:r>
      <w:r w:rsidR="00FD5268">
        <w:rPr>
          <w:rFonts w:asciiTheme="minorHAnsi" w:hAnsiTheme="minorHAnsi"/>
          <w:sz w:val="24"/>
          <w:szCs w:val="24"/>
          <w:lang w:val="pl-PL"/>
        </w:rPr>
        <w:t xml:space="preserve">ie udzieliły </w:t>
      </w:r>
      <w:r w:rsidRPr="002C2D40">
        <w:rPr>
          <w:rFonts w:asciiTheme="minorHAnsi" w:hAnsiTheme="minorHAnsi"/>
          <w:sz w:val="24"/>
          <w:szCs w:val="24"/>
        </w:rPr>
        <w:t>odpowiedzi na poprzednie wezwania Komitetu do przedstawienia szczegółów przedstawionych zarzutów; zwracają się ponadto do władz o ponowne rozważenie ich stanowiska i przedstawienie Komitetowi, w razie potrzeby, z zachowaniem poufności, wybranych elementów informacji dotyczących śledztwa, jego zakresu i orientacyjnych ram czasowych pozostałych czynności śledczych; podkreślają w tym kontekście, że tajemnica śledztwa nie powinna stanowić przeszkody dla Komitetu w wypełnianiu jego funkcji nadzorc</w:t>
      </w:r>
      <w:r w:rsidR="00F314BC" w:rsidRPr="002C2D40">
        <w:rPr>
          <w:rFonts w:asciiTheme="minorHAnsi" w:hAnsiTheme="minorHAnsi"/>
          <w:sz w:val="24"/>
          <w:szCs w:val="24"/>
        </w:rPr>
        <w:t>zej na mocy art. 46 Konwencji;</w:t>
      </w:r>
    </w:p>
    <w:p w:rsidR="00D07F92" w:rsidRPr="002C2D40" w:rsidRDefault="00D07F92" w:rsidP="00373128">
      <w:pPr>
        <w:pStyle w:val="Akapitzlist"/>
        <w:numPr>
          <w:ilvl w:val="0"/>
          <w:numId w:val="15"/>
        </w:numPr>
        <w:spacing w:before="120" w:after="0" w:line="240" w:lineRule="auto"/>
        <w:ind w:left="709" w:hanging="425"/>
        <w:jc w:val="both"/>
        <w:rPr>
          <w:rFonts w:asciiTheme="minorHAnsi" w:hAnsiTheme="minorHAnsi"/>
          <w:sz w:val="24"/>
          <w:szCs w:val="24"/>
        </w:rPr>
      </w:pPr>
      <w:r w:rsidRPr="002C2D40">
        <w:rPr>
          <w:rFonts w:asciiTheme="minorHAnsi" w:hAnsiTheme="minorHAnsi"/>
          <w:sz w:val="24"/>
          <w:szCs w:val="24"/>
        </w:rPr>
        <w:t xml:space="preserve">stanowczo podkreślają kluczowe znaczenie szybkiego zakończenia toczącego się krajowego śledztwa dotyczącego stwierdzonych poważnych naruszeń praw człowieka, tj. tortur i </w:t>
      </w:r>
      <w:r w:rsidR="00FD5268">
        <w:rPr>
          <w:rFonts w:asciiTheme="minorHAnsi" w:hAnsiTheme="minorHAnsi"/>
          <w:sz w:val="24"/>
          <w:szCs w:val="24"/>
          <w:lang w:val="pl-PL"/>
        </w:rPr>
        <w:t>niepotwierdzonego zatrzymania</w:t>
      </w:r>
      <w:r w:rsidRPr="002C2D40">
        <w:rPr>
          <w:rFonts w:asciiTheme="minorHAnsi" w:hAnsiTheme="minorHAnsi"/>
          <w:sz w:val="24"/>
          <w:szCs w:val="24"/>
        </w:rPr>
        <w:t>, a także kwestii zasadności i legalności zarówno decyzji podejmowanych przez funkcjonariuszy państwa polskiego, jak i działań, w ramach których krajowe służby bezpieczeństwa i wywiadu były zaangażowane w realizację programu CIA HVD na terytorium Polski;</w:t>
      </w:r>
    </w:p>
    <w:p w:rsidR="00D07F92" w:rsidRPr="002C2D40" w:rsidRDefault="00D07F92" w:rsidP="00373128">
      <w:pPr>
        <w:pStyle w:val="Akapitzlist"/>
        <w:numPr>
          <w:ilvl w:val="0"/>
          <w:numId w:val="15"/>
        </w:numPr>
        <w:spacing w:before="120" w:after="0" w:line="240" w:lineRule="auto"/>
        <w:ind w:left="709" w:hanging="425"/>
        <w:jc w:val="both"/>
        <w:rPr>
          <w:rFonts w:asciiTheme="minorHAnsi" w:hAnsiTheme="minorHAnsi"/>
          <w:sz w:val="24"/>
          <w:szCs w:val="24"/>
        </w:rPr>
      </w:pPr>
      <w:r w:rsidRPr="002C2D40">
        <w:rPr>
          <w:rFonts w:asciiTheme="minorHAnsi" w:hAnsiTheme="minorHAnsi"/>
          <w:sz w:val="24"/>
          <w:szCs w:val="24"/>
        </w:rPr>
        <w:t>przypominając raz jeszcze, że Stany Zjednoczone mają status obserwatora w Radzie Europy i jako takie popierają jej ideały i wartości, uznali, że ten status oraz takie ideały i wartości zachęcają do współpracy; stanowczo nalega</w:t>
      </w:r>
      <w:r w:rsidR="00FD5268">
        <w:rPr>
          <w:rFonts w:asciiTheme="minorHAnsi" w:hAnsiTheme="minorHAnsi"/>
          <w:sz w:val="24"/>
          <w:szCs w:val="24"/>
          <w:lang w:val="pl-PL"/>
        </w:rPr>
        <w:t>ją</w:t>
      </w:r>
      <w:r w:rsidRPr="002C2D40">
        <w:rPr>
          <w:rFonts w:asciiTheme="minorHAnsi" w:hAnsiTheme="minorHAnsi"/>
          <w:sz w:val="24"/>
          <w:szCs w:val="24"/>
        </w:rPr>
        <w:t xml:space="preserve"> na władze Stanów Zjednoczonych, aby ponownie rozważyły swoje stanowisko i zapewniły niezbędne gwarancje i pomoc lub podjęły inne </w:t>
      </w:r>
      <w:r w:rsidR="00FD5268">
        <w:rPr>
          <w:rFonts w:asciiTheme="minorHAnsi" w:hAnsiTheme="minorHAnsi"/>
          <w:sz w:val="24"/>
          <w:szCs w:val="24"/>
          <w:lang w:val="pl-PL"/>
        </w:rPr>
        <w:t xml:space="preserve">ekwiwalentne </w:t>
      </w:r>
      <w:r w:rsidRPr="002C2D40">
        <w:rPr>
          <w:rFonts w:asciiTheme="minorHAnsi" w:hAnsiTheme="minorHAnsi"/>
          <w:sz w:val="24"/>
          <w:szCs w:val="24"/>
        </w:rPr>
        <w:t>środki, zwłaszcza że obecna sytuacja skarżących jest wynikiem nielegalnej operacji „wydawania w trybie nadzwyczajnym” zorganizowanej przez CIA na terytorium Polski</w:t>
      </w:r>
      <w:r w:rsidR="00F314BC" w:rsidRPr="002C2D40">
        <w:rPr>
          <w:rFonts w:asciiTheme="minorHAnsi" w:hAnsiTheme="minorHAnsi"/>
          <w:sz w:val="24"/>
          <w:szCs w:val="24"/>
          <w:lang w:val="pl-PL"/>
        </w:rPr>
        <w:t>;</w:t>
      </w:r>
    </w:p>
    <w:p w:rsidR="00D07F92" w:rsidRPr="002C2D40" w:rsidRDefault="00D07F92" w:rsidP="00373128">
      <w:pPr>
        <w:pStyle w:val="Akapitzlist"/>
        <w:numPr>
          <w:ilvl w:val="0"/>
          <w:numId w:val="15"/>
        </w:numPr>
        <w:spacing w:before="120" w:after="0" w:line="240" w:lineRule="auto"/>
        <w:ind w:left="709" w:hanging="425"/>
        <w:jc w:val="both"/>
        <w:rPr>
          <w:rFonts w:asciiTheme="minorHAnsi" w:hAnsiTheme="minorHAnsi"/>
          <w:sz w:val="24"/>
          <w:szCs w:val="24"/>
        </w:rPr>
      </w:pPr>
      <w:r w:rsidRPr="002C2D40">
        <w:rPr>
          <w:rFonts w:asciiTheme="minorHAnsi" w:hAnsiTheme="minorHAnsi"/>
          <w:sz w:val="24"/>
          <w:szCs w:val="24"/>
        </w:rPr>
        <w:t>w świetle informacji o wyroku wydanym przez Izbę Apelacyjną Międzynarodowego Trybunału Karnego w dniu 5 marca 2020</w:t>
      </w:r>
      <w:r w:rsidR="00FD5268">
        <w:rPr>
          <w:rFonts w:asciiTheme="minorHAnsi" w:hAnsiTheme="minorHAnsi"/>
          <w:sz w:val="24"/>
          <w:szCs w:val="24"/>
          <w:lang w:val="pl-PL"/>
        </w:rPr>
        <w:t xml:space="preserve"> r.</w:t>
      </w:r>
      <w:r w:rsidRPr="002C2D40">
        <w:rPr>
          <w:rFonts w:asciiTheme="minorHAnsi" w:hAnsiTheme="minorHAnsi"/>
          <w:sz w:val="24"/>
          <w:szCs w:val="24"/>
        </w:rPr>
        <w:t>, zwracają się do polskich władz o wyjaśnienie, czy śledztwo, na które zezwala niniejszy wyrok, ma jakikolwiek związek z ich własnym śledztwem w sprawie faktów, które stały się podstawą niniejszych spraw;</w:t>
      </w:r>
    </w:p>
    <w:p w:rsidR="00D07F92" w:rsidRPr="002C2D40" w:rsidRDefault="00D07F92" w:rsidP="00373128">
      <w:pPr>
        <w:pStyle w:val="Akapitzlist"/>
        <w:numPr>
          <w:ilvl w:val="0"/>
          <w:numId w:val="15"/>
        </w:numPr>
        <w:spacing w:before="120" w:after="0" w:line="240" w:lineRule="auto"/>
        <w:ind w:left="709" w:hanging="425"/>
        <w:jc w:val="both"/>
        <w:rPr>
          <w:rFonts w:asciiTheme="minorHAnsi" w:hAnsiTheme="minorHAnsi"/>
          <w:sz w:val="24"/>
          <w:szCs w:val="24"/>
        </w:rPr>
      </w:pPr>
      <w:r w:rsidRPr="002C2D40">
        <w:rPr>
          <w:rFonts w:asciiTheme="minorHAnsi" w:hAnsiTheme="minorHAnsi"/>
          <w:sz w:val="24"/>
          <w:szCs w:val="24"/>
        </w:rPr>
        <w:lastRenderedPageBreak/>
        <w:t xml:space="preserve">w odniesieniu do wypłaty zadośćuczynienia dla pana Abu Zubaydah, przypominają, że chociaż zadośćuczynienie przyznane za szkodę niematerialną zostało przelane na rachunek depozytowy, pełnomocnik skarżącego wskazał na trudności w spełnieniu warunków uwolnienia środków, biorąc pod uwagę wyjątkowy charakter sytuacji skarżącego; </w:t>
      </w:r>
      <w:r w:rsidR="00FD5268">
        <w:rPr>
          <w:rFonts w:asciiTheme="minorHAnsi" w:hAnsiTheme="minorHAnsi"/>
          <w:sz w:val="24"/>
          <w:szCs w:val="24"/>
          <w:lang w:val="pl-PL"/>
        </w:rPr>
        <w:t xml:space="preserve">zapraszają </w:t>
      </w:r>
      <w:r w:rsidRPr="002C2D40">
        <w:rPr>
          <w:rFonts w:asciiTheme="minorHAnsi" w:hAnsiTheme="minorHAnsi"/>
          <w:sz w:val="24"/>
          <w:szCs w:val="24"/>
        </w:rPr>
        <w:t xml:space="preserve">w związku z tym </w:t>
      </w:r>
      <w:r w:rsidR="00FD5268">
        <w:rPr>
          <w:rFonts w:asciiTheme="minorHAnsi" w:hAnsiTheme="minorHAnsi"/>
          <w:sz w:val="24"/>
          <w:szCs w:val="24"/>
          <w:lang w:val="pl-PL"/>
        </w:rPr>
        <w:t xml:space="preserve">ponownie </w:t>
      </w:r>
      <w:r w:rsidRPr="002C2D40">
        <w:rPr>
          <w:rFonts w:asciiTheme="minorHAnsi" w:hAnsiTheme="minorHAnsi"/>
          <w:sz w:val="24"/>
          <w:szCs w:val="24"/>
        </w:rPr>
        <w:t xml:space="preserve">władze </w:t>
      </w:r>
      <w:r w:rsidR="00FD5268">
        <w:rPr>
          <w:rFonts w:asciiTheme="minorHAnsi" w:hAnsiTheme="minorHAnsi"/>
          <w:sz w:val="24"/>
          <w:szCs w:val="24"/>
          <w:lang w:val="pl-PL"/>
        </w:rPr>
        <w:t>d</w:t>
      </w:r>
      <w:r w:rsidRPr="002C2D40">
        <w:rPr>
          <w:rFonts w:asciiTheme="minorHAnsi" w:hAnsiTheme="minorHAnsi"/>
          <w:sz w:val="24"/>
          <w:szCs w:val="24"/>
        </w:rPr>
        <w:t>o współprac</w:t>
      </w:r>
      <w:r w:rsidR="00FD5268">
        <w:rPr>
          <w:rFonts w:asciiTheme="minorHAnsi" w:hAnsiTheme="minorHAnsi"/>
          <w:sz w:val="24"/>
          <w:szCs w:val="24"/>
          <w:lang w:val="pl-PL"/>
        </w:rPr>
        <w:t>y</w:t>
      </w:r>
      <w:r w:rsidRPr="002C2D40">
        <w:rPr>
          <w:rFonts w:asciiTheme="minorHAnsi" w:hAnsiTheme="minorHAnsi"/>
          <w:sz w:val="24"/>
          <w:szCs w:val="24"/>
        </w:rPr>
        <w:t xml:space="preserve"> z pełnomocnikiem skarżącego oraz Sekretariatem w celu znalezienia rozwiązań umożliwiających niezwłoczne uwolnienie kwot zasądzonych za szkodę niematerialną z rachunku depozytowego założonego na nazwisko skarżącego, w celu przekazania ich do dyspozycji skarżącego;</w:t>
      </w:r>
    </w:p>
    <w:p w:rsidR="00D07F92" w:rsidRPr="002C2D40" w:rsidRDefault="00D07F92" w:rsidP="002C2D40">
      <w:pPr>
        <w:shd w:val="clear" w:color="auto" w:fill="FFFFFF"/>
        <w:spacing w:before="120"/>
        <w:jc w:val="both"/>
        <w:rPr>
          <w:rFonts w:asciiTheme="minorHAnsi" w:hAnsiTheme="minorHAnsi" w:cs="Helvetica"/>
          <w:i/>
          <w:iCs/>
        </w:rPr>
      </w:pPr>
      <w:r w:rsidRPr="002C2D40">
        <w:rPr>
          <w:rFonts w:asciiTheme="minorHAnsi" w:hAnsiTheme="minorHAnsi" w:cs="Helvetica"/>
          <w:i/>
          <w:iCs/>
        </w:rPr>
        <w:t xml:space="preserve">W zakresie środków generalnych </w:t>
      </w:r>
    </w:p>
    <w:p w:rsidR="00D07F92" w:rsidRPr="002C2D40" w:rsidRDefault="00D07F92" w:rsidP="00D31471">
      <w:pPr>
        <w:pStyle w:val="Akapitzlist"/>
        <w:numPr>
          <w:ilvl w:val="0"/>
          <w:numId w:val="15"/>
        </w:numPr>
        <w:spacing w:before="120" w:after="0" w:line="240" w:lineRule="auto"/>
        <w:ind w:left="709" w:hanging="425"/>
        <w:jc w:val="both"/>
        <w:rPr>
          <w:rFonts w:asciiTheme="minorHAnsi" w:hAnsiTheme="minorHAnsi" w:cs="Helvetica"/>
          <w:sz w:val="24"/>
          <w:szCs w:val="24"/>
        </w:rPr>
      </w:pPr>
      <w:r w:rsidRPr="002C2D40">
        <w:rPr>
          <w:rFonts w:asciiTheme="minorHAnsi" w:hAnsiTheme="minorHAnsi" w:cs="Helvetica"/>
          <w:sz w:val="24"/>
          <w:szCs w:val="24"/>
        </w:rPr>
        <w:t xml:space="preserve">odnotowują informację o nowym zarządzeniu Prezesa </w:t>
      </w:r>
      <w:r w:rsidR="00F834BB">
        <w:rPr>
          <w:rFonts w:asciiTheme="minorHAnsi" w:hAnsiTheme="minorHAnsi" w:cs="Helvetica"/>
          <w:sz w:val="24"/>
          <w:szCs w:val="24"/>
          <w:lang w:val="pl-PL"/>
        </w:rPr>
        <w:t>R</w:t>
      </w:r>
      <w:r w:rsidRPr="002C2D40">
        <w:rPr>
          <w:rFonts w:asciiTheme="minorHAnsi" w:hAnsiTheme="minorHAnsi" w:cs="Helvetica"/>
          <w:sz w:val="24"/>
          <w:szCs w:val="24"/>
        </w:rPr>
        <w:t>ady Ministrów powołującego Komitet Rady Ministrów do spraw Bezpieczeństwa Narodoweg</w:t>
      </w:r>
      <w:r w:rsidR="00F834BB">
        <w:rPr>
          <w:rFonts w:asciiTheme="minorHAnsi" w:hAnsiTheme="minorHAnsi" w:cs="Helvetica"/>
          <w:sz w:val="24"/>
          <w:szCs w:val="24"/>
          <w:lang w:val="pl-PL"/>
        </w:rPr>
        <w:t>o</w:t>
      </w:r>
      <w:r w:rsidRPr="002C2D40">
        <w:rPr>
          <w:rFonts w:asciiTheme="minorHAnsi" w:hAnsiTheme="minorHAnsi" w:cs="Helvetica"/>
          <w:sz w:val="24"/>
          <w:szCs w:val="24"/>
        </w:rPr>
        <w:t xml:space="preserve"> i Spraw Obronnych; wzywają władze do wyjaśnienia, w jaki sposób środek ten zwiększy demokratyczny nadzór nad służbami specjalnymi, a także zwracają się do nich o wyjaśnienie, czy poprzednie refleksje dotyczące usunięcia pewnych niedociągnięć w tym nadzorze nadal trwają;</w:t>
      </w:r>
    </w:p>
    <w:p w:rsidR="00D07F92" w:rsidRPr="002C2D40" w:rsidRDefault="00F834BB" w:rsidP="00D31471">
      <w:pPr>
        <w:pStyle w:val="Akapitzlist"/>
        <w:numPr>
          <w:ilvl w:val="0"/>
          <w:numId w:val="15"/>
        </w:numPr>
        <w:spacing w:before="120" w:after="0" w:line="240" w:lineRule="auto"/>
        <w:ind w:left="709" w:hanging="425"/>
        <w:jc w:val="both"/>
        <w:rPr>
          <w:rFonts w:asciiTheme="minorHAnsi" w:hAnsiTheme="minorHAnsi"/>
          <w:sz w:val="24"/>
          <w:szCs w:val="24"/>
        </w:rPr>
      </w:pPr>
      <w:r>
        <w:rPr>
          <w:rFonts w:asciiTheme="minorHAnsi" w:hAnsiTheme="minorHAnsi"/>
          <w:sz w:val="24"/>
          <w:szCs w:val="24"/>
          <w:lang w:val="pl-PL"/>
        </w:rPr>
        <w:t>nalegają na</w:t>
      </w:r>
      <w:r w:rsidR="00D07F92" w:rsidRPr="002C2D40">
        <w:rPr>
          <w:rFonts w:asciiTheme="minorHAnsi" w:hAnsiTheme="minorHAnsi"/>
          <w:sz w:val="24"/>
          <w:szCs w:val="24"/>
        </w:rPr>
        <w:t xml:space="preserve"> polskie władze</w:t>
      </w:r>
      <w:r>
        <w:rPr>
          <w:rFonts w:asciiTheme="minorHAnsi" w:hAnsiTheme="minorHAnsi"/>
          <w:sz w:val="24"/>
          <w:szCs w:val="24"/>
          <w:lang w:val="pl-PL"/>
        </w:rPr>
        <w:t>, aby p</w:t>
      </w:r>
      <w:r w:rsidR="00D07F92" w:rsidRPr="002C2D40">
        <w:rPr>
          <w:rFonts w:asciiTheme="minorHAnsi" w:hAnsiTheme="minorHAnsi"/>
          <w:sz w:val="24"/>
          <w:szCs w:val="24"/>
        </w:rPr>
        <w:t>iln</w:t>
      </w:r>
      <w:r>
        <w:rPr>
          <w:rFonts w:asciiTheme="minorHAnsi" w:hAnsiTheme="minorHAnsi"/>
          <w:sz w:val="24"/>
          <w:szCs w:val="24"/>
          <w:lang w:val="pl-PL"/>
        </w:rPr>
        <w:t>ie</w:t>
      </w:r>
      <w:r w:rsidR="00D07F92" w:rsidRPr="002C2D40">
        <w:rPr>
          <w:rFonts w:asciiTheme="minorHAnsi" w:hAnsiTheme="minorHAnsi"/>
          <w:sz w:val="24"/>
          <w:szCs w:val="24"/>
        </w:rPr>
        <w:t xml:space="preserve"> przekaza</w:t>
      </w:r>
      <w:r>
        <w:rPr>
          <w:rFonts w:asciiTheme="minorHAnsi" w:hAnsiTheme="minorHAnsi"/>
          <w:sz w:val="24"/>
          <w:szCs w:val="24"/>
          <w:lang w:val="pl-PL"/>
        </w:rPr>
        <w:t>ły</w:t>
      </w:r>
      <w:r w:rsidR="00D07F92" w:rsidRPr="002C2D40">
        <w:rPr>
          <w:rFonts w:asciiTheme="minorHAnsi" w:hAnsiTheme="minorHAnsi"/>
          <w:sz w:val="24"/>
          <w:szCs w:val="24"/>
        </w:rPr>
        <w:t xml:space="preserve"> informacj</w:t>
      </w:r>
      <w:r>
        <w:rPr>
          <w:rFonts w:asciiTheme="minorHAnsi" w:hAnsiTheme="minorHAnsi"/>
          <w:sz w:val="24"/>
          <w:szCs w:val="24"/>
          <w:lang w:val="pl-PL"/>
        </w:rPr>
        <w:t>ę</w:t>
      </w:r>
      <w:r w:rsidR="00D07F92" w:rsidRPr="002C2D40">
        <w:rPr>
          <w:rFonts w:asciiTheme="minorHAnsi" w:hAnsiTheme="minorHAnsi"/>
          <w:sz w:val="24"/>
          <w:szCs w:val="24"/>
        </w:rPr>
        <w:t>, o którą proszono poprzednio, w jaki sposób zagwarantują w konkretny sposób, że dokumenty niejawne, o które zwróci się Trybunał Europejski, zostaną mu przekazane, gdyby podobna sytuacja miała miejsce w przyszłości;</w:t>
      </w:r>
    </w:p>
    <w:p w:rsidR="00D07F92" w:rsidRPr="002C2D40" w:rsidRDefault="00F314BC" w:rsidP="00D31471">
      <w:pPr>
        <w:pStyle w:val="Akapitzlist"/>
        <w:numPr>
          <w:ilvl w:val="0"/>
          <w:numId w:val="15"/>
        </w:numPr>
        <w:spacing w:before="120" w:after="0" w:line="240" w:lineRule="auto"/>
        <w:ind w:left="709" w:hanging="425"/>
        <w:jc w:val="both"/>
        <w:rPr>
          <w:rFonts w:asciiTheme="minorHAnsi" w:hAnsiTheme="minorHAnsi" w:cs="Helvetica"/>
          <w:sz w:val="24"/>
          <w:szCs w:val="24"/>
        </w:rPr>
      </w:pPr>
      <w:r w:rsidRPr="002C2D40">
        <w:rPr>
          <w:rFonts w:asciiTheme="minorHAnsi" w:hAnsiTheme="minorHAnsi"/>
          <w:sz w:val="24"/>
          <w:szCs w:val="24"/>
          <w:lang w:val="pl-PL"/>
        </w:rPr>
        <w:t>w</w:t>
      </w:r>
      <w:r w:rsidR="00D07F92" w:rsidRPr="002C2D40">
        <w:rPr>
          <w:rFonts w:asciiTheme="minorHAnsi" w:hAnsiTheme="minorHAnsi"/>
          <w:sz w:val="24"/>
          <w:szCs w:val="24"/>
        </w:rPr>
        <w:t>yraż</w:t>
      </w:r>
      <w:r w:rsidRPr="002C2D40">
        <w:rPr>
          <w:rFonts w:asciiTheme="minorHAnsi" w:hAnsiTheme="minorHAnsi"/>
          <w:sz w:val="24"/>
          <w:szCs w:val="24"/>
          <w:lang w:val="pl-PL"/>
        </w:rPr>
        <w:t>a</w:t>
      </w:r>
      <w:r w:rsidR="00D07F92" w:rsidRPr="002C2D40">
        <w:rPr>
          <w:rFonts w:asciiTheme="minorHAnsi" w:hAnsiTheme="minorHAnsi"/>
          <w:sz w:val="24"/>
          <w:szCs w:val="24"/>
        </w:rPr>
        <w:t xml:space="preserve">ją głębokie zaniepokojenie utrzymującym się </w:t>
      </w:r>
      <w:r w:rsidR="00F834BB" w:rsidRPr="002C2D40">
        <w:rPr>
          <w:rFonts w:asciiTheme="minorHAnsi" w:hAnsiTheme="minorHAnsi"/>
          <w:sz w:val="24"/>
          <w:szCs w:val="24"/>
        </w:rPr>
        <w:t>brak</w:t>
      </w:r>
      <w:r w:rsidR="00F834BB">
        <w:rPr>
          <w:rFonts w:asciiTheme="minorHAnsi" w:hAnsiTheme="minorHAnsi"/>
          <w:sz w:val="24"/>
          <w:szCs w:val="24"/>
          <w:lang w:val="pl-PL"/>
        </w:rPr>
        <w:t>iem</w:t>
      </w:r>
      <w:r w:rsidR="00F834BB" w:rsidRPr="002C2D40">
        <w:rPr>
          <w:rFonts w:asciiTheme="minorHAnsi" w:hAnsiTheme="minorHAnsi"/>
          <w:sz w:val="24"/>
          <w:szCs w:val="24"/>
        </w:rPr>
        <w:t xml:space="preserve"> jasnego </w:t>
      </w:r>
      <w:r w:rsidR="00F834BB">
        <w:rPr>
          <w:rFonts w:asciiTheme="minorHAnsi" w:hAnsiTheme="minorHAnsi"/>
          <w:sz w:val="24"/>
          <w:szCs w:val="24"/>
          <w:lang w:val="pl-PL"/>
        </w:rPr>
        <w:t xml:space="preserve">sygnału od najwyższych </w:t>
      </w:r>
      <w:r w:rsidR="00F834BB" w:rsidRPr="002C2D40">
        <w:rPr>
          <w:rFonts w:asciiTheme="minorHAnsi" w:hAnsiTheme="minorHAnsi"/>
          <w:sz w:val="24"/>
          <w:szCs w:val="24"/>
        </w:rPr>
        <w:t xml:space="preserve">władz do służb wywiadowczych i bezpieczeństwa </w:t>
      </w:r>
      <w:r w:rsidR="00F834BB">
        <w:rPr>
          <w:rFonts w:asciiTheme="minorHAnsi" w:hAnsiTheme="minorHAnsi"/>
          <w:sz w:val="24"/>
          <w:szCs w:val="24"/>
          <w:lang w:val="pl-PL"/>
        </w:rPr>
        <w:t xml:space="preserve">o </w:t>
      </w:r>
      <w:r w:rsidR="00D07F92" w:rsidRPr="002C2D40">
        <w:rPr>
          <w:rFonts w:asciiTheme="minorHAnsi" w:hAnsiTheme="minorHAnsi"/>
          <w:sz w:val="24"/>
          <w:szCs w:val="24"/>
        </w:rPr>
        <w:t xml:space="preserve">absolutnej niedopuszczalności i zerowej tolerancji dla arbitralnych zatrzymań, tortur i tajnych operacji wydawania; stanowczo nalegają na władze, aby przekazały jednoznaczne przesłanie w tej sprawie i wzywają je do przekazania bez dalszej zwłoki szczegółów na temat środków podjętych lub planowanych w celu uznania roli Polski i odpowiedzialności za naruszenia praw człowieka, które </w:t>
      </w:r>
      <w:r w:rsidR="00D31471">
        <w:rPr>
          <w:rFonts w:asciiTheme="minorHAnsi" w:hAnsiTheme="minorHAnsi"/>
          <w:sz w:val="24"/>
          <w:szCs w:val="24"/>
        </w:rPr>
        <w:t>miały miejsce w tych sprawach;</w:t>
      </w:r>
    </w:p>
    <w:p w:rsidR="00D07F92" w:rsidRDefault="00D07F92" w:rsidP="00D31471">
      <w:pPr>
        <w:pStyle w:val="Akapitzlist"/>
        <w:numPr>
          <w:ilvl w:val="0"/>
          <w:numId w:val="15"/>
        </w:numPr>
        <w:spacing w:before="120" w:after="0" w:line="240" w:lineRule="auto"/>
        <w:ind w:left="709" w:hanging="425"/>
        <w:jc w:val="both"/>
        <w:rPr>
          <w:rFonts w:asciiTheme="minorHAnsi" w:hAnsiTheme="minorHAnsi" w:cs="Helvetica"/>
          <w:sz w:val="24"/>
          <w:szCs w:val="24"/>
        </w:rPr>
      </w:pPr>
      <w:r w:rsidRPr="002C2D40">
        <w:rPr>
          <w:rFonts w:asciiTheme="minorHAnsi" w:hAnsiTheme="minorHAnsi" w:cs="Helvetica"/>
          <w:sz w:val="24"/>
          <w:szCs w:val="24"/>
        </w:rPr>
        <w:t>proszą władze o przekazanie informacji na wszystkie kwestie najpóźniej do 30 czerwca 2021</w:t>
      </w:r>
      <w:r w:rsidR="003E6F41">
        <w:rPr>
          <w:rFonts w:asciiTheme="minorHAnsi" w:hAnsiTheme="minorHAnsi" w:cs="Helvetica"/>
          <w:sz w:val="24"/>
          <w:szCs w:val="24"/>
          <w:lang w:val="pl-PL"/>
        </w:rPr>
        <w:t xml:space="preserve"> r.</w:t>
      </w:r>
      <w:r w:rsidRPr="002C2D40">
        <w:rPr>
          <w:rFonts w:asciiTheme="minorHAnsi" w:hAnsiTheme="minorHAnsi" w:cs="Helvetica"/>
          <w:sz w:val="24"/>
          <w:szCs w:val="24"/>
        </w:rPr>
        <w:t xml:space="preserve"> i decy</w:t>
      </w:r>
      <w:r w:rsidR="00F834BB">
        <w:rPr>
          <w:rFonts w:asciiTheme="minorHAnsi" w:hAnsiTheme="minorHAnsi" w:cs="Helvetica"/>
          <w:sz w:val="24"/>
          <w:szCs w:val="24"/>
          <w:lang w:val="pl-PL"/>
        </w:rPr>
        <w:t>dują</w:t>
      </w:r>
      <w:r w:rsidRPr="002C2D40">
        <w:rPr>
          <w:rFonts w:asciiTheme="minorHAnsi" w:hAnsiTheme="minorHAnsi" w:cs="Helvetica"/>
          <w:sz w:val="24"/>
          <w:szCs w:val="24"/>
        </w:rPr>
        <w:t xml:space="preserve"> o ponownym omówieniu tych spraw na 1411 posiedzeniu (wrzesień 2021</w:t>
      </w:r>
      <w:r w:rsidR="003E6F41">
        <w:rPr>
          <w:rFonts w:asciiTheme="minorHAnsi" w:hAnsiTheme="minorHAnsi" w:cs="Helvetica"/>
          <w:sz w:val="24"/>
          <w:szCs w:val="24"/>
          <w:lang w:val="pl-PL"/>
        </w:rPr>
        <w:t xml:space="preserve"> r.</w:t>
      </w:r>
      <w:r w:rsidRPr="002C2D40">
        <w:rPr>
          <w:rFonts w:asciiTheme="minorHAnsi" w:hAnsiTheme="minorHAnsi" w:cs="Helvetica"/>
          <w:sz w:val="24"/>
          <w:szCs w:val="24"/>
        </w:rPr>
        <w:t>).</w:t>
      </w:r>
    </w:p>
    <w:p w:rsidR="00D31471" w:rsidRPr="002C2D40" w:rsidRDefault="00D31471" w:rsidP="00D31471">
      <w:pPr>
        <w:pStyle w:val="Akapitzlist"/>
        <w:spacing w:before="120" w:after="0" w:line="240" w:lineRule="auto"/>
        <w:ind w:left="709"/>
        <w:jc w:val="both"/>
        <w:rPr>
          <w:rFonts w:asciiTheme="minorHAnsi" w:hAnsiTheme="minorHAnsi" w:cs="Helvetica"/>
          <w:sz w:val="24"/>
          <w:szCs w:val="24"/>
        </w:rPr>
      </w:pPr>
    </w:p>
    <w:p w:rsidR="00AB5D26" w:rsidRPr="002C2D40" w:rsidRDefault="00AB5D26" w:rsidP="002C2D40">
      <w:pPr>
        <w:pStyle w:val="Nagwek1"/>
        <w:spacing w:before="120"/>
        <w:rPr>
          <w:rFonts w:asciiTheme="minorHAnsi" w:hAnsiTheme="minorHAnsi"/>
        </w:rPr>
      </w:pPr>
      <w:bookmarkStart w:id="6" w:name="_Toc67656264"/>
      <w:r w:rsidRPr="002C2D40">
        <w:rPr>
          <w:rFonts w:asciiTheme="minorHAnsi" w:hAnsiTheme="minorHAnsi"/>
        </w:rPr>
        <w:t xml:space="preserve">Informacja na temat komunikacji wniesionych do Komitetu Ministrów </w:t>
      </w:r>
      <w:r w:rsidR="0012328D" w:rsidRPr="002C2D40">
        <w:rPr>
          <w:rFonts w:asciiTheme="minorHAnsi" w:hAnsiTheme="minorHAnsi"/>
        </w:rPr>
        <w:t xml:space="preserve">RE </w:t>
      </w:r>
      <w:r w:rsidRPr="002C2D40">
        <w:rPr>
          <w:rFonts w:asciiTheme="minorHAnsi" w:hAnsiTheme="minorHAnsi"/>
        </w:rPr>
        <w:t xml:space="preserve">przez uprawnione podmioty oraz udzielonych w związku z tymi komunikacjami odpowiedzi </w:t>
      </w:r>
      <w:r w:rsidR="00D31471">
        <w:rPr>
          <w:rFonts w:asciiTheme="minorHAnsi" w:hAnsiTheme="minorHAnsi"/>
          <w:lang w:val="pl-PL"/>
        </w:rPr>
        <w:t>R</w:t>
      </w:r>
      <w:r w:rsidRPr="002C2D40">
        <w:rPr>
          <w:rFonts w:asciiTheme="minorHAnsi" w:hAnsiTheme="minorHAnsi"/>
        </w:rPr>
        <w:t>ządu</w:t>
      </w:r>
      <w:bookmarkEnd w:id="6"/>
    </w:p>
    <w:p w:rsidR="00D83BAC" w:rsidRPr="00162114" w:rsidRDefault="00D83BAC" w:rsidP="00D31471">
      <w:pPr>
        <w:pStyle w:val="Akapitzlist"/>
        <w:spacing w:before="120" w:after="0" w:line="240" w:lineRule="auto"/>
        <w:ind w:left="0"/>
        <w:jc w:val="both"/>
        <w:rPr>
          <w:rFonts w:asciiTheme="minorHAnsi" w:hAnsiTheme="minorHAnsi"/>
          <w:sz w:val="24"/>
          <w:szCs w:val="24"/>
        </w:rPr>
      </w:pPr>
      <w:r w:rsidRPr="00162114">
        <w:rPr>
          <w:rFonts w:asciiTheme="minorHAnsi" w:hAnsiTheme="minorHAnsi"/>
          <w:sz w:val="24"/>
          <w:szCs w:val="24"/>
        </w:rPr>
        <w:t xml:space="preserve">W okresie sprawozdawczym uprawnione podmioty, </w:t>
      </w:r>
      <w:r w:rsidR="00202B9E">
        <w:rPr>
          <w:rFonts w:asciiTheme="minorHAnsi" w:hAnsiTheme="minorHAnsi"/>
          <w:sz w:val="24"/>
          <w:szCs w:val="24"/>
          <w:lang w:val="pl-PL"/>
        </w:rPr>
        <w:t>m</w:t>
      </w:r>
      <w:r w:rsidRPr="00162114">
        <w:rPr>
          <w:rFonts w:asciiTheme="minorHAnsi" w:hAnsiTheme="minorHAnsi"/>
          <w:sz w:val="24"/>
          <w:szCs w:val="24"/>
        </w:rPr>
        <w:t>.</w:t>
      </w:r>
      <w:r w:rsidR="00202B9E">
        <w:rPr>
          <w:rFonts w:asciiTheme="minorHAnsi" w:hAnsiTheme="minorHAnsi"/>
          <w:sz w:val="24"/>
          <w:szCs w:val="24"/>
          <w:lang w:val="pl-PL"/>
        </w:rPr>
        <w:t>in.</w:t>
      </w:r>
      <w:r w:rsidRPr="00162114">
        <w:rPr>
          <w:rFonts w:asciiTheme="minorHAnsi" w:hAnsiTheme="minorHAnsi"/>
          <w:sz w:val="24"/>
          <w:szCs w:val="24"/>
        </w:rPr>
        <w:t xml:space="preserve"> organizacje pozarządowe</w:t>
      </w:r>
      <w:r w:rsidR="00F314BC" w:rsidRPr="00162114">
        <w:rPr>
          <w:rFonts w:asciiTheme="minorHAnsi" w:hAnsiTheme="minorHAnsi"/>
          <w:sz w:val="24"/>
          <w:szCs w:val="24"/>
        </w:rPr>
        <w:t>,</w:t>
      </w:r>
      <w:r w:rsidRPr="00162114">
        <w:rPr>
          <w:rFonts w:asciiTheme="minorHAnsi" w:hAnsiTheme="minorHAnsi"/>
          <w:sz w:val="24"/>
          <w:szCs w:val="24"/>
        </w:rPr>
        <w:t xml:space="preserve"> Rzecznik Praw Obywatelskich</w:t>
      </w:r>
      <w:r w:rsidR="00F314BC" w:rsidRPr="00162114">
        <w:rPr>
          <w:rFonts w:asciiTheme="minorHAnsi" w:hAnsiTheme="minorHAnsi"/>
          <w:sz w:val="24"/>
          <w:szCs w:val="24"/>
        </w:rPr>
        <w:t xml:space="preserve"> oraz Komisarz Praw Człowieka Rady Europy</w:t>
      </w:r>
      <w:r w:rsidRPr="00162114">
        <w:rPr>
          <w:rFonts w:asciiTheme="minorHAnsi" w:hAnsiTheme="minorHAnsi"/>
          <w:sz w:val="24"/>
          <w:szCs w:val="24"/>
        </w:rPr>
        <w:t>, wniosły do K</w:t>
      </w:r>
      <w:r w:rsidR="00162114">
        <w:rPr>
          <w:rFonts w:asciiTheme="minorHAnsi" w:hAnsiTheme="minorHAnsi"/>
          <w:sz w:val="24"/>
          <w:szCs w:val="24"/>
          <w:lang w:val="pl-PL"/>
        </w:rPr>
        <w:t xml:space="preserve">omitetu </w:t>
      </w:r>
      <w:r w:rsidRPr="00162114">
        <w:rPr>
          <w:rFonts w:asciiTheme="minorHAnsi" w:hAnsiTheme="minorHAnsi"/>
          <w:sz w:val="24"/>
          <w:szCs w:val="24"/>
        </w:rPr>
        <w:t>M</w:t>
      </w:r>
      <w:r w:rsidR="00162114">
        <w:rPr>
          <w:rFonts w:asciiTheme="minorHAnsi" w:hAnsiTheme="minorHAnsi"/>
          <w:sz w:val="24"/>
          <w:szCs w:val="24"/>
          <w:lang w:val="pl-PL"/>
        </w:rPr>
        <w:t>inistrów</w:t>
      </w:r>
      <w:r w:rsidRPr="00162114">
        <w:rPr>
          <w:rFonts w:asciiTheme="minorHAnsi" w:hAnsiTheme="minorHAnsi"/>
          <w:sz w:val="24"/>
          <w:szCs w:val="24"/>
        </w:rPr>
        <w:t xml:space="preserve"> łącznie </w:t>
      </w:r>
      <w:r w:rsidR="00F314BC" w:rsidRPr="00162114">
        <w:rPr>
          <w:rFonts w:asciiTheme="minorHAnsi" w:hAnsiTheme="minorHAnsi"/>
          <w:sz w:val="24"/>
          <w:szCs w:val="24"/>
        </w:rPr>
        <w:t>14</w:t>
      </w:r>
      <w:r w:rsidRPr="00162114">
        <w:rPr>
          <w:rFonts w:asciiTheme="minorHAnsi" w:hAnsiTheme="minorHAnsi"/>
          <w:sz w:val="24"/>
          <w:szCs w:val="24"/>
        </w:rPr>
        <w:t xml:space="preserve"> komunikacji dotyczących stanu wykonania następujących wyroków wydanych w polskich sprawach: </w:t>
      </w:r>
      <w:r w:rsidR="00F314BC" w:rsidRPr="00162114">
        <w:rPr>
          <w:rFonts w:asciiTheme="minorHAnsi" w:hAnsiTheme="minorHAnsi"/>
          <w:i/>
          <w:sz w:val="24"/>
          <w:szCs w:val="24"/>
        </w:rPr>
        <w:t xml:space="preserve">Mierzejewski p. Polsce </w:t>
      </w:r>
      <w:r w:rsidR="00F314BC" w:rsidRPr="00202B9E">
        <w:rPr>
          <w:rFonts w:asciiTheme="minorHAnsi" w:hAnsiTheme="minorHAnsi"/>
          <w:sz w:val="24"/>
          <w:szCs w:val="24"/>
        </w:rPr>
        <w:t>(</w:t>
      </w:r>
      <w:r w:rsidR="00162114" w:rsidRPr="00202B9E">
        <w:rPr>
          <w:rFonts w:asciiTheme="minorHAnsi" w:hAnsiTheme="minorHAnsi"/>
          <w:sz w:val="24"/>
          <w:szCs w:val="24"/>
          <w:lang w:val="pl-PL"/>
        </w:rPr>
        <w:t xml:space="preserve">skarga nr </w:t>
      </w:r>
      <w:r w:rsidR="00F314BC" w:rsidRPr="00202B9E">
        <w:rPr>
          <w:rFonts w:asciiTheme="minorHAnsi" w:hAnsiTheme="minorHAnsi"/>
          <w:sz w:val="24"/>
          <w:szCs w:val="24"/>
        </w:rPr>
        <w:t>9916/13),</w:t>
      </w:r>
      <w:r w:rsidR="00F314BC" w:rsidRPr="00162114">
        <w:rPr>
          <w:rFonts w:asciiTheme="minorHAnsi" w:hAnsiTheme="minorHAnsi"/>
          <w:i/>
          <w:sz w:val="24"/>
          <w:szCs w:val="24"/>
        </w:rPr>
        <w:t xml:space="preserve"> Tysiąc p. Polsce </w:t>
      </w:r>
      <w:r w:rsidR="00F314BC" w:rsidRPr="00202B9E">
        <w:rPr>
          <w:rFonts w:asciiTheme="minorHAnsi" w:hAnsiTheme="minorHAnsi"/>
          <w:sz w:val="24"/>
          <w:szCs w:val="24"/>
        </w:rPr>
        <w:t>(</w:t>
      </w:r>
      <w:r w:rsidR="00162114" w:rsidRPr="00202B9E">
        <w:rPr>
          <w:rFonts w:asciiTheme="minorHAnsi" w:hAnsiTheme="minorHAnsi"/>
          <w:sz w:val="24"/>
          <w:szCs w:val="24"/>
          <w:lang w:val="pl-PL"/>
        </w:rPr>
        <w:t xml:space="preserve">skarga nr </w:t>
      </w:r>
      <w:r w:rsidR="00F314BC" w:rsidRPr="00202B9E">
        <w:rPr>
          <w:rFonts w:asciiTheme="minorHAnsi" w:hAnsiTheme="minorHAnsi"/>
          <w:sz w:val="24"/>
          <w:szCs w:val="24"/>
        </w:rPr>
        <w:t>5410/03),</w:t>
      </w:r>
      <w:r w:rsidR="00F314BC" w:rsidRPr="00162114">
        <w:rPr>
          <w:rFonts w:asciiTheme="minorHAnsi" w:hAnsiTheme="minorHAnsi"/>
          <w:i/>
          <w:sz w:val="24"/>
          <w:szCs w:val="24"/>
        </w:rPr>
        <w:t xml:space="preserve"> R.R. p. Polsce </w:t>
      </w:r>
      <w:r w:rsidR="00F314BC" w:rsidRPr="00202B9E">
        <w:rPr>
          <w:rFonts w:asciiTheme="minorHAnsi" w:hAnsiTheme="minorHAnsi"/>
          <w:sz w:val="24"/>
          <w:szCs w:val="24"/>
        </w:rPr>
        <w:t>(</w:t>
      </w:r>
      <w:r w:rsidR="00162114" w:rsidRPr="00202B9E">
        <w:rPr>
          <w:rFonts w:asciiTheme="minorHAnsi" w:hAnsiTheme="minorHAnsi"/>
          <w:sz w:val="24"/>
          <w:szCs w:val="24"/>
          <w:lang w:val="pl-PL"/>
        </w:rPr>
        <w:t xml:space="preserve">skarga nr </w:t>
      </w:r>
      <w:r w:rsidR="00F314BC" w:rsidRPr="00202B9E">
        <w:rPr>
          <w:rFonts w:asciiTheme="minorHAnsi" w:hAnsiTheme="minorHAnsi"/>
          <w:sz w:val="24"/>
          <w:szCs w:val="24"/>
        </w:rPr>
        <w:t>27617/04)</w:t>
      </w:r>
      <w:r w:rsidR="00F314BC" w:rsidRPr="00162114">
        <w:rPr>
          <w:rFonts w:asciiTheme="minorHAnsi" w:hAnsiTheme="minorHAnsi"/>
          <w:i/>
          <w:sz w:val="24"/>
          <w:szCs w:val="24"/>
        </w:rPr>
        <w:t xml:space="preserve"> i P. i S. p. Polsce </w:t>
      </w:r>
      <w:r w:rsidR="00F314BC" w:rsidRPr="00202B9E">
        <w:rPr>
          <w:rFonts w:asciiTheme="minorHAnsi" w:hAnsiTheme="minorHAnsi"/>
          <w:sz w:val="24"/>
          <w:szCs w:val="24"/>
        </w:rPr>
        <w:t>(</w:t>
      </w:r>
      <w:r w:rsidR="00162114" w:rsidRPr="00202B9E">
        <w:rPr>
          <w:rFonts w:asciiTheme="minorHAnsi" w:hAnsiTheme="minorHAnsi"/>
          <w:sz w:val="24"/>
          <w:szCs w:val="24"/>
          <w:lang w:val="pl-PL"/>
        </w:rPr>
        <w:t xml:space="preserve">skarga nr </w:t>
      </w:r>
      <w:r w:rsidR="00F314BC" w:rsidRPr="00202B9E">
        <w:rPr>
          <w:rFonts w:asciiTheme="minorHAnsi" w:hAnsiTheme="minorHAnsi"/>
          <w:sz w:val="24"/>
          <w:szCs w:val="24"/>
        </w:rPr>
        <w:t xml:space="preserve">57375/08), </w:t>
      </w:r>
      <w:r w:rsidR="00F314BC" w:rsidRPr="00162114">
        <w:rPr>
          <w:rFonts w:asciiTheme="minorHAnsi" w:hAnsiTheme="minorHAnsi"/>
          <w:i/>
          <w:sz w:val="24"/>
          <w:szCs w:val="24"/>
        </w:rPr>
        <w:t xml:space="preserve">Kurłowicz p. Polsce </w:t>
      </w:r>
      <w:r w:rsidR="00F314BC" w:rsidRPr="00202B9E">
        <w:rPr>
          <w:rFonts w:asciiTheme="minorHAnsi" w:hAnsiTheme="minorHAnsi"/>
          <w:sz w:val="24"/>
          <w:szCs w:val="24"/>
        </w:rPr>
        <w:t>(</w:t>
      </w:r>
      <w:r w:rsidR="00162114" w:rsidRPr="00202B9E">
        <w:rPr>
          <w:rFonts w:asciiTheme="minorHAnsi" w:hAnsiTheme="minorHAnsi"/>
          <w:sz w:val="24"/>
          <w:szCs w:val="24"/>
          <w:lang w:val="pl-PL"/>
        </w:rPr>
        <w:t xml:space="preserve">skarga nr </w:t>
      </w:r>
      <w:r w:rsidR="00F314BC" w:rsidRPr="00202B9E">
        <w:rPr>
          <w:rFonts w:asciiTheme="minorHAnsi" w:hAnsiTheme="minorHAnsi"/>
          <w:sz w:val="24"/>
          <w:szCs w:val="24"/>
        </w:rPr>
        <w:t>41029/06),</w:t>
      </w:r>
      <w:r w:rsidR="00F314BC" w:rsidRPr="00162114">
        <w:rPr>
          <w:rFonts w:asciiTheme="minorHAnsi" w:hAnsiTheme="minorHAnsi"/>
          <w:i/>
          <w:sz w:val="24"/>
          <w:szCs w:val="24"/>
        </w:rPr>
        <w:t xml:space="preserve"> Bednarz p. Polsce </w:t>
      </w:r>
      <w:r w:rsidR="00F314BC" w:rsidRPr="00202B9E">
        <w:rPr>
          <w:rFonts w:asciiTheme="minorHAnsi" w:hAnsiTheme="minorHAnsi"/>
          <w:sz w:val="24"/>
          <w:szCs w:val="24"/>
        </w:rPr>
        <w:t>(</w:t>
      </w:r>
      <w:r w:rsidR="00162114" w:rsidRPr="00202B9E">
        <w:rPr>
          <w:rFonts w:asciiTheme="minorHAnsi" w:hAnsiTheme="minorHAnsi"/>
          <w:sz w:val="24"/>
          <w:szCs w:val="24"/>
          <w:lang w:val="pl-PL"/>
        </w:rPr>
        <w:t xml:space="preserve">skarga nr </w:t>
      </w:r>
      <w:r w:rsidR="00F314BC" w:rsidRPr="00202B9E">
        <w:rPr>
          <w:rFonts w:asciiTheme="minorHAnsi" w:hAnsiTheme="minorHAnsi"/>
          <w:sz w:val="24"/>
          <w:szCs w:val="24"/>
        </w:rPr>
        <w:t>76505/14),</w:t>
      </w:r>
      <w:r w:rsidR="00F314BC" w:rsidRPr="00162114">
        <w:rPr>
          <w:rFonts w:asciiTheme="minorHAnsi" w:hAnsiTheme="minorHAnsi"/>
          <w:i/>
          <w:sz w:val="24"/>
          <w:szCs w:val="24"/>
        </w:rPr>
        <w:t xml:space="preserve"> Al Nashiri p. Polsce </w:t>
      </w:r>
      <w:r w:rsidR="00F314BC" w:rsidRPr="00202B9E">
        <w:rPr>
          <w:rFonts w:asciiTheme="minorHAnsi" w:hAnsiTheme="minorHAnsi"/>
          <w:sz w:val="24"/>
          <w:szCs w:val="24"/>
        </w:rPr>
        <w:t>(</w:t>
      </w:r>
      <w:r w:rsidR="00162114" w:rsidRPr="00202B9E">
        <w:rPr>
          <w:rFonts w:asciiTheme="minorHAnsi" w:hAnsiTheme="minorHAnsi"/>
          <w:sz w:val="24"/>
          <w:szCs w:val="24"/>
          <w:lang w:val="pl-PL"/>
        </w:rPr>
        <w:t xml:space="preserve">skarga nr </w:t>
      </w:r>
      <w:r w:rsidR="00F314BC" w:rsidRPr="00202B9E">
        <w:rPr>
          <w:rFonts w:asciiTheme="minorHAnsi" w:hAnsiTheme="minorHAnsi"/>
          <w:sz w:val="24"/>
          <w:szCs w:val="24"/>
        </w:rPr>
        <w:t>28761/11),</w:t>
      </w:r>
      <w:r w:rsidR="00F314BC" w:rsidRPr="00162114">
        <w:rPr>
          <w:rFonts w:asciiTheme="minorHAnsi" w:hAnsiTheme="minorHAnsi"/>
          <w:i/>
          <w:sz w:val="24"/>
          <w:szCs w:val="24"/>
        </w:rPr>
        <w:t xml:space="preserve"> Husayn (Abu Zubaydah) p. Polsce </w:t>
      </w:r>
      <w:r w:rsidR="00F314BC" w:rsidRPr="00202B9E">
        <w:rPr>
          <w:rFonts w:asciiTheme="minorHAnsi" w:hAnsiTheme="minorHAnsi"/>
          <w:sz w:val="24"/>
          <w:szCs w:val="24"/>
        </w:rPr>
        <w:t>(</w:t>
      </w:r>
      <w:r w:rsidR="00162114" w:rsidRPr="00202B9E">
        <w:rPr>
          <w:rFonts w:asciiTheme="minorHAnsi" w:hAnsiTheme="minorHAnsi"/>
          <w:sz w:val="24"/>
          <w:szCs w:val="24"/>
          <w:lang w:val="pl-PL"/>
        </w:rPr>
        <w:t xml:space="preserve">skarga nr </w:t>
      </w:r>
      <w:r w:rsidR="00F314BC" w:rsidRPr="00202B9E">
        <w:rPr>
          <w:rFonts w:asciiTheme="minorHAnsi" w:hAnsiTheme="minorHAnsi"/>
          <w:sz w:val="24"/>
          <w:szCs w:val="24"/>
        </w:rPr>
        <w:t xml:space="preserve">7511/13), </w:t>
      </w:r>
      <w:r w:rsidR="00F314BC" w:rsidRPr="00162114">
        <w:rPr>
          <w:rFonts w:asciiTheme="minorHAnsi" w:hAnsiTheme="minorHAnsi"/>
          <w:i/>
          <w:sz w:val="24"/>
          <w:szCs w:val="24"/>
        </w:rPr>
        <w:t xml:space="preserve">Rutkowski i inni p. Polsce </w:t>
      </w:r>
      <w:r w:rsidR="00F314BC" w:rsidRPr="00202B9E">
        <w:rPr>
          <w:rFonts w:asciiTheme="minorHAnsi" w:hAnsiTheme="minorHAnsi"/>
          <w:sz w:val="24"/>
          <w:szCs w:val="24"/>
        </w:rPr>
        <w:t>(</w:t>
      </w:r>
      <w:r w:rsidR="00162114" w:rsidRPr="00202B9E">
        <w:rPr>
          <w:rFonts w:asciiTheme="minorHAnsi" w:hAnsiTheme="minorHAnsi"/>
          <w:sz w:val="24"/>
          <w:szCs w:val="24"/>
          <w:lang w:val="pl-PL"/>
        </w:rPr>
        <w:t xml:space="preserve">skarga nr </w:t>
      </w:r>
      <w:r w:rsidR="00F314BC" w:rsidRPr="00202B9E">
        <w:rPr>
          <w:rFonts w:asciiTheme="minorHAnsi" w:hAnsiTheme="minorHAnsi"/>
          <w:sz w:val="24"/>
          <w:szCs w:val="24"/>
        </w:rPr>
        <w:t>72287/10),</w:t>
      </w:r>
      <w:r w:rsidR="00F314BC" w:rsidRPr="00162114">
        <w:rPr>
          <w:rFonts w:asciiTheme="minorHAnsi" w:hAnsiTheme="minorHAnsi"/>
          <w:i/>
          <w:sz w:val="24"/>
          <w:szCs w:val="24"/>
        </w:rPr>
        <w:t xml:space="preserve"> Bistieva </w:t>
      </w:r>
      <w:r w:rsidR="00162114">
        <w:rPr>
          <w:rFonts w:asciiTheme="minorHAnsi" w:hAnsiTheme="minorHAnsi"/>
          <w:i/>
          <w:sz w:val="24"/>
          <w:szCs w:val="24"/>
          <w:lang w:val="pl-PL"/>
        </w:rPr>
        <w:t xml:space="preserve">i inni </w:t>
      </w:r>
      <w:r w:rsidR="00F314BC" w:rsidRPr="00162114">
        <w:rPr>
          <w:rFonts w:asciiTheme="minorHAnsi" w:hAnsiTheme="minorHAnsi"/>
          <w:i/>
          <w:sz w:val="24"/>
          <w:szCs w:val="24"/>
        </w:rPr>
        <w:t>p. Polsce</w:t>
      </w:r>
      <w:r w:rsidR="00162114">
        <w:rPr>
          <w:rFonts w:asciiTheme="minorHAnsi" w:hAnsiTheme="minorHAnsi"/>
          <w:i/>
          <w:sz w:val="24"/>
          <w:szCs w:val="24"/>
          <w:lang w:val="pl-PL"/>
        </w:rPr>
        <w:t xml:space="preserve"> </w:t>
      </w:r>
      <w:r w:rsidR="00162114" w:rsidRPr="00202B9E">
        <w:rPr>
          <w:rFonts w:asciiTheme="minorHAnsi" w:hAnsiTheme="minorHAnsi"/>
          <w:sz w:val="24"/>
          <w:szCs w:val="24"/>
          <w:lang w:val="pl-PL"/>
        </w:rPr>
        <w:t xml:space="preserve">(skarga nr </w:t>
      </w:r>
      <w:r w:rsidR="00162114" w:rsidRPr="00202B9E">
        <w:rPr>
          <w:rFonts w:asciiTheme="minorHAnsi" w:hAnsiTheme="minorHAnsi"/>
          <w:sz w:val="24"/>
          <w:szCs w:val="24"/>
        </w:rPr>
        <w:t>75157/14)</w:t>
      </w:r>
      <w:r w:rsidR="00F314BC" w:rsidRPr="00202B9E">
        <w:rPr>
          <w:rFonts w:asciiTheme="minorHAnsi" w:hAnsiTheme="minorHAnsi"/>
          <w:sz w:val="24"/>
          <w:szCs w:val="24"/>
        </w:rPr>
        <w:t>,</w:t>
      </w:r>
      <w:r w:rsidR="00F314BC" w:rsidRPr="00162114">
        <w:rPr>
          <w:rFonts w:asciiTheme="minorHAnsi" w:hAnsiTheme="minorHAnsi"/>
          <w:i/>
          <w:sz w:val="24"/>
          <w:szCs w:val="24"/>
        </w:rPr>
        <w:t xml:space="preserve"> Parol i Adamkowski p. Polsce </w:t>
      </w:r>
      <w:r w:rsidR="00F314BC" w:rsidRPr="00202B9E">
        <w:rPr>
          <w:rFonts w:asciiTheme="minorHAnsi" w:hAnsiTheme="minorHAnsi"/>
          <w:sz w:val="24"/>
          <w:szCs w:val="24"/>
        </w:rPr>
        <w:t>(</w:t>
      </w:r>
      <w:r w:rsidR="00162114" w:rsidRPr="00202B9E">
        <w:rPr>
          <w:rFonts w:asciiTheme="minorHAnsi" w:hAnsiTheme="minorHAnsi"/>
          <w:sz w:val="24"/>
          <w:szCs w:val="24"/>
          <w:lang w:val="pl-PL"/>
        </w:rPr>
        <w:t xml:space="preserve">skargi nr </w:t>
      </w:r>
      <w:r w:rsidR="00F314BC" w:rsidRPr="00202B9E">
        <w:rPr>
          <w:rFonts w:asciiTheme="minorHAnsi" w:hAnsiTheme="minorHAnsi"/>
          <w:sz w:val="24"/>
          <w:szCs w:val="24"/>
        </w:rPr>
        <w:t>65379/13 i 57814/12).</w:t>
      </w:r>
      <w:r w:rsidRPr="00162114">
        <w:rPr>
          <w:rFonts w:asciiTheme="minorHAnsi" w:hAnsiTheme="minorHAnsi"/>
          <w:sz w:val="24"/>
          <w:szCs w:val="24"/>
        </w:rPr>
        <w:t xml:space="preserve"> Komunikacje te zostały wymienione </w:t>
      </w:r>
      <w:r w:rsidRPr="00162114">
        <w:rPr>
          <w:rFonts w:asciiTheme="minorHAnsi" w:hAnsiTheme="minorHAnsi"/>
          <w:sz w:val="24"/>
          <w:szCs w:val="24"/>
        </w:rPr>
        <w:lastRenderedPageBreak/>
        <w:t>poniżej, natomiast ich pełne teksty</w:t>
      </w:r>
      <w:r w:rsidR="009C7CD6" w:rsidRPr="00162114">
        <w:rPr>
          <w:rFonts w:asciiTheme="minorHAnsi" w:hAnsiTheme="minorHAnsi"/>
          <w:sz w:val="24"/>
          <w:szCs w:val="24"/>
        </w:rPr>
        <w:t>,</w:t>
      </w:r>
      <w:r w:rsidRPr="00162114">
        <w:rPr>
          <w:rFonts w:asciiTheme="minorHAnsi" w:hAnsiTheme="minorHAnsi"/>
          <w:sz w:val="24"/>
          <w:szCs w:val="24"/>
        </w:rPr>
        <w:t xml:space="preserve"> wraz z odpowiedziami </w:t>
      </w:r>
      <w:r w:rsidR="00202B9E">
        <w:rPr>
          <w:rFonts w:asciiTheme="minorHAnsi" w:hAnsiTheme="minorHAnsi"/>
          <w:sz w:val="24"/>
          <w:szCs w:val="24"/>
          <w:lang w:val="pl-PL"/>
        </w:rPr>
        <w:t>R</w:t>
      </w:r>
      <w:r w:rsidRPr="00162114">
        <w:rPr>
          <w:rFonts w:asciiTheme="minorHAnsi" w:hAnsiTheme="minorHAnsi"/>
          <w:sz w:val="24"/>
          <w:szCs w:val="24"/>
        </w:rPr>
        <w:t>ządu</w:t>
      </w:r>
      <w:r w:rsidR="009C7CD6" w:rsidRPr="00162114">
        <w:rPr>
          <w:rFonts w:asciiTheme="minorHAnsi" w:hAnsiTheme="minorHAnsi"/>
          <w:sz w:val="24"/>
          <w:szCs w:val="24"/>
        </w:rPr>
        <w:t>,</w:t>
      </w:r>
      <w:r w:rsidRPr="00162114">
        <w:rPr>
          <w:rFonts w:asciiTheme="minorHAnsi" w:hAnsiTheme="minorHAnsi"/>
          <w:sz w:val="24"/>
          <w:szCs w:val="24"/>
        </w:rPr>
        <w:t xml:space="preserve"> dołączone </w:t>
      </w:r>
      <w:r w:rsidR="009C7CD6" w:rsidRPr="00162114">
        <w:rPr>
          <w:rFonts w:asciiTheme="minorHAnsi" w:hAnsiTheme="minorHAnsi"/>
          <w:sz w:val="24"/>
          <w:szCs w:val="24"/>
        </w:rPr>
        <w:t xml:space="preserve">zostały </w:t>
      </w:r>
      <w:r w:rsidRPr="00162114">
        <w:rPr>
          <w:rFonts w:asciiTheme="minorHAnsi" w:hAnsiTheme="minorHAnsi"/>
          <w:sz w:val="24"/>
          <w:szCs w:val="24"/>
        </w:rPr>
        <w:t>do niniejszego Raportu w postaci Załącznika F.</w:t>
      </w:r>
      <w:r w:rsidR="009C7CD6" w:rsidRPr="00162114">
        <w:rPr>
          <w:rFonts w:asciiTheme="minorHAnsi" w:hAnsiTheme="minorHAnsi"/>
          <w:sz w:val="24"/>
          <w:szCs w:val="24"/>
        </w:rPr>
        <w:t xml:space="preserve"> Wszystkie komunikacje oraz odpowiedzi </w:t>
      </w:r>
      <w:r w:rsidR="00202B9E">
        <w:rPr>
          <w:rFonts w:asciiTheme="minorHAnsi" w:hAnsiTheme="minorHAnsi"/>
          <w:sz w:val="24"/>
          <w:szCs w:val="24"/>
          <w:lang w:val="pl-PL"/>
        </w:rPr>
        <w:t>R</w:t>
      </w:r>
      <w:r w:rsidR="009C7CD6" w:rsidRPr="00162114">
        <w:rPr>
          <w:rFonts w:asciiTheme="minorHAnsi" w:hAnsiTheme="minorHAnsi"/>
          <w:sz w:val="24"/>
          <w:szCs w:val="24"/>
        </w:rPr>
        <w:t>ządu są dostępne także na stronie KM oraz w bazie HUDOC-EXEC (w j. angielskim).</w:t>
      </w:r>
    </w:p>
    <w:p w:rsidR="00D83BAC" w:rsidRPr="007C47E6" w:rsidRDefault="00D83BAC" w:rsidP="003F20CE">
      <w:pPr>
        <w:pStyle w:val="Akapitzlist"/>
        <w:numPr>
          <w:ilvl w:val="0"/>
          <w:numId w:val="5"/>
        </w:numPr>
        <w:spacing w:before="120" w:after="0" w:line="240" w:lineRule="auto"/>
        <w:ind w:left="709" w:hanging="425"/>
        <w:jc w:val="both"/>
        <w:rPr>
          <w:rFonts w:asciiTheme="minorHAnsi" w:hAnsiTheme="minorHAnsi"/>
          <w:sz w:val="24"/>
          <w:szCs w:val="24"/>
          <w:lang w:val="pl-PL"/>
        </w:rPr>
      </w:pPr>
      <w:r w:rsidRPr="007C47E6">
        <w:rPr>
          <w:rFonts w:asciiTheme="minorHAnsi" w:hAnsiTheme="minorHAnsi"/>
          <w:sz w:val="24"/>
          <w:szCs w:val="24"/>
          <w:lang w:val="pl-PL"/>
        </w:rPr>
        <w:t xml:space="preserve">Komunikacja otrzymana w dniu </w:t>
      </w:r>
      <w:r w:rsidR="00CC6006" w:rsidRPr="007C47E6">
        <w:rPr>
          <w:rFonts w:asciiTheme="minorHAnsi" w:hAnsiTheme="minorHAnsi"/>
          <w:sz w:val="24"/>
          <w:szCs w:val="24"/>
          <w:lang w:val="pl-PL"/>
        </w:rPr>
        <w:t>22 stycznia 2</w:t>
      </w:r>
      <w:r w:rsidRPr="007C47E6">
        <w:rPr>
          <w:rFonts w:asciiTheme="minorHAnsi" w:hAnsiTheme="minorHAnsi"/>
          <w:sz w:val="24"/>
          <w:szCs w:val="24"/>
          <w:lang w:val="pl-PL"/>
        </w:rPr>
        <w:t>0</w:t>
      </w:r>
      <w:r w:rsidR="00CC6006" w:rsidRPr="007C47E6">
        <w:rPr>
          <w:rFonts w:asciiTheme="minorHAnsi" w:hAnsiTheme="minorHAnsi"/>
          <w:sz w:val="24"/>
          <w:szCs w:val="24"/>
          <w:lang w:val="pl-PL"/>
        </w:rPr>
        <w:t>20</w:t>
      </w:r>
      <w:r w:rsidRPr="007C47E6">
        <w:rPr>
          <w:rFonts w:asciiTheme="minorHAnsi" w:hAnsiTheme="minorHAnsi"/>
          <w:sz w:val="24"/>
          <w:szCs w:val="24"/>
          <w:lang w:val="pl-PL"/>
        </w:rPr>
        <w:t xml:space="preserve"> r. ws. wykonania wyroku</w:t>
      </w:r>
      <w:r w:rsidRPr="007C47E6">
        <w:rPr>
          <w:rFonts w:asciiTheme="minorHAnsi" w:hAnsiTheme="minorHAnsi"/>
          <w:i/>
          <w:sz w:val="24"/>
          <w:szCs w:val="24"/>
          <w:lang w:val="pl-PL"/>
        </w:rPr>
        <w:t xml:space="preserve"> </w:t>
      </w:r>
      <w:r w:rsidR="00CC6006" w:rsidRPr="007C47E6">
        <w:rPr>
          <w:rFonts w:asciiTheme="minorHAnsi" w:hAnsiTheme="minorHAnsi"/>
          <w:b/>
          <w:i/>
          <w:sz w:val="24"/>
          <w:szCs w:val="24"/>
          <w:lang w:val="pl-PL"/>
        </w:rPr>
        <w:t xml:space="preserve">Mierzejewski </w:t>
      </w:r>
      <w:r w:rsidRPr="007C47E6">
        <w:rPr>
          <w:rFonts w:asciiTheme="minorHAnsi" w:hAnsiTheme="minorHAnsi"/>
          <w:b/>
          <w:i/>
          <w:sz w:val="24"/>
          <w:szCs w:val="24"/>
          <w:lang w:val="pl-PL"/>
        </w:rPr>
        <w:t>p. Polsce</w:t>
      </w:r>
      <w:r w:rsidRPr="007C47E6">
        <w:rPr>
          <w:rFonts w:asciiTheme="minorHAnsi" w:hAnsiTheme="minorHAnsi"/>
          <w:sz w:val="24"/>
          <w:szCs w:val="24"/>
          <w:lang w:val="pl-PL"/>
        </w:rPr>
        <w:t xml:space="preserve">, przesłana do Komitetu Ministrów RE przez </w:t>
      </w:r>
      <w:r w:rsidRPr="007C47E6">
        <w:rPr>
          <w:rFonts w:asciiTheme="minorHAnsi" w:hAnsiTheme="minorHAnsi"/>
          <w:sz w:val="24"/>
          <w:szCs w:val="24"/>
        </w:rPr>
        <w:t>Helsińską Fundację Praw Człowieka</w:t>
      </w:r>
      <w:r w:rsidRPr="007C47E6">
        <w:rPr>
          <w:rFonts w:asciiTheme="minorHAnsi" w:hAnsiTheme="minorHAnsi"/>
          <w:sz w:val="24"/>
          <w:szCs w:val="24"/>
          <w:lang w:val="pl-PL"/>
        </w:rPr>
        <w:t xml:space="preserve"> (</w:t>
      </w:r>
      <w:r w:rsidR="009C7CD6" w:rsidRPr="007C47E6">
        <w:rPr>
          <w:rFonts w:asciiTheme="minorHAnsi" w:hAnsiTheme="minorHAnsi"/>
          <w:sz w:val="24"/>
          <w:szCs w:val="24"/>
          <w:lang w:val="pl-PL"/>
        </w:rPr>
        <w:t xml:space="preserve">komunikacja i odpowiedź: </w:t>
      </w:r>
      <w:r w:rsidRPr="007C47E6">
        <w:rPr>
          <w:rFonts w:asciiTheme="minorHAnsi" w:hAnsiTheme="minorHAnsi"/>
          <w:sz w:val="24"/>
          <w:szCs w:val="24"/>
          <w:lang w:val="pl-PL"/>
        </w:rPr>
        <w:t xml:space="preserve">dokument </w:t>
      </w:r>
      <w:r w:rsidR="00330D49" w:rsidRPr="007C47E6">
        <w:rPr>
          <w:rFonts w:asciiTheme="minorHAnsi" w:hAnsiTheme="minorHAnsi"/>
          <w:color w:val="000000"/>
          <w:sz w:val="24"/>
          <w:szCs w:val="24"/>
          <w:shd w:val="clear" w:color="auto" w:fill="FFFFFF"/>
        </w:rPr>
        <w:t>DH-DD(2020)97-r</w:t>
      </w:r>
      <w:r w:rsidR="00330D49" w:rsidRPr="007C47E6">
        <w:rPr>
          <w:rStyle w:val="pdfoutput11"/>
          <w:rFonts w:asciiTheme="minorHAnsi" w:hAnsiTheme="minorHAnsi"/>
          <w:color w:val="000000"/>
          <w:spacing w:val="-2"/>
          <w:sz w:val="24"/>
          <w:szCs w:val="24"/>
          <w:shd w:val="clear" w:color="auto" w:fill="FFFFFF"/>
        </w:rPr>
        <w:t>ev</w:t>
      </w:r>
      <w:r w:rsidR="00CC6006" w:rsidRPr="007C47E6">
        <w:rPr>
          <w:rFonts w:asciiTheme="minorHAnsi" w:hAnsiTheme="minorHAnsi"/>
          <w:sz w:val="24"/>
          <w:szCs w:val="24"/>
          <w:lang w:val="pl-PL"/>
        </w:rPr>
        <w:t>)</w:t>
      </w:r>
      <w:r w:rsidRPr="007C47E6">
        <w:rPr>
          <w:rFonts w:asciiTheme="minorHAnsi" w:hAnsiTheme="minorHAnsi"/>
          <w:sz w:val="24"/>
          <w:szCs w:val="24"/>
          <w:lang w:val="pl-PL"/>
        </w:rPr>
        <w:t>;</w:t>
      </w:r>
    </w:p>
    <w:p w:rsidR="00D83BAC" w:rsidRPr="002C2D40" w:rsidRDefault="00D83BAC" w:rsidP="003F20CE">
      <w:pPr>
        <w:pStyle w:val="Akapitzlist"/>
        <w:numPr>
          <w:ilvl w:val="0"/>
          <w:numId w:val="5"/>
        </w:numPr>
        <w:spacing w:before="120" w:after="0" w:line="240" w:lineRule="auto"/>
        <w:ind w:left="709" w:hanging="425"/>
        <w:jc w:val="both"/>
        <w:rPr>
          <w:rFonts w:asciiTheme="minorHAnsi" w:hAnsiTheme="minorHAnsi"/>
          <w:sz w:val="24"/>
          <w:szCs w:val="24"/>
          <w:lang w:val="pl-PL"/>
        </w:rPr>
      </w:pPr>
      <w:r w:rsidRPr="002C2D40">
        <w:rPr>
          <w:rFonts w:asciiTheme="minorHAnsi" w:hAnsiTheme="minorHAnsi"/>
          <w:sz w:val="24"/>
          <w:szCs w:val="24"/>
          <w:lang w:val="pl-PL"/>
        </w:rPr>
        <w:t xml:space="preserve">Komunikacja otrzymana w dniu </w:t>
      </w:r>
      <w:r w:rsidR="00CC6006" w:rsidRPr="002C2D40">
        <w:rPr>
          <w:rFonts w:asciiTheme="minorHAnsi" w:hAnsiTheme="minorHAnsi"/>
          <w:sz w:val="24"/>
          <w:szCs w:val="24"/>
          <w:lang w:val="pl-PL"/>
        </w:rPr>
        <w:t xml:space="preserve">23 stycznia </w:t>
      </w:r>
      <w:r w:rsidRPr="002C2D40">
        <w:rPr>
          <w:rFonts w:asciiTheme="minorHAnsi" w:hAnsiTheme="minorHAnsi"/>
          <w:sz w:val="24"/>
          <w:szCs w:val="24"/>
          <w:lang w:val="pl-PL"/>
        </w:rPr>
        <w:t>20</w:t>
      </w:r>
      <w:r w:rsidR="00CC6006" w:rsidRPr="002C2D40">
        <w:rPr>
          <w:rFonts w:asciiTheme="minorHAnsi" w:hAnsiTheme="minorHAnsi"/>
          <w:sz w:val="24"/>
          <w:szCs w:val="24"/>
          <w:lang w:val="pl-PL"/>
        </w:rPr>
        <w:t>20</w:t>
      </w:r>
      <w:r w:rsidRPr="002C2D40">
        <w:rPr>
          <w:rFonts w:asciiTheme="minorHAnsi" w:hAnsiTheme="minorHAnsi"/>
          <w:sz w:val="24"/>
          <w:szCs w:val="24"/>
          <w:lang w:val="pl-PL"/>
        </w:rPr>
        <w:t xml:space="preserve"> r. ws. wykonania wyrok</w:t>
      </w:r>
      <w:r w:rsidR="00CC6006" w:rsidRPr="002C2D40">
        <w:rPr>
          <w:rFonts w:asciiTheme="minorHAnsi" w:hAnsiTheme="minorHAnsi"/>
          <w:sz w:val="24"/>
          <w:szCs w:val="24"/>
          <w:lang w:val="pl-PL"/>
        </w:rPr>
        <w:t xml:space="preserve">ów </w:t>
      </w:r>
      <w:r w:rsidR="00CC6006" w:rsidRPr="002C2D40">
        <w:rPr>
          <w:rFonts w:asciiTheme="minorHAnsi" w:hAnsiTheme="minorHAnsi"/>
          <w:b/>
          <w:i/>
          <w:sz w:val="24"/>
          <w:szCs w:val="24"/>
        </w:rPr>
        <w:t>Tysiąc p. Polsce</w:t>
      </w:r>
      <w:r w:rsidR="00CC6006" w:rsidRPr="002C2D40">
        <w:rPr>
          <w:rFonts w:asciiTheme="minorHAnsi" w:hAnsiTheme="minorHAnsi"/>
          <w:b/>
          <w:i/>
          <w:sz w:val="24"/>
          <w:szCs w:val="24"/>
          <w:lang w:val="pl-PL"/>
        </w:rPr>
        <w:t xml:space="preserve">, </w:t>
      </w:r>
      <w:r w:rsidR="00CC6006" w:rsidRPr="002C2D40">
        <w:rPr>
          <w:rFonts w:asciiTheme="minorHAnsi" w:hAnsiTheme="minorHAnsi"/>
          <w:b/>
          <w:i/>
          <w:sz w:val="24"/>
          <w:szCs w:val="24"/>
        </w:rPr>
        <w:t xml:space="preserve">R.R. p. Polsce </w:t>
      </w:r>
      <w:r w:rsidR="00CC6006" w:rsidRPr="00B8438B">
        <w:rPr>
          <w:rFonts w:asciiTheme="minorHAnsi" w:hAnsiTheme="minorHAnsi"/>
          <w:sz w:val="24"/>
          <w:szCs w:val="24"/>
        </w:rPr>
        <w:t>i</w:t>
      </w:r>
      <w:r w:rsidR="00CC6006" w:rsidRPr="002C2D40">
        <w:rPr>
          <w:rFonts w:asciiTheme="minorHAnsi" w:hAnsiTheme="minorHAnsi"/>
          <w:b/>
          <w:i/>
          <w:sz w:val="24"/>
          <w:szCs w:val="24"/>
        </w:rPr>
        <w:t xml:space="preserve"> P. i S. p. Polsce</w:t>
      </w:r>
      <w:r w:rsidRPr="002C2D40">
        <w:rPr>
          <w:rFonts w:asciiTheme="minorHAnsi" w:hAnsiTheme="minorHAnsi"/>
          <w:sz w:val="24"/>
          <w:szCs w:val="24"/>
          <w:lang w:val="pl-PL"/>
        </w:rPr>
        <w:t>, przesłana do Komitetu Ministrów RE przez Centrum Praw Reprodukcyjnych i Federację na rzecz Kobiet i Planowania Rodziny (</w:t>
      </w:r>
      <w:r w:rsidR="007F4797" w:rsidRPr="002C2D40">
        <w:rPr>
          <w:rFonts w:asciiTheme="minorHAnsi" w:hAnsiTheme="minorHAnsi"/>
          <w:sz w:val="24"/>
          <w:szCs w:val="24"/>
          <w:lang w:val="pl-PL"/>
        </w:rPr>
        <w:t>komunikacja</w:t>
      </w:r>
      <w:r w:rsidR="00CC6006" w:rsidRPr="002C2D40">
        <w:rPr>
          <w:rFonts w:asciiTheme="minorHAnsi" w:hAnsiTheme="minorHAnsi"/>
          <w:sz w:val="24"/>
          <w:szCs w:val="24"/>
          <w:lang w:val="pl-PL"/>
        </w:rPr>
        <w:t xml:space="preserve"> i</w:t>
      </w:r>
      <w:r w:rsidR="007F4797" w:rsidRPr="002C2D40">
        <w:rPr>
          <w:rFonts w:asciiTheme="minorHAnsi" w:hAnsiTheme="minorHAnsi"/>
          <w:sz w:val="24"/>
          <w:szCs w:val="24"/>
          <w:lang w:val="pl-PL"/>
        </w:rPr>
        <w:t xml:space="preserve"> odpowiedź: </w:t>
      </w:r>
      <w:r w:rsidR="00DB1508" w:rsidRPr="002C2D40">
        <w:rPr>
          <w:rFonts w:asciiTheme="minorHAnsi" w:hAnsiTheme="minorHAnsi"/>
          <w:color w:val="000000"/>
          <w:sz w:val="24"/>
          <w:szCs w:val="24"/>
          <w:shd w:val="clear" w:color="auto" w:fill="FFFFFF"/>
        </w:rPr>
        <w:t>DH-DD(2020)99-r</w:t>
      </w:r>
      <w:r w:rsidR="00DB1508" w:rsidRPr="002C2D40">
        <w:rPr>
          <w:rStyle w:val="pdfoutput11"/>
          <w:rFonts w:asciiTheme="minorHAnsi" w:hAnsiTheme="minorHAnsi"/>
          <w:color w:val="000000"/>
          <w:spacing w:val="-2"/>
          <w:sz w:val="24"/>
          <w:szCs w:val="24"/>
          <w:shd w:val="clear" w:color="auto" w:fill="FFFFFF"/>
        </w:rPr>
        <w:t>ev</w:t>
      </w:r>
      <w:r w:rsidRPr="002C2D40">
        <w:rPr>
          <w:rFonts w:asciiTheme="minorHAnsi" w:hAnsiTheme="minorHAnsi"/>
          <w:sz w:val="24"/>
          <w:szCs w:val="24"/>
          <w:lang w:val="pl-PL"/>
        </w:rPr>
        <w:t>);</w:t>
      </w:r>
    </w:p>
    <w:p w:rsidR="00CC6006" w:rsidRPr="002C2D40" w:rsidRDefault="00CC6006" w:rsidP="003F20CE">
      <w:pPr>
        <w:pStyle w:val="Akapitzlist"/>
        <w:numPr>
          <w:ilvl w:val="0"/>
          <w:numId w:val="5"/>
        </w:numPr>
        <w:spacing w:before="120" w:after="0" w:line="240" w:lineRule="auto"/>
        <w:ind w:left="709" w:hanging="425"/>
        <w:jc w:val="both"/>
        <w:rPr>
          <w:rFonts w:asciiTheme="minorHAnsi" w:hAnsiTheme="minorHAnsi"/>
          <w:sz w:val="24"/>
          <w:szCs w:val="24"/>
          <w:lang w:val="pl-PL"/>
        </w:rPr>
      </w:pPr>
      <w:r w:rsidRPr="002C2D40">
        <w:rPr>
          <w:rFonts w:asciiTheme="minorHAnsi" w:hAnsiTheme="minorHAnsi"/>
          <w:sz w:val="24"/>
          <w:szCs w:val="24"/>
          <w:lang w:val="pl-PL"/>
        </w:rPr>
        <w:t xml:space="preserve">Komunikacja otrzymana w dniu 27 stycznia 2020 r. ws. wykonania wyroków </w:t>
      </w:r>
      <w:r w:rsidRPr="002C2D40">
        <w:rPr>
          <w:rFonts w:asciiTheme="minorHAnsi" w:hAnsiTheme="minorHAnsi"/>
          <w:b/>
          <w:i/>
          <w:sz w:val="24"/>
          <w:szCs w:val="24"/>
        </w:rPr>
        <w:t>Tysiąc p. Polsce</w:t>
      </w:r>
      <w:r w:rsidRPr="002C2D40">
        <w:rPr>
          <w:rFonts w:asciiTheme="minorHAnsi" w:hAnsiTheme="minorHAnsi"/>
          <w:b/>
          <w:i/>
          <w:sz w:val="24"/>
          <w:szCs w:val="24"/>
          <w:lang w:val="pl-PL"/>
        </w:rPr>
        <w:t xml:space="preserve">, </w:t>
      </w:r>
      <w:r w:rsidRPr="002C2D40">
        <w:rPr>
          <w:rFonts w:asciiTheme="minorHAnsi" w:hAnsiTheme="minorHAnsi"/>
          <w:b/>
          <w:i/>
          <w:sz w:val="24"/>
          <w:szCs w:val="24"/>
        </w:rPr>
        <w:t xml:space="preserve">R.R. p. Polsce </w:t>
      </w:r>
      <w:r w:rsidRPr="00B8438B">
        <w:rPr>
          <w:rFonts w:asciiTheme="minorHAnsi" w:hAnsiTheme="minorHAnsi"/>
          <w:sz w:val="24"/>
          <w:szCs w:val="24"/>
        </w:rPr>
        <w:t>i</w:t>
      </w:r>
      <w:r w:rsidRPr="002C2D40">
        <w:rPr>
          <w:rFonts w:asciiTheme="minorHAnsi" w:hAnsiTheme="minorHAnsi"/>
          <w:b/>
          <w:i/>
          <w:sz w:val="24"/>
          <w:szCs w:val="24"/>
        </w:rPr>
        <w:t xml:space="preserve"> P. i S. p. Polsce</w:t>
      </w:r>
      <w:r w:rsidRPr="002C2D40">
        <w:rPr>
          <w:rFonts w:asciiTheme="minorHAnsi" w:hAnsiTheme="minorHAnsi"/>
          <w:sz w:val="24"/>
          <w:szCs w:val="24"/>
          <w:lang w:val="pl-PL"/>
        </w:rPr>
        <w:t>, przesłana do Komitetu Ministrów RE przez Komisarz Praw Człowieka Rady Europy (komunikacja i odpowiedź: dokument</w:t>
      </w:r>
      <w:r w:rsidR="00DB1508" w:rsidRPr="002C2D40">
        <w:rPr>
          <w:rFonts w:asciiTheme="minorHAnsi" w:hAnsiTheme="minorHAnsi"/>
          <w:sz w:val="24"/>
          <w:szCs w:val="24"/>
          <w:lang w:val="pl-PL"/>
        </w:rPr>
        <w:t xml:space="preserve"> </w:t>
      </w:r>
      <w:r w:rsidR="00DB1508" w:rsidRPr="002C2D40">
        <w:rPr>
          <w:rFonts w:asciiTheme="minorHAnsi" w:hAnsiTheme="minorHAnsi"/>
          <w:color w:val="000000"/>
          <w:sz w:val="24"/>
          <w:szCs w:val="24"/>
          <w:shd w:val="clear" w:color="auto" w:fill="FFFFFF"/>
        </w:rPr>
        <w:t>DH-DD(2020)101-r</w:t>
      </w:r>
      <w:r w:rsidR="00DB1508" w:rsidRPr="002C2D40">
        <w:rPr>
          <w:rStyle w:val="pdfoutput11"/>
          <w:rFonts w:asciiTheme="minorHAnsi" w:hAnsiTheme="minorHAnsi"/>
          <w:color w:val="000000"/>
          <w:spacing w:val="-2"/>
          <w:sz w:val="24"/>
          <w:szCs w:val="24"/>
          <w:shd w:val="clear" w:color="auto" w:fill="FFFFFF"/>
        </w:rPr>
        <w:t>ev</w:t>
      </w:r>
      <w:r w:rsidRPr="002C2D40">
        <w:rPr>
          <w:rFonts w:asciiTheme="minorHAnsi" w:hAnsiTheme="minorHAnsi"/>
          <w:sz w:val="24"/>
          <w:szCs w:val="24"/>
          <w:lang w:val="pl-PL"/>
        </w:rPr>
        <w:t>);</w:t>
      </w:r>
    </w:p>
    <w:p w:rsidR="00D83BAC" w:rsidRPr="002C2D40" w:rsidRDefault="00D83BAC" w:rsidP="003F20CE">
      <w:pPr>
        <w:pStyle w:val="Akapitzlist"/>
        <w:numPr>
          <w:ilvl w:val="0"/>
          <w:numId w:val="5"/>
        </w:numPr>
        <w:spacing w:before="120" w:after="0" w:line="240" w:lineRule="auto"/>
        <w:ind w:left="709" w:hanging="425"/>
        <w:jc w:val="both"/>
        <w:rPr>
          <w:rFonts w:asciiTheme="minorHAnsi" w:hAnsiTheme="minorHAnsi"/>
          <w:sz w:val="24"/>
          <w:szCs w:val="24"/>
          <w:lang w:val="pl-PL"/>
        </w:rPr>
      </w:pPr>
      <w:r w:rsidRPr="002C2D40">
        <w:rPr>
          <w:rFonts w:asciiTheme="minorHAnsi" w:hAnsiTheme="minorHAnsi"/>
          <w:sz w:val="24"/>
          <w:szCs w:val="24"/>
          <w:lang w:val="pl-PL"/>
        </w:rPr>
        <w:t xml:space="preserve">Komunikacja otrzymana w dniu </w:t>
      </w:r>
      <w:r w:rsidR="00CC6006" w:rsidRPr="002C2D40">
        <w:rPr>
          <w:rFonts w:asciiTheme="minorHAnsi" w:hAnsiTheme="minorHAnsi"/>
          <w:sz w:val="24"/>
          <w:szCs w:val="24"/>
          <w:lang w:val="pl-PL"/>
        </w:rPr>
        <w:t>29 stycznia 2020</w:t>
      </w:r>
      <w:r w:rsidRPr="002C2D40">
        <w:rPr>
          <w:rFonts w:asciiTheme="minorHAnsi" w:hAnsiTheme="minorHAnsi"/>
          <w:sz w:val="24"/>
          <w:szCs w:val="24"/>
          <w:lang w:val="pl-PL"/>
        </w:rPr>
        <w:t xml:space="preserve"> r. ws. wykonania </w:t>
      </w:r>
      <w:r w:rsidR="00CC6006" w:rsidRPr="002C2D40">
        <w:rPr>
          <w:rFonts w:asciiTheme="minorHAnsi" w:hAnsiTheme="minorHAnsi"/>
          <w:sz w:val="24"/>
          <w:szCs w:val="24"/>
          <w:lang w:val="pl-PL"/>
        </w:rPr>
        <w:t xml:space="preserve">wyroków </w:t>
      </w:r>
      <w:r w:rsidR="00CC6006" w:rsidRPr="002C2D40">
        <w:rPr>
          <w:rFonts w:asciiTheme="minorHAnsi" w:hAnsiTheme="minorHAnsi"/>
          <w:b/>
          <w:i/>
          <w:sz w:val="24"/>
          <w:szCs w:val="24"/>
        </w:rPr>
        <w:t>Tysiąc p. Polsce</w:t>
      </w:r>
      <w:r w:rsidR="00CC6006" w:rsidRPr="002C2D40">
        <w:rPr>
          <w:rFonts w:asciiTheme="minorHAnsi" w:hAnsiTheme="minorHAnsi"/>
          <w:b/>
          <w:i/>
          <w:sz w:val="24"/>
          <w:szCs w:val="24"/>
          <w:lang w:val="pl-PL"/>
        </w:rPr>
        <w:t xml:space="preserve">, </w:t>
      </w:r>
      <w:r w:rsidR="00CC6006" w:rsidRPr="002C2D40">
        <w:rPr>
          <w:rFonts w:asciiTheme="minorHAnsi" w:hAnsiTheme="minorHAnsi"/>
          <w:b/>
          <w:i/>
          <w:sz w:val="24"/>
          <w:szCs w:val="24"/>
        </w:rPr>
        <w:t xml:space="preserve">R.R. p. Polsce </w:t>
      </w:r>
      <w:r w:rsidR="00CC6006" w:rsidRPr="00B8438B">
        <w:rPr>
          <w:rFonts w:asciiTheme="minorHAnsi" w:hAnsiTheme="minorHAnsi"/>
          <w:sz w:val="24"/>
          <w:szCs w:val="24"/>
        </w:rPr>
        <w:t>i</w:t>
      </w:r>
      <w:r w:rsidR="00CC6006" w:rsidRPr="002C2D40">
        <w:rPr>
          <w:rFonts w:asciiTheme="minorHAnsi" w:hAnsiTheme="minorHAnsi"/>
          <w:b/>
          <w:i/>
          <w:sz w:val="24"/>
          <w:szCs w:val="24"/>
        </w:rPr>
        <w:t xml:space="preserve"> P. i S. p. Polsce</w:t>
      </w:r>
      <w:r w:rsidR="00CC6006" w:rsidRPr="002C2D40">
        <w:rPr>
          <w:rFonts w:asciiTheme="minorHAnsi" w:hAnsiTheme="minorHAnsi"/>
          <w:sz w:val="24"/>
          <w:szCs w:val="24"/>
          <w:lang w:val="pl-PL"/>
        </w:rPr>
        <w:t>,</w:t>
      </w:r>
      <w:r w:rsidRPr="002C2D40">
        <w:rPr>
          <w:rFonts w:asciiTheme="minorHAnsi" w:hAnsiTheme="minorHAnsi"/>
          <w:sz w:val="24"/>
          <w:szCs w:val="24"/>
          <w:lang w:val="pl-PL"/>
        </w:rPr>
        <w:t xml:space="preserve"> przesłana do Komitetu Ministrów RE przez Rzecznika Praw Obywatelskich (</w:t>
      </w:r>
      <w:r w:rsidR="007F4797" w:rsidRPr="002C2D40">
        <w:rPr>
          <w:rFonts w:asciiTheme="minorHAnsi" w:hAnsiTheme="minorHAnsi"/>
          <w:sz w:val="24"/>
          <w:szCs w:val="24"/>
          <w:lang w:val="pl-PL"/>
        </w:rPr>
        <w:t>komunikacja</w:t>
      </w:r>
      <w:r w:rsidR="00CC6006" w:rsidRPr="002C2D40">
        <w:rPr>
          <w:rFonts w:asciiTheme="minorHAnsi" w:hAnsiTheme="minorHAnsi"/>
          <w:sz w:val="24"/>
          <w:szCs w:val="24"/>
          <w:lang w:val="pl-PL"/>
        </w:rPr>
        <w:t xml:space="preserve"> </w:t>
      </w:r>
      <w:r w:rsidR="007F4797" w:rsidRPr="002C2D40">
        <w:rPr>
          <w:rFonts w:asciiTheme="minorHAnsi" w:hAnsiTheme="minorHAnsi"/>
          <w:sz w:val="24"/>
          <w:szCs w:val="24"/>
          <w:lang w:val="pl-PL"/>
        </w:rPr>
        <w:t xml:space="preserve">i odpowiedź: </w:t>
      </w:r>
      <w:r w:rsidR="00CC6006" w:rsidRPr="002C2D40">
        <w:rPr>
          <w:rFonts w:asciiTheme="minorHAnsi" w:hAnsiTheme="minorHAnsi"/>
          <w:sz w:val="24"/>
          <w:szCs w:val="24"/>
          <w:lang w:val="pl-PL"/>
        </w:rPr>
        <w:t>dokument</w:t>
      </w:r>
      <w:r w:rsidR="00DB1508" w:rsidRPr="002C2D40">
        <w:rPr>
          <w:rFonts w:asciiTheme="minorHAnsi" w:hAnsiTheme="minorHAnsi"/>
          <w:color w:val="000000"/>
          <w:sz w:val="24"/>
          <w:szCs w:val="24"/>
          <w:shd w:val="clear" w:color="auto" w:fill="FFFFFF"/>
        </w:rPr>
        <w:t xml:space="preserve"> DH</w:t>
      </w:r>
      <w:r w:rsidR="00B8438B">
        <w:rPr>
          <w:rFonts w:asciiTheme="minorHAnsi" w:hAnsiTheme="minorHAnsi"/>
          <w:color w:val="000000"/>
          <w:sz w:val="24"/>
          <w:szCs w:val="24"/>
          <w:shd w:val="clear" w:color="auto" w:fill="FFFFFF"/>
          <w:lang w:val="pl-PL"/>
        </w:rPr>
        <w:t>-</w:t>
      </w:r>
      <w:r w:rsidR="00DB1508" w:rsidRPr="002C2D40">
        <w:rPr>
          <w:rFonts w:asciiTheme="minorHAnsi" w:hAnsiTheme="minorHAnsi"/>
          <w:color w:val="000000"/>
          <w:sz w:val="24"/>
          <w:szCs w:val="24"/>
          <w:shd w:val="clear" w:color="auto" w:fill="FFFFFF"/>
          <w:lang w:val="pl-PL"/>
        </w:rPr>
        <w:t>D</w:t>
      </w:r>
      <w:r w:rsidR="00DB1508" w:rsidRPr="002C2D40">
        <w:rPr>
          <w:rFonts w:asciiTheme="minorHAnsi" w:hAnsiTheme="minorHAnsi"/>
          <w:color w:val="000000"/>
          <w:sz w:val="24"/>
          <w:szCs w:val="24"/>
          <w:shd w:val="clear" w:color="auto" w:fill="FFFFFF"/>
        </w:rPr>
        <w:t>D(2020)13</w:t>
      </w:r>
      <w:r w:rsidR="00DB1508" w:rsidRPr="002C2D40">
        <w:rPr>
          <w:rStyle w:val="pdfoutput11"/>
          <w:rFonts w:asciiTheme="minorHAnsi" w:hAnsiTheme="minorHAnsi"/>
          <w:color w:val="000000"/>
          <w:spacing w:val="-2"/>
          <w:sz w:val="24"/>
          <w:szCs w:val="24"/>
          <w:shd w:val="clear" w:color="auto" w:fill="FFFFFF"/>
        </w:rPr>
        <w:t>6</w:t>
      </w:r>
      <w:r w:rsidRPr="002C2D40">
        <w:rPr>
          <w:rFonts w:asciiTheme="minorHAnsi" w:hAnsiTheme="minorHAnsi"/>
          <w:sz w:val="24"/>
          <w:szCs w:val="24"/>
          <w:lang w:val="pl-PL"/>
        </w:rPr>
        <w:t>);</w:t>
      </w:r>
    </w:p>
    <w:p w:rsidR="00D83BAC" w:rsidRPr="002C2D40" w:rsidRDefault="00D83BAC" w:rsidP="003F20CE">
      <w:pPr>
        <w:pStyle w:val="Akapitzlist"/>
        <w:numPr>
          <w:ilvl w:val="0"/>
          <w:numId w:val="5"/>
        </w:numPr>
        <w:spacing w:before="120" w:after="0" w:line="240" w:lineRule="auto"/>
        <w:ind w:left="709" w:hanging="425"/>
        <w:jc w:val="both"/>
        <w:rPr>
          <w:rFonts w:asciiTheme="minorHAnsi" w:hAnsiTheme="minorHAnsi"/>
          <w:sz w:val="24"/>
          <w:szCs w:val="24"/>
          <w:lang w:val="pl-PL"/>
        </w:rPr>
      </w:pPr>
      <w:r w:rsidRPr="002C2D40">
        <w:rPr>
          <w:rFonts w:asciiTheme="minorHAnsi" w:hAnsiTheme="minorHAnsi"/>
          <w:sz w:val="24"/>
          <w:szCs w:val="24"/>
          <w:lang w:val="pl-PL"/>
        </w:rPr>
        <w:t>Komunikacja otrzymana w dniu</w:t>
      </w:r>
      <w:r w:rsidR="00CC6006" w:rsidRPr="002C2D40">
        <w:rPr>
          <w:rFonts w:asciiTheme="minorHAnsi" w:hAnsiTheme="minorHAnsi"/>
          <w:sz w:val="24"/>
          <w:szCs w:val="24"/>
          <w:lang w:val="pl-PL"/>
        </w:rPr>
        <w:t xml:space="preserve"> 5 lutego 2020 r. </w:t>
      </w:r>
      <w:r w:rsidRPr="002C2D40">
        <w:rPr>
          <w:rFonts w:asciiTheme="minorHAnsi" w:hAnsiTheme="minorHAnsi"/>
          <w:sz w:val="24"/>
          <w:szCs w:val="24"/>
          <w:lang w:val="pl-PL"/>
        </w:rPr>
        <w:t xml:space="preserve"> ws. wykonania </w:t>
      </w:r>
      <w:r w:rsidR="00CC6006" w:rsidRPr="002C2D40">
        <w:rPr>
          <w:rFonts w:asciiTheme="minorHAnsi" w:hAnsiTheme="minorHAnsi"/>
          <w:sz w:val="24"/>
          <w:szCs w:val="24"/>
          <w:lang w:val="pl-PL"/>
        </w:rPr>
        <w:t xml:space="preserve">wyroków </w:t>
      </w:r>
      <w:r w:rsidR="00CC6006" w:rsidRPr="002C2D40">
        <w:rPr>
          <w:rFonts w:asciiTheme="minorHAnsi" w:hAnsiTheme="minorHAnsi"/>
          <w:b/>
          <w:i/>
          <w:sz w:val="24"/>
          <w:szCs w:val="24"/>
        </w:rPr>
        <w:t>Tysiąc p. Polsce</w:t>
      </w:r>
      <w:r w:rsidR="00CC6006" w:rsidRPr="002C2D40">
        <w:rPr>
          <w:rFonts w:asciiTheme="minorHAnsi" w:hAnsiTheme="minorHAnsi"/>
          <w:b/>
          <w:i/>
          <w:sz w:val="24"/>
          <w:szCs w:val="24"/>
          <w:lang w:val="pl-PL"/>
        </w:rPr>
        <w:t xml:space="preserve">, </w:t>
      </w:r>
      <w:r w:rsidR="00CC6006" w:rsidRPr="002C2D40">
        <w:rPr>
          <w:rFonts w:asciiTheme="minorHAnsi" w:hAnsiTheme="minorHAnsi"/>
          <w:b/>
          <w:i/>
          <w:sz w:val="24"/>
          <w:szCs w:val="24"/>
        </w:rPr>
        <w:t xml:space="preserve">R.R. p. Polsce </w:t>
      </w:r>
      <w:r w:rsidR="00CC6006" w:rsidRPr="00B8438B">
        <w:rPr>
          <w:rFonts w:asciiTheme="minorHAnsi" w:hAnsiTheme="minorHAnsi"/>
          <w:sz w:val="24"/>
          <w:szCs w:val="24"/>
        </w:rPr>
        <w:t>i</w:t>
      </w:r>
      <w:r w:rsidR="00CC6006" w:rsidRPr="002C2D40">
        <w:rPr>
          <w:rFonts w:asciiTheme="minorHAnsi" w:hAnsiTheme="minorHAnsi"/>
          <w:b/>
          <w:i/>
          <w:sz w:val="24"/>
          <w:szCs w:val="24"/>
        </w:rPr>
        <w:t xml:space="preserve"> P. i S. p. Polsce</w:t>
      </w:r>
      <w:r w:rsidRPr="002C2D40">
        <w:rPr>
          <w:rFonts w:asciiTheme="minorHAnsi" w:hAnsiTheme="minorHAnsi"/>
          <w:sz w:val="24"/>
          <w:szCs w:val="24"/>
          <w:lang w:val="pl-PL"/>
        </w:rPr>
        <w:t xml:space="preserve">, przesłana do Komitetu Ministrów RE przez </w:t>
      </w:r>
      <w:r w:rsidRPr="002C2D40">
        <w:rPr>
          <w:rFonts w:asciiTheme="minorHAnsi" w:hAnsiTheme="minorHAnsi"/>
          <w:sz w:val="24"/>
          <w:szCs w:val="24"/>
        </w:rPr>
        <w:t>Helsińską Fundację Praw Człowieka</w:t>
      </w:r>
      <w:r w:rsidRPr="002C2D40">
        <w:rPr>
          <w:rFonts w:asciiTheme="minorHAnsi" w:hAnsiTheme="minorHAnsi"/>
          <w:sz w:val="24"/>
          <w:szCs w:val="24"/>
          <w:lang w:val="pl-PL"/>
        </w:rPr>
        <w:t xml:space="preserve"> (</w:t>
      </w:r>
      <w:r w:rsidR="009C7CD6" w:rsidRPr="002C2D40">
        <w:rPr>
          <w:rFonts w:asciiTheme="minorHAnsi" w:hAnsiTheme="minorHAnsi"/>
          <w:sz w:val="24"/>
          <w:szCs w:val="24"/>
          <w:lang w:val="pl-PL"/>
        </w:rPr>
        <w:t>komunikacja i odpowiedź: dokument</w:t>
      </w:r>
      <w:r w:rsidR="00617981" w:rsidRPr="002C2D40">
        <w:rPr>
          <w:rFonts w:asciiTheme="minorHAnsi" w:hAnsiTheme="minorHAnsi"/>
          <w:sz w:val="24"/>
          <w:szCs w:val="24"/>
          <w:lang w:val="pl-PL"/>
        </w:rPr>
        <w:t xml:space="preserve"> </w:t>
      </w:r>
      <w:r w:rsidR="00617981" w:rsidRPr="002C2D40">
        <w:rPr>
          <w:rFonts w:asciiTheme="minorHAnsi" w:hAnsiTheme="minorHAnsi"/>
          <w:color w:val="000000"/>
          <w:sz w:val="24"/>
          <w:szCs w:val="24"/>
          <w:shd w:val="clear" w:color="auto" w:fill="FFFFFF"/>
        </w:rPr>
        <w:t>DH-DD(2020)137-r</w:t>
      </w:r>
      <w:r w:rsidR="00617981" w:rsidRPr="002C2D40">
        <w:rPr>
          <w:rStyle w:val="pdfoutput11"/>
          <w:rFonts w:asciiTheme="minorHAnsi" w:hAnsiTheme="minorHAnsi"/>
          <w:color w:val="000000"/>
          <w:spacing w:val="-2"/>
          <w:sz w:val="24"/>
          <w:szCs w:val="24"/>
          <w:shd w:val="clear" w:color="auto" w:fill="FFFFFF"/>
        </w:rPr>
        <w:t>ev</w:t>
      </w:r>
      <w:r w:rsidRPr="002C2D40">
        <w:rPr>
          <w:rFonts w:asciiTheme="minorHAnsi" w:hAnsiTheme="minorHAnsi"/>
          <w:sz w:val="24"/>
          <w:szCs w:val="24"/>
        </w:rPr>
        <w:t>)</w:t>
      </w:r>
      <w:r w:rsidRPr="002C2D40">
        <w:rPr>
          <w:rFonts w:asciiTheme="minorHAnsi" w:hAnsiTheme="minorHAnsi"/>
          <w:sz w:val="24"/>
          <w:szCs w:val="24"/>
          <w:lang w:val="pl-PL"/>
        </w:rPr>
        <w:t>;</w:t>
      </w:r>
    </w:p>
    <w:p w:rsidR="00D83BAC" w:rsidRPr="002C2D40" w:rsidRDefault="00D83BAC" w:rsidP="003F20CE">
      <w:pPr>
        <w:pStyle w:val="Akapitzlist"/>
        <w:numPr>
          <w:ilvl w:val="0"/>
          <w:numId w:val="5"/>
        </w:numPr>
        <w:spacing w:before="120" w:after="0" w:line="240" w:lineRule="auto"/>
        <w:ind w:left="709" w:hanging="425"/>
        <w:jc w:val="both"/>
        <w:rPr>
          <w:rFonts w:asciiTheme="minorHAnsi" w:hAnsiTheme="minorHAnsi"/>
          <w:sz w:val="24"/>
          <w:szCs w:val="24"/>
          <w:lang w:val="pl-PL"/>
        </w:rPr>
      </w:pPr>
      <w:r w:rsidRPr="002C2D40">
        <w:rPr>
          <w:rFonts w:asciiTheme="minorHAnsi" w:hAnsiTheme="minorHAnsi"/>
          <w:sz w:val="24"/>
          <w:szCs w:val="24"/>
          <w:lang w:val="pl-PL"/>
        </w:rPr>
        <w:t xml:space="preserve">Komunikacja otrzymana w dniu </w:t>
      </w:r>
      <w:r w:rsidR="00330D49" w:rsidRPr="002C2D40">
        <w:rPr>
          <w:rFonts w:asciiTheme="minorHAnsi" w:hAnsiTheme="minorHAnsi"/>
          <w:sz w:val="24"/>
          <w:szCs w:val="24"/>
          <w:lang w:val="pl-PL"/>
        </w:rPr>
        <w:t xml:space="preserve">6 lutego 2020 </w:t>
      </w:r>
      <w:r w:rsidRPr="002C2D40">
        <w:rPr>
          <w:rFonts w:asciiTheme="minorHAnsi" w:hAnsiTheme="minorHAnsi"/>
          <w:sz w:val="24"/>
          <w:szCs w:val="24"/>
          <w:lang w:val="pl-PL"/>
        </w:rPr>
        <w:t>r. ws. wykonania wyroku</w:t>
      </w:r>
      <w:r w:rsidR="00D82E22">
        <w:rPr>
          <w:rFonts w:asciiTheme="minorHAnsi" w:hAnsiTheme="minorHAnsi"/>
          <w:sz w:val="24"/>
          <w:szCs w:val="24"/>
          <w:lang w:val="pl-PL"/>
        </w:rPr>
        <w:t xml:space="preserve"> </w:t>
      </w:r>
      <w:r w:rsidR="00330D49" w:rsidRPr="002C2D40">
        <w:rPr>
          <w:rFonts w:asciiTheme="minorHAnsi" w:hAnsiTheme="minorHAnsi"/>
          <w:b/>
          <w:i/>
          <w:sz w:val="24"/>
          <w:szCs w:val="24"/>
          <w:lang w:val="pl-PL"/>
        </w:rPr>
        <w:t xml:space="preserve">Abu Zubaydah </w:t>
      </w:r>
      <w:r w:rsidRPr="002C2D40">
        <w:rPr>
          <w:rFonts w:asciiTheme="minorHAnsi" w:hAnsiTheme="minorHAnsi"/>
          <w:b/>
          <w:i/>
          <w:sz w:val="24"/>
          <w:szCs w:val="24"/>
        </w:rPr>
        <w:t>p. Polsce</w:t>
      </w:r>
      <w:r w:rsidRPr="002C2D40">
        <w:rPr>
          <w:rFonts w:asciiTheme="minorHAnsi" w:hAnsiTheme="minorHAnsi"/>
          <w:sz w:val="24"/>
          <w:szCs w:val="24"/>
          <w:lang w:val="pl-PL"/>
        </w:rPr>
        <w:t xml:space="preserve">, przesłana do Komitetu Ministrów RE przez </w:t>
      </w:r>
      <w:r w:rsidR="00330D49" w:rsidRPr="002C2D40">
        <w:rPr>
          <w:rFonts w:asciiTheme="minorHAnsi" w:hAnsiTheme="minorHAnsi"/>
          <w:sz w:val="24"/>
          <w:szCs w:val="24"/>
          <w:lang w:val="pl-PL"/>
        </w:rPr>
        <w:t xml:space="preserve">Human Rights in Practice </w:t>
      </w:r>
      <w:r w:rsidRPr="002C2D40">
        <w:rPr>
          <w:rFonts w:asciiTheme="minorHAnsi" w:hAnsiTheme="minorHAnsi"/>
          <w:sz w:val="24"/>
          <w:szCs w:val="24"/>
          <w:lang w:val="pl-PL"/>
        </w:rPr>
        <w:t>(</w:t>
      </w:r>
      <w:r w:rsidR="009C7CD6" w:rsidRPr="002C2D40">
        <w:rPr>
          <w:rFonts w:asciiTheme="minorHAnsi" w:hAnsiTheme="minorHAnsi"/>
          <w:sz w:val="24"/>
          <w:szCs w:val="24"/>
          <w:lang w:val="pl-PL"/>
        </w:rPr>
        <w:t>komunikacja i odpowiedź: dokument</w:t>
      </w:r>
      <w:r w:rsidR="00520F39" w:rsidRPr="002C2D40">
        <w:rPr>
          <w:rFonts w:asciiTheme="minorHAnsi" w:hAnsiTheme="minorHAnsi"/>
          <w:sz w:val="24"/>
          <w:szCs w:val="24"/>
          <w:lang w:val="pl-PL"/>
        </w:rPr>
        <w:t xml:space="preserve"> DH-DD(2020)140</w:t>
      </w:r>
      <w:r w:rsidR="009C7CD6" w:rsidRPr="002C2D40">
        <w:rPr>
          <w:rFonts w:asciiTheme="minorHAnsi" w:hAnsiTheme="minorHAnsi"/>
          <w:sz w:val="24"/>
          <w:szCs w:val="24"/>
          <w:lang w:val="pl-PL"/>
        </w:rPr>
        <w:t>)</w:t>
      </w:r>
      <w:r w:rsidRPr="002C2D40">
        <w:rPr>
          <w:rFonts w:asciiTheme="minorHAnsi" w:hAnsiTheme="minorHAnsi"/>
          <w:sz w:val="24"/>
          <w:szCs w:val="24"/>
          <w:lang w:val="pl-PL"/>
        </w:rPr>
        <w:t>;</w:t>
      </w:r>
    </w:p>
    <w:p w:rsidR="00CC6006" w:rsidRPr="002C2D40" w:rsidRDefault="00CC6006" w:rsidP="003F20CE">
      <w:pPr>
        <w:pStyle w:val="Akapitzlist"/>
        <w:numPr>
          <w:ilvl w:val="0"/>
          <w:numId w:val="5"/>
        </w:numPr>
        <w:spacing w:before="120" w:after="0" w:line="240" w:lineRule="auto"/>
        <w:ind w:left="709" w:hanging="425"/>
        <w:jc w:val="both"/>
        <w:rPr>
          <w:rFonts w:asciiTheme="minorHAnsi" w:hAnsiTheme="minorHAnsi"/>
          <w:sz w:val="24"/>
          <w:szCs w:val="24"/>
          <w:lang w:val="pl-PL"/>
        </w:rPr>
      </w:pPr>
      <w:r w:rsidRPr="002C2D40">
        <w:rPr>
          <w:rFonts w:asciiTheme="minorHAnsi" w:hAnsiTheme="minorHAnsi"/>
          <w:sz w:val="24"/>
          <w:szCs w:val="24"/>
          <w:lang w:val="pl-PL"/>
        </w:rPr>
        <w:t xml:space="preserve">Komunikacja otrzymana w dniu </w:t>
      </w:r>
      <w:r w:rsidR="00330D49" w:rsidRPr="002C2D40">
        <w:rPr>
          <w:rFonts w:asciiTheme="minorHAnsi" w:hAnsiTheme="minorHAnsi"/>
          <w:sz w:val="24"/>
          <w:szCs w:val="24"/>
          <w:lang w:val="pl-PL"/>
        </w:rPr>
        <w:t>12</w:t>
      </w:r>
      <w:r w:rsidR="00DB1508" w:rsidRPr="002C2D40">
        <w:rPr>
          <w:rFonts w:asciiTheme="minorHAnsi" w:hAnsiTheme="minorHAnsi"/>
          <w:sz w:val="24"/>
          <w:szCs w:val="24"/>
          <w:lang w:val="pl-PL"/>
        </w:rPr>
        <w:t xml:space="preserve"> lutego </w:t>
      </w:r>
      <w:r w:rsidR="00330D49" w:rsidRPr="002C2D40">
        <w:rPr>
          <w:rFonts w:asciiTheme="minorHAnsi" w:hAnsiTheme="minorHAnsi"/>
          <w:sz w:val="24"/>
          <w:szCs w:val="24"/>
          <w:lang w:val="pl-PL"/>
        </w:rPr>
        <w:t>2020 r. ws.</w:t>
      </w:r>
      <w:r w:rsidRPr="002C2D40">
        <w:rPr>
          <w:rFonts w:asciiTheme="minorHAnsi" w:hAnsiTheme="minorHAnsi"/>
          <w:sz w:val="24"/>
          <w:szCs w:val="24"/>
          <w:lang w:val="pl-PL"/>
        </w:rPr>
        <w:t xml:space="preserve"> wykonania wyroku</w:t>
      </w:r>
      <w:r w:rsidR="00D82E22">
        <w:rPr>
          <w:rFonts w:asciiTheme="minorHAnsi" w:hAnsiTheme="minorHAnsi"/>
          <w:sz w:val="24"/>
          <w:szCs w:val="24"/>
          <w:lang w:val="pl-PL"/>
        </w:rPr>
        <w:t xml:space="preserve"> </w:t>
      </w:r>
      <w:r w:rsidR="00330D49" w:rsidRPr="002C2D40">
        <w:rPr>
          <w:rFonts w:asciiTheme="minorHAnsi" w:hAnsiTheme="minorHAnsi"/>
          <w:b/>
          <w:i/>
          <w:sz w:val="24"/>
          <w:szCs w:val="24"/>
          <w:lang w:val="pl-PL"/>
        </w:rPr>
        <w:t xml:space="preserve">Kurłowicz </w:t>
      </w:r>
      <w:r w:rsidRPr="002C2D40">
        <w:rPr>
          <w:rFonts w:asciiTheme="minorHAnsi" w:hAnsiTheme="minorHAnsi"/>
          <w:b/>
          <w:i/>
          <w:sz w:val="24"/>
          <w:szCs w:val="24"/>
        </w:rPr>
        <w:t>p. Polsce</w:t>
      </w:r>
      <w:r w:rsidRPr="002C2D40">
        <w:rPr>
          <w:rFonts w:asciiTheme="minorHAnsi" w:hAnsiTheme="minorHAnsi"/>
          <w:sz w:val="24"/>
          <w:szCs w:val="24"/>
          <w:lang w:val="pl-PL"/>
        </w:rPr>
        <w:t xml:space="preserve">, przesłana do Komitetu Ministrów RE przez </w:t>
      </w:r>
      <w:r w:rsidR="00330D49" w:rsidRPr="002C2D40">
        <w:rPr>
          <w:rFonts w:asciiTheme="minorHAnsi" w:hAnsiTheme="minorHAnsi"/>
          <w:sz w:val="24"/>
          <w:szCs w:val="24"/>
        </w:rPr>
        <w:t>Helsińsk</w:t>
      </w:r>
      <w:r w:rsidR="00330D49" w:rsidRPr="002C2D40">
        <w:rPr>
          <w:rFonts w:asciiTheme="minorHAnsi" w:hAnsiTheme="minorHAnsi"/>
          <w:sz w:val="24"/>
          <w:szCs w:val="24"/>
          <w:lang w:val="pl-PL"/>
        </w:rPr>
        <w:t>ą</w:t>
      </w:r>
      <w:r w:rsidR="00330D49" w:rsidRPr="002C2D40">
        <w:rPr>
          <w:rFonts w:asciiTheme="minorHAnsi" w:hAnsiTheme="minorHAnsi"/>
          <w:sz w:val="24"/>
          <w:szCs w:val="24"/>
        </w:rPr>
        <w:t xml:space="preserve"> Fundacj</w:t>
      </w:r>
      <w:r w:rsidR="00330D49" w:rsidRPr="002C2D40">
        <w:rPr>
          <w:rFonts w:asciiTheme="minorHAnsi" w:hAnsiTheme="minorHAnsi"/>
          <w:sz w:val="24"/>
          <w:szCs w:val="24"/>
          <w:lang w:val="pl-PL"/>
        </w:rPr>
        <w:t>ę</w:t>
      </w:r>
      <w:r w:rsidR="00330D49" w:rsidRPr="002C2D40">
        <w:rPr>
          <w:rFonts w:asciiTheme="minorHAnsi" w:hAnsiTheme="minorHAnsi"/>
          <w:sz w:val="24"/>
          <w:szCs w:val="24"/>
        </w:rPr>
        <w:t xml:space="preserve"> Praw Człowieka, Towarzystwo Dziennikarskie i Watchdog Polska</w:t>
      </w:r>
      <w:r w:rsidR="00330D49" w:rsidRPr="002C2D40">
        <w:rPr>
          <w:rFonts w:asciiTheme="minorHAnsi" w:hAnsiTheme="minorHAnsi"/>
          <w:sz w:val="24"/>
          <w:szCs w:val="24"/>
          <w:lang w:val="pl-PL"/>
        </w:rPr>
        <w:t xml:space="preserve"> </w:t>
      </w:r>
      <w:r w:rsidRPr="002C2D40">
        <w:rPr>
          <w:rFonts w:asciiTheme="minorHAnsi" w:hAnsiTheme="minorHAnsi"/>
          <w:sz w:val="24"/>
          <w:szCs w:val="24"/>
          <w:lang w:val="pl-PL"/>
        </w:rPr>
        <w:t>(komunikacja</w:t>
      </w:r>
      <w:r w:rsidR="00617981" w:rsidRPr="002C2D40">
        <w:rPr>
          <w:rFonts w:asciiTheme="minorHAnsi" w:hAnsiTheme="minorHAnsi"/>
          <w:sz w:val="24"/>
          <w:szCs w:val="24"/>
          <w:lang w:val="pl-PL"/>
        </w:rPr>
        <w:t xml:space="preserve">: dokument </w:t>
      </w:r>
      <w:r w:rsidR="00617981" w:rsidRPr="002C2D40">
        <w:rPr>
          <w:rFonts w:asciiTheme="minorHAnsi" w:hAnsiTheme="minorHAnsi"/>
          <w:color w:val="000000"/>
          <w:sz w:val="24"/>
          <w:szCs w:val="24"/>
          <w:shd w:val="clear" w:color="auto" w:fill="FFFFFF"/>
        </w:rPr>
        <w:t>DH-DD(2020)17</w:t>
      </w:r>
      <w:r w:rsidR="00617981" w:rsidRPr="002C2D40">
        <w:rPr>
          <w:rStyle w:val="pdfoutput11"/>
          <w:rFonts w:asciiTheme="minorHAnsi" w:hAnsiTheme="minorHAnsi"/>
          <w:color w:val="000000"/>
          <w:spacing w:val="-2"/>
          <w:sz w:val="24"/>
          <w:szCs w:val="24"/>
          <w:shd w:val="clear" w:color="auto" w:fill="FFFFFF"/>
        </w:rPr>
        <w:t>4 </w:t>
      </w:r>
      <w:r w:rsidRPr="002C2D40">
        <w:rPr>
          <w:rFonts w:asciiTheme="minorHAnsi" w:hAnsiTheme="minorHAnsi"/>
          <w:sz w:val="24"/>
          <w:szCs w:val="24"/>
          <w:lang w:val="pl-PL"/>
        </w:rPr>
        <w:t>i odpowiedź: dokument</w:t>
      </w:r>
      <w:r w:rsidR="00617981" w:rsidRPr="002C2D40">
        <w:rPr>
          <w:rFonts w:asciiTheme="minorHAnsi" w:hAnsiTheme="minorHAnsi"/>
          <w:sz w:val="24"/>
          <w:szCs w:val="24"/>
          <w:lang w:val="pl-PL"/>
        </w:rPr>
        <w:t xml:space="preserve"> </w:t>
      </w:r>
      <w:r w:rsidR="00617981" w:rsidRPr="002C2D40">
        <w:rPr>
          <w:rFonts w:asciiTheme="minorHAnsi" w:hAnsiTheme="minorHAnsi"/>
          <w:color w:val="000000"/>
          <w:sz w:val="24"/>
          <w:szCs w:val="24"/>
          <w:shd w:val="clear" w:color="auto" w:fill="FFFFFF"/>
        </w:rPr>
        <w:t>DH-DD(2020)24</w:t>
      </w:r>
      <w:r w:rsidR="00617981" w:rsidRPr="002C2D40">
        <w:rPr>
          <w:rStyle w:val="pdfoutput11"/>
          <w:rFonts w:asciiTheme="minorHAnsi" w:hAnsiTheme="minorHAnsi"/>
          <w:color w:val="000000"/>
          <w:spacing w:val="-2"/>
          <w:sz w:val="24"/>
          <w:szCs w:val="24"/>
          <w:shd w:val="clear" w:color="auto" w:fill="FFFFFF"/>
        </w:rPr>
        <w:t>9</w:t>
      </w:r>
      <w:r w:rsidRPr="002C2D40">
        <w:rPr>
          <w:rFonts w:asciiTheme="minorHAnsi" w:hAnsiTheme="minorHAnsi"/>
          <w:sz w:val="24"/>
          <w:szCs w:val="24"/>
          <w:lang w:val="pl-PL"/>
        </w:rPr>
        <w:t>);</w:t>
      </w:r>
    </w:p>
    <w:p w:rsidR="00CC6006" w:rsidRPr="002C2D40" w:rsidRDefault="00CC6006" w:rsidP="003F20CE">
      <w:pPr>
        <w:pStyle w:val="Akapitzlist"/>
        <w:numPr>
          <w:ilvl w:val="0"/>
          <w:numId w:val="5"/>
        </w:numPr>
        <w:spacing w:before="120" w:after="0" w:line="240" w:lineRule="auto"/>
        <w:ind w:left="709" w:hanging="425"/>
        <w:jc w:val="both"/>
        <w:rPr>
          <w:rFonts w:asciiTheme="minorHAnsi" w:hAnsiTheme="minorHAnsi"/>
          <w:sz w:val="24"/>
          <w:szCs w:val="24"/>
          <w:lang w:val="pl-PL"/>
        </w:rPr>
      </w:pPr>
      <w:r w:rsidRPr="002C2D40">
        <w:rPr>
          <w:rFonts w:asciiTheme="minorHAnsi" w:hAnsiTheme="minorHAnsi"/>
          <w:sz w:val="24"/>
          <w:szCs w:val="24"/>
          <w:lang w:val="pl-PL"/>
        </w:rPr>
        <w:t xml:space="preserve">Komunikacja otrzymana w dniu </w:t>
      </w:r>
      <w:r w:rsidR="00DB1508" w:rsidRPr="002C2D40">
        <w:rPr>
          <w:rFonts w:asciiTheme="minorHAnsi" w:hAnsiTheme="minorHAnsi"/>
          <w:sz w:val="24"/>
          <w:szCs w:val="24"/>
          <w:lang w:val="pl-PL"/>
        </w:rPr>
        <w:t xml:space="preserve">13 lutego </w:t>
      </w:r>
      <w:r w:rsidR="00330D49" w:rsidRPr="002C2D40">
        <w:rPr>
          <w:rFonts w:asciiTheme="minorHAnsi" w:hAnsiTheme="minorHAnsi"/>
          <w:sz w:val="24"/>
          <w:szCs w:val="24"/>
          <w:lang w:val="pl-PL"/>
        </w:rPr>
        <w:t xml:space="preserve">2020 </w:t>
      </w:r>
      <w:r w:rsidRPr="002C2D40">
        <w:rPr>
          <w:rFonts w:asciiTheme="minorHAnsi" w:hAnsiTheme="minorHAnsi"/>
          <w:sz w:val="24"/>
          <w:szCs w:val="24"/>
          <w:lang w:val="pl-PL"/>
        </w:rPr>
        <w:t>r. ws. wykonania wyroku</w:t>
      </w:r>
      <w:r w:rsidR="00D82E22">
        <w:rPr>
          <w:rFonts w:asciiTheme="minorHAnsi" w:hAnsiTheme="minorHAnsi"/>
          <w:sz w:val="24"/>
          <w:szCs w:val="24"/>
          <w:lang w:val="pl-PL"/>
        </w:rPr>
        <w:t xml:space="preserve"> </w:t>
      </w:r>
      <w:r w:rsidR="00330D49" w:rsidRPr="002C2D40">
        <w:rPr>
          <w:rFonts w:asciiTheme="minorHAnsi" w:hAnsiTheme="minorHAnsi"/>
          <w:b/>
          <w:i/>
          <w:sz w:val="24"/>
          <w:szCs w:val="24"/>
          <w:lang w:val="pl-PL"/>
        </w:rPr>
        <w:t xml:space="preserve">Al Nashiri </w:t>
      </w:r>
      <w:r w:rsidRPr="002C2D40">
        <w:rPr>
          <w:rFonts w:asciiTheme="minorHAnsi" w:hAnsiTheme="minorHAnsi"/>
          <w:b/>
          <w:i/>
          <w:sz w:val="24"/>
          <w:szCs w:val="24"/>
        </w:rPr>
        <w:t>p. Polsce</w:t>
      </w:r>
      <w:r w:rsidRPr="002C2D40">
        <w:rPr>
          <w:rFonts w:asciiTheme="minorHAnsi" w:hAnsiTheme="minorHAnsi"/>
          <w:sz w:val="24"/>
          <w:szCs w:val="24"/>
          <w:lang w:val="pl-PL"/>
        </w:rPr>
        <w:t xml:space="preserve">, przesłana do Komitetu Ministrów RE przez </w:t>
      </w:r>
      <w:r w:rsidR="00330D49" w:rsidRPr="002C2D40">
        <w:rPr>
          <w:rFonts w:asciiTheme="minorHAnsi" w:hAnsiTheme="minorHAnsi"/>
          <w:sz w:val="24"/>
          <w:szCs w:val="24"/>
          <w:lang w:val="pl-PL"/>
        </w:rPr>
        <w:t xml:space="preserve">Open Society Justice Initiative </w:t>
      </w:r>
      <w:r w:rsidRPr="002C2D40">
        <w:rPr>
          <w:rFonts w:asciiTheme="minorHAnsi" w:hAnsiTheme="minorHAnsi"/>
          <w:sz w:val="24"/>
          <w:szCs w:val="24"/>
          <w:lang w:val="pl-PL"/>
        </w:rPr>
        <w:t>(komunikacja i odpowiedź: dokument</w:t>
      </w:r>
      <w:r w:rsidR="00520F39" w:rsidRPr="002C2D40">
        <w:rPr>
          <w:rFonts w:asciiTheme="minorHAnsi" w:hAnsiTheme="minorHAnsi"/>
          <w:sz w:val="24"/>
          <w:szCs w:val="24"/>
          <w:lang w:val="pl-PL"/>
        </w:rPr>
        <w:t xml:space="preserve"> DH-DD(2020)177</w:t>
      </w:r>
      <w:r w:rsidRPr="002C2D40">
        <w:rPr>
          <w:rFonts w:asciiTheme="minorHAnsi" w:hAnsiTheme="minorHAnsi"/>
          <w:sz w:val="24"/>
          <w:szCs w:val="24"/>
          <w:lang w:val="pl-PL"/>
        </w:rPr>
        <w:t>);</w:t>
      </w:r>
    </w:p>
    <w:p w:rsidR="00CC6006" w:rsidRPr="002C2D40" w:rsidRDefault="00CC6006" w:rsidP="003F20CE">
      <w:pPr>
        <w:pStyle w:val="Akapitzlist"/>
        <w:numPr>
          <w:ilvl w:val="0"/>
          <w:numId w:val="5"/>
        </w:numPr>
        <w:spacing w:before="120" w:after="0" w:line="240" w:lineRule="auto"/>
        <w:ind w:left="709" w:hanging="425"/>
        <w:jc w:val="both"/>
        <w:rPr>
          <w:rFonts w:asciiTheme="minorHAnsi" w:hAnsiTheme="minorHAnsi"/>
          <w:sz w:val="24"/>
          <w:szCs w:val="24"/>
          <w:lang w:val="pl-PL"/>
        </w:rPr>
      </w:pPr>
      <w:r w:rsidRPr="002C2D40">
        <w:rPr>
          <w:rFonts w:asciiTheme="minorHAnsi" w:hAnsiTheme="minorHAnsi"/>
          <w:sz w:val="24"/>
          <w:szCs w:val="24"/>
          <w:lang w:val="pl-PL"/>
        </w:rPr>
        <w:t xml:space="preserve">Komunikacja otrzymana w dniu </w:t>
      </w:r>
      <w:r w:rsidR="00DB1508" w:rsidRPr="002C2D40">
        <w:rPr>
          <w:rFonts w:asciiTheme="minorHAnsi" w:hAnsiTheme="minorHAnsi"/>
          <w:sz w:val="24"/>
          <w:szCs w:val="24"/>
          <w:lang w:val="pl-PL"/>
        </w:rPr>
        <w:t xml:space="preserve">21 lutego </w:t>
      </w:r>
      <w:r w:rsidR="00330D49" w:rsidRPr="002C2D40">
        <w:rPr>
          <w:rFonts w:asciiTheme="minorHAnsi" w:hAnsiTheme="minorHAnsi"/>
          <w:sz w:val="24"/>
          <w:szCs w:val="24"/>
          <w:lang w:val="pl-PL"/>
        </w:rPr>
        <w:t xml:space="preserve">2020 </w:t>
      </w:r>
      <w:r w:rsidRPr="002C2D40">
        <w:rPr>
          <w:rFonts w:asciiTheme="minorHAnsi" w:hAnsiTheme="minorHAnsi"/>
          <w:sz w:val="24"/>
          <w:szCs w:val="24"/>
          <w:lang w:val="pl-PL"/>
        </w:rPr>
        <w:t>r. ws. wykonania wyroku</w:t>
      </w:r>
      <w:r w:rsidR="00D82E22">
        <w:rPr>
          <w:rFonts w:asciiTheme="minorHAnsi" w:hAnsiTheme="minorHAnsi"/>
          <w:sz w:val="24"/>
          <w:szCs w:val="24"/>
          <w:lang w:val="pl-PL"/>
        </w:rPr>
        <w:t xml:space="preserve"> </w:t>
      </w:r>
      <w:r w:rsidR="00330D49" w:rsidRPr="002C2D40">
        <w:rPr>
          <w:rFonts w:asciiTheme="minorHAnsi" w:hAnsiTheme="minorHAnsi"/>
          <w:b/>
          <w:i/>
          <w:sz w:val="24"/>
          <w:szCs w:val="24"/>
          <w:lang w:val="pl-PL"/>
        </w:rPr>
        <w:t xml:space="preserve">Bednarz </w:t>
      </w:r>
      <w:r w:rsidRPr="002C2D40">
        <w:rPr>
          <w:rFonts w:asciiTheme="minorHAnsi" w:hAnsiTheme="minorHAnsi"/>
          <w:b/>
          <w:i/>
          <w:sz w:val="24"/>
          <w:szCs w:val="24"/>
        </w:rPr>
        <w:t>p. Polsce</w:t>
      </w:r>
      <w:r w:rsidRPr="002C2D40">
        <w:rPr>
          <w:rFonts w:asciiTheme="minorHAnsi" w:hAnsiTheme="minorHAnsi"/>
          <w:sz w:val="24"/>
          <w:szCs w:val="24"/>
          <w:lang w:val="pl-PL"/>
        </w:rPr>
        <w:t xml:space="preserve">, przesłana do Komitetu Ministrów RE przez </w:t>
      </w:r>
      <w:r w:rsidR="00330D49" w:rsidRPr="002C2D40">
        <w:rPr>
          <w:rFonts w:asciiTheme="minorHAnsi" w:hAnsiTheme="minorHAnsi"/>
          <w:sz w:val="24"/>
          <w:szCs w:val="24"/>
        </w:rPr>
        <w:t>Helsińsk</w:t>
      </w:r>
      <w:r w:rsidR="00330D49" w:rsidRPr="002C2D40">
        <w:rPr>
          <w:rFonts w:asciiTheme="minorHAnsi" w:hAnsiTheme="minorHAnsi"/>
          <w:sz w:val="24"/>
          <w:szCs w:val="24"/>
          <w:lang w:val="pl-PL"/>
        </w:rPr>
        <w:t>ą</w:t>
      </w:r>
      <w:r w:rsidR="00330D49" w:rsidRPr="002C2D40">
        <w:rPr>
          <w:rFonts w:asciiTheme="minorHAnsi" w:hAnsiTheme="minorHAnsi"/>
          <w:sz w:val="24"/>
          <w:szCs w:val="24"/>
        </w:rPr>
        <w:t xml:space="preserve"> Fundacj</w:t>
      </w:r>
      <w:r w:rsidR="00330D49" w:rsidRPr="002C2D40">
        <w:rPr>
          <w:rFonts w:asciiTheme="minorHAnsi" w:hAnsiTheme="minorHAnsi"/>
          <w:sz w:val="24"/>
          <w:szCs w:val="24"/>
          <w:lang w:val="pl-PL"/>
        </w:rPr>
        <w:t>ę</w:t>
      </w:r>
      <w:r w:rsidR="00330D49" w:rsidRPr="002C2D40">
        <w:rPr>
          <w:rFonts w:asciiTheme="minorHAnsi" w:hAnsiTheme="minorHAnsi"/>
          <w:sz w:val="24"/>
          <w:szCs w:val="24"/>
        </w:rPr>
        <w:t xml:space="preserve"> Praw Człowieka</w:t>
      </w:r>
      <w:r w:rsidR="00330D49" w:rsidRPr="002C2D40">
        <w:rPr>
          <w:rFonts w:asciiTheme="minorHAnsi" w:hAnsiTheme="minorHAnsi"/>
          <w:sz w:val="24"/>
          <w:szCs w:val="24"/>
          <w:lang w:val="pl-PL"/>
        </w:rPr>
        <w:t xml:space="preserve"> </w:t>
      </w:r>
      <w:r w:rsidRPr="002C2D40">
        <w:rPr>
          <w:rFonts w:asciiTheme="minorHAnsi" w:hAnsiTheme="minorHAnsi"/>
          <w:sz w:val="24"/>
          <w:szCs w:val="24"/>
          <w:lang w:val="pl-PL"/>
        </w:rPr>
        <w:t>(komunikacja</w:t>
      </w:r>
      <w:r w:rsidR="00330D49" w:rsidRPr="002C2D40">
        <w:rPr>
          <w:rFonts w:asciiTheme="minorHAnsi" w:hAnsiTheme="minorHAnsi"/>
          <w:sz w:val="24"/>
          <w:szCs w:val="24"/>
          <w:lang w:val="pl-PL"/>
        </w:rPr>
        <w:t>: dokument</w:t>
      </w:r>
      <w:r w:rsidR="00617981" w:rsidRPr="002C2D40">
        <w:rPr>
          <w:rFonts w:asciiTheme="minorHAnsi" w:hAnsiTheme="minorHAnsi"/>
          <w:sz w:val="24"/>
          <w:szCs w:val="24"/>
          <w:lang w:val="pl-PL"/>
        </w:rPr>
        <w:t xml:space="preserve"> </w:t>
      </w:r>
      <w:r w:rsidR="00617981" w:rsidRPr="002C2D40">
        <w:rPr>
          <w:rFonts w:asciiTheme="minorHAnsi" w:hAnsiTheme="minorHAnsi"/>
          <w:color w:val="000000"/>
          <w:sz w:val="24"/>
          <w:szCs w:val="24"/>
          <w:shd w:val="clear" w:color="auto" w:fill="FFFFFF"/>
        </w:rPr>
        <w:t>DH-DD(2020)23</w:t>
      </w:r>
      <w:r w:rsidR="00617981" w:rsidRPr="002C2D40">
        <w:rPr>
          <w:rStyle w:val="pdfoutput11"/>
          <w:rFonts w:asciiTheme="minorHAnsi" w:hAnsiTheme="minorHAnsi"/>
          <w:color w:val="000000"/>
          <w:spacing w:val="-2"/>
          <w:sz w:val="24"/>
          <w:szCs w:val="24"/>
          <w:shd w:val="clear" w:color="auto" w:fill="FFFFFF"/>
        </w:rPr>
        <w:t>5 </w:t>
      </w:r>
      <w:r w:rsidR="00330D49" w:rsidRPr="002C2D40">
        <w:rPr>
          <w:rFonts w:asciiTheme="minorHAnsi" w:hAnsiTheme="minorHAnsi"/>
          <w:sz w:val="24"/>
          <w:szCs w:val="24"/>
          <w:lang w:val="pl-PL"/>
        </w:rPr>
        <w:t xml:space="preserve"> </w:t>
      </w:r>
      <w:r w:rsidRPr="002C2D40">
        <w:rPr>
          <w:rFonts w:asciiTheme="minorHAnsi" w:hAnsiTheme="minorHAnsi"/>
          <w:sz w:val="24"/>
          <w:szCs w:val="24"/>
          <w:lang w:val="pl-PL"/>
        </w:rPr>
        <w:t xml:space="preserve"> i odpowiedź: dokument</w:t>
      </w:r>
      <w:r w:rsidR="00617981" w:rsidRPr="002C2D40">
        <w:rPr>
          <w:rFonts w:asciiTheme="minorHAnsi" w:hAnsiTheme="minorHAnsi"/>
          <w:sz w:val="24"/>
          <w:szCs w:val="24"/>
          <w:lang w:val="pl-PL"/>
        </w:rPr>
        <w:t xml:space="preserve"> </w:t>
      </w:r>
      <w:r w:rsidR="00617981" w:rsidRPr="002C2D40">
        <w:rPr>
          <w:rFonts w:asciiTheme="minorHAnsi" w:hAnsiTheme="minorHAnsi"/>
          <w:color w:val="000000"/>
          <w:sz w:val="24"/>
          <w:szCs w:val="24"/>
          <w:shd w:val="clear" w:color="auto" w:fill="FFFFFF"/>
        </w:rPr>
        <w:t>DH-DD(2021)2</w:t>
      </w:r>
      <w:r w:rsidR="00617981" w:rsidRPr="002C2D40">
        <w:rPr>
          <w:rStyle w:val="pdfoutput11"/>
          <w:rFonts w:asciiTheme="minorHAnsi" w:hAnsiTheme="minorHAnsi"/>
          <w:color w:val="000000"/>
          <w:spacing w:val="-2"/>
          <w:sz w:val="24"/>
          <w:szCs w:val="24"/>
          <w:shd w:val="clear" w:color="auto" w:fill="FFFFFF"/>
        </w:rPr>
        <w:t>2</w:t>
      </w:r>
      <w:r w:rsidRPr="002C2D40">
        <w:rPr>
          <w:rFonts w:asciiTheme="minorHAnsi" w:hAnsiTheme="minorHAnsi"/>
          <w:sz w:val="24"/>
          <w:szCs w:val="24"/>
          <w:lang w:val="pl-PL"/>
        </w:rPr>
        <w:t>);</w:t>
      </w:r>
    </w:p>
    <w:p w:rsidR="00CC6006" w:rsidRPr="002C2D40" w:rsidRDefault="00CC6006" w:rsidP="003F20CE">
      <w:pPr>
        <w:pStyle w:val="Akapitzlist"/>
        <w:numPr>
          <w:ilvl w:val="0"/>
          <w:numId w:val="5"/>
        </w:numPr>
        <w:spacing w:before="120" w:after="0" w:line="240" w:lineRule="auto"/>
        <w:ind w:left="709" w:hanging="425"/>
        <w:jc w:val="both"/>
        <w:rPr>
          <w:rFonts w:asciiTheme="minorHAnsi" w:hAnsiTheme="minorHAnsi"/>
          <w:sz w:val="24"/>
          <w:szCs w:val="24"/>
          <w:lang w:val="pl-PL"/>
        </w:rPr>
      </w:pPr>
      <w:r w:rsidRPr="002C2D40">
        <w:rPr>
          <w:rFonts w:asciiTheme="minorHAnsi" w:hAnsiTheme="minorHAnsi"/>
          <w:sz w:val="24"/>
          <w:szCs w:val="24"/>
          <w:lang w:val="pl-PL"/>
        </w:rPr>
        <w:t xml:space="preserve">Komunikacja otrzymana w dniu </w:t>
      </w:r>
      <w:r w:rsidR="00330D49" w:rsidRPr="002C2D40">
        <w:rPr>
          <w:rFonts w:asciiTheme="minorHAnsi" w:hAnsiTheme="minorHAnsi"/>
          <w:sz w:val="24"/>
          <w:szCs w:val="24"/>
          <w:lang w:val="pl-PL"/>
        </w:rPr>
        <w:t xml:space="preserve">21 lutego 2020 </w:t>
      </w:r>
      <w:r w:rsidRPr="002C2D40">
        <w:rPr>
          <w:rFonts w:asciiTheme="minorHAnsi" w:hAnsiTheme="minorHAnsi"/>
          <w:sz w:val="24"/>
          <w:szCs w:val="24"/>
          <w:lang w:val="pl-PL"/>
        </w:rPr>
        <w:t>r. ws. wykonania wyrok</w:t>
      </w:r>
      <w:r w:rsidR="00B8438B">
        <w:rPr>
          <w:rFonts w:asciiTheme="minorHAnsi" w:hAnsiTheme="minorHAnsi"/>
          <w:sz w:val="24"/>
          <w:szCs w:val="24"/>
          <w:lang w:val="pl-PL"/>
        </w:rPr>
        <w:t>ów</w:t>
      </w:r>
      <w:r w:rsidR="00D82E22">
        <w:rPr>
          <w:rFonts w:asciiTheme="minorHAnsi" w:hAnsiTheme="minorHAnsi"/>
          <w:sz w:val="24"/>
          <w:szCs w:val="24"/>
          <w:lang w:val="pl-PL"/>
        </w:rPr>
        <w:t xml:space="preserve"> </w:t>
      </w:r>
      <w:r w:rsidR="00330D49" w:rsidRPr="002C2D40">
        <w:rPr>
          <w:rFonts w:asciiTheme="minorHAnsi" w:hAnsiTheme="minorHAnsi"/>
          <w:b/>
          <w:i/>
          <w:sz w:val="24"/>
          <w:szCs w:val="24"/>
          <w:lang w:val="pl-PL"/>
        </w:rPr>
        <w:t xml:space="preserve">Al. Nashiri </w:t>
      </w:r>
      <w:r w:rsidRPr="002C2D40">
        <w:rPr>
          <w:rFonts w:asciiTheme="minorHAnsi" w:hAnsiTheme="minorHAnsi"/>
          <w:b/>
          <w:i/>
          <w:sz w:val="24"/>
          <w:szCs w:val="24"/>
        </w:rPr>
        <w:t>p. Polsce</w:t>
      </w:r>
      <w:r w:rsidR="00330D49" w:rsidRPr="002C2D40">
        <w:rPr>
          <w:rFonts w:asciiTheme="minorHAnsi" w:hAnsiTheme="minorHAnsi"/>
          <w:b/>
          <w:i/>
          <w:sz w:val="24"/>
          <w:szCs w:val="24"/>
          <w:lang w:val="pl-PL"/>
        </w:rPr>
        <w:t xml:space="preserve"> </w:t>
      </w:r>
      <w:r w:rsidR="00330D49" w:rsidRPr="002C2D40">
        <w:rPr>
          <w:rFonts w:asciiTheme="minorHAnsi" w:hAnsiTheme="minorHAnsi"/>
          <w:sz w:val="24"/>
          <w:szCs w:val="24"/>
          <w:lang w:val="pl-PL"/>
        </w:rPr>
        <w:t>i</w:t>
      </w:r>
      <w:r w:rsidR="00330D49" w:rsidRPr="002C2D40">
        <w:rPr>
          <w:rFonts w:asciiTheme="minorHAnsi" w:hAnsiTheme="minorHAnsi"/>
          <w:b/>
          <w:i/>
          <w:sz w:val="24"/>
          <w:szCs w:val="24"/>
          <w:lang w:val="pl-PL"/>
        </w:rPr>
        <w:t xml:space="preserve"> Abu Zuydah p. Polsce</w:t>
      </w:r>
      <w:r w:rsidRPr="002C2D40">
        <w:rPr>
          <w:rFonts w:asciiTheme="minorHAnsi" w:hAnsiTheme="minorHAnsi"/>
          <w:sz w:val="24"/>
          <w:szCs w:val="24"/>
          <w:lang w:val="pl-PL"/>
        </w:rPr>
        <w:t xml:space="preserve">, przesłana do Komitetu Ministrów RE przez </w:t>
      </w:r>
      <w:r w:rsidR="00330D49" w:rsidRPr="002C2D40">
        <w:rPr>
          <w:rFonts w:asciiTheme="minorHAnsi" w:hAnsiTheme="minorHAnsi"/>
          <w:sz w:val="24"/>
          <w:szCs w:val="24"/>
        </w:rPr>
        <w:t>Helsińsk</w:t>
      </w:r>
      <w:r w:rsidR="00330D49" w:rsidRPr="002C2D40">
        <w:rPr>
          <w:rFonts w:asciiTheme="minorHAnsi" w:hAnsiTheme="minorHAnsi"/>
          <w:sz w:val="24"/>
          <w:szCs w:val="24"/>
          <w:lang w:val="pl-PL"/>
        </w:rPr>
        <w:t>ą</w:t>
      </w:r>
      <w:r w:rsidR="00330D49" w:rsidRPr="002C2D40">
        <w:rPr>
          <w:rFonts w:asciiTheme="minorHAnsi" w:hAnsiTheme="minorHAnsi"/>
          <w:sz w:val="24"/>
          <w:szCs w:val="24"/>
        </w:rPr>
        <w:t xml:space="preserve"> Fundacj</w:t>
      </w:r>
      <w:r w:rsidR="00330D49" w:rsidRPr="002C2D40">
        <w:rPr>
          <w:rFonts w:asciiTheme="minorHAnsi" w:hAnsiTheme="minorHAnsi"/>
          <w:sz w:val="24"/>
          <w:szCs w:val="24"/>
          <w:lang w:val="pl-PL"/>
        </w:rPr>
        <w:t>ę</w:t>
      </w:r>
      <w:r w:rsidR="00330D49" w:rsidRPr="002C2D40">
        <w:rPr>
          <w:rFonts w:asciiTheme="minorHAnsi" w:hAnsiTheme="minorHAnsi"/>
          <w:sz w:val="24"/>
          <w:szCs w:val="24"/>
        </w:rPr>
        <w:t xml:space="preserve"> Praw Człowieka</w:t>
      </w:r>
      <w:r w:rsidR="00330D49" w:rsidRPr="002C2D40">
        <w:rPr>
          <w:rFonts w:asciiTheme="minorHAnsi" w:hAnsiTheme="minorHAnsi"/>
          <w:sz w:val="24"/>
          <w:szCs w:val="24"/>
          <w:lang w:val="pl-PL"/>
        </w:rPr>
        <w:t xml:space="preserve"> </w:t>
      </w:r>
      <w:r w:rsidRPr="002C2D40">
        <w:rPr>
          <w:rFonts w:asciiTheme="minorHAnsi" w:hAnsiTheme="minorHAnsi"/>
          <w:sz w:val="24"/>
          <w:szCs w:val="24"/>
          <w:lang w:val="pl-PL"/>
        </w:rPr>
        <w:t>(komunikacja i odpowiedź: dokument</w:t>
      </w:r>
      <w:r w:rsidR="00520F39" w:rsidRPr="002C2D40">
        <w:rPr>
          <w:rFonts w:asciiTheme="minorHAnsi" w:hAnsiTheme="minorHAnsi"/>
          <w:sz w:val="24"/>
          <w:szCs w:val="24"/>
          <w:lang w:val="pl-PL"/>
        </w:rPr>
        <w:t xml:space="preserve"> DH-DD(2020)205-rev</w:t>
      </w:r>
      <w:r w:rsidRPr="002C2D40">
        <w:rPr>
          <w:rFonts w:asciiTheme="minorHAnsi" w:hAnsiTheme="minorHAnsi"/>
          <w:sz w:val="24"/>
          <w:szCs w:val="24"/>
          <w:lang w:val="pl-PL"/>
        </w:rPr>
        <w:t>);</w:t>
      </w:r>
    </w:p>
    <w:p w:rsidR="00CC6006" w:rsidRPr="002C2D40" w:rsidRDefault="00CC6006" w:rsidP="003F20CE">
      <w:pPr>
        <w:pStyle w:val="Akapitzlist"/>
        <w:numPr>
          <w:ilvl w:val="0"/>
          <w:numId w:val="5"/>
        </w:numPr>
        <w:spacing w:before="120" w:after="0" w:line="240" w:lineRule="auto"/>
        <w:ind w:left="709" w:hanging="425"/>
        <w:jc w:val="both"/>
        <w:rPr>
          <w:rFonts w:asciiTheme="minorHAnsi" w:hAnsiTheme="minorHAnsi"/>
          <w:sz w:val="24"/>
          <w:szCs w:val="24"/>
          <w:lang w:val="pl-PL"/>
        </w:rPr>
      </w:pPr>
      <w:r w:rsidRPr="002C2D40">
        <w:rPr>
          <w:rFonts w:asciiTheme="minorHAnsi" w:hAnsiTheme="minorHAnsi"/>
          <w:sz w:val="24"/>
          <w:szCs w:val="24"/>
          <w:lang w:val="pl-PL"/>
        </w:rPr>
        <w:t>Komunikacja otrzymana w dniu</w:t>
      </w:r>
      <w:r w:rsidR="00330D49" w:rsidRPr="002C2D40">
        <w:rPr>
          <w:rFonts w:asciiTheme="minorHAnsi" w:hAnsiTheme="minorHAnsi"/>
          <w:sz w:val="24"/>
          <w:szCs w:val="24"/>
          <w:lang w:val="pl-PL"/>
        </w:rPr>
        <w:t xml:space="preserve"> 17 kwietnia 2020</w:t>
      </w:r>
      <w:r w:rsidRPr="002C2D40">
        <w:rPr>
          <w:rFonts w:asciiTheme="minorHAnsi" w:hAnsiTheme="minorHAnsi"/>
          <w:sz w:val="24"/>
          <w:szCs w:val="24"/>
          <w:lang w:val="pl-PL"/>
        </w:rPr>
        <w:t xml:space="preserve"> r. ws. wykonania wyroku</w:t>
      </w:r>
      <w:r w:rsidR="00D82E22">
        <w:rPr>
          <w:rFonts w:asciiTheme="minorHAnsi" w:hAnsiTheme="minorHAnsi"/>
          <w:sz w:val="24"/>
          <w:szCs w:val="24"/>
          <w:lang w:val="pl-PL"/>
        </w:rPr>
        <w:t xml:space="preserve"> </w:t>
      </w:r>
      <w:r w:rsidR="00330D49" w:rsidRPr="002C2D40">
        <w:rPr>
          <w:rFonts w:asciiTheme="minorHAnsi" w:hAnsiTheme="minorHAnsi"/>
          <w:b/>
          <w:i/>
          <w:sz w:val="24"/>
          <w:szCs w:val="24"/>
          <w:lang w:val="pl-PL"/>
        </w:rPr>
        <w:t xml:space="preserve">Rutkowski </w:t>
      </w:r>
      <w:r w:rsidR="00330D49" w:rsidRPr="00B8438B">
        <w:rPr>
          <w:rFonts w:asciiTheme="minorHAnsi" w:hAnsiTheme="minorHAnsi"/>
          <w:b/>
          <w:i/>
          <w:sz w:val="24"/>
          <w:szCs w:val="24"/>
          <w:lang w:val="pl-PL"/>
        </w:rPr>
        <w:t>i</w:t>
      </w:r>
      <w:r w:rsidR="00330D49" w:rsidRPr="002C2D40">
        <w:rPr>
          <w:rFonts w:asciiTheme="minorHAnsi" w:hAnsiTheme="minorHAnsi"/>
          <w:b/>
          <w:i/>
          <w:sz w:val="24"/>
          <w:szCs w:val="24"/>
          <w:lang w:val="pl-PL"/>
        </w:rPr>
        <w:t xml:space="preserve"> inni </w:t>
      </w:r>
      <w:r w:rsidRPr="002C2D40">
        <w:rPr>
          <w:rFonts w:asciiTheme="minorHAnsi" w:hAnsiTheme="minorHAnsi"/>
          <w:b/>
          <w:i/>
          <w:sz w:val="24"/>
          <w:szCs w:val="24"/>
        </w:rPr>
        <w:t>p. Polsce</w:t>
      </w:r>
      <w:r w:rsidRPr="002C2D40">
        <w:rPr>
          <w:rFonts w:asciiTheme="minorHAnsi" w:hAnsiTheme="minorHAnsi"/>
          <w:sz w:val="24"/>
          <w:szCs w:val="24"/>
          <w:lang w:val="pl-PL"/>
        </w:rPr>
        <w:t>, przesłana do Komitetu Ministrów RE przez</w:t>
      </w:r>
      <w:r w:rsidR="00330D49" w:rsidRPr="002C2D40">
        <w:rPr>
          <w:rFonts w:asciiTheme="minorHAnsi" w:hAnsiTheme="minorHAnsi"/>
          <w:sz w:val="24"/>
          <w:szCs w:val="24"/>
          <w:lang w:val="pl-PL"/>
        </w:rPr>
        <w:t xml:space="preserve"> </w:t>
      </w:r>
      <w:r w:rsidR="00330D49" w:rsidRPr="002C2D40">
        <w:rPr>
          <w:rFonts w:asciiTheme="minorHAnsi" w:hAnsiTheme="minorHAnsi"/>
          <w:sz w:val="24"/>
          <w:szCs w:val="24"/>
        </w:rPr>
        <w:t>Helsińsk</w:t>
      </w:r>
      <w:r w:rsidR="00330D49" w:rsidRPr="002C2D40">
        <w:rPr>
          <w:rFonts w:asciiTheme="minorHAnsi" w:hAnsiTheme="minorHAnsi"/>
          <w:sz w:val="24"/>
          <w:szCs w:val="24"/>
          <w:lang w:val="pl-PL"/>
        </w:rPr>
        <w:t>ą</w:t>
      </w:r>
      <w:r w:rsidR="00330D49" w:rsidRPr="002C2D40">
        <w:rPr>
          <w:rFonts w:asciiTheme="minorHAnsi" w:hAnsiTheme="minorHAnsi"/>
          <w:sz w:val="24"/>
          <w:szCs w:val="24"/>
        </w:rPr>
        <w:t xml:space="preserve"> Fundacj</w:t>
      </w:r>
      <w:r w:rsidR="00330D49" w:rsidRPr="002C2D40">
        <w:rPr>
          <w:rFonts w:asciiTheme="minorHAnsi" w:hAnsiTheme="minorHAnsi"/>
          <w:sz w:val="24"/>
          <w:szCs w:val="24"/>
          <w:lang w:val="pl-PL"/>
        </w:rPr>
        <w:t>ę</w:t>
      </w:r>
      <w:r w:rsidR="00330D49" w:rsidRPr="002C2D40">
        <w:rPr>
          <w:rFonts w:asciiTheme="minorHAnsi" w:hAnsiTheme="minorHAnsi"/>
          <w:sz w:val="24"/>
          <w:szCs w:val="24"/>
        </w:rPr>
        <w:t xml:space="preserve"> Praw Człowieka</w:t>
      </w:r>
      <w:r w:rsidRPr="002C2D40">
        <w:rPr>
          <w:rFonts w:asciiTheme="minorHAnsi" w:hAnsiTheme="minorHAnsi"/>
          <w:sz w:val="24"/>
          <w:szCs w:val="24"/>
          <w:lang w:val="pl-PL"/>
        </w:rPr>
        <w:t xml:space="preserve"> (komunikacja i odpowiedź: dokument</w:t>
      </w:r>
      <w:r w:rsidR="00617981" w:rsidRPr="002C2D40">
        <w:rPr>
          <w:rFonts w:asciiTheme="minorHAnsi" w:hAnsiTheme="minorHAnsi"/>
          <w:sz w:val="24"/>
          <w:szCs w:val="24"/>
          <w:lang w:val="pl-PL"/>
        </w:rPr>
        <w:t xml:space="preserve"> DH-DD(2020)366</w:t>
      </w:r>
      <w:r w:rsidRPr="002C2D40">
        <w:rPr>
          <w:rFonts w:asciiTheme="minorHAnsi" w:hAnsiTheme="minorHAnsi"/>
          <w:sz w:val="24"/>
          <w:szCs w:val="24"/>
          <w:lang w:val="pl-PL"/>
        </w:rPr>
        <w:t>);</w:t>
      </w:r>
    </w:p>
    <w:p w:rsidR="00330D49" w:rsidRPr="002C2D40" w:rsidRDefault="00330D49" w:rsidP="003F20CE">
      <w:pPr>
        <w:pStyle w:val="Akapitzlist"/>
        <w:numPr>
          <w:ilvl w:val="0"/>
          <w:numId w:val="5"/>
        </w:numPr>
        <w:spacing w:before="120" w:after="0" w:line="240" w:lineRule="auto"/>
        <w:ind w:left="709" w:hanging="425"/>
        <w:jc w:val="both"/>
        <w:rPr>
          <w:rFonts w:asciiTheme="minorHAnsi" w:hAnsiTheme="minorHAnsi"/>
          <w:sz w:val="24"/>
          <w:szCs w:val="24"/>
          <w:lang w:val="pl-PL"/>
        </w:rPr>
      </w:pPr>
      <w:r w:rsidRPr="002C2D40">
        <w:rPr>
          <w:rFonts w:asciiTheme="minorHAnsi" w:hAnsiTheme="minorHAnsi"/>
          <w:sz w:val="24"/>
          <w:szCs w:val="24"/>
          <w:lang w:val="pl-PL"/>
        </w:rPr>
        <w:lastRenderedPageBreak/>
        <w:t xml:space="preserve">Komunikacja otrzymana w dniu </w:t>
      </w:r>
      <w:r w:rsidR="00DB1508" w:rsidRPr="002C2D40">
        <w:rPr>
          <w:rFonts w:asciiTheme="minorHAnsi" w:hAnsiTheme="minorHAnsi"/>
          <w:sz w:val="24"/>
          <w:szCs w:val="24"/>
          <w:lang w:val="pl-PL"/>
        </w:rPr>
        <w:t xml:space="preserve">24 czerwca </w:t>
      </w:r>
      <w:r w:rsidRPr="002C2D40">
        <w:rPr>
          <w:rFonts w:asciiTheme="minorHAnsi" w:hAnsiTheme="minorHAnsi"/>
          <w:sz w:val="24"/>
          <w:szCs w:val="24"/>
          <w:lang w:val="pl-PL"/>
        </w:rPr>
        <w:t>2020 r. ws. wykonania wyroku</w:t>
      </w:r>
      <w:r w:rsidR="00D82E22">
        <w:rPr>
          <w:rFonts w:asciiTheme="minorHAnsi" w:hAnsiTheme="minorHAnsi"/>
          <w:sz w:val="24"/>
          <w:szCs w:val="24"/>
          <w:lang w:val="pl-PL"/>
        </w:rPr>
        <w:t xml:space="preserve"> </w:t>
      </w:r>
      <w:r w:rsidR="00DB1508" w:rsidRPr="00B8438B">
        <w:rPr>
          <w:rFonts w:asciiTheme="minorHAnsi" w:hAnsiTheme="minorHAnsi"/>
          <w:b/>
          <w:i/>
          <w:sz w:val="24"/>
          <w:szCs w:val="24"/>
          <w:lang w:val="pl-PL"/>
        </w:rPr>
        <w:t>Bistieva</w:t>
      </w:r>
      <w:r w:rsidRPr="00B8438B">
        <w:rPr>
          <w:rFonts w:asciiTheme="minorHAnsi" w:hAnsiTheme="minorHAnsi"/>
          <w:b/>
          <w:i/>
          <w:sz w:val="24"/>
          <w:szCs w:val="24"/>
          <w:lang w:val="pl-PL"/>
        </w:rPr>
        <w:t xml:space="preserve"> i</w:t>
      </w:r>
      <w:r w:rsidRPr="002C2D40">
        <w:rPr>
          <w:rFonts w:asciiTheme="minorHAnsi" w:hAnsiTheme="minorHAnsi"/>
          <w:b/>
          <w:i/>
          <w:sz w:val="24"/>
          <w:szCs w:val="24"/>
          <w:lang w:val="pl-PL"/>
        </w:rPr>
        <w:t xml:space="preserve"> inni </w:t>
      </w:r>
      <w:r w:rsidRPr="002C2D40">
        <w:rPr>
          <w:rFonts w:asciiTheme="minorHAnsi" w:hAnsiTheme="minorHAnsi"/>
          <w:b/>
          <w:i/>
          <w:sz w:val="24"/>
          <w:szCs w:val="24"/>
        </w:rPr>
        <w:t>p. Polsce</w:t>
      </w:r>
      <w:r w:rsidRPr="002C2D40">
        <w:rPr>
          <w:rFonts w:asciiTheme="minorHAnsi" w:hAnsiTheme="minorHAnsi"/>
          <w:sz w:val="24"/>
          <w:szCs w:val="24"/>
          <w:lang w:val="pl-PL"/>
        </w:rPr>
        <w:t xml:space="preserve">, przesłana do Komitetu Ministrów RE przez </w:t>
      </w:r>
      <w:r w:rsidRPr="002C2D40">
        <w:rPr>
          <w:rFonts w:asciiTheme="minorHAnsi" w:hAnsiTheme="minorHAnsi"/>
          <w:sz w:val="24"/>
          <w:szCs w:val="24"/>
        </w:rPr>
        <w:t>Helsińsk</w:t>
      </w:r>
      <w:r w:rsidRPr="002C2D40">
        <w:rPr>
          <w:rFonts w:asciiTheme="minorHAnsi" w:hAnsiTheme="minorHAnsi"/>
          <w:sz w:val="24"/>
          <w:szCs w:val="24"/>
          <w:lang w:val="pl-PL"/>
        </w:rPr>
        <w:t>ą</w:t>
      </w:r>
      <w:r w:rsidRPr="002C2D40">
        <w:rPr>
          <w:rFonts w:asciiTheme="minorHAnsi" w:hAnsiTheme="minorHAnsi"/>
          <w:sz w:val="24"/>
          <w:szCs w:val="24"/>
        </w:rPr>
        <w:t xml:space="preserve"> Fundacj</w:t>
      </w:r>
      <w:r w:rsidRPr="002C2D40">
        <w:rPr>
          <w:rFonts w:asciiTheme="minorHAnsi" w:hAnsiTheme="minorHAnsi"/>
          <w:sz w:val="24"/>
          <w:szCs w:val="24"/>
          <w:lang w:val="pl-PL"/>
        </w:rPr>
        <w:t>ę</w:t>
      </w:r>
      <w:r w:rsidRPr="002C2D40">
        <w:rPr>
          <w:rFonts w:asciiTheme="minorHAnsi" w:hAnsiTheme="minorHAnsi"/>
          <w:sz w:val="24"/>
          <w:szCs w:val="24"/>
        </w:rPr>
        <w:t xml:space="preserve"> Praw Człowieka</w:t>
      </w:r>
      <w:r w:rsidRPr="002C2D40">
        <w:rPr>
          <w:rFonts w:asciiTheme="minorHAnsi" w:hAnsiTheme="minorHAnsi"/>
          <w:sz w:val="24"/>
          <w:szCs w:val="24"/>
          <w:lang w:val="pl-PL"/>
        </w:rPr>
        <w:t xml:space="preserve"> (komunikacja i odpowiedź: dokument</w:t>
      </w:r>
      <w:r w:rsidR="00617981" w:rsidRPr="002C2D40">
        <w:rPr>
          <w:rFonts w:asciiTheme="minorHAnsi" w:hAnsiTheme="minorHAnsi"/>
          <w:sz w:val="24"/>
          <w:szCs w:val="24"/>
          <w:lang w:val="pl-PL"/>
        </w:rPr>
        <w:t xml:space="preserve"> DH-DD(2020)621</w:t>
      </w:r>
      <w:r w:rsidRPr="002C2D40">
        <w:rPr>
          <w:rFonts w:asciiTheme="minorHAnsi" w:hAnsiTheme="minorHAnsi"/>
          <w:sz w:val="24"/>
          <w:szCs w:val="24"/>
          <w:lang w:val="pl-PL"/>
        </w:rPr>
        <w:t>);</w:t>
      </w:r>
    </w:p>
    <w:p w:rsidR="00330D49" w:rsidRPr="002C2D40" w:rsidRDefault="00330D49" w:rsidP="003F20CE">
      <w:pPr>
        <w:pStyle w:val="Akapitzlist"/>
        <w:numPr>
          <w:ilvl w:val="0"/>
          <w:numId w:val="5"/>
        </w:numPr>
        <w:spacing w:before="120" w:after="0" w:line="240" w:lineRule="auto"/>
        <w:ind w:left="709" w:hanging="425"/>
        <w:jc w:val="both"/>
        <w:rPr>
          <w:rFonts w:asciiTheme="minorHAnsi" w:hAnsiTheme="minorHAnsi"/>
          <w:sz w:val="24"/>
          <w:szCs w:val="24"/>
          <w:lang w:val="pl-PL"/>
        </w:rPr>
      </w:pPr>
      <w:r w:rsidRPr="002C2D40">
        <w:rPr>
          <w:rFonts w:asciiTheme="minorHAnsi" w:hAnsiTheme="minorHAnsi"/>
          <w:sz w:val="24"/>
          <w:szCs w:val="24"/>
          <w:lang w:val="pl-PL"/>
        </w:rPr>
        <w:t xml:space="preserve">Komunikacja otrzymana w dniu </w:t>
      </w:r>
      <w:r w:rsidR="00DB1508" w:rsidRPr="002C2D40">
        <w:rPr>
          <w:rFonts w:asciiTheme="minorHAnsi" w:hAnsiTheme="minorHAnsi"/>
          <w:sz w:val="24"/>
          <w:szCs w:val="24"/>
          <w:lang w:val="pl-PL"/>
        </w:rPr>
        <w:t xml:space="preserve">3 września </w:t>
      </w:r>
      <w:r w:rsidRPr="002C2D40">
        <w:rPr>
          <w:rFonts w:asciiTheme="minorHAnsi" w:hAnsiTheme="minorHAnsi"/>
          <w:sz w:val="24"/>
          <w:szCs w:val="24"/>
          <w:lang w:val="pl-PL"/>
        </w:rPr>
        <w:t>2020 r. ws. wykonania wyrok</w:t>
      </w:r>
      <w:r w:rsidR="00B8438B">
        <w:rPr>
          <w:rFonts w:asciiTheme="minorHAnsi" w:hAnsiTheme="minorHAnsi"/>
          <w:sz w:val="24"/>
          <w:szCs w:val="24"/>
          <w:lang w:val="pl-PL"/>
        </w:rPr>
        <w:t>ów</w:t>
      </w:r>
      <w:r w:rsidR="00D82E22">
        <w:rPr>
          <w:rFonts w:asciiTheme="minorHAnsi" w:hAnsiTheme="minorHAnsi"/>
          <w:sz w:val="24"/>
          <w:szCs w:val="24"/>
          <w:lang w:val="pl-PL"/>
        </w:rPr>
        <w:t xml:space="preserve"> </w:t>
      </w:r>
      <w:r w:rsidR="00DB1508" w:rsidRPr="002C2D40">
        <w:rPr>
          <w:rFonts w:asciiTheme="minorHAnsi" w:hAnsiTheme="minorHAnsi"/>
          <w:b/>
          <w:i/>
          <w:sz w:val="24"/>
          <w:szCs w:val="24"/>
          <w:lang w:val="pl-PL"/>
        </w:rPr>
        <w:t>Parol</w:t>
      </w:r>
      <w:r w:rsidRPr="002C2D40">
        <w:rPr>
          <w:rFonts w:asciiTheme="minorHAnsi" w:hAnsiTheme="minorHAnsi"/>
          <w:b/>
          <w:i/>
          <w:sz w:val="24"/>
          <w:szCs w:val="24"/>
          <w:lang w:val="pl-PL"/>
        </w:rPr>
        <w:t xml:space="preserve"> </w:t>
      </w:r>
      <w:r w:rsidRPr="002C2D40">
        <w:rPr>
          <w:rFonts w:asciiTheme="minorHAnsi" w:hAnsiTheme="minorHAnsi"/>
          <w:b/>
          <w:i/>
          <w:sz w:val="24"/>
          <w:szCs w:val="24"/>
        </w:rPr>
        <w:t>p. Polsce</w:t>
      </w:r>
      <w:r w:rsidR="00DB1508" w:rsidRPr="002C2D40">
        <w:rPr>
          <w:rFonts w:asciiTheme="minorHAnsi" w:hAnsiTheme="minorHAnsi"/>
          <w:b/>
          <w:i/>
          <w:sz w:val="24"/>
          <w:szCs w:val="24"/>
          <w:lang w:val="pl-PL"/>
        </w:rPr>
        <w:t xml:space="preserve"> </w:t>
      </w:r>
      <w:r w:rsidR="00DB1508" w:rsidRPr="002C2D40">
        <w:rPr>
          <w:rFonts w:asciiTheme="minorHAnsi" w:hAnsiTheme="minorHAnsi"/>
          <w:sz w:val="24"/>
          <w:szCs w:val="24"/>
          <w:lang w:val="pl-PL"/>
        </w:rPr>
        <w:t>i</w:t>
      </w:r>
      <w:r w:rsidR="00DB1508" w:rsidRPr="002C2D40">
        <w:rPr>
          <w:rFonts w:asciiTheme="minorHAnsi" w:hAnsiTheme="minorHAnsi"/>
          <w:b/>
          <w:i/>
          <w:sz w:val="24"/>
          <w:szCs w:val="24"/>
          <w:lang w:val="pl-PL"/>
        </w:rPr>
        <w:t xml:space="preserve"> Adamkowski p. Polsce</w:t>
      </w:r>
      <w:r w:rsidRPr="002C2D40">
        <w:rPr>
          <w:rFonts w:asciiTheme="minorHAnsi" w:hAnsiTheme="minorHAnsi"/>
          <w:sz w:val="24"/>
          <w:szCs w:val="24"/>
          <w:lang w:val="pl-PL"/>
        </w:rPr>
        <w:t xml:space="preserve">, przesłana do Komitetu Ministrów RE przez </w:t>
      </w:r>
      <w:r w:rsidRPr="002C2D40">
        <w:rPr>
          <w:rFonts w:asciiTheme="minorHAnsi" w:hAnsiTheme="minorHAnsi"/>
          <w:sz w:val="24"/>
          <w:szCs w:val="24"/>
        </w:rPr>
        <w:t>Helsińsk</w:t>
      </w:r>
      <w:r w:rsidRPr="002C2D40">
        <w:rPr>
          <w:rFonts w:asciiTheme="minorHAnsi" w:hAnsiTheme="minorHAnsi"/>
          <w:sz w:val="24"/>
          <w:szCs w:val="24"/>
          <w:lang w:val="pl-PL"/>
        </w:rPr>
        <w:t>ą</w:t>
      </w:r>
      <w:r w:rsidRPr="002C2D40">
        <w:rPr>
          <w:rFonts w:asciiTheme="minorHAnsi" w:hAnsiTheme="minorHAnsi"/>
          <w:sz w:val="24"/>
          <w:szCs w:val="24"/>
        </w:rPr>
        <w:t xml:space="preserve"> Fundacj</w:t>
      </w:r>
      <w:r w:rsidRPr="002C2D40">
        <w:rPr>
          <w:rFonts w:asciiTheme="minorHAnsi" w:hAnsiTheme="minorHAnsi"/>
          <w:sz w:val="24"/>
          <w:szCs w:val="24"/>
          <w:lang w:val="pl-PL"/>
        </w:rPr>
        <w:t>ę</w:t>
      </w:r>
      <w:r w:rsidRPr="002C2D40">
        <w:rPr>
          <w:rFonts w:asciiTheme="minorHAnsi" w:hAnsiTheme="minorHAnsi"/>
          <w:sz w:val="24"/>
          <w:szCs w:val="24"/>
        </w:rPr>
        <w:t xml:space="preserve"> Praw Człowieka</w:t>
      </w:r>
      <w:r w:rsidRPr="002C2D40">
        <w:rPr>
          <w:rFonts w:asciiTheme="minorHAnsi" w:hAnsiTheme="minorHAnsi"/>
          <w:sz w:val="24"/>
          <w:szCs w:val="24"/>
          <w:lang w:val="pl-PL"/>
        </w:rPr>
        <w:t xml:space="preserve"> (komunikacja</w:t>
      </w:r>
      <w:r w:rsidR="00DB1508" w:rsidRPr="002C2D40">
        <w:rPr>
          <w:rFonts w:asciiTheme="minorHAnsi" w:hAnsiTheme="minorHAnsi"/>
          <w:sz w:val="24"/>
          <w:szCs w:val="24"/>
          <w:lang w:val="pl-PL"/>
        </w:rPr>
        <w:t>: dokument</w:t>
      </w:r>
      <w:r w:rsidR="00617981" w:rsidRPr="002C2D40">
        <w:rPr>
          <w:rFonts w:asciiTheme="minorHAnsi" w:hAnsiTheme="minorHAnsi"/>
          <w:sz w:val="24"/>
          <w:szCs w:val="24"/>
          <w:lang w:val="pl-PL"/>
        </w:rPr>
        <w:t xml:space="preserve"> DH-DD(2020)807</w:t>
      </w:r>
      <w:r w:rsidRPr="002C2D40">
        <w:rPr>
          <w:rFonts w:asciiTheme="minorHAnsi" w:hAnsiTheme="minorHAnsi"/>
          <w:sz w:val="24"/>
          <w:szCs w:val="24"/>
          <w:lang w:val="pl-PL"/>
        </w:rPr>
        <w:t xml:space="preserve"> i odpowiedź: dokument</w:t>
      </w:r>
      <w:r w:rsidR="00617981" w:rsidRPr="002C2D40">
        <w:rPr>
          <w:rFonts w:asciiTheme="minorHAnsi" w:hAnsiTheme="minorHAnsi"/>
          <w:sz w:val="24"/>
          <w:szCs w:val="24"/>
          <w:lang w:val="pl-PL"/>
        </w:rPr>
        <w:t xml:space="preserve"> DH-DD(2021</w:t>
      </w:r>
      <w:r w:rsidRPr="002C2D40">
        <w:rPr>
          <w:rFonts w:asciiTheme="minorHAnsi" w:hAnsiTheme="minorHAnsi"/>
          <w:sz w:val="24"/>
          <w:szCs w:val="24"/>
          <w:lang w:val="pl-PL"/>
        </w:rPr>
        <w:t>)</w:t>
      </w:r>
      <w:r w:rsidR="00617981" w:rsidRPr="002C2D40">
        <w:rPr>
          <w:rFonts w:asciiTheme="minorHAnsi" w:hAnsiTheme="minorHAnsi"/>
          <w:sz w:val="24"/>
          <w:szCs w:val="24"/>
          <w:lang w:val="pl-PL"/>
        </w:rPr>
        <w:t>21)</w:t>
      </w:r>
      <w:r w:rsidRPr="002C2D40">
        <w:rPr>
          <w:rFonts w:asciiTheme="minorHAnsi" w:hAnsiTheme="minorHAnsi"/>
          <w:sz w:val="24"/>
          <w:szCs w:val="24"/>
          <w:lang w:val="pl-PL"/>
        </w:rPr>
        <w:t>;</w:t>
      </w:r>
    </w:p>
    <w:p w:rsidR="00330D49" w:rsidRDefault="00330D49" w:rsidP="003F20CE">
      <w:pPr>
        <w:pStyle w:val="Akapitzlist"/>
        <w:numPr>
          <w:ilvl w:val="0"/>
          <w:numId w:val="5"/>
        </w:numPr>
        <w:spacing w:before="120" w:after="0" w:line="240" w:lineRule="auto"/>
        <w:ind w:left="709" w:hanging="425"/>
        <w:jc w:val="both"/>
        <w:rPr>
          <w:rFonts w:asciiTheme="minorHAnsi" w:hAnsiTheme="minorHAnsi"/>
          <w:sz w:val="24"/>
          <w:szCs w:val="24"/>
          <w:lang w:val="pl-PL"/>
        </w:rPr>
      </w:pPr>
      <w:r w:rsidRPr="002C2D40">
        <w:rPr>
          <w:rFonts w:asciiTheme="minorHAnsi" w:hAnsiTheme="minorHAnsi"/>
          <w:sz w:val="24"/>
          <w:szCs w:val="24"/>
          <w:lang w:val="pl-PL"/>
        </w:rPr>
        <w:t>Komunikacja otrzymana w dniu</w:t>
      </w:r>
      <w:r w:rsidR="00DB1508" w:rsidRPr="002C2D40">
        <w:rPr>
          <w:rFonts w:asciiTheme="minorHAnsi" w:hAnsiTheme="minorHAnsi"/>
          <w:sz w:val="24"/>
          <w:szCs w:val="24"/>
          <w:lang w:val="pl-PL"/>
        </w:rPr>
        <w:t xml:space="preserve"> 23 października </w:t>
      </w:r>
      <w:r w:rsidRPr="002C2D40">
        <w:rPr>
          <w:rFonts w:asciiTheme="minorHAnsi" w:hAnsiTheme="minorHAnsi"/>
          <w:sz w:val="24"/>
          <w:szCs w:val="24"/>
          <w:lang w:val="pl-PL"/>
        </w:rPr>
        <w:t>2020 r. ws. wykonania wyroku</w:t>
      </w:r>
      <w:r w:rsidR="00D82E22">
        <w:rPr>
          <w:rFonts w:asciiTheme="minorHAnsi" w:hAnsiTheme="minorHAnsi"/>
          <w:sz w:val="24"/>
          <w:szCs w:val="24"/>
          <w:lang w:val="pl-PL"/>
        </w:rPr>
        <w:t xml:space="preserve"> </w:t>
      </w:r>
      <w:r w:rsidR="00DB1508" w:rsidRPr="002C2D40">
        <w:rPr>
          <w:rFonts w:asciiTheme="minorHAnsi" w:hAnsiTheme="minorHAnsi"/>
          <w:b/>
          <w:i/>
          <w:sz w:val="24"/>
          <w:szCs w:val="24"/>
          <w:lang w:val="pl-PL"/>
        </w:rPr>
        <w:t xml:space="preserve">Al Nashiri </w:t>
      </w:r>
      <w:r w:rsidRPr="002C2D40">
        <w:rPr>
          <w:rFonts w:asciiTheme="minorHAnsi" w:hAnsiTheme="minorHAnsi"/>
          <w:b/>
          <w:i/>
          <w:sz w:val="24"/>
          <w:szCs w:val="24"/>
        </w:rPr>
        <w:t>p. Polsce</w:t>
      </w:r>
      <w:r w:rsidRPr="002C2D40">
        <w:rPr>
          <w:rFonts w:asciiTheme="minorHAnsi" w:hAnsiTheme="minorHAnsi"/>
          <w:sz w:val="24"/>
          <w:szCs w:val="24"/>
          <w:lang w:val="pl-PL"/>
        </w:rPr>
        <w:t xml:space="preserve">, przesłana do Komitetu Ministrów RE przez </w:t>
      </w:r>
      <w:r w:rsidR="00DB1508" w:rsidRPr="002C2D40">
        <w:rPr>
          <w:rFonts w:asciiTheme="minorHAnsi" w:hAnsiTheme="minorHAnsi"/>
          <w:sz w:val="24"/>
          <w:szCs w:val="24"/>
          <w:lang w:val="pl-PL"/>
        </w:rPr>
        <w:t>Open Society Justice Initiative</w:t>
      </w:r>
      <w:r w:rsidRPr="002C2D40">
        <w:rPr>
          <w:rFonts w:asciiTheme="minorHAnsi" w:hAnsiTheme="minorHAnsi"/>
          <w:sz w:val="24"/>
          <w:szCs w:val="24"/>
          <w:lang w:val="pl-PL"/>
        </w:rPr>
        <w:t xml:space="preserve"> (komunikacja i odpowiedź: dokument</w:t>
      </w:r>
      <w:r w:rsidR="00520F39" w:rsidRPr="002C2D40">
        <w:rPr>
          <w:rFonts w:asciiTheme="minorHAnsi" w:hAnsiTheme="minorHAnsi"/>
          <w:sz w:val="24"/>
          <w:szCs w:val="24"/>
          <w:lang w:val="pl-PL"/>
        </w:rPr>
        <w:t xml:space="preserve"> DH-DD(2020)969-rev</w:t>
      </w:r>
      <w:r w:rsidR="00D31471">
        <w:rPr>
          <w:rFonts w:asciiTheme="minorHAnsi" w:hAnsiTheme="minorHAnsi"/>
          <w:sz w:val="24"/>
          <w:szCs w:val="24"/>
          <w:lang w:val="pl-PL"/>
        </w:rPr>
        <w:t>).</w:t>
      </w:r>
    </w:p>
    <w:p w:rsidR="00D31471" w:rsidRPr="00D31471" w:rsidRDefault="00D31471" w:rsidP="00D31471">
      <w:pPr>
        <w:spacing w:before="120"/>
        <w:ind w:left="284"/>
        <w:jc w:val="both"/>
        <w:rPr>
          <w:rFonts w:asciiTheme="minorHAnsi" w:hAnsiTheme="minorHAnsi"/>
        </w:rPr>
      </w:pPr>
    </w:p>
    <w:p w:rsidR="00DD0730" w:rsidRPr="002C2D40" w:rsidRDefault="00DD0730" w:rsidP="002C2D40">
      <w:pPr>
        <w:pStyle w:val="Nagwek1"/>
        <w:spacing w:before="120"/>
        <w:rPr>
          <w:rFonts w:asciiTheme="minorHAnsi" w:hAnsiTheme="minorHAnsi"/>
        </w:rPr>
      </w:pPr>
      <w:bookmarkStart w:id="7" w:name="_Toc67656265"/>
      <w:r w:rsidRPr="002C2D40">
        <w:rPr>
          <w:rFonts w:asciiTheme="minorHAnsi" w:hAnsiTheme="minorHAnsi"/>
        </w:rPr>
        <w:t>Działalność międzyresortowego Zespołu do spraw Europejskiego Trybunału Praw Człowieka w 20</w:t>
      </w:r>
      <w:r w:rsidR="00F314BC" w:rsidRPr="002C2D40">
        <w:rPr>
          <w:rFonts w:asciiTheme="minorHAnsi" w:hAnsiTheme="minorHAnsi"/>
          <w:lang w:val="pl-PL"/>
        </w:rPr>
        <w:t>20</w:t>
      </w:r>
      <w:r w:rsidRPr="002C2D40">
        <w:rPr>
          <w:rFonts w:asciiTheme="minorHAnsi" w:hAnsiTheme="minorHAnsi"/>
        </w:rPr>
        <w:t xml:space="preserve"> r.</w:t>
      </w:r>
      <w:bookmarkEnd w:id="7"/>
    </w:p>
    <w:p w:rsidR="00FB1DED" w:rsidRPr="002C2D40" w:rsidRDefault="00DD0730" w:rsidP="00D82E22">
      <w:pPr>
        <w:spacing w:before="120"/>
        <w:jc w:val="both"/>
        <w:rPr>
          <w:rFonts w:asciiTheme="minorHAnsi" w:hAnsiTheme="minorHAnsi"/>
        </w:rPr>
      </w:pPr>
      <w:r w:rsidRPr="002C2D40">
        <w:rPr>
          <w:rFonts w:asciiTheme="minorHAnsi" w:hAnsiTheme="minorHAnsi"/>
        </w:rPr>
        <w:t xml:space="preserve">Międzyresortowy Zespół do spraw Europejskiego Trybunału Praw Człowieka w okresie sprawozdawczym </w:t>
      </w:r>
      <w:r w:rsidR="00426319" w:rsidRPr="002C2D40">
        <w:rPr>
          <w:rFonts w:asciiTheme="minorHAnsi" w:hAnsiTheme="minorHAnsi"/>
        </w:rPr>
        <w:t>odbył trzy posiedzenia</w:t>
      </w:r>
      <w:r w:rsidR="00FB1DED" w:rsidRPr="002C2D40">
        <w:rPr>
          <w:rFonts w:asciiTheme="minorHAnsi" w:hAnsiTheme="minorHAnsi"/>
        </w:rPr>
        <w:t xml:space="preserve"> plenarne</w:t>
      </w:r>
      <w:r w:rsidR="00426319" w:rsidRPr="002C2D40">
        <w:rPr>
          <w:rFonts w:asciiTheme="minorHAnsi" w:hAnsiTheme="minorHAnsi"/>
        </w:rPr>
        <w:t xml:space="preserve"> </w:t>
      </w:r>
      <w:r w:rsidR="00F314BC" w:rsidRPr="002C2D40">
        <w:rPr>
          <w:rFonts w:asciiTheme="minorHAnsi" w:hAnsiTheme="minorHAnsi"/>
        </w:rPr>
        <w:t xml:space="preserve">(w dniach </w:t>
      </w:r>
      <w:r w:rsidR="00426319" w:rsidRPr="002C2D40">
        <w:rPr>
          <w:rFonts w:asciiTheme="minorHAnsi" w:hAnsiTheme="minorHAnsi"/>
        </w:rPr>
        <w:t>25</w:t>
      </w:r>
      <w:r w:rsidRPr="002C2D40">
        <w:rPr>
          <w:rFonts w:asciiTheme="minorHAnsi" w:hAnsiTheme="minorHAnsi"/>
        </w:rPr>
        <w:t xml:space="preserve"> czerwca, </w:t>
      </w:r>
      <w:r w:rsidR="00F314BC" w:rsidRPr="002C2D40">
        <w:rPr>
          <w:rFonts w:asciiTheme="minorHAnsi" w:hAnsiTheme="minorHAnsi"/>
        </w:rPr>
        <w:t>28</w:t>
      </w:r>
      <w:r w:rsidRPr="002C2D40">
        <w:rPr>
          <w:rFonts w:asciiTheme="minorHAnsi" w:hAnsiTheme="minorHAnsi"/>
        </w:rPr>
        <w:t xml:space="preserve"> września i 1</w:t>
      </w:r>
      <w:r w:rsidR="00F314BC" w:rsidRPr="002C2D40">
        <w:rPr>
          <w:rFonts w:asciiTheme="minorHAnsi" w:hAnsiTheme="minorHAnsi"/>
        </w:rPr>
        <w:t>8</w:t>
      </w:r>
      <w:r w:rsidRPr="002C2D40">
        <w:rPr>
          <w:rFonts w:asciiTheme="minorHAnsi" w:hAnsiTheme="minorHAnsi"/>
        </w:rPr>
        <w:t xml:space="preserve"> grudnia</w:t>
      </w:r>
      <w:r w:rsidR="00426319" w:rsidRPr="002C2D40">
        <w:rPr>
          <w:rFonts w:asciiTheme="minorHAnsi" w:hAnsiTheme="minorHAnsi"/>
        </w:rPr>
        <w:t xml:space="preserve"> 2020 r.</w:t>
      </w:r>
      <w:r w:rsidRPr="002C2D40">
        <w:rPr>
          <w:rFonts w:asciiTheme="minorHAnsi" w:hAnsiTheme="minorHAnsi"/>
        </w:rPr>
        <w:t>)</w:t>
      </w:r>
      <w:r w:rsidR="009C6EFC" w:rsidRPr="002C2D40">
        <w:rPr>
          <w:rFonts w:asciiTheme="minorHAnsi" w:hAnsiTheme="minorHAnsi"/>
        </w:rPr>
        <w:t xml:space="preserve">. </w:t>
      </w:r>
      <w:r w:rsidR="00426319" w:rsidRPr="002C2D40">
        <w:rPr>
          <w:rFonts w:asciiTheme="minorHAnsi" w:hAnsiTheme="minorHAnsi"/>
        </w:rPr>
        <w:t>Z uwagi na wprowadzony w Polsce stan zagrożenia epidemicznego związane</w:t>
      </w:r>
      <w:r w:rsidR="00FD4573">
        <w:rPr>
          <w:rFonts w:asciiTheme="minorHAnsi" w:hAnsiTheme="minorHAnsi"/>
        </w:rPr>
        <w:t>go z wirusem</w:t>
      </w:r>
      <w:r w:rsidR="00426319" w:rsidRPr="002C2D40">
        <w:rPr>
          <w:rFonts w:asciiTheme="minorHAnsi" w:hAnsiTheme="minorHAnsi"/>
        </w:rPr>
        <w:t xml:space="preserve"> </w:t>
      </w:r>
      <w:r w:rsidR="00FD4573">
        <w:rPr>
          <w:rFonts w:asciiTheme="minorHAnsi" w:hAnsiTheme="minorHAnsi"/>
        </w:rPr>
        <w:t>S</w:t>
      </w:r>
      <w:r w:rsidR="00426319" w:rsidRPr="002C2D40">
        <w:rPr>
          <w:rFonts w:asciiTheme="minorHAnsi" w:hAnsiTheme="minorHAnsi"/>
        </w:rPr>
        <w:t>ARS-Co</w:t>
      </w:r>
      <w:r w:rsidR="00FD4573">
        <w:rPr>
          <w:rFonts w:asciiTheme="minorHAnsi" w:hAnsiTheme="minorHAnsi"/>
        </w:rPr>
        <w:t>V</w:t>
      </w:r>
      <w:r w:rsidR="00426319" w:rsidRPr="002C2D40">
        <w:rPr>
          <w:rFonts w:asciiTheme="minorHAnsi" w:hAnsiTheme="minorHAnsi"/>
        </w:rPr>
        <w:t>-2 oraz wprowadzone w z</w:t>
      </w:r>
      <w:r w:rsidR="00FB1DED" w:rsidRPr="002C2D40">
        <w:rPr>
          <w:rFonts w:asciiTheme="minorHAnsi" w:hAnsiTheme="minorHAnsi"/>
        </w:rPr>
        <w:t>w</w:t>
      </w:r>
      <w:r w:rsidR="00426319" w:rsidRPr="002C2D40">
        <w:rPr>
          <w:rFonts w:asciiTheme="minorHAnsi" w:hAnsiTheme="minorHAnsi"/>
        </w:rPr>
        <w:t>ią</w:t>
      </w:r>
      <w:r w:rsidR="00FB1DED" w:rsidRPr="002C2D40">
        <w:rPr>
          <w:rFonts w:asciiTheme="minorHAnsi" w:hAnsiTheme="minorHAnsi"/>
        </w:rPr>
        <w:t>zku</w:t>
      </w:r>
      <w:r w:rsidR="00426319" w:rsidRPr="002C2D40">
        <w:rPr>
          <w:rFonts w:asciiTheme="minorHAnsi" w:hAnsiTheme="minorHAnsi"/>
        </w:rPr>
        <w:t xml:space="preserve"> z tym ograniczenia i </w:t>
      </w:r>
      <w:r w:rsidR="00FB1DED" w:rsidRPr="002C2D40">
        <w:rPr>
          <w:rFonts w:asciiTheme="minorHAnsi" w:hAnsiTheme="minorHAnsi"/>
        </w:rPr>
        <w:t>zmianę</w:t>
      </w:r>
      <w:r w:rsidR="00426319" w:rsidRPr="002C2D40">
        <w:rPr>
          <w:rFonts w:asciiTheme="minorHAnsi" w:hAnsiTheme="minorHAnsi"/>
        </w:rPr>
        <w:t xml:space="preserve"> trybu pracy administracji publicznej</w:t>
      </w:r>
      <w:r w:rsidR="00FD4573">
        <w:rPr>
          <w:rFonts w:asciiTheme="minorHAnsi" w:hAnsiTheme="minorHAnsi"/>
        </w:rPr>
        <w:t>,</w:t>
      </w:r>
      <w:r w:rsidR="00FB1DED" w:rsidRPr="002C2D40">
        <w:rPr>
          <w:rFonts w:asciiTheme="minorHAnsi" w:hAnsiTheme="minorHAnsi"/>
        </w:rPr>
        <w:t xml:space="preserve"> w 2020 r. nie odbyło się posiedzenie planowane na marzec 2020 r.</w:t>
      </w:r>
      <w:r w:rsidR="00E11928" w:rsidRPr="002C2D40">
        <w:rPr>
          <w:rFonts w:asciiTheme="minorHAnsi" w:hAnsiTheme="minorHAnsi"/>
        </w:rPr>
        <w:t xml:space="preserve">, natomiast </w:t>
      </w:r>
      <w:r w:rsidR="00FB1DED" w:rsidRPr="002C2D40">
        <w:rPr>
          <w:rFonts w:asciiTheme="minorHAnsi" w:hAnsiTheme="minorHAnsi"/>
        </w:rPr>
        <w:t>posiedzenia Zespołu w II-IV kwartale 2020 r. odbyły się z wykorzystaniem środków umożliwiających porozumiewanie się na odległość. Sytuacja epidemiologiczna w kraju nie spowodowała zawieszenia prac Zespołu, a jedynie niewielkie spowolnienie jego prac w początkowym jej okresie oraz odwołanie posiedzenia plenarnego w pierwszym kwartale 2020 r. Poza tym Zespół realizował swoje zadania przewidziane w Zarządzeniu nr 73 Prezesa Rady Ministrów z dnia 19 lipca 2007 r. w sprawie utworzenia Zespołu ds. Europejski</w:t>
      </w:r>
      <w:r w:rsidR="00D82E22">
        <w:rPr>
          <w:rFonts w:asciiTheme="minorHAnsi" w:hAnsiTheme="minorHAnsi"/>
        </w:rPr>
        <w:t>ego Trybunału Praw Człowieka.</w:t>
      </w:r>
    </w:p>
    <w:p w:rsidR="001B2159" w:rsidRPr="002C2D40" w:rsidRDefault="009C6EFC" w:rsidP="00D82E22">
      <w:pPr>
        <w:spacing w:before="120"/>
        <w:jc w:val="both"/>
        <w:rPr>
          <w:rFonts w:asciiTheme="minorHAnsi" w:hAnsiTheme="minorHAnsi"/>
        </w:rPr>
      </w:pPr>
      <w:r w:rsidRPr="002C2D40">
        <w:rPr>
          <w:rFonts w:asciiTheme="minorHAnsi" w:hAnsiTheme="minorHAnsi"/>
        </w:rPr>
        <w:t>Ponadto</w:t>
      </w:r>
      <w:r w:rsidR="00E11928" w:rsidRPr="002C2D40">
        <w:rPr>
          <w:rFonts w:asciiTheme="minorHAnsi" w:hAnsiTheme="minorHAnsi"/>
        </w:rPr>
        <w:t xml:space="preserve"> w 2020 r.</w:t>
      </w:r>
      <w:r w:rsidRPr="002C2D40">
        <w:rPr>
          <w:rFonts w:asciiTheme="minorHAnsi" w:hAnsiTheme="minorHAnsi"/>
        </w:rPr>
        <w:t xml:space="preserve"> odbyło</w:t>
      </w:r>
      <w:r w:rsidR="004C1D83" w:rsidRPr="002C2D40">
        <w:rPr>
          <w:rFonts w:asciiTheme="minorHAnsi" w:hAnsiTheme="minorHAnsi"/>
        </w:rPr>
        <w:t xml:space="preserve"> się</w:t>
      </w:r>
      <w:r w:rsidR="00DD0730" w:rsidRPr="002C2D40">
        <w:rPr>
          <w:rFonts w:asciiTheme="minorHAnsi" w:hAnsiTheme="minorHAnsi"/>
        </w:rPr>
        <w:t xml:space="preserve"> </w:t>
      </w:r>
      <w:r w:rsidR="00C13048" w:rsidRPr="002C2D40">
        <w:rPr>
          <w:rFonts w:asciiTheme="minorHAnsi" w:hAnsiTheme="minorHAnsi"/>
        </w:rPr>
        <w:t>pięć</w:t>
      </w:r>
      <w:r w:rsidR="00DD0730" w:rsidRPr="002C2D40">
        <w:rPr>
          <w:rFonts w:asciiTheme="minorHAnsi" w:hAnsiTheme="minorHAnsi"/>
        </w:rPr>
        <w:t xml:space="preserve"> posiedze</w:t>
      </w:r>
      <w:r w:rsidRPr="002C2D40">
        <w:rPr>
          <w:rFonts w:asciiTheme="minorHAnsi" w:hAnsiTheme="minorHAnsi"/>
        </w:rPr>
        <w:t>ń</w:t>
      </w:r>
      <w:r w:rsidR="00DD0730" w:rsidRPr="002C2D40">
        <w:rPr>
          <w:rFonts w:asciiTheme="minorHAnsi" w:hAnsiTheme="minorHAnsi"/>
        </w:rPr>
        <w:t xml:space="preserve"> grup robocz</w:t>
      </w:r>
      <w:r w:rsidR="004C1D83" w:rsidRPr="002C2D40">
        <w:rPr>
          <w:rFonts w:asciiTheme="minorHAnsi" w:hAnsiTheme="minorHAnsi"/>
        </w:rPr>
        <w:t xml:space="preserve">ych </w:t>
      </w:r>
      <w:r w:rsidR="00BD03E2" w:rsidRPr="002C2D40">
        <w:rPr>
          <w:rFonts w:asciiTheme="minorHAnsi" w:hAnsiTheme="minorHAnsi"/>
        </w:rPr>
        <w:t>Zespołu</w:t>
      </w:r>
      <w:r w:rsidRPr="002C2D40">
        <w:rPr>
          <w:rFonts w:asciiTheme="minorHAnsi" w:hAnsiTheme="minorHAnsi"/>
        </w:rPr>
        <w:t xml:space="preserve">: </w:t>
      </w:r>
    </w:p>
    <w:p w:rsidR="00E11928" w:rsidRPr="002C2D40" w:rsidRDefault="00E11928" w:rsidP="00D82E22">
      <w:pPr>
        <w:pStyle w:val="Akapitzlist"/>
        <w:numPr>
          <w:ilvl w:val="0"/>
          <w:numId w:val="30"/>
        </w:numPr>
        <w:spacing w:before="120" w:after="0" w:line="240" w:lineRule="auto"/>
        <w:ind w:left="709" w:hanging="425"/>
        <w:jc w:val="both"/>
        <w:rPr>
          <w:rFonts w:asciiTheme="minorHAnsi" w:hAnsiTheme="minorHAnsi"/>
          <w:sz w:val="24"/>
          <w:szCs w:val="24"/>
        </w:rPr>
      </w:pPr>
      <w:r w:rsidRPr="002C2D40">
        <w:rPr>
          <w:rFonts w:asciiTheme="minorHAnsi" w:hAnsiTheme="minorHAnsi"/>
          <w:sz w:val="24"/>
          <w:szCs w:val="24"/>
        </w:rPr>
        <w:t xml:space="preserve">posiedzenie grupy roboczej Zespołu w dniu 14 stycznia 2020 r. poświęcone wykonaniu wyroku ETPC w sprawie </w:t>
      </w:r>
      <w:r w:rsidRPr="002C2D40">
        <w:rPr>
          <w:rFonts w:asciiTheme="minorHAnsi" w:hAnsiTheme="minorHAnsi"/>
          <w:i/>
          <w:sz w:val="24"/>
          <w:szCs w:val="24"/>
        </w:rPr>
        <w:t>Kanciał p. Polsce,</w:t>
      </w:r>
    </w:p>
    <w:p w:rsidR="00E11928" w:rsidRPr="002C2D40" w:rsidRDefault="00E11928" w:rsidP="00D82E22">
      <w:pPr>
        <w:pStyle w:val="Akapitzlist"/>
        <w:numPr>
          <w:ilvl w:val="0"/>
          <w:numId w:val="30"/>
        </w:numPr>
        <w:spacing w:before="120" w:after="0" w:line="240" w:lineRule="auto"/>
        <w:ind w:left="709" w:hanging="425"/>
        <w:jc w:val="both"/>
        <w:rPr>
          <w:rFonts w:asciiTheme="minorHAnsi" w:hAnsiTheme="minorHAnsi"/>
          <w:i/>
          <w:sz w:val="24"/>
          <w:szCs w:val="24"/>
        </w:rPr>
      </w:pPr>
      <w:r w:rsidRPr="002C2D40">
        <w:rPr>
          <w:rFonts w:asciiTheme="minorHAnsi" w:hAnsiTheme="minorHAnsi"/>
          <w:sz w:val="24"/>
          <w:szCs w:val="24"/>
        </w:rPr>
        <w:t xml:space="preserve">posiedzenie grupy roboczej Zespołu w dniu 21 lipca 2020 r. dotyczące wykonania wyroków w sprawach </w:t>
      </w:r>
      <w:r w:rsidRPr="002C2D40">
        <w:rPr>
          <w:rFonts w:asciiTheme="minorHAnsi" w:hAnsiTheme="minorHAnsi"/>
          <w:i/>
          <w:sz w:val="24"/>
          <w:szCs w:val="24"/>
        </w:rPr>
        <w:t>Milka p. Polsce</w:t>
      </w:r>
      <w:r w:rsidRPr="002C2D40">
        <w:rPr>
          <w:rFonts w:asciiTheme="minorHAnsi" w:hAnsiTheme="minorHAnsi"/>
          <w:sz w:val="24"/>
          <w:szCs w:val="24"/>
        </w:rPr>
        <w:t xml:space="preserve"> i </w:t>
      </w:r>
      <w:r w:rsidRPr="002C2D40">
        <w:rPr>
          <w:rFonts w:asciiTheme="minorHAnsi" w:hAnsiTheme="minorHAnsi"/>
          <w:i/>
          <w:sz w:val="24"/>
          <w:szCs w:val="24"/>
        </w:rPr>
        <w:t>Dejnek p. Polsce, K.J. p. Polsce, G.N. p. Polsce</w:t>
      </w:r>
      <w:r w:rsidRPr="002C2D40">
        <w:rPr>
          <w:rFonts w:asciiTheme="minorHAnsi" w:hAnsiTheme="minorHAnsi"/>
          <w:sz w:val="24"/>
          <w:szCs w:val="24"/>
        </w:rPr>
        <w:t xml:space="preserve">, </w:t>
      </w:r>
      <w:r w:rsidRPr="002C2D40">
        <w:rPr>
          <w:rFonts w:asciiTheme="minorHAnsi" w:hAnsiTheme="minorHAnsi"/>
          <w:i/>
          <w:sz w:val="24"/>
          <w:szCs w:val="24"/>
        </w:rPr>
        <w:t>Oller Kamińska p. Polsce</w:t>
      </w:r>
      <w:r w:rsidRPr="002C2D40">
        <w:rPr>
          <w:rFonts w:asciiTheme="minorHAnsi" w:hAnsiTheme="minorHAnsi"/>
          <w:sz w:val="24"/>
          <w:szCs w:val="24"/>
        </w:rPr>
        <w:t xml:space="preserve"> oraz </w:t>
      </w:r>
      <w:r w:rsidRPr="002C2D40">
        <w:rPr>
          <w:rFonts w:asciiTheme="minorHAnsi" w:hAnsiTheme="minorHAnsi"/>
          <w:i/>
          <w:sz w:val="24"/>
          <w:szCs w:val="24"/>
        </w:rPr>
        <w:t>Solska i Rybicka p. Polsce,</w:t>
      </w:r>
    </w:p>
    <w:p w:rsidR="00E11928" w:rsidRPr="002C2D40" w:rsidRDefault="00E11928" w:rsidP="00D82E22">
      <w:pPr>
        <w:pStyle w:val="Akapitzlist"/>
        <w:numPr>
          <w:ilvl w:val="0"/>
          <w:numId w:val="30"/>
        </w:numPr>
        <w:spacing w:before="120" w:after="0" w:line="240" w:lineRule="auto"/>
        <w:ind w:left="709" w:hanging="425"/>
        <w:jc w:val="both"/>
        <w:rPr>
          <w:rFonts w:asciiTheme="minorHAnsi" w:hAnsiTheme="minorHAnsi"/>
          <w:i/>
          <w:sz w:val="24"/>
          <w:szCs w:val="24"/>
        </w:rPr>
      </w:pPr>
      <w:r w:rsidRPr="002C2D40">
        <w:rPr>
          <w:rFonts w:asciiTheme="minorHAnsi" w:hAnsiTheme="minorHAnsi"/>
          <w:i/>
          <w:sz w:val="24"/>
          <w:szCs w:val="24"/>
        </w:rPr>
        <w:t xml:space="preserve">posiedzenia </w:t>
      </w:r>
      <w:r w:rsidRPr="002C2D40">
        <w:rPr>
          <w:rFonts w:asciiTheme="minorHAnsi" w:hAnsiTheme="minorHAnsi"/>
          <w:sz w:val="24"/>
          <w:szCs w:val="24"/>
        </w:rPr>
        <w:t>grupy roboczej Zespołu w dniach 12 sierpnia, 28 sierpnia, 17 września 2020</w:t>
      </w:r>
      <w:r w:rsidR="00D82E22">
        <w:rPr>
          <w:rFonts w:asciiTheme="minorHAnsi" w:hAnsiTheme="minorHAnsi"/>
        </w:rPr>
        <w:t> </w:t>
      </w:r>
      <w:r w:rsidRPr="002C2D40">
        <w:rPr>
          <w:rFonts w:asciiTheme="minorHAnsi" w:hAnsiTheme="minorHAnsi"/>
          <w:sz w:val="24"/>
          <w:szCs w:val="24"/>
        </w:rPr>
        <w:t xml:space="preserve">r. dotyczące wyroku w sprawie </w:t>
      </w:r>
      <w:r w:rsidRPr="002C2D40">
        <w:rPr>
          <w:rFonts w:asciiTheme="minorHAnsi" w:hAnsiTheme="minorHAnsi"/>
          <w:i/>
          <w:sz w:val="24"/>
          <w:szCs w:val="24"/>
        </w:rPr>
        <w:t>M.K. i inni p. Polsce</w:t>
      </w:r>
      <w:r w:rsidR="00FD4573">
        <w:rPr>
          <w:rFonts w:asciiTheme="minorHAnsi" w:hAnsiTheme="minorHAnsi"/>
          <w:i/>
          <w:sz w:val="24"/>
          <w:szCs w:val="24"/>
          <w:lang w:val="pl-PL"/>
        </w:rPr>
        <w:t>.</w:t>
      </w:r>
    </w:p>
    <w:p w:rsidR="00092C73" w:rsidRPr="002C2D40" w:rsidRDefault="00FB1DED" w:rsidP="00D82E22">
      <w:pPr>
        <w:spacing w:before="120"/>
        <w:jc w:val="both"/>
        <w:rPr>
          <w:rFonts w:asciiTheme="minorHAnsi" w:hAnsiTheme="minorHAnsi"/>
        </w:rPr>
      </w:pPr>
      <w:r w:rsidRPr="002C2D40">
        <w:rPr>
          <w:rFonts w:asciiTheme="minorHAnsi" w:hAnsiTheme="minorHAnsi"/>
        </w:rPr>
        <w:t>Po początkowym spowolnieniu prac</w:t>
      </w:r>
      <w:r w:rsidR="00D82E22">
        <w:rPr>
          <w:rFonts w:asciiTheme="minorHAnsi" w:hAnsiTheme="minorHAnsi"/>
        </w:rPr>
        <w:t>,</w:t>
      </w:r>
      <w:r w:rsidRPr="002C2D40">
        <w:rPr>
          <w:rFonts w:asciiTheme="minorHAnsi" w:hAnsiTheme="minorHAnsi"/>
        </w:rPr>
        <w:t xml:space="preserve"> związany</w:t>
      </w:r>
      <w:r w:rsidR="00D82E22">
        <w:rPr>
          <w:rFonts w:asciiTheme="minorHAnsi" w:hAnsiTheme="minorHAnsi"/>
        </w:rPr>
        <w:t>m</w:t>
      </w:r>
      <w:r w:rsidRPr="002C2D40">
        <w:rPr>
          <w:rFonts w:asciiTheme="minorHAnsi" w:hAnsiTheme="minorHAnsi"/>
        </w:rPr>
        <w:t xml:space="preserve"> z sytuacj</w:t>
      </w:r>
      <w:r w:rsidR="00E11928" w:rsidRPr="002C2D40">
        <w:rPr>
          <w:rFonts w:asciiTheme="minorHAnsi" w:hAnsiTheme="minorHAnsi"/>
        </w:rPr>
        <w:t>ą</w:t>
      </w:r>
      <w:r w:rsidRPr="002C2D40">
        <w:rPr>
          <w:rFonts w:asciiTheme="minorHAnsi" w:hAnsiTheme="minorHAnsi"/>
        </w:rPr>
        <w:t xml:space="preserve"> epidemiologiczną w kraju</w:t>
      </w:r>
      <w:r w:rsidR="00D82E22">
        <w:rPr>
          <w:rFonts w:asciiTheme="minorHAnsi" w:hAnsiTheme="minorHAnsi"/>
        </w:rPr>
        <w:t>,</w:t>
      </w:r>
      <w:r w:rsidRPr="002C2D40">
        <w:rPr>
          <w:rFonts w:asciiTheme="minorHAnsi" w:hAnsiTheme="minorHAnsi"/>
        </w:rPr>
        <w:t xml:space="preserve"> </w:t>
      </w:r>
      <w:r w:rsidR="00DD0730" w:rsidRPr="002C2D40">
        <w:rPr>
          <w:rFonts w:asciiTheme="minorHAnsi" w:hAnsiTheme="minorHAnsi"/>
        </w:rPr>
        <w:t xml:space="preserve">Zespół </w:t>
      </w:r>
      <w:r w:rsidRPr="002C2D40">
        <w:rPr>
          <w:rFonts w:asciiTheme="minorHAnsi" w:hAnsiTheme="minorHAnsi"/>
        </w:rPr>
        <w:t xml:space="preserve">kontynuował swoje prace </w:t>
      </w:r>
      <w:r w:rsidR="00DD0730" w:rsidRPr="002C2D40">
        <w:rPr>
          <w:rFonts w:asciiTheme="minorHAnsi" w:hAnsiTheme="minorHAnsi"/>
        </w:rPr>
        <w:t xml:space="preserve">na bieżąco, wymieniając korespondencję </w:t>
      </w:r>
      <w:r w:rsidR="00AA0BA9" w:rsidRPr="002C2D40">
        <w:rPr>
          <w:rFonts w:asciiTheme="minorHAnsi" w:hAnsiTheme="minorHAnsi"/>
        </w:rPr>
        <w:t xml:space="preserve">i </w:t>
      </w:r>
      <w:r w:rsidR="00092C73" w:rsidRPr="002C2D40">
        <w:rPr>
          <w:rFonts w:asciiTheme="minorHAnsi" w:hAnsiTheme="minorHAnsi"/>
        </w:rPr>
        <w:t xml:space="preserve">prowadząc uzgodnienia robocze </w:t>
      </w:r>
      <w:r w:rsidR="00DD0730" w:rsidRPr="002C2D40">
        <w:rPr>
          <w:rFonts w:asciiTheme="minorHAnsi" w:hAnsiTheme="minorHAnsi"/>
        </w:rPr>
        <w:t xml:space="preserve">w </w:t>
      </w:r>
      <w:r w:rsidR="00092C73" w:rsidRPr="002C2D40">
        <w:rPr>
          <w:rFonts w:asciiTheme="minorHAnsi" w:hAnsiTheme="minorHAnsi"/>
        </w:rPr>
        <w:t xml:space="preserve">poszczególnych </w:t>
      </w:r>
      <w:r w:rsidR="00DD0730" w:rsidRPr="002C2D40">
        <w:rPr>
          <w:rFonts w:asciiTheme="minorHAnsi" w:hAnsiTheme="minorHAnsi"/>
        </w:rPr>
        <w:t>sprawach</w:t>
      </w:r>
      <w:r w:rsidR="00D82E22">
        <w:rPr>
          <w:rFonts w:asciiTheme="minorHAnsi" w:hAnsiTheme="minorHAnsi"/>
        </w:rPr>
        <w:t>,</w:t>
      </w:r>
      <w:r w:rsidR="00DD0730" w:rsidRPr="002C2D40">
        <w:rPr>
          <w:rFonts w:asciiTheme="minorHAnsi" w:hAnsiTheme="minorHAnsi"/>
        </w:rPr>
        <w:t xml:space="preserve"> znajdujących się </w:t>
      </w:r>
      <w:r w:rsidR="00092C73" w:rsidRPr="002C2D40">
        <w:rPr>
          <w:rFonts w:asciiTheme="minorHAnsi" w:hAnsiTheme="minorHAnsi"/>
        </w:rPr>
        <w:t>w procesie wykonywania pod nadzorem KM</w:t>
      </w:r>
      <w:r w:rsidR="003978A5" w:rsidRPr="002C2D40">
        <w:rPr>
          <w:rFonts w:asciiTheme="minorHAnsi" w:hAnsiTheme="minorHAnsi"/>
        </w:rPr>
        <w:t>.</w:t>
      </w:r>
    </w:p>
    <w:p w:rsidR="00DD0730" w:rsidRPr="002C2D40" w:rsidRDefault="00DD0730" w:rsidP="00D82E22">
      <w:pPr>
        <w:spacing w:before="120"/>
        <w:jc w:val="both"/>
        <w:rPr>
          <w:rFonts w:asciiTheme="minorHAnsi" w:hAnsiTheme="minorHAnsi"/>
        </w:rPr>
      </w:pPr>
      <w:r w:rsidRPr="002C2D40">
        <w:rPr>
          <w:rFonts w:asciiTheme="minorHAnsi" w:hAnsiTheme="minorHAnsi"/>
        </w:rPr>
        <w:t xml:space="preserve">Szczegółowe sprawozdania z posiedzeń plenarnych dostępne </w:t>
      </w:r>
      <w:r w:rsidR="00092C73" w:rsidRPr="002C2D40">
        <w:rPr>
          <w:rFonts w:asciiTheme="minorHAnsi" w:hAnsiTheme="minorHAnsi"/>
        </w:rPr>
        <w:t xml:space="preserve">są </w:t>
      </w:r>
      <w:r w:rsidRPr="002C2D40">
        <w:rPr>
          <w:rFonts w:asciiTheme="minorHAnsi" w:hAnsiTheme="minorHAnsi"/>
        </w:rPr>
        <w:t>na stronie interneto</w:t>
      </w:r>
      <w:r w:rsidR="00092C73" w:rsidRPr="002C2D40">
        <w:rPr>
          <w:rFonts w:asciiTheme="minorHAnsi" w:hAnsiTheme="minorHAnsi"/>
        </w:rPr>
        <w:t>wej MSZ</w:t>
      </w:r>
      <w:r w:rsidR="00BD03E2" w:rsidRPr="002C2D40">
        <w:rPr>
          <w:rFonts w:asciiTheme="minorHAnsi" w:hAnsiTheme="minorHAnsi"/>
        </w:rPr>
        <w:t>, dołączone są również do niniejszego Raportu</w:t>
      </w:r>
      <w:r w:rsidR="00DE518C" w:rsidRPr="002C2D40">
        <w:rPr>
          <w:rFonts w:asciiTheme="minorHAnsi" w:hAnsiTheme="minorHAnsi"/>
        </w:rPr>
        <w:t>,</w:t>
      </w:r>
      <w:r w:rsidR="00BD03E2" w:rsidRPr="002C2D40">
        <w:rPr>
          <w:rFonts w:asciiTheme="minorHAnsi" w:hAnsiTheme="minorHAnsi"/>
        </w:rPr>
        <w:t xml:space="preserve"> </w:t>
      </w:r>
      <w:r w:rsidRPr="002C2D40">
        <w:rPr>
          <w:rFonts w:asciiTheme="minorHAnsi" w:hAnsiTheme="minorHAnsi"/>
        </w:rPr>
        <w:t>jako Załącznik</w:t>
      </w:r>
      <w:r w:rsidR="009B6D29" w:rsidRPr="002C2D40">
        <w:rPr>
          <w:rFonts w:asciiTheme="minorHAnsi" w:hAnsiTheme="minorHAnsi"/>
        </w:rPr>
        <w:t xml:space="preserve"> D</w:t>
      </w:r>
      <w:r w:rsidRPr="002C2D40">
        <w:rPr>
          <w:rFonts w:asciiTheme="minorHAnsi" w:hAnsiTheme="minorHAnsi"/>
        </w:rPr>
        <w:t>.</w:t>
      </w:r>
    </w:p>
    <w:p w:rsidR="001B2159" w:rsidRDefault="00FB1DED" w:rsidP="00D82E22">
      <w:pPr>
        <w:spacing w:before="120"/>
        <w:jc w:val="both"/>
        <w:rPr>
          <w:rFonts w:asciiTheme="minorHAnsi" w:hAnsiTheme="minorHAnsi"/>
        </w:rPr>
      </w:pPr>
      <w:r w:rsidRPr="002C2D40">
        <w:rPr>
          <w:rFonts w:asciiTheme="minorHAnsi" w:hAnsiTheme="minorHAnsi"/>
        </w:rPr>
        <w:t>Ponadto g</w:t>
      </w:r>
      <w:r w:rsidR="00AA0BA9" w:rsidRPr="002C2D40">
        <w:rPr>
          <w:rFonts w:asciiTheme="minorHAnsi" w:hAnsiTheme="minorHAnsi"/>
        </w:rPr>
        <w:t>rudniowe p</w:t>
      </w:r>
      <w:r w:rsidR="00DD0730" w:rsidRPr="002C2D40">
        <w:rPr>
          <w:rFonts w:asciiTheme="minorHAnsi" w:hAnsiTheme="minorHAnsi"/>
        </w:rPr>
        <w:t>osiedzenie Zespołu</w:t>
      </w:r>
      <w:r w:rsidR="00AA0BA9" w:rsidRPr="002C2D40">
        <w:rPr>
          <w:rFonts w:asciiTheme="minorHAnsi" w:hAnsiTheme="minorHAnsi"/>
        </w:rPr>
        <w:t xml:space="preserve">, podobnie jak </w:t>
      </w:r>
      <w:r w:rsidR="00DD0730" w:rsidRPr="002C2D40">
        <w:rPr>
          <w:rFonts w:asciiTheme="minorHAnsi" w:hAnsiTheme="minorHAnsi"/>
        </w:rPr>
        <w:t xml:space="preserve">w ubiegłych latach, było posiedzeniem podsumowującym </w:t>
      </w:r>
      <w:r w:rsidR="00BD03E2" w:rsidRPr="002C2D40">
        <w:rPr>
          <w:rFonts w:asciiTheme="minorHAnsi" w:hAnsiTheme="minorHAnsi"/>
        </w:rPr>
        <w:t xml:space="preserve">oraz </w:t>
      </w:r>
      <w:r w:rsidR="00DD0730" w:rsidRPr="002C2D40">
        <w:rPr>
          <w:rFonts w:asciiTheme="minorHAnsi" w:hAnsiTheme="minorHAnsi"/>
        </w:rPr>
        <w:t>miało rozszerzoną formułę</w:t>
      </w:r>
      <w:r w:rsidRPr="002C2D40">
        <w:rPr>
          <w:rFonts w:asciiTheme="minorHAnsi" w:hAnsiTheme="minorHAnsi"/>
        </w:rPr>
        <w:t xml:space="preserve">, </w:t>
      </w:r>
      <w:r w:rsidR="00E11928" w:rsidRPr="002C2D40">
        <w:rPr>
          <w:rFonts w:asciiTheme="minorHAnsi" w:hAnsiTheme="minorHAnsi"/>
        </w:rPr>
        <w:t>po</w:t>
      </w:r>
      <w:r w:rsidRPr="002C2D40">
        <w:rPr>
          <w:rFonts w:asciiTheme="minorHAnsi" w:hAnsiTheme="minorHAnsi"/>
        </w:rPr>
        <w:t xml:space="preserve">mimo że odbyło się również w formie </w:t>
      </w:r>
      <w:r w:rsidRPr="002C2D40">
        <w:rPr>
          <w:rFonts w:asciiTheme="minorHAnsi" w:hAnsiTheme="minorHAnsi"/>
        </w:rPr>
        <w:lastRenderedPageBreak/>
        <w:t>wideokonferencji</w:t>
      </w:r>
      <w:r w:rsidR="00DD0730" w:rsidRPr="002C2D40">
        <w:rPr>
          <w:rFonts w:asciiTheme="minorHAnsi" w:hAnsiTheme="minorHAnsi"/>
        </w:rPr>
        <w:t>. Opró</w:t>
      </w:r>
      <w:r w:rsidR="00770D94" w:rsidRPr="002C2D40">
        <w:rPr>
          <w:rFonts w:asciiTheme="minorHAnsi" w:hAnsiTheme="minorHAnsi"/>
        </w:rPr>
        <w:t>cz stałych członków</w:t>
      </w:r>
      <w:r w:rsidR="00AA0BA9" w:rsidRPr="002C2D40">
        <w:rPr>
          <w:rFonts w:asciiTheme="minorHAnsi" w:hAnsiTheme="minorHAnsi"/>
        </w:rPr>
        <w:t xml:space="preserve"> </w:t>
      </w:r>
      <w:r w:rsidR="00DD0730" w:rsidRPr="002C2D40">
        <w:rPr>
          <w:rFonts w:asciiTheme="minorHAnsi" w:hAnsiTheme="minorHAnsi"/>
        </w:rPr>
        <w:t>i uczestników posiedzeń Zespołu, do udziału w nim zaproszeni zostali</w:t>
      </w:r>
      <w:r w:rsidR="00AA0BA9" w:rsidRPr="002C2D40">
        <w:rPr>
          <w:rFonts w:asciiTheme="minorHAnsi" w:hAnsiTheme="minorHAnsi"/>
        </w:rPr>
        <w:t>,</w:t>
      </w:r>
      <w:r w:rsidR="00DD0730" w:rsidRPr="002C2D40">
        <w:rPr>
          <w:rFonts w:asciiTheme="minorHAnsi" w:hAnsiTheme="minorHAnsi"/>
        </w:rPr>
        <w:t xml:space="preserve"> między innymi</w:t>
      </w:r>
      <w:r w:rsidR="00AA0BA9" w:rsidRPr="002C2D40">
        <w:rPr>
          <w:rFonts w:asciiTheme="minorHAnsi" w:hAnsiTheme="minorHAnsi"/>
        </w:rPr>
        <w:t>,</w:t>
      </w:r>
      <w:r w:rsidR="00DD0730" w:rsidRPr="002C2D40">
        <w:rPr>
          <w:rFonts w:asciiTheme="minorHAnsi" w:hAnsiTheme="minorHAnsi"/>
        </w:rPr>
        <w:t xml:space="preserve"> przedstawiciele Kancelarii Prezydenta RP, Najwyższej Izby </w:t>
      </w:r>
      <w:r w:rsidR="00AA0BA9" w:rsidRPr="002C2D40">
        <w:rPr>
          <w:rFonts w:asciiTheme="minorHAnsi" w:hAnsiTheme="minorHAnsi"/>
        </w:rPr>
        <w:t xml:space="preserve">Kontroli, Rady Legislacyjnej </w:t>
      </w:r>
      <w:r w:rsidR="00DD0730" w:rsidRPr="002C2D40">
        <w:rPr>
          <w:rFonts w:asciiTheme="minorHAnsi" w:hAnsiTheme="minorHAnsi"/>
        </w:rPr>
        <w:t xml:space="preserve">oraz </w:t>
      </w:r>
      <w:r w:rsidR="00AA0BA9" w:rsidRPr="002C2D40">
        <w:rPr>
          <w:rFonts w:asciiTheme="minorHAnsi" w:hAnsiTheme="minorHAnsi"/>
        </w:rPr>
        <w:t>przedstawiciele społeczeństwa obywatelskiego</w:t>
      </w:r>
      <w:r w:rsidR="00DD0730" w:rsidRPr="002C2D40">
        <w:rPr>
          <w:rFonts w:asciiTheme="minorHAnsi" w:hAnsiTheme="minorHAnsi"/>
        </w:rPr>
        <w:t xml:space="preserve"> (</w:t>
      </w:r>
      <w:r w:rsidR="00AA0BA9" w:rsidRPr="002C2D40">
        <w:rPr>
          <w:rFonts w:asciiTheme="minorHAnsi" w:hAnsiTheme="minorHAnsi"/>
        </w:rPr>
        <w:t xml:space="preserve">Amnesty International, Federacja na Rzecz Kobiet i Planowania Rodziny, </w:t>
      </w:r>
      <w:r w:rsidR="00DD0730" w:rsidRPr="002C2D40">
        <w:rPr>
          <w:rFonts w:asciiTheme="minorHAnsi" w:hAnsiTheme="minorHAnsi"/>
        </w:rPr>
        <w:t xml:space="preserve">Helsińska Fundacja Praw Człowieka, </w:t>
      </w:r>
      <w:r w:rsidR="00AA0BA9" w:rsidRPr="002C2D40">
        <w:rPr>
          <w:rFonts w:asciiTheme="minorHAnsi" w:hAnsiTheme="minorHAnsi"/>
        </w:rPr>
        <w:t xml:space="preserve">Instytut na rzecz Kultury Prawnej </w:t>
      </w:r>
      <w:r w:rsidR="00DD0730" w:rsidRPr="002C2D40">
        <w:rPr>
          <w:rFonts w:asciiTheme="minorHAnsi" w:hAnsiTheme="minorHAnsi"/>
          <w:i/>
        </w:rPr>
        <w:t>Ordo Iuris</w:t>
      </w:r>
      <w:r w:rsidR="00DD0730" w:rsidRPr="002C2D40">
        <w:rPr>
          <w:rFonts w:asciiTheme="minorHAnsi" w:hAnsiTheme="minorHAnsi"/>
        </w:rPr>
        <w:t>, Instytut na rzecz Państwa i Prawa) i przedstawicie</w:t>
      </w:r>
      <w:r w:rsidR="00AA0BA9" w:rsidRPr="002C2D40">
        <w:rPr>
          <w:rFonts w:asciiTheme="minorHAnsi" w:hAnsiTheme="minorHAnsi"/>
        </w:rPr>
        <w:t xml:space="preserve">le zawodów prawniczych z Krajowej Rady Radców Prawnych i </w:t>
      </w:r>
      <w:r w:rsidR="00DD0730" w:rsidRPr="002C2D40">
        <w:rPr>
          <w:rFonts w:asciiTheme="minorHAnsi" w:hAnsiTheme="minorHAnsi"/>
        </w:rPr>
        <w:t>Naczelnej Rady Adwokackiej. Zaproszenie na posiedzenie Zespołu otrzymali również Przewodniczący Komisji Sprawiedliwości i Praw Człowieka Sejmu RP oraz Komisji Praw Człowieka, Praworządnośc</w:t>
      </w:r>
      <w:r w:rsidR="00AA0BA9" w:rsidRPr="002C2D40">
        <w:rPr>
          <w:rFonts w:asciiTheme="minorHAnsi" w:hAnsiTheme="minorHAnsi"/>
        </w:rPr>
        <w:t>i i Petycji Senatu RP</w:t>
      </w:r>
      <w:r w:rsidR="00DD0730" w:rsidRPr="002C2D40">
        <w:rPr>
          <w:rFonts w:asciiTheme="minorHAnsi" w:hAnsiTheme="minorHAnsi"/>
        </w:rPr>
        <w:t>.</w:t>
      </w:r>
      <w:r w:rsidR="00614EBF" w:rsidRPr="002C2D40">
        <w:rPr>
          <w:rFonts w:asciiTheme="minorHAnsi" w:hAnsiTheme="minorHAnsi"/>
        </w:rPr>
        <w:t xml:space="preserve"> </w:t>
      </w:r>
      <w:r w:rsidR="001B2159" w:rsidRPr="002C2D40">
        <w:rPr>
          <w:rFonts w:asciiTheme="minorHAnsi" w:hAnsiTheme="minorHAnsi"/>
        </w:rPr>
        <w:t xml:space="preserve">Taka rozszerzona formuła posiedzenia wprowadzona została w celu wspólnej refleksji nad najważniejszymi zagadnieniami dotyczącymi </w:t>
      </w:r>
      <w:r w:rsidR="00D82E22">
        <w:rPr>
          <w:rFonts w:asciiTheme="minorHAnsi" w:hAnsiTheme="minorHAnsi"/>
        </w:rPr>
        <w:t>wykonywania</w:t>
      </w:r>
      <w:r w:rsidR="00D82E22" w:rsidRPr="002C2D40">
        <w:rPr>
          <w:rFonts w:asciiTheme="minorHAnsi" w:hAnsiTheme="minorHAnsi"/>
        </w:rPr>
        <w:t xml:space="preserve"> </w:t>
      </w:r>
      <w:r w:rsidR="001B2159" w:rsidRPr="002C2D40">
        <w:rPr>
          <w:rFonts w:asciiTheme="minorHAnsi" w:hAnsiTheme="minorHAnsi"/>
        </w:rPr>
        <w:t>wyroków Trybunału oraz nad priorytetami działania na przyszłość.</w:t>
      </w:r>
    </w:p>
    <w:p w:rsidR="00D82E22" w:rsidRPr="002C2D40" w:rsidRDefault="00D82E22" w:rsidP="00D82E22">
      <w:pPr>
        <w:spacing w:before="120"/>
        <w:jc w:val="both"/>
        <w:rPr>
          <w:rFonts w:asciiTheme="minorHAnsi" w:hAnsiTheme="minorHAnsi"/>
        </w:rPr>
      </w:pPr>
    </w:p>
    <w:p w:rsidR="00E77514" w:rsidRPr="002C2D40" w:rsidRDefault="00E77514" w:rsidP="002C2D40">
      <w:pPr>
        <w:pStyle w:val="Nagwek1"/>
        <w:spacing w:before="120"/>
        <w:rPr>
          <w:rFonts w:asciiTheme="minorHAnsi" w:hAnsiTheme="minorHAnsi"/>
        </w:rPr>
      </w:pPr>
      <w:bookmarkStart w:id="8" w:name="_Toc67656266"/>
      <w:r w:rsidRPr="002C2D40">
        <w:rPr>
          <w:rFonts w:asciiTheme="minorHAnsi" w:hAnsiTheme="minorHAnsi"/>
          <w:lang w:val="pl-PL"/>
        </w:rPr>
        <w:t xml:space="preserve">Informacja na temat </w:t>
      </w:r>
      <w:r w:rsidRPr="002C2D40">
        <w:rPr>
          <w:rFonts w:asciiTheme="minorHAnsi" w:hAnsiTheme="minorHAnsi"/>
        </w:rPr>
        <w:t>posiedzeni</w:t>
      </w:r>
      <w:r w:rsidRPr="002C2D40">
        <w:rPr>
          <w:rFonts w:asciiTheme="minorHAnsi" w:hAnsiTheme="minorHAnsi"/>
          <w:lang w:val="pl-PL"/>
        </w:rPr>
        <w:t>a</w:t>
      </w:r>
      <w:r w:rsidRPr="002C2D40">
        <w:rPr>
          <w:rFonts w:asciiTheme="minorHAnsi" w:hAnsiTheme="minorHAnsi"/>
        </w:rPr>
        <w:t xml:space="preserve"> Komisji Praw Człowieka, Praworządności</w:t>
      </w:r>
      <w:r w:rsidRPr="002C2D40">
        <w:rPr>
          <w:rFonts w:asciiTheme="minorHAnsi" w:hAnsiTheme="minorHAnsi"/>
          <w:lang w:val="pl-PL"/>
        </w:rPr>
        <w:t xml:space="preserve"> </w:t>
      </w:r>
      <w:r w:rsidRPr="002C2D40">
        <w:rPr>
          <w:rFonts w:asciiTheme="minorHAnsi" w:hAnsiTheme="minorHAnsi"/>
        </w:rPr>
        <w:t>i Petycji</w:t>
      </w:r>
      <w:r w:rsidRPr="002C2D40">
        <w:rPr>
          <w:rFonts w:asciiTheme="minorHAnsi" w:hAnsiTheme="minorHAnsi"/>
          <w:lang w:val="pl-PL"/>
        </w:rPr>
        <w:t xml:space="preserve"> Senatu RP</w:t>
      </w:r>
      <w:bookmarkEnd w:id="8"/>
    </w:p>
    <w:p w:rsidR="00E77514" w:rsidRPr="002C2D40" w:rsidRDefault="00E77514" w:rsidP="00D82E22">
      <w:pPr>
        <w:pStyle w:val="Akapitzlist"/>
        <w:spacing w:before="120" w:after="0" w:line="240" w:lineRule="auto"/>
        <w:ind w:left="0"/>
        <w:jc w:val="both"/>
        <w:rPr>
          <w:rFonts w:asciiTheme="minorHAnsi" w:hAnsiTheme="minorHAnsi"/>
          <w:sz w:val="24"/>
          <w:szCs w:val="24"/>
          <w:lang w:val="pl-PL"/>
        </w:rPr>
      </w:pPr>
      <w:r w:rsidRPr="002C2D40">
        <w:rPr>
          <w:rFonts w:asciiTheme="minorHAnsi" w:hAnsiTheme="minorHAnsi"/>
          <w:sz w:val="24"/>
          <w:szCs w:val="24"/>
          <w:lang w:val="pl-PL"/>
        </w:rPr>
        <w:t xml:space="preserve">W dniu </w:t>
      </w:r>
      <w:r w:rsidR="00F454BA" w:rsidRPr="002C2D40">
        <w:rPr>
          <w:rFonts w:asciiTheme="minorHAnsi" w:hAnsiTheme="minorHAnsi"/>
          <w:sz w:val="24"/>
          <w:szCs w:val="24"/>
          <w:lang w:val="pl-PL"/>
        </w:rPr>
        <w:t xml:space="preserve">18 listopada 2020 r. </w:t>
      </w:r>
      <w:r w:rsidRPr="002C2D40">
        <w:rPr>
          <w:rFonts w:asciiTheme="minorHAnsi" w:hAnsiTheme="minorHAnsi"/>
          <w:sz w:val="24"/>
          <w:szCs w:val="24"/>
          <w:lang w:val="pl-PL"/>
        </w:rPr>
        <w:t xml:space="preserve">odbyło się posiedzenie Komisji Praw Człowieka, Praworządności i Petycji Senatu RP, którego przedmiotem była m.in. dyskusja nad </w:t>
      </w:r>
      <w:r w:rsidRPr="002C2D40">
        <w:rPr>
          <w:rFonts w:asciiTheme="minorHAnsi" w:hAnsiTheme="minorHAnsi"/>
          <w:i/>
          <w:sz w:val="24"/>
          <w:szCs w:val="24"/>
          <w:lang w:val="pl-PL"/>
        </w:rPr>
        <w:t>Raportem z wykonywania wyroków Europejskiego Trybunału Praw Człowieka przez Polskę za 20</w:t>
      </w:r>
      <w:r w:rsidR="00F454BA" w:rsidRPr="002C2D40">
        <w:rPr>
          <w:rFonts w:asciiTheme="minorHAnsi" w:hAnsiTheme="minorHAnsi"/>
          <w:i/>
          <w:sz w:val="24"/>
          <w:szCs w:val="24"/>
          <w:lang w:val="pl-PL"/>
        </w:rPr>
        <w:t>19</w:t>
      </w:r>
      <w:r w:rsidRPr="002C2D40">
        <w:rPr>
          <w:rFonts w:asciiTheme="minorHAnsi" w:hAnsiTheme="minorHAnsi"/>
          <w:i/>
          <w:sz w:val="24"/>
          <w:szCs w:val="24"/>
          <w:lang w:val="pl-PL"/>
        </w:rPr>
        <w:t xml:space="preserve"> r.</w:t>
      </w:r>
      <w:r w:rsidRPr="002C2D40">
        <w:rPr>
          <w:rFonts w:asciiTheme="minorHAnsi" w:hAnsiTheme="minorHAnsi"/>
          <w:sz w:val="24"/>
          <w:szCs w:val="24"/>
          <w:lang w:val="pl-PL"/>
        </w:rPr>
        <w:t xml:space="preserve"> W posiedzeniu tym uczestniczył </w:t>
      </w:r>
      <w:r w:rsidR="004C2A58">
        <w:rPr>
          <w:rFonts w:asciiTheme="minorHAnsi" w:hAnsiTheme="minorHAnsi"/>
          <w:sz w:val="24"/>
          <w:szCs w:val="24"/>
          <w:lang w:val="pl-PL"/>
        </w:rPr>
        <w:t>S</w:t>
      </w:r>
      <w:r w:rsidRPr="002C2D40">
        <w:rPr>
          <w:rFonts w:asciiTheme="minorHAnsi" w:hAnsiTheme="minorHAnsi"/>
          <w:sz w:val="24"/>
          <w:szCs w:val="24"/>
          <w:lang w:val="pl-PL"/>
        </w:rPr>
        <w:t xml:space="preserve">ekretarz </w:t>
      </w:r>
      <w:r w:rsidR="004C2A58">
        <w:rPr>
          <w:rFonts w:asciiTheme="minorHAnsi" w:hAnsiTheme="minorHAnsi"/>
          <w:sz w:val="24"/>
          <w:szCs w:val="24"/>
          <w:lang w:val="pl-PL"/>
        </w:rPr>
        <w:t>S</w:t>
      </w:r>
      <w:r w:rsidR="004C2A58" w:rsidRPr="002C2D40">
        <w:rPr>
          <w:rFonts w:asciiTheme="minorHAnsi" w:hAnsiTheme="minorHAnsi"/>
          <w:sz w:val="24"/>
          <w:szCs w:val="24"/>
          <w:lang w:val="pl-PL"/>
        </w:rPr>
        <w:t xml:space="preserve">tanu </w:t>
      </w:r>
      <w:r w:rsidRPr="002C2D40">
        <w:rPr>
          <w:rFonts w:asciiTheme="minorHAnsi" w:hAnsiTheme="minorHAnsi"/>
          <w:sz w:val="24"/>
          <w:szCs w:val="24"/>
          <w:lang w:val="pl-PL"/>
        </w:rPr>
        <w:t>w MSZ, pan Piotr Wawrzyk, któremu towarzyszy</w:t>
      </w:r>
      <w:r w:rsidR="00F454BA" w:rsidRPr="002C2D40">
        <w:rPr>
          <w:rFonts w:asciiTheme="minorHAnsi" w:hAnsiTheme="minorHAnsi"/>
          <w:sz w:val="24"/>
          <w:szCs w:val="24"/>
          <w:lang w:val="pl-PL"/>
        </w:rPr>
        <w:t>ł</w:t>
      </w:r>
      <w:r w:rsidRPr="002C2D40">
        <w:rPr>
          <w:rFonts w:asciiTheme="minorHAnsi" w:hAnsiTheme="minorHAnsi"/>
          <w:sz w:val="24"/>
          <w:szCs w:val="24"/>
          <w:lang w:val="pl-PL"/>
        </w:rPr>
        <w:t xml:space="preserve"> Pełnomocnik</w:t>
      </w:r>
      <w:r w:rsidR="00F454BA" w:rsidRPr="002C2D40">
        <w:rPr>
          <w:rFonts w:asciiTheme="minorHAnsi" w:hAnsiTheme="minorHAnsi"/>
          <w:sz w:val="24"/>
          <w:szCs w:val="24"/>
          <w:lang w:val="pl-PL"/>
        </w:rPr>
        <w:t xml:space="preserve">. </w:t>
      </w:r>
    </w:p>
    <w:p w:rsidR="00F454BA" w:rsidRPr="002C2D40" w:rsidRDefault="00F454BA" w:rsidP="00D82E22">
      <w:pPr>
        <w:pStyle w:val="Akapitzlist"/>
        <w:spacing w:before="120" w:after="0" w:line="240" w:lineRule="auto"/>
        <w:ind w:left="0"/>
        <w:jc w:val="both"/>
        <w:rPr>
          <w:rFonts w:asciiTheme="minorHAnsi" w:hAnsiTheme="minorHAnsi"/>
          <w:sz w:val="24"/>
          <w:szCs w:val="24"/>
          <w:lang w:val="pl-PL"/>
        </w:rPr>
      </w:pPr>
      <w:r w:rsidRPr="002C2D40">
        <w:rPr>
          <w:rFonts w:asciiTheme="minorHAnsi" w:hAnsiTheme="minorHAnsi"/>
          <w:sz w:val="24"/>
          <w:szCs w:val="24"/>
          <w:lang w:val="pl-PL"/>
        </w:rPr>
        <w:t xml:space="preserve">W trakcie prezentacji Raportu </w:t>
      </w:r>
      <w:r w:rsidR="00E77514" w:rsidRPr="002C2D40">
        <w:rPr>
          <w:rFonts w:asciiTheme="minorHAnsi" w:hAnsiTheme="minorHAnsi"/>
          <w:sz w:val="24"/>
          <w:szCs w:val="24"/>
          <w:lang w:val="pl-PL"/>
        </w:rPr>
        <w:t xml:space="preserve">Minister </w:t>
      </w:r>
      <w:r w:rsidRPr="002C2D40">
        <w:rPr>
          <w:rFonts w:asciiTheme="minorHAnsi" w:hAnsiTheme="minorHAnsi"/>
          <w:sz w:val="24"/>
          <w:szCs w:val="24"/>
          <w:lang w:val="pl-PL"/>
        </w:rPr>
        <w:t xml:space="preserve">P. </w:t>
      </w:r>
      <w:r w:rsidR="001A0E13" w:rsidRPr="002C2D40">
        <w:rPr>
          <w:rFonts w:asciiTheme="minorHAnsi" w:hAnsiTheme="minorHAnsi"/>
          <w:sz w:val="24"/>
          <w:szCs w:val="24"/>
          <w:lang w:val="pl-PL"/>
        </w:rPr>
        <w:t xml:space="preserve">Wawrzyk zauważył, że </w:t>
      </w:r>
      <w:r w:rsidRPr="002C2D40">
        <w:rPr>
          <w:rFonts w:asciiTheme="minorHAnsi" w:hAnsiTheme="minorHAnsi"/>
          <w:sz w:val="24"/>
          <w:szCs w:val="24"/>
          <w:lang w:val="pl-PL"/>
        </w:rPr>
        <w:t>Raport przedstawia działania podjęte w 2019 r. przez resort spraw zagranicznych oraz inne podmioty, w zakresie wykonywania przez Polskę orzeczeń Trybunału i upowszechniania</w:t>
      </w:r>
      <w:r w:rsidRPr="002C2D40">
        <w:rPr>
          <w:rFonts w:asciiTheme="minorHAnsi" w:hAnsiTheme="minorHAnsi"/>
          <w:sz w:val="24"/>
          <w:szCs w:val="24"/>
        </w:rPr>
        <w:t xml:space="preserve"> standardów ochrony praw człowieka wynikających z Europejskiej Konwencji Praw Człowieka. </w:t>
      </w:r>
      <w:r w:rsidRPr="002C2D40">
        <w:rPr>
          <w:rFonts w:asciiTheme="minorHAnsi" w:hAnsiTheme="minorHAnsi"/>
          <w:sz w:val="24"/>
          <w:szCs w:val="24"/>
          <w:lang w:val="pl-PL"/>
        </w:rPr>
        <w:t xml:space="preserve">Wskazał, jakie dokumenty i informacje są częściami składowymi Raportu. </w:t>
      </w:r>
      <w:r w:rsidR="00231798" w:rsidRPr="002C2D40">
        <w:rPr>
          <w:rFonts w:asciiTheme="minorHAnsi" w:hAnsiTheme="minorHAnsi"/>
          <w:sz w:val="24"/>
          <w:szCs w:val="24"/>
          <w:lang w:val="pl-PL"/>
        </w:rPr>
        <w:t>Zauważył</w:t>
      </w:r>
      <w:r w:rsidRPr="002C2D40">
        <w:rPr>
          <w:rFonts w:asciiTheme="minorHAnsi" w:hAnsiTheme="minorHAnsi"/>
          <w:sz w:val="24"/>
          <w:szCs w:val="24"/>
          <w:lang w:val="pl-PL"/>
        </w:rPr>
        <w:t xml:space="preserve">, ze w Raporcie za 2019 r. został </w:t>
      </w:r>
      <w:r w:rsidRPr="002C2D40">
        <w:rPr>
          <w:rFonts w:asciiTheme="minorHAnsi" w:hAnsiTheme="minorHAnsi"/>
          <w:sz w:val="24"/>
          <w:szCs w:val="24"/>
        </w:rPr>
        <w:t>umieszczony tabelaryczny wykaz wszystkich orzeczeń wydanych przez Trybunał w sprawach polskich w 2019 r., wraz z krótkim opisem zarzutów bądź stwierdzonego naruszenia (</w:t>
      </w:r>
      <w:r w:rsidRPr="002C2D40">
        <w:rPr>
          <w:rFonts w:asciiTheme="minorHAnsi" w:hAnsiTheme="minorHAnsi"/>
          <w:sz w:val="24"/>
          <w:szCs w:val="24"/>
          <w:lang w:val="pl-PL"/>
        </w:rPr>
        <w:t xml:space="preserve">jako </w:t>
      </w:r>
      <w:r w:rsidRPr="002C2D40">
        <w:rPr>
          <w:rFonts w:asciiTheme="minorHAnsi" w:hAnsiTheme="minorHAnsi"/>
          <w:sz w:val="24"/>
          <w:szCs w:val="24"/>
        </w:rPr>
        <w:t xml:space="preserve">załącznik A). </w:t>
      </w:r>
      <w:r w:rsidRPr="002C2D40">
        <w:rPr>
          <w:rFonts w:asciiTheme="minorHAnsi" w:hAnsiTheme="minorHAnsi"/>
          <w:sz w:val="24"/>
          <w:szCs w:val="24"/>
          <w:lang w:val="pl-PL"/>
        </w:rPr>
        <w:t xml:space="preserve">Zasadne było bowiem zwrócenie </w:t>
      </w:r>
      <w:r w:rsidRPr="002C2D40">
        <w:rPr>
          <w:rFonts w:asciiTheme="minorHAnsi" w:hAnsiTheme="minorHAnsi"/>
          <w:sz w:val="24"/>
          <w:szCs w:val="24"/>
        </w:rPr>
        <w:t>większ</w:t>
      </w:r>
      <w:r w:rsidRPr="002C2D40">
        <w:rPr>
          <w:rFonts w:asciiTheme="minorHAnsi" w:hAnsiTheme="minorHAnsi"/>
          <w:sz w:val="24"/>
          <w:szCs w:val="24"/>
          <w:lang w:val="pl-PL"/>
        </w:rPr>
        <w:t>ej uwagi na</w:t>
      </w:r>
      <w:r w:rsidRPr="002C2D40">
        <w:rPr>
          <w:rFonts w:asciiTheme="minorHAnsi" w:hAnsiTheme="minorHAnsi"/>
          <w:sz w:val="24"/>
          <w:szCs w:val="24"/>
        </w:rPr>
        <w:t xml:space="preserve"> wszystkie orzeczenia, jakie zapadają w sprawach polskich</w:t>
      </w:r>
      <w:r w:rsidRPr="002C2D40">
        <w:rPr>
          <w:rFonts w:asciiTheme="minorHAnsi" w:hAnsiTheme="minorHAnsi"/>
          <w:sz w:val="24"/>
          <w:szCs w:val="24"/>
          <w:lang w:val="pl-PL"/>
        </w:rPr>
        <w:t xml:space="preserve">. Wiele </w:t>
      </w:r>
      <w:r w:rsidRPr="002C2D40">
        <w:rPr>
          <w:rFonts w:asciiTheme="minorHAnsi" w:hAnsiTheme="minorHAnsi"/>
          <w:sz w:val="24"/>
          <w:szCs w:val="24"/>
        </w:rPr>
        <w:t>ważnych rozważań Trybunału oraz aktualnych standardów stosowania Europejskiej Konwencji Praw Człowieka znajduje się nie tylko w wyrokach, ale i w licznych decyzjach o niedopuszczalności – szczególnie tych stwierdzających niedopuszczalność skargi z uwagi na oczywistą bezzasadność</w:t>
      </w:r>
      <w:r w:rsidRPr="002C2D40">
        <w:rPr>
          <w:rFonts w:asciiTheme="minorHAnsi" w:hAnsiTheme="minorHAnsi"/>
          <w:sz w:val="24"/>
          <w:szCs w:val="24"/>
          <w:lang w:val="pl-PL"/>
        </w:rPr>
        <w:t xml:space="preserve">. </w:t>
      </w:r>
    </w:p>
    <w:p w:rsidR="00231798" w:rsidRPr="002C2D40" w:rsidRDefault="00F454BA" w:rsidP="00D82E22">
      <w:pPr>
        <w:pStyle w:val="Akapitzlist"/>
        <w:spacing w:before="120" w:after="0" w:line="240" w:lineRule="auto"/>
        <w:ind w:left="0"/>
        <w:jc w:val="both"/>
        <w:rPr>
          <w:rFonts w:asciiTheme="minorHAnsi" w:hAnsiTheme="minorHAnsi"/>
          <w:sz w:val="24"/>
          <w:szCs w:val="24"/>
          <w:lang w:val="pl-PL"/>
        </w:rPr>
      </w:pPr>
      <w:r w:rsidRPr="002C2D40">
        <w:rPr>
          <w:rFonts w:asciiTheme="minorHAnsi" w:hAnsiTheme="minorHAnsi"/>
          <w:sz w:val="24"/>
          <w:szCs w:val="24"/>
          <w:lang w:val="pl-PL"/>
        </w:rPr>
        <w:t>Minister podkreślił, że aby osiągnąć pozyty</w:t>
      </w:r>
      <w:r w:rsidR="00231798" w:rsidRPr="002C2D40">
        <w:rPr>
          <w:rFonts w:asciiTheme="minorHAnsi" w:hAnsiTheme="minorHAnsi"/>
          <w:sz w:val="24"/>
          <w:szCs w:val="24"/>
          <w:lang w:val="pl-PL"/>
        </w:rPr>
        <w:t>w</w:t>
      </w:r>
      <w:r w:rsidRPr="002C2D40">
        <w:rPr>
          <w:rFonts w:asciiTheme="minorHAnsi" w:hAnsiTheme="minorHAnsi"/>
          <w:sz w:val="24"/>
          <w:szCs w:val="24"/>
          <w:lang w:val="pl-PL"/>
        </w:rPr>
        <w:t>ny efekt</w:t>
      </w:r>
      <w:r w:rsidR="00231798" w:rsidRPr="002C2D40">
        <w:rPr>
          <w:rFonts w:asciiTheme="minorHAnsi" w:hAnsiTheme="minorHAnsi"/>
          <w:sz w:val="24"/>
          <w:szCs w:val="24"/>
          <w:lang w:val="pl-PL"/>
        </w:rPr>
        <w:t xml:space="preserve"> w wykonywaniu orzeczeń Trybunału konieczna jest sprawna </w:t>
      </w:r>
      <w:r w:rsidR="00E77514" w:rsidRPr="002C2D40">
        <w:rPr>
          <w:rFonts w:asciiTheme="minorHAnsi" w:hAnsiTheme="minorHAnsi"/>
          <w:sz w:val="24"/>
          <w:szCs w:val="24"/>
          <w:lang w:val="pl-PL"/>
        </w:rPr>
        <w:t xml:space="preserve">współpraca między Ministerstwem Spraw Zagranicznych oraz innymi organami władzy publicznej. Skuteczne wykonywanie orzeczeń Trybunału możliwe jest wyłącznie przy ścisłej współpracy wszystkich organów władzy – tak władzy wykonawczej, ustawodawczej, jak i sądowniczej. Minister </w:t>
      </w:r>
      <w:r w:rsidR="00265499">
        <w:rPr>
          <w:rFonts w:asciiTheme="minorHAnsi" w:hAnsiTheme="minorHAnsi"/>
          <w:sz w:val="24"/>
          <w:szCs w:val="24"/>
          <w:lang w:val="pl-PL"/>
        </w:rPr>
        <w:t xml:space="preserve">P. </w:t>
      </w:r>
      <w:r w:rsidR="00E77514" w:rsidRPr="002C2D40">
        <w:rPr>
          <w:rFonts w:asciiTheme="minorHAnsi" w:hAnsiTheme="minorHAnsi"/>
          <w:sz w:val="24"/>
          <w:szCs w:val="24"/>
          <w:lang w:val="pl-PL"/>
        </w:rPr>
        <w:t xml:space="preserve">Wawrzyk podkreślił </w:t>
      </w:r>
      <w:r w:rsidR="00231798" w:rsidRPr="002C2D40">
        <w:rPr>
          <w:rFonts w:asciiTheme="minorHAnsi" w:hAnsiTheme="minorHAnsi"/>
          <w:sz w:val="24"/>
          <w:szCs w:val="24"/>
          <w:lang w:val="pl-PL"/>
        </w:rPr>
        <w:t xml:space="preserve">również </w:t>
      </w:r>
      <w:r w:rsidR="00E77514" w:rsidRPr="002C2D40">
        <w:rPr>
          <w:rFonts w:asciiTheme="minorHAnsi" w:hAnsiTheme="minorHAnsi"/>
          <w:sz w:val="24"/>
          <w:szCs w:val="24"/>
          <w:lang w:val="pl-PL"/>
        </w:rPr>
        <w:t>rolę parlamentu w procesie wykonywania wyroków</w:t>
      </w:r>
      <w:r w:rsidR="001A0E13" w:rsidRPr="002C2D40">
        <w:rPr>
          <w:rFonts w:asciiTheme="minorHAnsi" w:hAnsiTheme="minorHAnsi"/>
          <w:sz w:val="24"/>
          <w:szCs w:val="24"/>
          <w:lang w:val="pl-PL"/>
        </w:rPr>
        <w:t xml:space="preserve">, który </w:t>
      </w:r>
      <w:r w:rsidR="00E77514" w:rsidRPr="002C2D40">
        <w:rPr>
          <w:rFonts w:asciiTheme="minorHAnsi" w:hAnsiTheme="minorHAnsi"/>
          <w:sz w:val="24"/>
          <w:szCs w:val="24"/>
          <w:lang w:val="pl-PL"/>
        </w:rPr>
        <w:t xml:space="preserve">może podejmować konkretne działania skierowane na implementację poszczególnych wyroków. </w:t>
      </w:r>
    </w:p>
    <w:p w:rsidR="00747984" w:rsidRDefault="00747984" w:rsidP="00D82E22">
      <w:pPr>
        <w:pStyle w:val="Akapitzlist"/>
        <w:spacing w:before="120" w:after="0" w:line="240" w:lineRule="auto"/>
        <w:ind w:left="0"/>
        <w:jc w:val="both"/>
        <w:rPr>
          <w:rFonts w:asciiTheme="minorHAnsi" w:hAnsiTheme="minorHAnsi"/>
          <w:sz w:val="24"/>
          <w:szCs w:val="24"/>
          <w:lang w:val="pl-PL"/>
        </w:rPr>
      </w:pPr>
      <w:r w:rsidRPr="002C2D40">
        <w:rPr>
          <w:rFonts w:asciiTheme="minorHAnsi" w:hAnsiTheme="minorHAnsi"/>
          <w:sz w:val="24"/>
          <w:szCs w:val="24"/>
          <w:lang w:val="pl-PL"/>
        </w:rPr>
        <w:t>Minister Wawrzyk</w:t>
      </w:r>
      <w:r w:rsidR="00265499">
        <w:rPr>
          <w:rFonts w:asciiTheme="minorHAnsi" w:hAnsiTheme="minorHAnsi"/>
          <w:sz w:val="24"/>
          <w:szCs w:val="24"/>
          <w:lang w:val="pl-PL"/>
        </w:rPr>
        <w:t xml:space="preserve"> przekazał również informacje o danych statystycznych dotyczących wykonywania orzeczeń Trybunału. P</w:t>
      </w:r>
      <w:r w:rsidRPr="002C2D40">
        <w:rPr>
          <w:rFonts w:asciiTheme="minorHAnsi" w:hAnsiTheme="minorHAnsi"/>
          <w:sz w:val="24"/>
          <w:szCs w:val="24"/>
          <w:lang w:val="pl-PL"/>
        </w:rPr>
        <w:t>odkreślił, że dzięki wytężonej pracy na koniec 201</w:t>
      </w:r>
      <w:r w:rsidR="00231798" w:rsidRPr="002C2D40">
        <w:rPr>
          <w:rFonts w:asciiTheme="minorHAnsi" w:hAnsiTheme="minorHAnsi"/>
          <w:sz w:val="24"/>
          <w:szCs w:val="24"/>
          <w:lang w:val="pl-PL"/>
        </w:rPr>
        <w:t>9</w:t>
      </w:r>
      <w:r w:rsidRPr="002C2D40">
        <w:rPr>
          <w:rFonts w:asciiTheme="minorHAnsi" w:hAnsiTheme="minorHAnsi"/>
          <w:sz w:val="24"/>
          <w:szCs w:val="24"/>
          <w:lang w:val="pl-PL"/>
        </w:rPr>
        <w:t xml:space="preserve"> r. liczba orzeczeń wydanych przeciwko Polsce, których wykonywanie znajdowało się w nadzorze Komitetu Ministrów Rady Europy, spadła do </w:t>
      </w:r>
      <w:r w:rsidR="00231798" w:rsidRPr="002C2D40">
        <w:rPr>
          <w:rFonts w:asciiTheme="minorHAnsi" w:hAnsiTheme="minorHAnsi"/>
          <w:sz w:val="24"/>
          <w:szCs w:val="24"/>
          <w:lang w:val="pl-PL"/>
        </w:rPr>
        <w:t>98</w:t>
      </w:r>
      <w:r w:rsidR="00265499">
        <w:rPr>
          <w:rFonts w:asciiTheme="minorHAnsi" w:hAnsiTheme="minorHAnsi"/>
          <w:sz w:val="24"/>
          <w:szCs w:val="24"/>
          <w:lang w:val="pl-PL"/>
        </w:rPr>
        <w:t xml:space="preserve">, a </w:t>
      </w:r>
      <w:r w:rsidRPr="002C2D40">
        <w:rPr>
          <w:rFonts w:asciiTheme="minorHAnsi" w:hAnsiTheme="minorHAnsi"/>
          <w:sz w:val="24"/>
          <w:szCs w:val="24"/>
          <w:lang w:val="pl-PL"/>
        </w:rPr>
        <w:t xml:space="preserve">Polska </w:t>
      </w:r>
      <w:r w:rsidR="00231798" w:rsidRPr="002C2D40">
        <w:rPr>
          <w:rFonts w:asciiTheme="minorHAnsi" w:hAnsiTheme="minorHAnsi"/>
          <w:sz w:val="24"/>
          <w:szCs w:val="24"/>
          <w:lang w:val="pl-PL"/>
        </w:rPr>
        <w:t xml:space="preserve">nadal utrzymuje się </w:t>
      </w:r>
      <w:r w:rsidRPr="002C2D40">
        <w:rPr>
          <w:rFonts w:asciiTheme="minorHAnsi" w:hAnsiTheme="minorHAnsi"/>
          <w:sz w:val="24"/>
          <w:szCs w:val="24"/>
          <w:lang w:val="pl-PL"/>
        </w:rPr>
        <w:t>poza pierwszą dziesiątką krajów, które mają najwyższy wskaźnik liczby w</w:t>
      </w:r>
      <w:r w:rsidR="00D82E22">
        <w:rPr>
          <w:rFonts w:asciiTheme="minorHAnsi" w:hAnsiTheme="minorHAnsi"/>
          <w:sz w:val="24"/>
          <w:szCs w:val="24"/>
          <w:lang w:val="pl-PL"/>
        </w:rPr>
        <w:t>yroków będących w wykonywaniu.</w:t>
      </w:r>
    </w:p>
    <w:p w:rsidR="00D82E22" w:rsidRPr="002C2D40" w:rsidRDefault="00D82E22" w:rsidP="00D82E22">
      <w:pPr>
        <w:pStyle w:val="Akapitzlist"/>
        <w:spacing w:before="120" w:after="0" w:line="240" w:lineRule="auto"/>
        <w:ind w:left="0"/>
        <w:jc w:val="both"/>
        <w:rPr>
          <w:rFonts w:asciiTheme="minorHAnsi" w:hAnsiTheme="minorHAnsi"/>
          <w:sz w:val="24"/>
          <w:szCs w:val="24"/>
          <w:lang w:val="pl-PL"/>
        </w:rPr>
      </w:pPr>
    </w:p>
    <w:p w:rsidR="00DD0730" w:rsidRPr="002C2D40" w:rsidRDefault="00AB5D26" w:rsidP="002C2D40">
      <w:pPr>
        <w:pStyle w:val="Nagwek1"/>
        <w:spacing w:before="120"/>
        <w:rPr>
          <w:rFonts w:asciiTheme="minorHAnsi" w:hAnsiTheme="minorHAnsi"/>
        </w:rPr>
      </w:pPr>
      <w:bookmarkStart w:id="9" w:name="_Toc67656267"/>
      <w:r w:rsidRPr="002C2D40">
        <w:rPr>
          <w:rFonts w:asciiTheme="minorHAnsi" w:hAnsiTheme="minorHAnsi"/>
        </w:rPr>
        <w:lastRenderedPageBreak/>
        <w:t>Informacja</w:t>
      </w:r>
      <w:r w:rsidR="00DD0730" w:rsidRPr="002C2D40">
        <w:rPr>
          <w:rFonts w:asciiTheme="minorHAnsi" w:hAnsiTheme="minorHAnsi"/>
        </w:rPr>
        <w:t xml:space="preserve"> na temat działań Pełnomocnika mających na celu usprawnienie wykonywania wyroków Trybunału przez Polskę</w:t>
      </w:r>
      <w:r w:rsidR="00254377" w:rsidRPr="002C2D40">
        <w:rPr>
          <w:rFonts w:asciiTheme="minorHAnsi" w:hAnsiTheme="minorHAnsi"/>
          <w:lang w:val="pl-PL"/>
        </w:rPr>
        <w:t xml:space="preserve"> i przestrzeganie Konwencji</w:t>
      </w:r>
      <w:bookmarkEnd w:id="9"/>
    </w:p>
    <w:p w:rsidR="00DD0730" w:rsidRPr="002C2D40" w:rsidRDefault="00DD0730" w:rsidP="009F222B">
      <w:pPr>
        <w:pStyle w:val="Akapitzlist"/>
        <w:numPr>
          <w:ilvl w:val="0"/>
          <w:numId w:val="2"/>
        </w:numPr>
        <w:spacing w:before="120" w:after="0" w:line="240" w:lineRule="auto"/>
        <w:ind w:left="851" w:hanging="567"/>
        <w:jc w:val="both"/>
        <w:rPr>
          <w:rFonts w:asciiTheme="minorHAnsi" w:hAnsiTheme="minorHAnsi"/>
          <w:b/>
          <w:i/>
          <w:sz w:val="24"/>
          <w:szCs w:val="24"/>
        </w:rPr>
      </w:pPr>
      <w:r w:rsidRPr="002C2D40">
        <w:rPr>
          <w:rFonts w:asciiTheme="minorHAnsi" w:hAnsiTheme="minorHAnsi"/>
          <w:b/>
          <w:sz w:val="24"/>
          <w:szCs w:val="24"/>
          <w:lang w:val="pl-PL"/>
        </w:rPr>
        <w:t>Funkcjonowanie</w:t>
      </w:r>
      <w:r w:rsidRPr="002C2D40">
        <w:rPr>
          <w:rFonts w:asciiTheme="minorHAnsi" w:hAnsiTheme="minorHAnsi"/>
          <w:b/>
          <w:sz w:val="24"/>
          <w:szCs w:val="24"/>
        </w:rPr>
        <w:t xml:space="preserve"> </w:t>
      </w:r>
      <w:r w:rsidRPr="002C2D40">
        <w:rPr>
          <w:rFonts w:asciiTheme="minorHAnsi" w:hAnsiTheme="minorHAnsi"/>
          <w:b/>
          <w:i/>
          <w:sz w:val="24"/>
          <w:szCs w:val="24"/>
        </w:rPr>
        <w:t xml:space="preserve">Zarządzenia </w:t>
      </w:r>
      <w:r w:rsidR="0069656F" w:rsidRPr="002C2D40">
        <w:rPr>
          <w:rFonts w:asciiTheme="minorHAnsi" w:hAnsiTheme="minorHAnsi"/>
          <w:b/>
          <w:i/>
          <w:sz w:val="24"/>
          <w:szCs w:val="24"/>
          <w:lang w:val="pl-PL"/>
        </w:rPr>
        <w:t xml:space="preserve">w sprawie </w:t>
      </w:r>
      <w:r w:rsidRPr="002C2D40">
        <w:rPr>
          <w:rFonts w:asciiTheme="minorHAnsi" w:hAnsiTheme="minorHAnsi"/>
          <w:b/>
          <w:i/>
          <w:sz w:val="24"/>
          <w:szCs w:val="24"/>
        </w:rPr>
        <w:t>utworzeni</w:t>
      </w:r>
      <w:r w:rsidR="0069656F" w:rsidRPr="002C2D40">
        <w:rPr>
          <w:rFonts w:asciiTheme="minorHAnsi" w:hAnsiTheme="minorHAnsi"/>
          <w:b/>
          <w:i/>
          <w:sz w:val="24"/>
          <w:szCs w:val="24"/>
          <w:lang w:val="pl-PL"/>
        </w:rPr>
        <w:t>a</w:t>
      </w:r>
      <w:r w:rsidRPr="002C2D40">
        <w:rPr>
          <w:rFonts w:asciiTheme="minorHAnsi" w:hAnsiTheme="minorHAnsi"/>
          <w:b/>
          <w:i/>
          <w:sz w:val="24"/>
          <w:szCs w:val="24"/>
        </w:rPr>
        <w:t xml:space="preserve"> Zespołu</w:t>
      </w:r>
      <w:r w:rsidRPr="002C2D40">
        <w:rPr>
          <w:rFonts w:asciiTheme="minorHAnsi" w:hAnsiTheme="minorHAnsi"/>
          <w:b/>
          <w:i/>
          <w:sz w:val="24"/>
          <w:szCs w:val="24"/>
          <w:lang w:val="pl-PL"/>
        </w:rPr>
        <w:t xml:space="preserve"> do spraw Europejskiego Trybunału Praw Człowieka</w:t>
      </w:r>
      <w:r w:rsidRPr="002C2D40">
        <w:rPr>
          <w:rFonts w:asciiTheme="minorHAnsi" w:hAnsiTheme="minorHAnsi"/>
          <w:b/>
          <w:sz w:val="24"/>
          <w:szCs w:val="24"/>
          <w:lang w:val="pl-PL"/>
        </w:rPr>
        <w:t xml:space="preserve"> po nowelizacji przeprowadzonej w 2015</w:t>
      </w:r>
      <w:r w:rsidR="009F222B">
        <w:rPr>
          <w:rFonts w:asciiTheme="minorHAnsi" w:hAnsiTheme="minorHAnsi"/>
        </w:rPr>
        <w:t> </w:t>
      </w:r>
      <w:r w:rsidRPr="002C2D40">
        <w:rPr>
          <w:rFonts w:asciiTheme="minorHAnsi" w:hAnsiTheme="minorHAnsi"/>
          <w:b/>
          <w:sz w:val="24"/>
          <w:szCs w:val="24"/>
          <w:lang w:val="pl-PL"/>
        </w:rPr>
        <w:t>r.</w:t>
      </w:r>
      <w:r w:rsidR="009F222B">
        <w:rPr>
          <w:rFonts w:asciiTheme="minorHAnsi" w:hAnsiTheme="minorHAnsi"/>
          <w:b/>
          <w:sz w:val="24"/>
          <w:szCs w:val="24"/>
          <w:lang w:val="pl-PL"/>
        </w:rPr>
        <w:t>,</w:t>
      </w:r>
      <w:r w:rsidRPr="002C2D40">
        <w:rPr>
          <w:rFonts w:asciiTheme="minorHAnsi" w:hAnsiTheme="minorHAnsi"/>
          <w:b/>
          <w:sz w:val="24"/>
          <w:szCs w:val="24"/>
          <w:lang w:val="pl-PL"/>
        </w:rPr>
        <w:t xml:space="preserve"> wprowadzającej nowe zasady wsp</w:t>
      </w:r>
      <w:r w:rsidR="009953E7" w:rsidRPr="002C2D40">
        <w:rPr>
          <w:rFonts w:asciiTheme="minorHAnsi" w:hAnsiTheme="minorHAnsi"/>
          <w:b/>
          <w:sz w:val="24"/>
          <w:szCs w:val="24"/>
          <w:lang w:val="pl-PL"/>
        </w:rPr>
        <w:t xml:space="preserve">ółpracy międzyinstytucjonalnej </w:t>
      </w:r>
      <w:r w:rsidR="00254377" w:rsidRPr="002C2D40">
        <w:rPr>
          <w:rFonts w:asciiTheme="minorHAnsi" w:hAnsiTheme="minorHAnsi"/>
          <w:b/>
          <w:sz w:val="24"/>
          <w:szCs w:val="24"/>
          <w:lang w:val="pl-PL"/>
        </w:rPr>
        <w:t>w</w:t>
      </w:r>
      <w:r w:rsidR="00AE587A" w:rsidRPr="002C2D40">
        <w:rPr>
          <w:rFonts w:asciiTheme="minorHAnsi" w:hAnsiTheme="minorHAnsi"/>
          <w:b/>
          <w:sz w:val="24"/>
          <w:szCs w:val="24"/>
          <w:lang w:val="pl-PL"/>
        </w:rPr>
        <w:t xml:space="preserve"> </w:t>
      </w:r>
      <w:r w:rsidR="00254377" w:rsidRPr="002C2D40">
        <w:rPr>
          <w:rFonts w:asciiTheme="minorHAnsi" w:hAnsiTheme="minorHAnsi"/>
          <w:b/>
          <w:sz w:val="24"/>
          <w:szCs w:val="24"/>
          <w:lang w:val="pl-PL"/>
        </w:rPr>
        <w:t>s</w:t>
      </w:r>
      <w:r w:rsidR="00AE587A" w:rsidRPr="002C2D40">
        <w:rPr>
          <w:rFonts w:asciiTheme="minorHAnsi" w:hAnsiTheme="minorHAnsi"/>
          <w:b/>
          <w:sz w:val="24"/>
          <w:szCs w:val="24"/>
          <w:lang w:val="pl-PL"/>
        </w:rPr>
        <w:t>prawie</w:t>
      </w:r>
      <w:r w:rsidR="00254377" w:rsidRPr="002C2D40">
        <w:rPr>
          <w:rFonts w:asciiTheme="minorHAnsi" w:hAnsiTheme="minorHAnsi"/>
          <w:b/>
          <w:sz w:val="24"/>
          <w:szCs w:val="24"/>
          <w:lang w:val="pl-PL"/>
        </w:rPr>
        <w:t xml:space="preserve"> wykonywania wyroków ETPC</w:t>
      </w:r>
    </w:p>
    <w:p w:rsidR="00A151B7" w:rsidRPr="002C2D40" w:rsidRDefault="00DD0730" w:rsidP="009F222B">
      <w:pPr>
        <w:pStyle w:val="Akapitzlist"/>
        <w:spacing w:before="120" w:after="0" w:line="240" w:lineRule="auto"/>
        <w:ind w:left="0"/>
        <w:jc w:val="both"/>
        <w:rPr>
          <w:rFonts w:asciiTheme="minorHAnsi" w:hAnsiTheme="minorHAnsi"/>
          <w:sz w:val="24"/>
          <w:szCs w:val="24"/>
          <w:lang w:val="pl-PL"/>
        </w:rPr>
      </w:pPr>
      <w:r w:rsidRPr="002C2D40">
        <w:rPr>
          <w:rFonts w:asciiTheme="minorHAnsi" w:hAnsiTheme="minorHAnsi"/>
          <w:sz w:val="24"/>
          <w:szCs w:val="24"/>
          <w:lang w:val="pl-PL"/>
        </w:rPr>
        <w:t>Ministerstwo Spraw Zagranicznych monitoruje realizację obowiązków wynikających z Zarządzenia</w:t>
      </w:r>
      <w:r w:rsidR="00C12044" w:rsidRPr="002C2D40">
        <w:rPr>
          <w:rFonts w:asciiTheme="minorHAnsi" w:hAnsiTheme="minorHAnsi"/>
          <w:sz w:val="24"/>
          <w:szCs w:val="24"/>
          <w:lang w:val="pl-PL"/>
        </w:rPr>
        <w:t>, a także realizuje wynikający z Zarządzenia obowiązek sprawozdawczy z działalności Zespołu</w:t>
      </w:r>
      <w:r w:rsidRPr="002C2D40">
        <w:rPr>
          <w:rFonts w:asciiTheme="minorHAnsi" w:hAnsiTheme="minorHAnsi"/>
          <w:sz w:val="24"/>
          <w:szCs w:val="24"/>
          <w:lang w:val="pl-PL"/>
        </w:rPr>
        <w:t xml:space="preserve">. </w:t>
      </w:r>
    </w:p>
    <w:p w:rsidR="009953E7" w:rsidRPr="002C2D40" w:rsidRDefault="00DD0730" w:rsidP="009F222B">
      <w:pPr>
        <w:pStyle w:val="Akapitzlist"/>
        <w:spacing w:before="120" w:after="0" w:line="240" w:lineRule="auto"/>
        <w:ind w:left="0"/>
        <w:jc w:val="both"/>
        <w:rPr>
          <w:rFonts w:asciiTheme="minorHAnsi" w:hAnsiTheme="minorHAnsi"/>
          <w:sz w:val="24"/>
          <w:szCs w:val="24"/>
          <w:lang w:val="pl-PL"/>
        </w:rPr>
      </w:pPr>
      <w:r w:rsidRPr="002C2D40">
        <w:rPr>
          <w:rFonts w:asciiTheme="minorHAnsi" w:hAnsiTheme="minorHAnsi"/>
          <w:sz w:val="24"/>
          <w:szCs w:val="24"/>
          <w:lang w:val="pl-PL"/>
        </w:rPr>
        <w:t xml:space="preserve">Głównym celem nowelizacji </w:t>
      </w:r>
      <w:r w:rsidR="00C12044" w:rsidRPr="002C2D40">
        <w:rPr>
          <w:rFonts w:asciiTheme="minorHAnsi" w:hAnsiTheme="minorHAnsi"/>
          <w:sz w:val="24"/>
          <w:szCs w:val="24"/>
          <w:lang w:val="pl-PL"/>
        </w:rPr>
        <w:t xml:space="preserve">Zarządzenia z 2015 r. </w:t>
      </w:r>
      <w:r w:rsidRPr="002C2D40">
        <w:rPr>
          <w:rFonts w:asciiTheme="minorHAnsi" w:hAnsiTheme="minorHAnsi"/>
          <w:sz w:val="24"/>
          <w:szCs w:val="24"/>
          <w:lang w:val="pl-PL"/>
        </w:rPr>
        <w:t>było doprowadzenie do terminowego przygotowywania planów działań i raportów z wykonania poszczególnych wyroków Trybunału przez podmioty za to odpowiedzialne. W tym zakresie</w:t>
      </w:r>
      <w:r w:rsidR="00C12044" w:rsidRPr="002C2D40">
        <w:rPr>
          <w:rFonts w:asciiTheme="minorHAnsi" w:hAnsiTheme="minorHAnsi"/>
          <w:sz w:val="24"/>
          <w:szCs w:val="24"/>
          <w:lang w:val="pl-PL"/>
        </w:rPr>
        <w:t xml:space="preserve"> w 20</w:t>
      </w:r>
      <w:r w:rsidR="0044355A" w:rsidRPr="002C2D40">
        <w:rPr>
          <w:rFonts w:asciiTheme="minorHAnsi" w:hAnsiTheme="minorHAnsi"/>
          <w:sz w:val="24"/>
          <w:szCs w:val="24"/>
          <w:lang w:val="pl-PL"/>
        </w:rPr>
        <w:t>20</w:t>
      </w:r>
      <w:r w:rsidR="00C12044" w:rsidRPr="002C2D40">
        <w:rPr>
          <w:rFonts w:asciiTheme="minorHAnsi" w:hAnsiTheme="minorHAnsi"/>
          <w:sz w:val="24"/>
          <w:szCs w:val="24"/>
          <w:lang w:val="pl-PL"/>
        </w:rPr>
        <w:t xml:space="preserve"> r. </w:t>
      </w:r>
      <w:r w:rsidRPr="002C2D40">
        <w:rPr>
          <w:rFonts w:asciiTheme="minorHAnsi" w:hAnsiTheme="minorHAnsi"/>
          <w:sz w:val="24"/>
          <w:szCs w:val="24"/>
          <w:lang w:val="pl-PL"/>
        </w:rPr>
        <w:t>podmiot</w:t>
      </w:r>
      <w:r w:rsidR="00060EDC" w:rsidRPr="002C2D40">
        <w:rPr>
          <w:rFonts w:asciiTheme="minorHAnsi" w:hAnsiTheme="minorHAnsi"/>
          <w:sz w:val="24"/>
          <w:szCs w:val="24"/>
          <w:lang w:val="pl-PL"/>
        </w:rPr>
        <w:t>ami</w:t>
      </w:r>
      <w:r w:rsidR="004507BE" w:rsidRPr="002C2D40">
        <w:rPr>
          <w:rFonts w:asciiTheme="minorHAnsi" w:hAnsiTheme="minorHAnsi"/>
          <w:sz w:val="24"/>
          <w:szCs w:val="24"/>
          <w:lang w:val="pl-PL"/>
        </w:rPr>
        <w:t xml:space="preserve"> przygotowującym</w:t>
      </w:r>
      <w:r w:rsidR="00060EDC" w:rsidRPr="002C2D40">
        <w:rPr>
          <w:rFonts w:asciiTheme="minorHAnsi" w:hAnsiTheme="minorHAnsi"/>
          <w:sz w:val="24"/>
          <w:szCs w:val="24"/>
          <w:lang w:val="pl-PL"/>
        </w:rPr>
        <w:t>i</w:t>
      </w:r>
      <w:r w:rsidR="004507BE" w:rsidRPr="002C2D40">
        <w:rPr>
          <w:rFonts w:asciiTheme="minorHAnsi" w:hAnsiTheme="minorHAnsi"/>
          <w:sz w:val="24"/>
          <w:szCs w:val="24"/>
          <w:lang w:val="pl-PL"/>
        </w:rPr>
        <w:t xml:space="preserve"> te dokumenty, zgodnie z właściwością wynikającą z problematyki wyroków będących przedmiotem egzekucji</w:t>
      </w:r>
      <w:r w:rsidR="00C12044" w:rsidRPr="002C2D40">
        <w:rPr>
          <w:rFonts w:asciiTheme="minorHAnsi" w:hAnsiTheme="minorHAnsi"/>
          <w:sz w:val="24"/>
          <w:szCs w:val="24"/>
          <w:lang w:val="pl-PL"/>
        </w:rPr>
        <w:t xml:space="preserve">, </w:t>
      </w:r>
      <w:r w:rsidR="004507BE" w:rsidRPr="002C2D40">
        <w:rPr>
          <w:rFonts w:asciiTheme="minorHAnsi" w:hAnsiTheme="minorHAnsi"/>
          <w:sz w:val="24"/>
          <w:szCs w:val="24"/>
          <w:lang w:val="pl-PL"/>
        </w:rPr>
        <w:t>był</w:t>
      </w:r>
      <w:r w:rsidR="00060EDC" w:rsidRPr="002C2D40">
        <w:rPr>
          <w:rFonts w:asciiTheme="minorHAnsi" w:hAnsiTheme="minorHAnsi"/>
          <w:sz w:val="24"/>
          <w:szCs w:val="24"/>
          <w:lang w:val="pl-PL"/>
        </w:rPr>
        <w:t>y</w:t>
      </w:r>
      <w:r w:rsidRPr="002C2D40">
        <w:rPr>
          <w:rFonts w:asciiTheme="minorHAnsi" w:hAnsiTheme="minorHAnsi"/>
          <w:sz w:val="24"/>
          <w:szCs w:val="24"/>
          <w:lang w:val="pl-PL"/>
        </w:rPr>
        <w:t xml:space="preserve"> M</w:t>
      </w:r>
      <w:r w:rsidR="002C2963" w:rsidRPr="002C2D40">
        <w:rPr>
          <w:rFonts w:asciiTheme="minorHAnsi" w:hAnsiTheme="minorHAnsi"/>
          <w:sz w:val="24"/>
          <w:szCs w:val="24"/>
          <w:lang w:val="pl-PL"/>
        </w:rPr>
        <w:t xml:space="preserve">inisterstwo </w:t>
      </w:r>
      <w:r w:rsidRPr="002C2D40">
        <w:rPr>
          <w:rFonts w:asciiTheme="minorHAnsi" w:hAnsiTheme="minorHAnsi"/>
          <w:sz w:val="24"/>
          <w:szCs w:val="24"/>
          <w:lang w:val="pl-PL"/>
        </w:rPr>
        <w:t>S</w:t>
      </w:r>
      <w:r w:rsidR="002C2963" w:rsidRPr="002C2D40">
        <w:rPr>
          <w:rFonts w:asciiTheme="minorHAnsi" w:hAnsiTheme="minorHAnsi"/>
          <w:sz w:val="24"/>
          <w:szCs w:val="24"/>
          <w:lang w:val="pl-PL"/>
        </w:rPr>
        <w:t>prawiedliwości</w:t>
      </w:r>
      <w:r w:rsidR="00A151B7" w:rsidRPr="002C2D40">
        <w:rPr>
          <w:rFonts w:asciiTheme="minorHAnsi" w:hAnsiTheme="minorHAnsi"/>
          <w:sz w:val="24"/>
          <w:szCs w:val="24"/>
          <w:lang w:val="pl-PL"/>
        </w:rPr>
        <w:t>, Ministerstwo Zdrowia, Ministerstwo Spraw Wewnętrznych i Administracji, oraz organy nadzorowane przez te resorty (w szczególności Prokuratura Krajowa, Komenda Główna Straży Granicznej i Komenda Główna Policji)</w:t>
      </w:r>
      <w:r w:rsidR="004507BE" w:rsidRPr="002C2D40">
        <w:rPr>
          <w:rFonts w:asciiTheme="minorHAnsi" w:hAnsiTheme="minorHAnsi"/>
          <w:sz w:val="24"/>
          <w:szCs w:val="24"/>
          <w:lang w:val="pl-PL"/>
        </w:rPr>
        <w:t xml:space="preserve">. </w:t>
      </w:r>
      <w:r w:rsidR="00231798" w:rsidRPr="002C2D40">
        <w:rPr>
          <w:rFonts w:asciiTheme="minorHAnsi" w:hAnsiTheme="minorHAnsi"/>
          <w:sz w:val="24"/>
          <w:szCs w:val="24"/>
          <w:lang w:val="pl-PL"/>
        </w:rPr>
        <w:t>Pomimo nowych zasad i trybu pracy administracji publicznej w związku z epidemią wirusa SARS-Co</w:t>
      </w:r>
      <w:r w:rsidR="00571676">
        <w:rPr>
          <w:rFonts w:asciiTheme="minorHAnsi" w:hAnsiTheme="minorHAnsi"/>
          <w:sz w:val="24"/>
          <w:szCs w:val="24"/>
          <w:lang w:val="pl-PL"/>
        </w:rPr>
        <w:t>V</w:t>
      </w:r>
      <w:r w:rsidR="00231798" w:rsidRPr="002C2D40">
        <w:rPr>
          <w:rFonts w:asciiTheme="minorHAnsi" w:hAnsiTheme="minorHAnsi"/>
          <w:sz w:val="24"/>
          <w:szCs w:val="24"/>
          <w:lang w:val="pl-PL"/>
        </w:rPr>
        <w:t>-2 oraz ograniczeń z tym związany</w:t>
      </w:r>
      <w:r w:rsidR="00571676">
        <w:rPr>
          <w:rFonts w:asciiTheme="minorHAnsi" w:hAnsiTheme="minorHAnsi"/>
          <w:sz w:val="24"/>
          <w:szCs w:val="24"/>
          <w:lang w:val="pl-PL"/>
        </w:rPr>
        <w:t>ch</w:t>
      </w:r>
      <w:r w:rsidR="00231798" w:rsidRPr="002C2D40">
        <w:rPr>
          <w:rFonts w:asciiTheme="minorHAnsi" w:hAnsiTheme="minorHAnsi"/>
          <w:sz w:val="24"/>
          <w:szCs w:val="24"/>
          <w:lang w:val="pl-PL"/>
        </w:rPr>
        <w:t>, w</w:t>
      </w:r>
      <w:r w:rsidR="004507BE" w:rsidRPr="002C2D40">
        <w:rPr>
          <w:rFonts w:asciiTheme="minorHAnsi" w:hAnsiTheme="minorHAnsi"/>
          <w:sz w:val="24"/>
          <w:szCs w:val="24"/>
          <w:lang w:val="pl-PL"/>
        </w:rPr>
        <w:t>spółprac</w:t>
      </w:r>
      <w:r w:rsidR="00231798" w:rsidRPr="002C2D40">
        <w:rPr>
          <w:rFonts w:asciiTheme="minorHAnsi" w:hAnsiTheme="minorHAnsi"/>
          <w:sz w:val="24"/>
          <w:szCs w:val="24"/>
          <w:lang w:val="pl-PL"/>
        </w:rPr>
        <w:t xml:space="preserve">a z </w:t>
      </w:r>
      <w:r w:rsidR="008A5734" w:rsidRPr="002C2D40">
        <w:rPr>
          <w:rFonts w:asciiTheme="minorHAnsi" w:hAnsiTheme="minorHAnsi"/>
          <w:sz w:val="24"/>
          <w:szCs w:val="24"/>
          <w:lang w:val="pl-PL"/>
        </w:rPr>
        <w:t xml:space="preserve">powyższymi resortami i instytucjami przy przygotowaniu planów działań i raportów z wykonania oraz innych informacji </w:t>
      </w:r>
      <w:r w:rsidR="00231798" w:rsidRPr="002C2D40">
        <w:rPr>
          <w:rFonts w:asciiTheme="minorHAnsi" w:hAnsiTheme="minorHAnsi"/>
          <w:sz w:val="24"/>
          <w:szCs w:val="24"/>
          <w:lang w:val="pl-PL"/>
        </w:rPr>
        <w:t xml:space="preserve">przebiegała bez problemów. </w:t>
      </w:r>
      <w:r w:rsidR="00590D21" w:rsidRPr="002C2D40">
        <w:rPr>
          <w:rFonts w:asciiTheme="minorHAnsi" w:hAnsiTheme="minorHAnsi"/>
          <w:sz w:val="24"/>
          <w:szCs w:val="24"/>
          <w:lang w:val="pl-PL"/>
        </w:rPr>
        <w:t>Jeśli było to możliwe ze względu na sytuację, w 2020</w:t>
      </w:r>
      <w:r w:rsidR="009F222B">
        <w:rPr>
          <w:rFonts w:asciiTheme="minorHAnsi" w:hAnsiTheme="minorHAnsi"/>
        </w:rPr>
        <w:t> </w:t>
      </w:r>
      <w:r w:rsidR="00590D21" w:rsidRPr="002C2D40">
        <w:rPr>
          <w:rFonts w:asciiTheme="minorHAnsi" w:hAnsiTheme="minorHAnsi"/>
          <w:sz w:val="24"/>
          <w:szCs w:val="24"/>
          <w:lang w:val="pl-PL"/>
        </w:rPr>
        <w:t xml:space="preserve">r. </w:t>
      </w:r>
      <w:r w:rsidR="008A5734" w:rsidRPr="002C2D40">
        <w:rPr>
          <w:rFonts w:asciiTheme="minorHAnsi" w:hAnsiTheme="minorHAnsi"/>
          <w:sz w:val="24"/>
          <w:szCs w:val="24"/>
          <w:lang w:val="pl-PL"/>
        </w:rPr>
        <w:t>zwoł</w:t>
      </w:r>
      <w:r w:rsidR="00590D21" w:rsidRPr="002C2D40">
        <w:rPr>
          <w:rFonts w:asciiTheme="minorHAnsi" w:hAnsiTheme="minorHAnsi"/>
          <w:sz w:val="24"/>
          <w:szCs w:val="24"/>
          <w:lang w:val="pl-PL"/>
        </w:rPr>
        <w:t xml:space="preserve">ywano także (na wniosek Pełnomocnika lub zainteresowanych instytucji) posiedzenia </w:t>
      </w:r>
      <w:r w:rsidR="008A5734" w:rsidRPr="002C2D40">
        <w:rPr>
          <w:rFonts w:asciiTheme="minorHAnsi" w:hAnsiTheme="minorHAnsi"/>
          <w:sz w:val="24"/>
          <w:szCs w:val="24"/>
          <w:lang w:val="pl-PL"/>
        </w:rPr>
        <w:t>grup roboczych</w:t>
      </w:r>
      <w:r w:rsidR="00590D21" w:rsidRPr="002C2D40">
        <w:rPr>
          <w:rFonts w:asciiTheme="minorHAnsi" w:hAnsiTheme="minorHAnsi"/>
          <w:sz w:val="24"/>
          <w:szCs w:val="24"/>
          <w:lang w:val="pl-PL"/>
        </w:rPr>
        <w:t xml:space="preserve"> Zespołu dla omówienia konkretnego zagadnienia</w:t>
      </w:r>
      <w:r w:rsidR="008A5734" w:rsidRPr="002C2D40">
        <w:rPr>
          <w:rFonts w:asciiTheme="minorHAnsi" w:hAnsiTheme="minorHAnsi"/>
          <w:sz w:val="24"/>
          <w:szCs w:val="24"/>
          <w:lang w:val="pl-PL"/>
        </w:rPr>
        <w:t xml:space="preserve">. Ponadto, tak samo jak w latach ubiegłych, pozytywnie należy ocenić </w:t>
      </w:r>
      <w:r w:rsidRPr="002C2D40">
        <w:rPr>
          <w:rFonts w:asciiTheme="minorHAnsi" w:hAnsiTheme="minorHAnsi"/>
          <w:sz w:val="24"/>
          <w:szCs w:val="24"/>
          <w:lang w:val="pl-PL"/>
        </w:rPr>
        <w:t>dużą sprawność tłumaczenia wyroków ETPC stwierdzających naruszenia w sprawach dotyczących Polski</w:t>
      </w:r>
      <w:r w:rsidR="008A5734" w:rsidRPr="002C2D40">
        <w:rPr>
          <w:rFonts w:asciiTheme="minorHAnsi" w:hAnsiTheme="minorHAnsi"/>
          <w:sz w:val="24"/>
          <w:szCs w:val="24"/>
          <w:lang w:val="pl-PL"/>
        </w:rPr>
        <w:t>.</w:t>
      </w:r>
    </w:p>
    <w:p w:rsidR="00DD0730" w:rsidRPr="002C2D40" w:rsidRDefault="00DD0730" w:rsidP="009F222B">
      <w:pPr>
        <w:pStyle w:val="Akapitzlist"/>
        <w:spacing w:before="120" w:after="0" w:line="240" w:lineRule="auto"/>
        <w:ind w:left="0"/>
        <w:jc w:val="both"/>
        <w:rPr>
          <w:rFonts w:asciiTheme="minorHAnsi" w:hAnsiTheme="minorHAnsi"/>
          <w:sz w:val="24"/>
          <w:szCs w:val="24"/>
          <w:lang w:val="pl-PL"/>
        </w:rPr>
      </w:pPr>
      <w:r w:rsidRPr="002C2D40">
        <w:rPr>
          <w:rFonts w:asciiTheme="minorHAnsi" w:hAnsiTheme="minorHAnsi"/>
          <w:sz w:val="24"/>
          <w:szCs w:val="24"/>
          <w:lang w:val="pl-PL"/>
        </w:rPr>
        <w:t>Generalnie</w:t>
      </w:r>
      <w:r w:rsidR="0044355A" w:rsidRPr="002C2D40">
        <w:rPr>
          <w:rFonts w:asciiTheme="minorHAnsi" w:hAnsiTheme="minorHAnsi"/>
          <w:sz w:val="24"/>
          <w:szCs w:val="24"/>
          <w:lang w:val="pl-PL"/>
        </w:rPr>
        <w:t>, pomimo szczególnej sytuacji spowodowanej epidemi</w:t>
      </w:r>
      <w:r w:rsidR="00231798" w:rsidRPr="002C2D40">
        <w:rPr>
          <w:rFonts w:asciiTheme="minorHAnsi" w:hAnsiTheme="minorHAnsi"/>
          <w:sz w:val="24"/>
          <w:szCs w:val="24"/>
          <w:lang w:val="pl-PL"/>
        </w:rPr>
        <w:t>ą wirusa</w:t>
      </w:r>
      <w:r w:rsidR="0044355A" w:rsidRPr="002C2D40">
        <w:rPr>
          <w:rFonts w:asciiTheme="minorHAnsi" w:hAnsiTheme="minorHAnsi"/>
          <w:sz w:val="24"/>
          <w:szCs w:val="24"/>
          <w:lang w:val="pl-PL"/>
        </w:rPr>
        <w:t xml:space="preserve"> SARS-Co</w:t>
      </w:r>
      <w:r w:rsidR="00571676">
        <w:rPr>
          <w:rFonts w:asciiTheme="minorHAnsi" w:hAnsiTheme="minorHAnsi"/>
          <w:sz w:val="24"/>
          <w:szCs w:val="24"/>
          <w:lang w:val="pl-PL"/>
        </w:rPr>
        <w:t>V</w:t>
      </w:r>
      <w:r w:rsidR="0044355A" w:rsidRPr="002C2D40">
        <w:rPr>
          <w:rFonts w:asciiTheme="minorHAnsi" w:hAnsiTheme="minorHAnsi"/>
          <w:sz w:val="24"/>
          <w:szCs w:val="24"/>
          <w:lang w:val="pl-PL"/>
        </w:rPr>
        <w:t xml:space="preserve">-2,  </w:t>
      </w:r>
      <w:r w:rsidRPr="002C2D40">
        <w:rPr>
          <w:rFonts w:asciiTheme="minorHAnsi" w:hAnsiTheme="minorHAnsi"/>
          <w:sz w:val="24"/>
          <w:szCs w:val="24"/>
          <w:lang w:val="pl-PL"/>
        </w:rPr>
        <w:t xml:space="preserve"> bardzo pozytywnie należy też ocenić współpracę i dialog prowadzony </w:t>
      </w:r>
      <w:r w:rsidR="0044355A" w:rsidRPr="002C2D40">
        <w:rPr>
          <w:rFonts w:asciiTheme="minorHAnsi" w:hAnsiTheme="minorHAnsi"/>
          <w:sz w:val="24"/>
          <w:szCs w:val="24"/>
          <w:lang w:val="pl-PL"/>
        </w:rPr>
        <w:t>w 2020</w:t>
      </w:r>
      <w:r w:rsidRPr="002C2D40">
        <w:rPr>
          <w:rFonts w:asciiTheme="minorHAnsi" w:hAnsiTheme="minorHAnsi"/>
          <w:sz w:val="24"/>
          <w:szCs w:val="24"/>
          <w:lang w:val="pl-PL"/>
        </w:rPr>
        <w:t xml:space="preserve"> r. na forum Zespołu ds. ETPC z udziałem wszystkich właściwych w sprawie wykonania wyroku organów władzy wykonawczej, ustawodawczej, sądowej, a także Rzecznika Praw Obywatelskich i Rządowego Centrum Legislacji. Tego typu dialog pozwala w sposób wszechstronny przeanalizować sposób wykonania poszczególnych wyroków i znacząco przyspiesza ten proces. </w:t>
      </w:r>
    </w:p>
    <w:p w:rsidR="0044355A" w:rsidRDefault="0044355A" w:rsidP="009F222B">
      <w:pPr>
        <w:pStyle w:val="Akapitzlist"/>
        <w:spacing w:before="120" w:after="0" w:line="240" w:lineRule="auto"/>
        <w:ind w:left="0"/>
        <w:jc w:val="both"/>
        <w:rPr>
          <w:rFonts w:asciiTheme="minorHAnsi" w:hAnsiTheme="minorHAnsi"/>
          <w:sz w:val="24"/>
          <w:szCs w:val="24"/>
          <w:lang w:val="pl-PL"/>
        </w:rPr>
      </w:pPr>
      <w:r w:rsidRPr="002C2D40">
        <w:rPr>
          <w:rFonts w:asciiTheme="minorHAnsi" w:hAnsiTheme="minorHAnsi"/>
          <w:sz w:val="24"/>
          <w:szCs w:val="24"/>
          <w:lang w:val="pl-PL"/>
        </w:rPr>
        <w:t>W 2020 r. wynikający z zarządzenia obowiązek przetłumaczenia wydanych przez Trybunał wyroków stwierdzających naruszenia dotyczył Ministerstwa Sprawiedliwości i Ministerstwa Spraw Wewnętrznych i Administracji. Według stanu na koniec grudnia 2020 r. oba te ministerstwa wywiązały się terminowo ze wszystkich obowiązków w zakresie tłumaczenia. Wykraczając poza obowiązki nałożone zarządzeniem, Ministerstwo Sprawiedliwości dokonało również dodatkowo tłumaczenia trzech decyzji o niedopuszczalności.</w:t>
      </w:r>
    </w:p>
    <w:p w:rsidR="009F222B" w:rsidRPr="002C2D40" w:rsidRDefault="009F222B" w:rsidP="009F222B">
      <w:pPr>
        <w:pStyle w:val="Akapitzlist"/>
        <w:spacing w:before="120" w:after="0" w:line="240" w:lineRule="auto"/>
        <w:ind w:left="0"/>
        <w:jc w:val="both"/>
        <w:rPr>
          <w:rFonts w:asciiTheme="minorHAnsi" w:hAnsiTheme="minorHAnsi"/>
          <w:sz w:val="24"/>
          <w:szCs w:val="24"/>
          <w:lang w:val="pl-PL"/>
        </w:rPr>
      </w:pPr>
    </w:p>
    <w:p w:rsidR="00DD0730" w:rsidRPr="002C2D40" w:rsidRDefault="00DD0730" w:rsidP="003F20CE">
      <w:pPr>
        <w:pStyle w:val="Akapitzlist"/>
        <w:numPr>
          <w:ilvl w:val="0"/>
          <w:numId w:val="2"/>
        </w:numPr>
        <w:spacing w:before="120" w:after="0" w:line="240" w:lineRule="auto"/>
        <w:ind w:left="851" w:hanging="567"/>
        <w:jc w:val="both"/>
        <w:rPr>
          <w:rFonts w:asciiTheme="minorHAnsi" w:hAnsiTheme="minorHAnsi"/>
          <w:b/>
          <w:sz w:val="24"/>
          <w:szCs w:val="24"/>
        </w:rPr>
      </w:pPr>
      <w:r w:rsidRPr="002C2D40">
        <w:rPr>
          <w:rFonts w:asciiTheme="minorHAnsi" w:hAnsiTheme="minorHAnsi"/>
          <w:b/>
          <w:sz w:val="24"/>
          <w:szCs w:val="24"/>
          <w:lang w:val="pl-PL"/>
        </w:rPr>
        <w:t>Badanie przez MSZ</w:t>
      </w:r>
      <w:r w:rsidRPr="002C2D40">
        <w:rPr>
          <w:rFonts w:asciiTheme="minorHAnsi" w:hAnsiTheme="minorHAnsi"/>
          <w:b/>
          <w:sz w:val="24"/>
          <w:szCs w:val="24"/>
        </w:rPr>
        <w:t xml:space="preserve"> projektów aktów prawnych pod względem ich zgodności</w:t>
      </w:r>
      <w:r w:rsidRPr="002C2D40">
        <w:rPr>
          <w:rFonts w:asciiTheme="minorHAnsi" w:hAnsiTheme="minorHAnsi"/>
          <w:b/>
          <w:sz w:val="24"/>
          <w:szCs w:val="24"/>
          <w:lang w:val="pl-PL"/>
        </w:rPr>
        <w:t xml:space="preserve"> </w:t>
      </w:r>
      <w:r w:rsidRPr="002C2D40">
        <w:rPr>
          <w:rFonts w:asciiTheme="minorHAnsi" w:hAnsiTheme="minorHAnsi"/>
          <w:b/>
          <w:sz w:val="24"/>
          <w:szCs w:val="24"/>
        </w:rPr>
        <w:t xml:space="preserve">z </w:t>
      </w:r>
      <w:r w:rsidRPr="002C2D40">
        <w:rPr>
          <w:rFonts w:asciiTheme="minorHAnsi" w:hAnsiTheme="minorHAnsi"/>
          <w:b/>
          <w:i/>
          <w:sz w:val="24"/>
          <w:szCs w:val="24"/>
        </w:rPr>
        <w:t>Konwencją o ochronie praw człowieka i podstawowych wolności</w:t>
      </w:r>
    </w:p>
    <w:p w:rsidR="007E61D4" w:rsidRDefault="007E61D4" w:rsidP="009F222B">
      <w:pPr>
        <w:pStyle w:val="Akapitzlist"/>
        <w:spacing w:before="120" w:after="0" w:line="240" w:lineRule="auto"/>
        <w:ind w:left="0"/>
        <w:jc w:val="both"/>
        <w:rPr>
          <w:rFonts w:asciiTheme="minorHAnsi" w:hAnsiTheme="minorHAnsi"/>
          <w:sz w:val="24"/>
          <w:szCs w:val="24"/>
          <w:lang w:val="pl-PL"/>
        </w:rPr>
      </w:pPr>
      <w:r w:rsidRPr="002C2D40">
        <w:rPr>
          <w:rFonts w:asciiTheme="minorHAnsi" w:hAnsiTheme="minorHAnsi"/>
          <w:sz w:val="24"/>
          <w:szCs w:val="24"/>
          <w:lang w:val="pl-PL"/>
        </w:rPr>
        <w:t xml:space="preserve">W okresie sprawozdawczym Pełnomocnik zaopiniował ok. 280 projektów aktów prawnych i innych dokumentów podlegających konsultacjom w ramach Rady Ministrów na różnych etapach procesu legislacyjnego w zakresie dot. zgodności z Konwencją. Zgłoszono uwagi lub </w:t>
      </w:r>
      <w:r w:rsidRPr="002C2D40">
        <w:rPr>
          <w:rFonts w:asciiTheme="minorHAnsi" w:hAnsiTheme="minorHAnsi"/>
          <w:sz w:val="24"/>
          <w:szCs w:val="24"/>
          <w:lang w:val="pl-PL"/>
        </w:rPr>
        <w:lastRenderedPageBreak/>
        <w:t>propozycje do projektów uregulowań dotyczących Służby Więziennej i ustroju sądów powszechnych oraz do projektów programów działań na rzecz integracji Romów oraz na rzecz równego traktowania. Należy jednak zauważyć, że większość otrzymywanych do zaopiniowania projektów nie dotyczyła kwestii objętych przepisami Konwencji.</w:t>
      </w:r>
    </w:p>
    <w:p w:rsidR="009F222B" w:rsidRPr="002C2D40" w:rsidRDefault="009F222B" w:rsidP="009F222B">
      <w:pPr>
        <w:pStyle w:val="Akapitzlist"/>
        <w:spacing w:before="120" w:after="0" w:line="240" w:lineRule="auto"/>
        <w:ind w:left="0"/>
        <w:jc w:val="both"/>
        <w:rPr>
          <w:rFonts w:asciiTheme="minorHAnsi" w:hAnsiTheme="minorHAnsi"/>
          <w:sz w:val="24"/>
          <w:szCs w:val="24"/>
          <w:lang w:val="pl-PL"/>
        </w:rPr>
      </w:pPr>
    </w:p>
    <w:p w:rsidR="00DD0730" w:rsidRPr="002C2D40" w:rsidRDefault="00DD0730" w:rsidP="003F20CE">
      <w:pPr>
        <w:pStyle w:val="Akapitzlist"/>
        <w:numPr>
          <w:ilvl w:val="0"/>
          <w:numId w:val="2"/>
        </w:numPr>
        <w:spacing w:before="120" w:after="0" w:line="240" w:lineRule="auto"/>
        <w:ind w:left="851" w:hanging="567"/>
        <w:jc w:val="both"/>
        <w:rPr>
          <w:rFonts w:asciiTheme="minorHAnsi" w:hAnsiTheme="minorHAnsi"/>
          <w:b/>
          <w:sz w:val="24"/>
          <w:szCs w:val="24"/>
        </w:rPr>
      </w:pPr>
      <w:r w:rsidRPr="002C2D40">
        <w:rPr>
          <w:rFonts w:asciiTheme="minorHAnsi" w:hAnsiTheme="minorHAnsi"/>
          <w:b/>
          <w:sz w:val="24"/>
          <w:szCs w:val="24"/>
          <w:lang w:val="pl-PL"/>
        </w:rPr>
        <w:t>Informacja na temat kontynuacji inicjatywy polegającej na tłumaczeniu na język polski wyroków Trybunału wydanych w sprawach dotyczących innych państw</w:t>
      </w:r>
    </w:p>
    <w:p w:rsidR="004A19D9" w:rsidRPr="002C2D40" w:rsidRDefault="004A19D9" w:rsidP="009F222B">
      <w:pPr>
        <w:pStyle w:val="Akapitzlist"/>
        <w:spacing w:before="120" w:after="0" w:line="240" w:lineRule="auto"/>
        <w:ind w:left="0"/>
        <w:jc w:val="both"/>
        <w:rPr>
          <w:rFonts w:asciiTheme="minorHAnsi" w:hAnsiTheme="minorHAnsi"/>
          <w:sz w:val="24"/>
          <w:szCs w:val="24"/>
          <w:lang w:val="pl-PL"/>
        </w:rPr>
      </w:pPr>
      <w:r w:rsidRPr="002C2D40">
        <w:rPr>
          <w:rFonts w:asciiTheme="minorHAnsi" w:hAnsiTheme="minorHAnsi"/>
          <w:sz w:val="24"/>
          <w:szCs w:val="24"/>
        </w:rPr>
        <w:t>W dniu 24 marca 2014 r. MSZ, Ministerstwo Sprawiedliwości, Trybunał Konstytucyjny i Naczelny Sąd Administracyjny podpisały porozumienie w</w:t>
      </w:r>
      <w:r w:rsidR="00AE587A" w:rsidRPr="002C2D40">
        <w:rPr>
          <w:rFonts w:asciiTheme="minorHAnsi" w:hAnsiTheme="minorHAnsi"/>
          <w:sz w:val="24"/>
          <w:szCs w:val="24"/>
          <w:lang w:val="pl-PL"/>
        </w:rPr>
        <w:t xml:space="preserve"> </w:t>
      </w:r>
      <w:r w:rsidRPr="002C2D40">
        <w:rPr>
          <w:rFonts w:asciiTheme="minorHAnsi" w:hAnsiTheme="minorHAnsi"/>
          <w:sz w:val="24"/>
          <w:szCs w:val="24"/>
        </w:rPr>
        <w:t>s</w:t>
      </w:r>
      <w:r w:rsidR="00AE587A" w:rsidRPr="002C2D40">
        <w:rPr>
          <w:rFonts w:asciiTheme="minorHAnsi" w:hAnsiTheme="minorHAnsi"/>
          <w:sz w:val="24"/>
          <w:szCs w:val="24"/>
          <w:lang w:val="pl-PL"/>
        </w:rPr>
        <w:t>prawie</w:t>
      </w:r>
      <w:r w:rsidRPr="002C2D40">
        <w:rPr>
          <w:rFonts w:asciiTheme="minorHAnsi" w:hAnsiTheme="minorHAnsi"/>
          <w:sz w:val="24"/>
          <w:szCs w:val="24"/>
        </w:rPr>
        <w:t xml:space="preserve"> tłumaczeń wyroków ETPC</w:t>
      </w:r>
      <w:r w:rsidR="009F222B">
        <w:rPr>
          <w:rFonts w:asciiTheme="minorHAnsi" w:hAnsiTheme="minorHAnsi"/>
          <w:sz w:val="24"/>
          <w:szCs w:val="24"/>
          <w:lang w:val="pl-PL"/>
        </w:rPr>
        <w:t>,</w:t>
      </w:r>
      <w:r w:rsidRPr="002C2D40">
        <w:rPr>
          <w:rFonts w:asciiTheme="minorHAnsi" w:hAnsiTheme="minorHAnsi"/>
          <w:sz w:val="24"/>
          <w:szCs w:val="24"/>
        </w:rPr>
        <w:t xml:space="preserve"> wydanych w sprawach przeciwko innym państwom. Z dniem 31 sierpnia 2015 r. do Porozumienia przystąpił Prokurator Generalny, który zobowiązał się do zapewnienia tłumaczenia na język polski, od dnia 1 stycznia 2016 r., po 10 orzeczeń rocznie.</w:t>
      </w:r>
    </w:p>
    <w:p w:rsidR="004A19D9" w:rsidRPr="002C2D40" w:rsidRDefault="004A19D9" w:rsidP="009F222B">
      <w:pPr>
        <w:pStyle w:val="Akapitzlist"/>
        <w:spacing w:before="120" w:after="0" w:line="240" w:lineRule="auto"/>
        <w:ind w:left="0"/>
        <w:jc w:val="both"/>
        <w:rPr>
          <w:rFonts w:asciiTheme="minorHAnsi" w:hAnsiTheme="minorHAnsi"/>
          <w:sz w:val="24"/>
          <w:szCs w:val="24"/>
          <w:lang w:val="pl-PL"/>
        </w:rPr>
      </w:pPr>
      <w:r w:rsidRPr="002C2D40">
        <w:rPr>
          <w:rFonts w:asciiTheme="minorHAnsi" w:hAnsiTheme="minorHAnsi"/>
          <w:sz w:val="24"/>
          <w:szCs w:val="24"/>
        </w:rPr>
        <w:t>Strony Porozumienia wspólnie dokonują wyboru orzeczeń Trybunału do tłumaczenia, a także przekazują sobie wzajemnie przetłumaczone orzeczenia celem udostępnienia na stronach internetowych oraz wykorzystywania w działalności upowszechniającej i szkoleniowej. Tłumaczenia są również przekazywane do bazy orzeczeń Trybunału HUDOC.</w:t>
      </w:r>
    </w:p>
    <w:p w:rsidR="007E61D4" w:rsidRPr="002C2D40" w:rsidRDefault="007E61D4" w:rsidP="009F222B">
      <w:pPr>
        <w:pStyle w:val="Akapitzlist"/>
        <w:spacing w:before="120" w:after="0" w:line="240" w:lineRule="auto"/>
        <w:ind w:left="0"/>
        <w:jc w:val="both"/>
        <w:rPr>
          <w:rFonts w:asciiTheme="minorHAnsi" w:hAnsiTheme="minorHAnsi"/>
          <w:sz w:val="24"/>
          <w:szCs w:val="24"/>
          <w:lang w:val="pl-PL"/>
        </w:rPr>
      </w:pPr>
      <w:r w:rsidRPr="002C2D40">
        <w:rPr>
          <w:rFonts w:asciiTheme="minorHAnsi" w:hAnsiTheme="minorHAnsi"/>
          <w:sz w:val="24"/>
          <w:szCs w:val="24"/>
          <w:lang w:val="pl-PL"/>
        </w:rPr>
        <w:t xml:space="preserve">Do końca 2020 r. przetłumaczonych zostało 228 orzeczeń ETPC w sprawach dotyczących innych państw (z tego </w:t>
      </w:r>
      <w:r w:rsidRPr="002C2D40">
        <w:rPr>
          <w:rFonts w:asciiTheme="minorHAnsi" w:hAnsiTheme="minorHAnsi"/>
          <w:sz w:val="24"/>
          <w:szCs w:val="24"/>
        </w:rPr>
        <w:t xml:space="preserve">42 w 2020 r.). MSZ zapewniło korektę tłumaczeń 39 orzeczeń ETPC, a także przygotowało tłumaczenie Rekomendacji </w:t>
      </w:r>
      <w:r w:rsidR="001972F9" w:rsidRPr="002C2D40">
        <w:rPr>
          <w:rFonts w:asciiTheme="minorHAnsi" w:hAnsiTheme="minorHAnsi"/>
          <w:sz w:val="24"/>
          <w:szCs w:val="24"/>
        </w:rPr>
        <w:t xml:space="preserve">CM/Rec(2019)6 Komitetu Ministrów Rady Europy dla państw członkowskich w sprawie rozwoju instytucji Rzecznika </w:t>
      </w:r>
      <w:r w:rsidR="001972F9" w:rsidRPr="002C2D40">
        <w:rPr>
          <w:rFonts w:asciiTheme="minorHAnsi" w:hAnsiTheme="minorHAnsi"/>
          <w:sz w:val="24"/>
          <w:szCs w:val="24"/>
          <w:lang w:val="pl-PL"/>
        </w:rPr>
        <w:t>Praw Obywatelskich</w:t>
      </w:r>
      <w:r w:rsidR="00C54E77" w:rsidRPr="002C2D40">
        <w:rPr>
          <w:rFonts w:asciiTheme="minorHAnsi" w:hAnsiTheme="minorHAnsi"/>
          <w:sz w:val="24"/>
          <w:szCs w:val="24"/>
          <w:lang w:val="pl-PL"/>
        </w:rPr>
        <w:t>, przyjęt</w:t>
      </w:r>
      <w:r w:rsidR="009F222B">
        <w:rPr>
          <w:rFonts w:asciiTheme="minorHAnsi" w:hAnsiTheme="minorHAnsi"/>
          <w:sz w:val="24"/>
          <w:szCs w:val="24"/>
          <w:lang w:val="pl-PL"/>
        </w:rPr>
        <w:t>ej</w:t>
      </w:r>
      <w:r w:rsidR="00C54E77" w:rsidRPr="002C2D40">
        <w:rPr>
          <w:rFonts w:asciiTheme="minorHAnsi" w:hAnsiTheme="minorHAnsi"/>
          <w:sz w:val="24"/>
          <w:szCs w:val="24"/>
          <w:lang w:val="pl-PL"/>
        </w:rPr>
        <w:t xml:space="preserve"> przez Komitet Ministrów RE w dniu 16 października 2019 r</w:t>
      </w:r>
      <w:r w:rsidR="001972F9" w:rsidRPr="002C2D40">
        <w:rPr>
          <w:rFonts w:asciiTheme="minorHAnsi" w:hAnsiTheme="minorHAnsi"/>
          <w:sz w:val="24"/>
          <w:szCs w:val="24"/>
          <w:lang w:val="pl-PL"/>
        </w:rPr>
        <w:t xml:space="preserve">. </w:t>
      </w:r>
      <w:r w:rsidRPr="002C2D40">
        <w:rPr>
          <w:rFonts w:asciiTheme="minorHAnsi" w:hAnsiTheme="minorHAnsi"/>
          <w:sz w:val="24"/>
          <w:szCs w:val="24"/>
          <w:lang w:val="pl-PL"/>
        </w:rPr>
        <w:t>MSZ</w:t>
      </w:r>
      <w:r w:rsidRPr="002C2D40">
        <w:rPr>
          <w:rFonts w:asciiTheme="minorHAnsi" w:hAnsiTheme="minorHAnsi"/>
          <w:sz w:val="24"/>
          <w:szCs w:val="24"/>
        </w:rPr>
        <w:t xml:space="preserve"> kontynuowało też tłumaczenie streszczeń wyroków przygotowywanych przez Kancelarię Trybunału (w 2020</w:t>
      </w:r>
      <w:r w:rsidR="002E7CF9">
        <w:rPr>
          <w:rFonts w:asciiTheme="minorHAnsi" w:hAnsiTheme="minorHAnsi"/>
        </w:rPr>
        <w:t> </w:t>
      </w:r>
      <w:r w:rsidRPr="002C2D40">
        <w:rPr>
          <w:rFonts w:asciiTheme="minorHAnsi" w:hAnsiTheme="minorHAnsi"/>
          <w:sz w:val="24"/>
          <w:szCs w:val="24"/>
        </w:rPr>
        <w:t>r. przetłumaczyło</w:t>
      </w:r>
      <w:r w:rsidRPr="002C2D40">
        <w:rPr>
          <w:rFonts w:asciiTheme="minorHAnsi" w:hAnsiTheme="minorHAnsi"/>
          <w:sz w:val="24"/>
          <w:szCs w:val="24"/>
          <w:lang w:val="pl-PL"/>
        </w:rPr>
        <w:t xml:space="preserve"> ich 21). Ministerstwo Sprawiedliwości przygotowało także tłumaczenia lub aktualizacje tłumaczenia 34 zestawień tematycznych (tzw. </w:t>
      </w:r>
      <w:r w:rsidRPr="002E7CF9">
        <w:rPr>
          <w:rFonts w:asciiTheme="minorHAnsi" w:hAnsiTheme="minorHAnsi"/>
          <w:i/>
          <w:sz w:val="24"/>
          <w:szCs w:val="24"/>
          <w:lang w:val="pl-PL"/>
        </w:rPr>
        <w:t>factsheets</w:t>
      </w:r>
      <w:r w:rsidRPr="002C2D40">
        <w:rPr>
          <w:rFonts w:asciiTheme="minorHAnsi" w:hAnsiTheme="minorHAnsi"/>
          <w:sz w:val="24"/>
          <w:szCs w:val="24"/>
          <w:lang w:val="pl-PL"/>
        </w:rPr>
        <w:t>) opracowywanych przez Kancelarię Trybunału. Tłumaczenia są zamieszczane najpierw na stronach internetowych tłumaczących podmiotów, a następnie, po dodatko</w:t>
      </w:r>
      <w:r w:rsidR="002E7CF9">
        <w:rPr>
          <w:rFonts w:asciiTheme="minorHAnsi" w:hAnsiTheme="minorHAnsi"/>
          <w:sz w:val="24"/>
          <w:szCs w:val="24"/>
          <w:lang w:val="pl-PL"/>
        </w:rPr>
        <w:t>wych korektach, w bazie HUDOC.</w:t>
      </w:r>
    </w:p>
    <w:p w:rsidR="004A19D9" w:rsidRDefault="007E61D4" w:rsidP="009F222B">
      <w:pPr>
        <w:pStyle w:val="Akapitzlist"/>
        <w:spacing w:before="120" w:after="0" w:line="240" w:lineRule="auto"/>
        <w:ind w:left="0"/>
        <w:jc w:val="both"/>
        <w:rPr>
          <w:rFonts w:asciiTheme="minorHAnsi" w:hAnsiTheme="minorHAnsi"/>
          <w:sz w:val="24"/>
          <w:szCs w:val="24"/>
          <w:lang w:val="pl-PL"/>
        </w:rPr>
      </w:pPr>
      <w:r w:rsidRPr="00E4386C">
        <w:rPr>
          <w:rFonts w:asciiTheme="minorHAnsi" w:hAnsiTheme="minorHAnsi"/>
          <w:sz w:val="24"/>
          <w:szCs w:val="24"/>
        </w:rPr>
        <w:t>Pełnomocnik</w:t>
      </w:r>
      <w:r w:rsidRPr="002C2D40">
        <w:rPr>
          <w:rFonts w:asciiTheme="minorHAnsi" w:hAnsiTheme="minorHAnsi"/>
          <w:sz w:val="24"/>
          <w:szCs w:val="24"/>
          <w:lang w:val="pl-PL"/>
        </w:rPr>
        <w:t xml:space="preserve"> przygotował ponadto przegląd ok. 90 orzeczeń Trybunału za 2019 r. w sprawach dotyczących innych państw, z którego partnerzy porozumienia dokonali wyboru kolejnych orzeczeń do tłumaczenia. </w:t>
      </w:r>
    </w:p>
    <w:p w:rsidR="009F222B" w:rsidRPr="002C2D40" w:rsidRDefault="009F222B" w:rsidP="009F222B">
      <w:pPr>
        <w:pStyle w:val="Akapitzlist"/>
        <w:spacing w:before="120" w:after="0" w:line="240" w:lineRule="auto"/>
        <w:ind w:left="0"/>
        <w:jc w:val="both"/>
        <w:rPr>
          <w:rFonts w:asciiTheme="minorHAnsi" w:hAnsiTheme="minorHAnsi"/>
          <w:sz w:val="24"/>
          <w:szCs w:val="24"/>
          <w:lang w:val="pl-PL"/>
        </w:rPr>
      </w:pPr>
    </w:p>
    <w:p w:rsidR="00DD0730" w:rsidRPr="002C2D40" w:rsidRDefault="00DD0730" w:rsidP="003F20CE">
      <w:pPr>
        <w:pStyle w:val="Akapitzlist"/>
        <w:numPr>
          <w:ilvl w:val="0"/>
          <w:numId w:val="2"/>
        </w:numPr>
        <w:spacing w:before="120" w:after="0" w:line="240" w:lineRule="auto"/>
        <w:ind w:left="851" w:hanging="567"/>
        <w:jc w:val="both"/>
        <w:rPr>
          <w:rFonts w:asciiTheme="minorHAnsi" w:hAnsiTheme="minorHAnsi"/>
          <w:b/>
          <w:sz w:val="24"/>
          <w:szCs w:val="24"/>
        </w:rPr>
      </w:pPr>
      <w:r w:rsidRPr="002C2D40">
        <w:rPr>
          <w:rFonts w:asciiTheme="minorHAnsi" w:hAnsiTheme="minorHAnsi"/>
          <w:b/>
          <w:sz w:val="24"/>
          <w:szCs w:val="24"/>
          <w:lang w:val="pl-PL"/>
        </w:rPr>
        <w:t xml:space="preserve">Informacja na temat </w:t>
      </w:r>
      <w:r w:rsidRPr="002C2D40">
        <w:rPr>
          <w:rFonts w:asciiTheme="minorHAnsi" w:hAnsiTheme="minorHAnsi"/>
          <w:b/>
          <w:sz w:val="24"/>
          <w:szCs w:val="24"/>
        </w:rPr>
        <w:t>organizacji wizyt studyjnych i delegacji (</w:t>
      </w:r>
      <w:r w:rsidRPr="002E7CF9">
        <w:rPr>
          <w:rFonts w:asciiTheme="minorHAnsi" w:hAnsiTheme="minorHAnsi"/>
          <w:b/>
          <w:i/>
          <w:sz w:val="24"/>
          <w:szCs w:val="24"/>
        </w:rPr>
        <w:t>secondment</w:t>
      </w:r>
      <w:r w:rsidR="002E7CF9">
        <w:rPr>
          <w:rFonts w:asciiTheme="minorHAnsi" w:hAnsiTheme="minorHAnsi"/>
          <w:b/>
          <w:i/>
          <w:sz w:val="24"/>
          <w:szCs w:val="24"/>
          <w:lang w:val="pl-PL"/>
        </w:rPr>
        <w:t>s</w:t>
      </w:r>
      <w:r w:rsidRPr="002C2D40">
        <w:rPr>
          <w:rFonts w:asciiTheme="minorHAnsi" w:hAnsiTheme="minorHAnsi"/>
          <w:b/>
          <w:sz w:val="24"/>
          <w:szCs w:val="24"/>
        </w:rPr>
        <w:t xml:space="preserve">) do </w:t>
      </w:r>
      <w:r w:rsidR="00B64496" w:rsidRPr="002C2D40">
        <w:rPr>
          <w:rFonts w:asciiTheme="minorHAnsi" w:hAnsiTheme="minorHAnsi"/>
          <w:b/>
          <w:sz w:val="24"/>
          <w:szCs w:val="24"/>
          <w:lang w:val="pl-PL"/>
        </w:rPr>
        <w:t xml:space="preserve">Rady Europy i </w:t>
      </w:r>
      <w:r w:rsidRPr="002C2D40">
        <w:rPr>
          <w:rFonts w:asciiTheme="minorHAnsi" w:hAnsiTheme="minorHAnsi"/>
          <w:b/>
          <w:sz w:val="24"/>
          <w:szCs w:val="24"/>
        </w:rPr>
        <w:t>Trybunału</w:t>
      </w:r>
    </w:p>
    <w:p w:rsidR="007E61D4" w:rsidRDefault="007E61D4" w:rsidP="002E7CF9">
      <w:pPr>
        <w:pStyle w:val="Akapitzlist"/>
        <w:spacing w:before="120" w:after="0" w:line="240" w:lineRule="auto"/>
        <w:ind w:left="0"/>
        <w:jc w:val="both"/>
        <w:rPr>
          <w:rFonts w:asciiTheme="minorHAnsi" w:hAnsiTheme="minorHAnsi"/>
          <w:sz w:val="24"/>
          <w:szCs w:val="24"/>
          <w:lang w:val="pl-PL"/>
        </w:rPr>
      </w:pPr>
      <w:r w:rsidRPr="002C2D40">
        <w:rPr>
          <w:rFonts w:asciiTheme="minorHAnsi" w:hAnsiTheme="minorHAnsi"/>
          <w:sz w:val="24"/>
          <w:szCs w:val="24"/>
          <w:lang w:val="pl-PL"/>
        </w:rPr>
        <w:t xml:space="preserve">Z uwagi na ograniczenia w podróżowaniu związane z </w:t>
      </w:r>
      <w:r w:rsidR="002013A9" w:rsidRPr="002C2D40">
        <w:rPr>
          <w:rFonts w:asciiTheme="minorHAnsi" w:hAnsiTheme="minorHAnsi"/>
          <w:sz w:val="24"/>
          <w:szCs w:val="24"/>
          <w:lang w:val="pl-PL"/>
        </w:rPr>
        <w:t>epidemią</w:t>
      </w:r>
      <w:r w:rsidRPr="002C2D40">
        <w:rPr>
          <w:rFonts w:asciiTheme="minorHAnsi" w:hAnsiTheme="minorHAnsi"/>
          <w:sz w:val="24"/>
          <w:szCs w:val="24"/>
          <w:lang w:val="pl-PL"/>
        </w:rPr>
        <w:t xml:space="preserve"> </w:t>
      </w:r>
      <w:r w:rsidR="002013A9" w:rsidRPr="002C2D40">
        <w:rPr>
          <w:rFonts w:asciiTheme="minorHAnsi" w:hAnsiTheme="minorHAnsi"/>
          <w:sz w:val="24"/>
          <w:szCs w:val="24"/>
          <w:lang w:val="pl-PL"/>
        </w:rPr>
        <w:t xml:space="preserve">wirusa </w:t>
      </w:r>
      <w:r w:rsidRPr="002C2D40">
        <w:rPr>
          <w:rFonts w:asciiTheme="minorHAnsi" w:hAnsiTheme="minorHAnsi"/>
          <w:sz w:val="24"/>
          <w:szCs w:val="24"/>
          <w:lang w:val="pl-PL"/>
        </w:rPr>
        <w:t>SARS-CoV-2 w 2020 r. nie prowadzono działań związanych z organizowaniem wizyt studyjnych w Radzie Europy i Europejskim Trybunale Praw Człowieka.</w:t>
      </w:r>
    </w:p>
    <w:p w:rsidR="002E7CF9" w:rsidRPr="002C2D40" w:rsidRDefault="002E7CF9" w:rsidP="002E7CF9">
      <w:pPr>
        <w:pStyle w:val="Akapitzlist"/>
        <w:spacing w:before="120" w:after="0" w:line="240" w:lineRule="auto"/>
        <w:ind w:left="0"/>
        <w:jc w:val="both"/>
        <w:rPr>
          <w:rFonts w:asciiTheme="minorHAnsi" w:hAnsiTheme="minorHAnsi"/>
          <w:sz w:val="24"/>
          <w:szCs w:val="24"/>
          <w:lang w:val="pl-PL"/>
        </w:rPr>
      </w:pPr>
    </w:p>
    <w:p w:rsidR="00DD0730" w:rsidRPr="002C2D40" w:rsidRDefault="00DD0730" w:rsidP="003F20CE">
      <w:pPr>
        <w:pStyle w:val="Akapitzlist"/>
        <w:numPr>
          <w:ilvl w:val="0"/>
          <w:numId w:val="2"/>
        </w:numPr>
        <w:spacing w:before="120" w:after="0" w:line="240" w:lineRule="auto"/>
        <w:ind w:left="851" w:hanging="567"/>
        <w:jc w:val="both"/>
        <w:rPr>
          <w:rFonts w:asciiTheme="minorHAnsi" w:hAnsiTheme="minorHAnsi"/>
          <w:b/>
          <w:sz w:val="24"/>
          <w:szCs w:val="24"/>
        </w:rPr>
      </w:pPr>
      <w:r w:rsidRPr="002C2D40">
        <w:rPr>
          <w:rFonts w:asciiTheme="minorHAnsi" w:hAnsiTheme="minorHAnsi"/>
          <w:b/>
          <w:sz w:val="24"/>
          <w:szCs w:val="24"/>
          <w:lang w:val="pl-PL"/>
        </w:rPr>
        <w:t>Szkolenia</w:t>
      </w:r>
      <w:r w:rsidR="00B64496" w:rsidRPr="002C2D40">
        <w:rPr>
          <w:rFonts w:asciiTheme="minorHAnsi" w:hAnsiTheme="minorHAnsi"/>
          <w:b/>
          <w:sz w:val="24"/>
          <w:szCs w:val="24"/>
          <w:lang w:val="pl-PL"/>
        </w:rPr>
        <w:t xml:space="preserve"> i debaty</w:t>
      </w:r>
    </w:p>
    <w:p w:rsidR="007E61D4" w:rsidRDefault="007E61D4" w:rsidP="002E7CF9">
      <w:pPr>
        <w:pStyle w:val="Akapitzlist"/>
        <w:spacing w:before="120" w:after="0" w:line="240" w:lineRule="auto"/>
        <w:ind w:left="0"/>
        <w:jc w:val="both"/>
        <w:rPr>
          <w:rFonts w:asciiTheme="minorHAnsi" w:hAnsiTheme="minorHAnsi"/>
          <w:sz w:val="24"/>
          <w:szCs w:val="24"/>
          <w:lang w:val="pl-PL"/>
        </w:rPr>
      </w:pPr>
      <w:r w:rsidRPr="002C2D40">
        <w:rPr>
          <w:rFonts w:asciiTheme="minorHAnsi" w:hAnsiTheme="minorHAnsi"/>
          <w:sz w:val="24"/>
          <w:szCs w:val="24"/>
          <w:lang w:val="pl-PL"/>
        </w:rPr>
        <w:t xml:space="preserve">Z uwagi na ograniczenia </w:t>
      </w:r>
      <w:r w:rsidR="002013A9" w:rsidRPr="002C2D40">
        <w:rPr>
          <w:rFonts w:asciiTheme="minorHAnsi" w:hAnsiTheme="minorHAnsi"/>
          <w:sz w:val="24"/>
          <w:szCs w:val="24"/>
          <w:lang w:val="pl-PL"/>
        </w:rPr>
        <w:t xml:space="preserve">wprowadzone w związku </w:t>
      </w:r>
      <w:r w:rsidRPr="002C2D40">
        <w:rPr>
          <w:rFonts w:asciiTheme="minorHAnsi" w:hAnsiTheme="minorHAnsi"/>
          <w:sz w:val="24"/>
          <w:szCs w:val="24"/>
          <w:lang w:val="pl-PL"/>
        </w:rPr>
        <w:t xml:space="preserve">z sytuacją epidemiologiczną </w:t>
      </w:r>
      <w:r w:rsidR="002013A9" w:rsidRPr="002C2D40">
        <w:rPr>
          <w:rFonts w:asciiTheme="minorHAnsi" w:hAnsiTheme="minorHAnsi"/>
          <w:sz w:val="24"/>
          <w:szCs w:val="24"/>
          <w:lang w:val="pl-PL"/>
        </w:rPr>
        <w:t>dotyczącą wirusa</w:t>
      </w:r>
      <w:r w:rsidRPr="002C2D40">
        <w:rPr>
          <w:rFonts w:asciiTheme="minorHAnsi" w:hAnsiTheme="minorHAnsi"/>
          <w:sz w:val="24"/>
          <w:szCs w:val="24"/>
          <w:lang w:val="pl-PL"/>
        </w:rPr>
        <w:t xml:space="preserve"> SARS-CoV-2 w 2020 r. nie prowadzono działań związanych z organizowaniem szkoleń i debat poświęconych tematyce Konwencji i orzecznictwa Trybunału. </w:t>
      </w:r>
    </w:p>
    <w:p w:rsidR="002E7CF9" w:rsidRPr="002C2D40" w:rsidRDefault="002E7CF9" w:rsidP="002E7CF9">
      <w:pPr>
        <w:pStyle w:val="Akapitzlist"/>
        <w:spacing w:before="120" w:after="0" w:line="240" w:lineRule="auto"/>
        <w:ind w:left="0"/>
        <w:jc w:val="both"/>
        <w:rPr>
          <w:rFonts w:asciiTheme="minorHAnsi" w:hAnsiTheme="minorHAnsi"/>
          <w:sz w:val="24"/>
          <w:szCs w:val="24"/>
          <w:lang w:val="pl-PL"/>
        </w:rPr>
      </w:pPr>
    </w:p>
    <w:p w:rsidR="0069656F" w:rsidRPr="002C2D40" w:rsidRDefault="0069656F" w:rsidP="002C2D40">
      <w:pPr>
        <w:pStyle w:val="Nagwek1"/>
        <w:spacing w:before="120"/>
        <w:rPr>
          <w:rFonts w:asciiTheme="minorHAnsi" w:hAnsiTheme="minorHAnsi"/>
          <w:lang w:val="pl-PL"/>
        </w:rPr>
      </w:pPr>
      <w:bookmarkStart w:id="10" w:name="_Toc67656268"/>
      <w:r w:rsidRPr="002C2D40">
        <w:rPr>
          <w:rFonts w:asciiTheme="minorHAnsi" w:hAnsiTheme="minorHAnsi"/>
        </w:rPr>
        <w:lastRenderedPageBreak/>
        <w:t>Sprawy dotyczące wyborów i wyznaczenia osób na stanowiska w Europejskim Trybunale Praw Człowieka i w Radzie Europy</w:t>
      </w:r>
      <w:bookmarkEnd w:id="10"/>
    </w:p>
    <w:p w:rsidR="007E61D4" w:rsidRPr="002C2D40" w:rsidRDefault="007E61D4" w:rsidP="00592FD6">
      <w:pPr>
        <w:spacing w:before="120"/>
        <w:jc w:val="both"/>
        <w:rPr>
          <w:rFonts w:asciiTheme="minorHAnsi" w:eastAsia="Calibri" w:hAnsiTheme="minorHAnsi"/>
        </w:rPr>
      </w:pPr>
      <w:r w:rsidRPr="002C2D40">
        <w:rPr>
          <w:rFonts w:asciiTheme="minorHAnsi" w:eastAsia="Calibri" w:hAnsiTheme="minorHAnsi"/>
        </w:rPr>
        <w:t>W 2020 r. MSZ przeprowadziło procedurę wyłonienia trojga kandydatów na urząd sędziego ETPC z ramienia Polski. Konieczność wyboru nowego sędziego wynikała z faktu, że kadencja obecnego sędziego, prof. dr hab. Krzysztofa Wojtyczka, upływa w dniu 31 października 2021</w:t>
      </w:r>
      <w:r w:rsidR="002E7CF9">
        <w:rPr>
          <w:rFonts w:asciiTheme="minorHAnsi" w:hAnsiTheme="minorHAnsi"/>
        </w:rPr>
        <w:t> </w:t>
      </w:r>
      <w:r w:rsidRPr="002C2D40">
        <w:rPr>
          <w:rFonts w:asciiTheme="minorHAnsi" w:eastAsia="Calibri" w:hAnsiTheme="minorHAnsi"/>
        </w:rPr>
        <w:t>r.</w:t>
      </w:r>
    </w:p>
    <w:p w:rsidR="007E61D4" w:rsidRPr="002C2D40" w:rsidRDefault="007E61D4" w:rsidP="00592FD6">
      <w:pPr>
        <w:spacing w:before="120"/>
        <w:jc w:val="both"/>
        <w:rPr>
          <w:rFonts w:asciiTheme="minorHAnsi" w:eastAsia="Calibri" w:hAnsiTheme="minorHAnsi"/>
        </w:rPr>
      </w:pPr>
      <w:r w:rsidRPr="002C2D40">
        <w:rPr>
          <w:rFonts w:asciiTheme="minorHAnsi" w:eastAsia="Calibri" w:hAnsiTheme="minorHAnsi"/>
        </w:rPr>
        <w:t xml:space="preserve">W dniu 4 marca 2020 r. Ministerstwo Spraw Zagranicznych otrzymało </w:t>
      </w:r>
      <w:r w:rsidR="002E7CF9">
        <w:rPr>
          <w:rFonts w:asciiTheme="minorHAnsi" w:eastAsia="Calibri" w:hAnsiTheme="minorHAnsi"/>
        </w:rPr>
        <w:t>pismo</w:t>
      </w:r>
      <w:r w:rsidR="002E7CF9" w:rsidRPr="002C2D40">
        <w:rPr>
          <w:rFonts w:asciiTheme="minorHAnsi" w:eastAsia="Calibri" w:hAnsiTheme="minorHAnsi"/>
        </w:rPr>
        <w:t xml:space="preserve"> </w:t>
      </w:r>
      <w:r w:rsidRPr="002C2D40">
        <w:rPr>
          <w:rFonts w:asciiTheme="minorHAnsi" w:eastAsia="Calibri" w:hAnsiTheme="minorHAnsi"/>
        </w:rPr>
        <w:t>Sekretarza Generalnego Zgromadzenia Parlamentarnego Rady Europy, informując</w:t>
      </w:r>
      <w:r w:rsidR="002E7CF9">
        <w:rPr>
          <w:rFonts w:asciiTheme="minorHAnsi" w:eastAsia="Calibri" w:hAnsiTheme="minorHAnsi"/>
        </w:rPr>
        <w:t>e</w:t>
      </w:r>
      <w:r w:rsidRPr="002C2D40">
        <w:rPr>
          <w:rFonts w:asciiTheme="minorHAnsi" w:eastAsia="Calibri" w:hAnsiTheme="minorHAnsi"/>
        </w:rPr>
        <w:t xml:space="preserve"> o rozpoczęciu procedury wyboru sędziego Europejskiego Trybunału Praw Człowieka z ramienia Polski na kadencję 2021-2030. Sekretarz Generalny ZPRE zwrócił się o przedłożenie Zgromadzeniu Parlamentarnemu listy trzech kandydatów do ETPC najpóźniej do dnia 8 marca 2021 r.</w:t>
      </w:r>
    </w:p>
    <w:p w:rsidR="007E61D4" w:rsidRDefault="007E61D4" w:rsidP="00592FD6">
      <w:pPr>
        <w:spacing w:before="120"/>
        <w:jc w:val="both"/>
        <w:rPr>
          <w:rFonts w:asciiTheme="minorHAnsi" w:hAnsiTheme="minorHAnsi"/>
        </w:rPr>
      </w:pPr>
      <w:r w:rsidRPr="002C2D40">
        <w:rPr>
          <w:rFonts w:asciiTheme="minorHAnsi" w:hAnsiTheme="minorHAnsi"/>
        </w:rPr>
        <w:t>Procedura wyłonienia kandydatów na urząd sędziego Europejskiego Trybunału Praw Człowieka została przeprowadzona na podstawie zarządzenia nr 1 Ministra Spraw Zagranicznych z dnia 13 stycznia 2012 r. w sprawie powołania Zespołu do spraw wyłonienia kandydatów na urząd sędziego Europejskiego Trybunału Praw Człowieka w Strasburgu (Dz. Urz. Min. Spraw Zagr. z 2012 r. poz. 1, oraz z 2020 r. poz. 55) – według tych samych zasad, co procedura wyłonienia kandydatów w 2012 r.</w:t>
      </w:r>
    </w:p>
    <w:p w:rsidR="007E61D4" w:rsidRPr="002E7CF9" w:rsidRDefault="007E61D4" w:rsidP="00592FD6">
      <w:pPr>
        <w:pStyle w:val="Akapitzlist"/>
        <w:numPr>
          <w:ilvl w:val="0"/>
          <w:numId w:val="31"/>
        </w:numPr>
        <w:spacing w:before="120" w:after="0" w:line="240" w:lineRule="auto"/>
        <w:ind w:left="709" w:hanging="425"/>
        <w:jc w:val="both"/>
        <w:rPr>
          <w:rFonts w:asciiTheme="minorHAnsi" w:hAnsiTheme="minorHAnsi"/>
          <w:i/>
          <w:sz w:val="24"/>
          <w:szCs w:val="24"/>
        </w:rPr>
      </w:pPr>
      <w:r w:rsidRPr="002E7CF9">
        <w:rPr>
          <w:rFonts w:asciiTheme="minorHAnsi" w:hAnsiTheme="minorHAnsi"/>
          <w:i/>
          <w:sz w:val="24"/>
          <w:szCs w:val="24"/>
        </w:rPr>
        <w:t>upowszechnienie ogłoszenia o konkursie</w:t>
      </w:r>
    </w:p>
    <w:p w:rsidR="007E61D4" w:rsidRPr="002C2D40" w:rsidRDefault="007E61D4" w:rsidP="00592FD6">
      <w:pPr>
        <w:spacing w:before="120"/>
        <w:jc w:val="both"/>
        <w:rPr>
          <w:rFonts w:asciiTheme="minorHAnsi" w:hAnsiTheme="minorHAnsi"/>
        </w:rPr>
      </w:pPr>
      <w:r w:rsidRPr="002C2D40">
        <w:rPr>
          <w:rFonts w:asciiTheme="minorHAnsi" w:hAnsiTheme="minorHAnsi"/>
        </w:rPr>
        <w:t>W dniu 9 października 2020 r. Ministerstwo Spraw Zagranicznych zamieściło ogłoszenie o konkursie w trzech dziennikach ogólnopolskich</w:t>
      </w:r>
      <w:r w:rsidR="00922747">
        <w:rPr>
          <w:rFonts w:asciiTheme="minorHAnsi" w:hAnsiTheme="minorHAnsi"/>
        </w:rPr>
        <w:t>,</w:t>
      </w:r>
      <w:r w:rsidRPr="002C2D40">
        <w:rPr>
          <w:rFonts w:asciiTheme="minorHAnsi" w:hAnsiTheme="minorHAnsi"/>
        </w:rPr>
        <w:t xml:space="preserve"> w tym w dziennikach o profilu prawniczym: Dziennik Gazeta Prawna, Rzeczpospolita, a także Gazeta Polska Codziennie. W tym samym dniu MSZ zamieściło ogłoszenie na głównej stronie internetowej MSZ. Ponadto MSZ promowało ogłoszenie na swym koncie na Twitterze oraz Linkedin.</w:t>
      </w:r>
    </w:p>
    <w:p w:rsidR="007E61D4" w:rsidRPr="002C2D40" w:rsidRDefault="007E61D4" w:rsidP="00592FD6">
      <w:pPr>
        <w:spacing w:before="120"/>
        <w:jc w:val="both"/>
        <w:rPr>
          <w:rFonts w:asciiTheme="minorHAnsi" w:hAnsiTheme="minorHAnsi"/>
        </w:rPr>
      </w:pPr>
      <w:r w:rsidRPr="002C2D40">
        <w:rPr>
          <w:rFonts w:asciiTheme="minorHAnsi" w:hAnsiTheme="minorHAnsi"/>
        </w:rPr>
        <w:t>MSZ uruchomiło także specjalną zakładkę poświęconą procedurze wyboru (skrót do tej zakładki był stale umieszczony na stronie głównej MSZ). W zakładce tej zamieszczono – oprócz ogłoszenia – m.in. tekst zarządzenia i Konwencji, formularze dla kandydatów (w tym wzór CV w językach polskim, angielskim i francuskim), szereg dokumentów Rady Europy dotyczących procedury wyboru, w tym Wytyczne KM, rezolucje i regulamin ZPRE, rezolucję KM dotyczącą ustanowienia Panelu Doradczego oraz warunków zatrudnienia sędziów, memorandum przygotowane przez ZPRE (które zostało przetłumaczone na język polski), zasady dotyczące przetwarzania danych osobowych oraz materiały dla członków Zespołu dokonującego wyłonienia trzech kandydatów. W ramach tej zakładki zamieszczano także aktualności na temat poszczególnych etapów procedury wyboru. Ministerstwo Spraw Zagranicznych ponadto przetłumaczyło na język polski i udostępniło „Memorandum Zgromadzenia Parlamentarnego RE na temat standardów wyłaniania kandydatów na urząd sędziego Europejskiego Trybunału Praw Człowieka”, a także „Krótki przewodnik dotyczący roli Doradczego Panelu Ekspertów i minimalnych kwalifikacji wymaganych od kandydatów na urząd sędziego Europejskiego Trybunału Praw Człowieka". Tłumaczenia zostały dokonane w celu zwiększenia przejrzystości informacji na temat standardów Rady Europy – zarówno wśród kandydatów, jak i członków Zespołu za</w:t>
      </w:r>
      <w:r w:rsidR="002E7CF9">
        <w:rPr>
          <w:rFonts w:asciiTheme="minorHAnsi" w:hAnsiTheme="minorHAnsi"/>
        </w:rPr>
        <w:t>jmującego się ich wyłonieniem.</w:t>
      </w:r>
    </w:p>
    <w:p w:rsidR="007E61D4" w:rsidRPr="002C2D40" w:rsidRDefault="007E61D4" w:rsidP="00592FD6">
      <w:pPr>
        <w:spacing w:before="120"/>
        <w:jc w:val="both"/>
        <w:rPr>
          <w:rFonts w:asciiTheme="minorHAnsi" w:hAnsiTheme="minorHAnsi"/>
        </w:rPr>
      </w:pPr>
      <w:r w:rsidRPr="002C2D40">
        <w:rPr>
          <w:rFonts w:asciiTheme="minorHAnsi" w:hAnsiTheme="minorHAnsi"/>
        </w:rPr>
        <w:t xml:space="preserve">W dniu 9 października 2020 r. MSZ wystosowało także pismo do 131 adresatów, m.in. Prezesa Rady Ministrów i wszystkich członków Rady Ministrów, 3 pełnomocników rządu zajmujących się tematyką związaną z prawami człowieka, Trybunału Konstytucyjnego, Sądu Najwyższego, Naczelnego Sądu Administracyjnego i Krajowej Rady Sądownictwa, prezesów wszystkich </w:t>
      </w:r>
      <w:r w:rsidRPr="002C2D40">
        <w:rPr>
          <w:rFonts w:asciiTheme="minorHAnsi" w:hAnsiTheme="minorHAnsi"/>
        </w:rPr>
        <w:lastRenderedPageBreak/>
        <w:t>sądów apelacyjnych oraz wojewódzkich sądów administracyjnych, Rzecznika Praw Obywatelskich, Rzecznika Praw Dziecka i Rzecznika Praw Pacjenta, do nac</w:t>
      </w:r>
      <w:r w:rsidR="00922747">
        <w:rPr>
          <w:rFonts w:asciiTheme="minorHAnsi" w:hAnsiTheme="minorHAnsi"/>
        </w:rPr>
        <w:t>zelnych organów państwa, w tym K</w:t>
      </w:r>
      <w:r w:rsidRPr="002C2D40">
        <w:rPr>
          <w:rFonts w:asciiTheme="minorHAnsi" w:hAnsiTheme="minorHAnsi"/>
        </w:rPr>
        <w:t>ancelarii Prezydenta RP, Sejmu RP i Senatu RP, urzędów centralnych zaangażowanych w wykonywanie wyroków ETPC, prezesów organów samorządu prawniczego (adwokatury, radców prawnych i komorników) oraz szefów komisji praw człowieka adwokatury i radców prawnych, 5 organizacji pozarządowych reprezentujących zróżnicowane stanowiska, współpracujących na stałe z Zespołem ds. ETPC, kilkudziesięciu osób będących członkami Zespołu ds. ETPC lub na stałe z nim współpracujących, dziekanów wydziału prawa 18 uczelni wyższych w całym kraju, szkół kształcących sędziów, prokuratorów i urzędników (K</w:t>
      </w:r>
      <w:r w:rsidR="00922747">
        <w:rPr>
          <w:rFonts w:asciiTheme="minorHAnsi" w:hAnsiTheme="minorHAnsi"/>
        </w:rPr>
        <w:t xml:space="preserve">rajowa </w:t>
      </w:r>
      <w:r w:rsidRPr="002C2D40">
        <w:rPr>
          <w:rFonts w:asciiTheme="minorHAnsi" w:hAnsiTheme="minorHAnsi"/>
        </w:rPr>
        <w:t>S</w:t>
      </w:r>
      <w:r w:rsidR="00922747">
        <w:rPr>
          <w:rFonts w:asciiTheme="minorHAnsi" w:hAnsiTheme="minorHAnsi"/>
        </w:rPr>
        <w:t xml:space="preserve">zkoła </w:t>
      </w:r>
      <w:r w:rsidRPr="002C2D40">
        <w:rPr>
          <w:rFonts w:asciiTheme="minorHAnsi" w:hAnsiTheme="minorHAnsi"/>
        </w:rPr>
        <w:t>S</w:t>
      </w:r>
      <w:r w:rsidR="00922747">
        <w:rPr>
          <w:rFonts w:asciiTheme="minorHAnsi" w:hAnsiTheme="minorHAnsi"/>
        </w:rPr>
        <w:t xml:space="preserve">ądownictwa </w:t>
      </w:r>
      <w:r w:rsidRPr="002C2D40">
        <w:rPr>
          <w:rFonts w:asciiTheme="minorHAnsi" w:hAnsiTheme="minorHAnsi"/>
        </w:rPr>
        <w:t>i</w:t>
      </w:r>
      <w:r w:rsidR="00922747">
        <w:rPr>
          <w:rFonts w:asciiTheme="minorHAnsi" w:hAnsiTheme="minorHAnsi"/>
        </w:rPr>
        <w:t xml:space="preserve"> </w:t>
      </w:r>
      <w:r w:rsidRPr="002C2D40">
        <w:rPr>
          <w:rFonts w:asciiTheme="minorHAnsi" w:hAnsiTheme="minorHAnsi"/>
        </w:rPr>
        <w:t>P</w:t>
      </w:r>
      <w:r w:rsidR="00922747">
        <w:rPr>
          <w:rFonts w:asciiTheme="minorHAnsi" w:hAnsiTheme="minorHAnsi"/>
        </w:rPr>
        <w:t>rokuratury</w:t>
      </w:r>
      <w:r w:rsidRPr="002C2D40">
        <w:rPr>
          <w:rFonts w:asciiTheme="minorHAnsi" w:hAnsiTheme="minorHAnsi"/>
        </w:rPr>
        <w:t>, K</w:t>
      </w:r>
      <w:r w:rsidR="00922747">
        <w:rPr>
          <w:rFonts w:asciiTheme="minorHAnsi" w:hAnsiTheme="minorHAnsi"/>
        </w:rPr>
        <w:t xml:space="preserve">rajowa </w:t>
      </w:r>
      <w:r w:rsidRPr="002C2D40">
        <w:rPr>
          <w:rFonts w:asciiTheme="minorHAnsi" w:hAnsiTheme="minorHAnsi"/>
        </w:rPr>
        <w:t>S</w:t>
      </w:r>
      <w:r w:rsidR="00922747">
        <w:rPr>
          <w:rFonts w:asciiTheme="minorHAnsi" w:hAnsiTheme="minorHAnsi"/>
        </w:rPr>
        <w:t xml:space="preserve">zkoła </w:t>
      </w:r>
      <w:r w:rsidRPr="002C2D40">
        <w:rPr>
          <w:rFonts w:asciiTheme="minorHAnsi" w:hAnsiTheme="minorHAnsi"/>
        </w:rPr>
        <w:t>A</w:t>
      </w:r>
      <w:r w:rsidR="00922747">
        <w:rPr>
          <w:rFonts w:asciiTheme="minorHAnsi" w:hAnsiTheme="minorHAnsi"/>
        </w:rPr>
        <w:t xml:space="preserve">dministracji </w:t>
      </w:r>
      <w:r w:rsidRPr="002C2D40">
        <w:rPr>
          <w:rFonts w:asciiTheme="minorHAnsi" w:hAnsiTheme="minorHAnsi"/>
        </w:rPr>
        <w:t>P</w:t>
      </w:r>
      <w:r w:rsidR="00922747">
        <w:rPr>
          <w:rFonts w:asciiTheme="minorHAnsi" w:hAnsiTheme="minorHAnsi"/>
        </w:rPr>
        <w:t>ublicznej</w:t>
      </w:r>
      <w:r w:rsidRPr="002C2D40">
        <w:rPr>
          <w:rFonts w:asciiTheme="minorHAnsi" w:hAnsiTheme="minorHAnsi"/>
        </w:rPr>
        <w:t xml:space="preserve">) oraz do Polskiej Akademii Nauk, a także do 16 regionalnych ośrodków debaty międzynarodowej. MSZ poinformowało te podmioty o toczącej się procedurze wyłaniania kandydatów, wskazało wymogi, które należy spełnić, a także zwróciło się do tych podmiotów o upowszechnienie ogłoszenia, w tym poprzez zamieszczenie na ich stronach internetowych. </w:t>
      </w:r>
    </w:p>
    <w:p w:rsidR="007E61D4" w:rsidRDefault="007E61D4" w:rsidP="00592FD6">
      <w:pPr>
        <w:spacing w:before="120"/>
        <w:jc w:val="both"/>
        <w:rPr>
          <w:rFonts w:asciiTheme="minorHAnsi" w:hAnsiTheme="minorHAnsi"/>
        </w:rPr>
      </w:pPr>
      <w:r w:rsidRPr="002C2D40">
        <w:rPr>
          <w:rFonts w:asciiTheme="minorHAnsi" w:hAnsiTheme="minorHAnsi"/>
        </w:rPr>
        <w:t xml:space="preserve">Ogłoszenie MSZ zostało zamieszczone również przez Centrum Prasowe PAP oraz portale Prawo.pl oraz Portalsamorządowy.pl, w Serwisie Służby Cywilnej, w serwisach samorządu radcowskiego i adwokackiego, a także na innych portalach. </w:t>
      </w:r>
    </w:p>
    <w:p w:rsidR="007E61D4" w:rsidRPr="00BA410C" w:rsidRDefault="007E61D4" w:rsidP="00592FD6">
      <w:pPr>
        <w:pStyle w:val="Akapitzlist"/>
        <w:numPr>
          <w:ilvl w:val="0"/>
          <w:numId w:val="32"/>
        </w:numPr>
        <w:spacing w:before="120" w:after="0" w:line="240" w:lineRule="auto"/>
        <w:ind w:left="709" w:hanging="425"/>
        <w:jc w:val="both"/>
        <w:rPr>
          <w:rFonts w:asciiTheme="minorHAnsi" w:hAnsiTheme="minorHAnsi"/>
          <w:i/>
          <w:sz w:val="24"/>
          <w:szCs w:val="24"/>
        </w:rPr>
      </w:pPr>
      <w:r w:rsidRPr="00BA410C">
        <w:rPr>
          <w:rFonts w:asciiTheme="minorHAnsi" w:hAnsiTheme="minorHAnsi"/>
          <w:i/>
          <w:sz w:val="24"/>
          <w:szCs w:val="24"/>
        </w:rPr>
        <w:t>otrzymane zgłoszenia</w:t>
      </w:r>
    </w:p>
    <w:p w:rsidR="007E61D4" w:rsidRDefault="007E61D4" w:rsidP="00592FD6">
      <w:pPr>
        <w:spacing w:before="120"/>
        <w:jc w:val="both"/>
        <w:rPr>
          <w:rFonts w:asciiTheme="minorHAnsi" w:hAnsiTheme="minorHAnsi"/>
        </w:rPr>
      </w:pPr>
      <w:r w:rsidRPr="002C2D40">
        <w:rPr>
          <w:rFonts w:asciiTheme="minorHAnsi" w:hAnsiTheme="minorHAnsi"/>
        </w:rPr>
        <w:t xml:space="preserve">W odpowiedzi na ogłoszenie o możliwości ubiegania się o rekomendację Rządu RP na stanowisko sędziego Europejskiego Trybunału Praw Człowieka w wyznaczonym terminie do dnia 6 listopada 2020 r. wpłynęło 18 zgłoszeń: ośmiu kobiet i dziesięciu mężczyzn. Troje kandydatów wycofało jednak swe kandydatury przed rozmowami kwalifikacyjnymi. Ostatecznie w konkursie uczestniczyło sześć kobiet i dziewięciu mężczyzn. </w:t>
      </w:r>
    </w:p>
    <w:p w:rsidR="007E61D4" w:rsidRPr="00BA410C" w:rsidRDefault="007E61D4" w:rsidP="00592FD6">
      <w:pPr>
        <w:pStyle w:val="Akapitzlist"/>
        <w:numPr>
          <w:ilvl w:val="0"/>
          <w:numId w:val="32"/>
        </w:numPr>
        <w:spacing w:before="120" w:after="0" w:line="240" w:lineRule="auto"/>
        <w:ind w:left="709" w:hanging="436"/>
        <w:jc w:val="both"/>
        <w:rPr>
          <w:rFonts w:asciiTheme="minorHAnsi" w:hAnsiTheme="minorHAnsi"/>
          <w:i/>
          <w:sz w:val="24"/>
          <w:szCs w:val="24"/>
        </w:rPr>
      </w:pPr>
      <w:r w:rsidRPr="00BA410C">
        <w:rPr>
          <w:rFonts w:asciiTheme="minorHAnsi" w:hAnsiTheme="minorHAnsi"/>
          <w:i/>
          <w:sz w:val="24"/>
          <w:szCs w:val="24"/>
        </w:rPr>
        <w:t>skład zespołu wyłaniającego listę kandydatów</w:t>
      </w:r>
    </w:p>
    <w:p w:rsidR="007E61D4" w:rsidRPr="002C2D40" w:rsidRDefault="007E61D4" w:rsidP="00592FD6">
      <w:pPr>
        <w:spacing w:before="120"/>
        <w:jc w:val="both"/>
        <w:rPr>
          <w:rFonts w:asciiTheme="minorHAnsi" w:hAnsiTheme="minorHAnsi"/>
        </w:rPr>
      </w:pPr>
      <w:r w:rsidRPr="002C2D40">
        <w:rPr>
          <w:rFonts w:asciiTheme="minorHAnsi" w:hAnsiTheme="minorHAnsi"/>
        </w:rPr>
        <w:t xml:space="preserve">Decyzją Ministra Spraw Zagranicznych z dnia 10 listopada 2020 r. powołany został Zespół do spraw wyłonienia kandydatów na urząd sędziego Europejskiego Trybunału Praw Człowieka w Strasburgu, w skład którego weszli: </w:t>
      </w:r>
    </w:p>
    <w:p w:rsidR="007E61D4" w:rsidRPr="002C2D40" w:rsidRDefault="007E61D4" w:rsidP="00592FD6">
      <w:pPr>
        <w:spacing w:before="120"/>
        <w:ind w:left="709"/>
        <w:jc w:val="both"/>
        <w:rPr>
          <w:rFonts w:asciiTheme="minorHAnsi" w:hAnsiTheme="minorHAnsi"/>
        </w:rPr>
      </w:pPr>
      <w:r w:rsidRPr="002C2D40">
        <w:rPr>
          <w:rFonts w:asciiTheme="minorHAnsi" w:hAnsiTheme="minorHAnsi"/>
        </w:rPr>
        <w:t>1) Pan dr hab. Piotr Wawrzyk, Sekretarz Stanu w Ministerstwie Spraw Zagranicznych ds. prawnych, prawno-traktatowych, Narodów Zjednoczonych oraz konsularnych i parlamentarnych – przewodniczący Zespołu;</w:t>
      </w:r>
    </w:p>
    <w:p w:rsidR="007E61D4" w:rsidRPr="002C2D40" w:rsidRDefault="007E61D4" w:rsidP="00592FD6">
      <w:pPr>
        <w:spacing w:before="120"/>
        <w:ind w:left="709"/>
        <w:jc w:val="both"/>
        <w:rPr>
          <w:rFonts w:asciiTheme="minorHAnsi" w:hAnsiTheme="minorHAnsi"/>
        </w:rPr>
      </w:pPr>
      <w:r w:rsidRPr="002C2D40">
        <w:rPr>
          <w:rFonts w:asciiTheme="minorHAnsi" w:hAnsiTheme="minorHAnsi"/>
        </w:rPr>
        <w:t>2) Pan dr hab. Paweł Sobczyk, Dziekan Wydziału Prawa i Administracji Uniwersytetu Opolskiego – wskazany przez Ministra Sprawiedliwości;</w:t>
      </w:r>
    </w:p>
    <w:p w:rsidR="007E61D4" w:rsidRPr="002C2D40" w:rsidRDefault="007E61D4" w:rsidP="00592FD6">
      <w:pPr>
        <w:spacing w:before="120"/>
        <w:ind w:left="709"/>
        <w:jc w:val="both"/>
        <w:rPr>
          <w:rFonts w:asciiTheme="minorHAnsi" w:hAnsiTheme="minorHAnsi"/>
        </w:rPr>
      </w:pPr>
      <w:r w:rsidRPr="002C2D40">
        <w:rPr>
          <w:rFonts w:asciiTheme="minorHAnsi" w:hAnsiTheme="minorHAnsi"/>
        </w:rPr>
        <w:t>3) Pan dr Konrad Marciniak, Dyrektor Departamentu Prawno-Traktatowego w Ministerstwie Spraw Zagranicznych – wskazany przez Ministra Spraw Zagranicznych;</w:t>
      </w:r>
    </w:p>
    <w:p w:rsidR="007E61D4" w:rsidRPr="002C2D40" w:rsidRDefault="007E61D4" w:rsidP="00592FD6">
      <w:pPr>
        <w:spacing w:before="120"/>
        <w:ind w:left="709"/>
        <w:jc w:val="both"/>
        <w:rPr>
          <w:rFonts w:asciiTheme="minorHAnsi" w:hAnsiTheme="minorHAnsi"/>
        </w:rPr>
      </w:pPr>
      <w:r w:rsidRPr="002C2D40">
        <w:rPr>
          <w:rFonts w:asciiTheme="minorHAnsi" w:hAnsiTheme="minorHAnsi"/>
        </w:rPr>
        <w:t>4) Pani radca prawny Justyna Chrzanowska, Zastępca Dyrektora Departamentu Narodów Zjednoczonych i Praw Człowieka w Ministerstwie Spraw Zagranicznych – wskazana przez Ministra Spraw Zagranicznych;</w:t>
      </w:r>
    </w:p>
    <w:p w:rsidR="007E61D4" w:rsidRPr="002C2D40" w:rsidRDefault="007E61D4" w:rsidP="00592FD6">
      <w:pPr>
        <w:spacing w:before="120"/>
        <w:ind w:left="709"/>
        <w:jc w:val="both"/>
        <w:rPr>
          <w:rFonts w:asciiTheme="minorHAnsi" w:hAnsiTheme="minorHAnsi"/>
        </w:rPr>
      </w:pPr>
      <w:r w:rsidRPr="002C2D40">
        <w:rPr>
          <w:rFonts w:asciiTheme="minorHAnsi" w:hAnsiTheme="minorHAnsi"/>
        </w:rPr>
        <w:t>5) Pan dr hab. Marcin Kałduński, Zastępca Dyrektora Departamentu Prawa Międzynarodowego i Europejskiego w Prokuratorii Generalnej Rzeczypospolitej Polskiej – wskazany przez Prezesa Prokuratorii Generalnej Rzeczypospolitej Polskiej;</w:t>
      </w:r>
    </w:p>
    <w:p w:rsidR="007E61D4" w:rsidRPr="002C2D40" w:rsidRDefault="007E61D4" w:rsidP="00592FD6">
      <w:pPr>
        <w:spacing w:before="120"/>
        <w:ind w:left="709"/>
        <w:jc w:val="both"/>
        <w:rPr>
          <w:rFonts w:asciiTheme="minorHAnsi" w:hAnsiTheme="minorHAnsi"/>
        </w:rPr>
      </w:pPr>
      <w:r w:rsidRPr="002C2D40">
        <w:rPr>
          <w:rFonts w:asciiTheme="minorHAnsi" w:hAnsiTheme="minorHAnsi"/>
        </w:rPr>
        <w:t>6) Pan Krzysztof Kubów, Sekretarz Stanu w Kancelarii Prezesa Rady Ministrów – wskazany przez Szefa Kancelarii Prezesa Rady Ministrów;</w:t>
      </w:r>
    </w:p>
    <w:p w:rsidR="007E61D4" w:rsidRPr="002C2D40" w:rsidRDefault="007E61D4" w:rsidP="00592FD6">
      <w:pPr>
        <w:spacing w:before="120"/>
        <w:ind w:left="709"/>
        <w:jc w:val="both"/>
        <w:rPr>
          <w:rFonts w:asciiTheme="minorHAnsi" w:hAnsiTheme="minorHAnsi"/>
        </w:rPr>
      </w:pPr>
      <w:r w:rsidRPr="002C2D40">
        <w:rPr>
          <w:rFonts w:asciiTheme="minorHAnsi" w:hAnsiTheme="minorHAnsi"/>
        </w:rPr>
        <w:lastRenderedPageBreak/>
        <w:t>7) Pan Jan Sobczak, Pełnomocnik Ministra Spraw Zagranicznych do spraw postępowań przed Europejskim Trybunałem Praw Człowieka w Ministerstwie Spraw Zagranicznych  – sekretarz Zespołu bez prawa głosu.</w:t>
      </w:r>
    </w:p>
    <w:p w:rsidR="007E61D4" w:rsidRPr="002C2D40" w:rsidRDefault="007E61D4" w:rsidP="00592FD6">
      <w:pPr>
        <w:spacing w:before="120"/>
        <w:jc w:val="both"/>
        <w:rPr>
          <w:rFonts w:asciiTheme="minorHAnsi" w:hAnsiTheme="minorHAnsi"/>
        </w:rPr>
      </w:pPr>
      <w:r w:rsidRPr="002C2D40">
        <w:rPr>
          <w:rFonts w:asciiTheme="minorHAnsi" w:hAnsiTheme="minorHAnsi"/>
        </w:rPr>
        <w:t>Podstaw</w:t>
      </w:r>
      <w:r w:rsidR="00922747">
        <w:rPr>
          <w:rFonts w:asciiTheme="minorHAnsi" w:hAnsiTheme="minorHAnsi"/>
        </w:rPr>
        <w:t>ę</w:t>
      </w:r>
      <w:r w:rsidRPr="002C2D40">
        <w:rPr>
          <w:rFonts w:asciiTheme="minorHAnsi" w:hAnsiTheme="minorHAnsi"/>
        </w:rPr>
        <w:t xml:space="preserve"> powołania Zespołu stanowiły § 1 i § 3 zarządzenia nr 1 Ministra Spraw Zagranicznych z dnia 13 stycznia 2012 r. w sprawie powołania Zespołu do spraw wyłonienia kandydatów na urząd sędziego Europejskiego Trybunału Praw Człowieka w Strasburgu (Dz. Urz. Min. Spraw Zagr. z 2012 r. poz. 1, oraz z 2020 r. poz. 55). </w:t>
      </w:r>
    </w:p>
    <w:p w:rsidR="007E61D4" w:rsidRDefault="007E61D4" w:rsidP="00592FD6">
      <w:pPr>
        <w:spacing w:before="120"/>
        <w:jc w:val="both"/>
        <w:rPr>
          <w:rFonts w:asciiTheme="minorHAnsi" w:hAnsiTheme="minorHAnsi"/>
        </w:rPr>
      </w:pPr>
      <w:r w:rsidRPr="002C2D40">
        <w:rPr>
          <w:rFonts w:asciiTheme="minorHAnsi" w:hAnsiTheme="minorHAnsi"/>
        </w:rPr>
        <w:t>We współpracy między Ministerstwem Spraw Zagranicznych i Ministerstwem Sprawiedliwości wprowadzona została z dniem 6 października 2020 r. zmiana do zarządzenia, dzięki której do składu Zespołu włączono dwóch dodatkowych przedstawicieli środowisk akademickich – specjalistów od prawa konstytucyjnego i prawa międzynarodowego, w tym jedną osobę spoza administracji. Osoby te weszły w skład Zespołu zamiast przewidzianych pierwotnie w zarządzeniu z 2012. Podsekretarza Stanu w Ministerstwie Sprawiedliwości i Prezesa Prokuratorii Generalnej RP.</w:t>
      </w:r>
    </w:p>
    <w:p w:rsidR="007E61D4" w:rsidRPr="00BA410C" w:rsidRDefault="007E61D4" w:rsidP="00592FD6">
      <w:pPr>
        <w:pStyle w:val="Akapitzlist"/>
        <w:numPr>
          <w:ilvl w:val="0"/>
          <w:numId w:val="32"/>
        </w:numPr>
        <w:spacing w:before="120" w:after="0" w:line="240" w:lineRule="auto"/>
        <w:ind w:left="709" w:hanging="436"/>
        <w:jc w:val="both"/>
        <w:rPr>
          <w:rFonts w:asciiTheme="minorHAnsi" w:hAnsiTheme="minorHAnsi"/>
          <w:i/>
          <w:sz w:val="24"/>
          <w:szCs w:val="24"/>
        </w:rPr>
      </w:pPr>
      <w:r w:rsidRPr="00BA410C">
        <w:rPr>
          <w:rFonts w:asciiTheme="minorHAnsi" w:hAnsiTheme="minorHAnsi"/>
          <w:i/>
          <w:sz w:val="24"/>
          <w:szCs w:val="24"/>
        </w:rPr>
        <w:t>prace zespołu wyłaniającego listę kandydatów</w:t>
      </w:r>
    </w:p>
    <w:p w:rsidR="007E61D4" w:rsidRPr="002C2D40" w:rsidRDefault="007E61D4" w:rsidP="00592FD6">
      <w:pPr>
        <w:spacing w:before="120"/>
        <w:jc w:val="both"/>
        <w:rPr>
          <w:rFonts w:asciiTheme="minorHAnsi" w:hAnsiTheme="minorHAnsi"/>
        </w:rPr>
      </w:pPr>
      <w:r w:rsidRPr="002C2D40">
        <w:rPr>
          <w:rFonts w:asciiTheme="minorHAnsi" w:hAnsiTheme="minorHAnsi"/>
        </w:rPr>
        <w:t xml:space="preserve">W dniu 12 listopada 2020 r. odbyło się pierwsze posiedzenie Zespołu do spraw wyłonienia kandydatów na urząd sędziego Europejskiego Trybunału Praw Człowieka w Strasburgu. Na posiedzeniu członkowie Zespołu zapoznali się z listą 18 nadesłanych kandydatur i dokonali zbadania zgłoszeń pod względem formalnym. </w:t>
      </w:r>
    </w:p>
    <w:p w:rsidR="007E61D4" w:rsidRPr="002C2D40" w:rsidRDefault="007E61D4" w:rsidP="00592FD6">
      <w:pPr>
        <w:spacing w:before="120"/>
        <w:jc w:val="both"/>
        <w:rPr>
          <w:rFonts w:asciiTheme="minorHAnsi" w:hAnsiTheme="minorHAnsi"/>
        </w:rPr>
      </w:pPr>
      <w:r w:rsidRPr="002C2D40">
        <w:rPr>
          <w:rFonts w:asciiTheme="minorHAnsi" w:hAnsiTheme="minorHAnsi"/>
        </w:rPr>
        <w:t>Przed przystąpieniem do badania zgłoszeń członkowie Zespołu złożyli oświadczenia na piśmie co do istnienia okoliczności tego rodzaju, że mogłaby wywołać uzasadnioną wątpliwość co do ich bezstronności wobec któregoś z kandydatów. Stosownie do złożonych oświadczeń nie zachodzi</w:t>
      </w:r>
      <w:r w:rsidR="00BA410C">
        <w:rPr>
          <w:rFonts w:asciiTheme="minorHAnsi" w:hAnsiTheme="minorHAnsi"/>
        </w:rPr>
        <w:t>ł</w:t>
      </w:r>
      <w:r w:rsidRPr="002C2D40">
        <w:rPr>
          <w:rFonts w:asciiTheme="minorHAnsi" w:hAnsiTheme="minorHAnsi"/>
        </w:rPr>
        <w:t xml:space="preserve"> konflikt interesów między którymkolwiek z członków Zespołu a osobami ubiegającymi się o nominację Rządu RP na kandydata na sędziego ETPC. </w:t>
      </w:r>
    </w:p>
    <w:p w:rsidR="007E61D4" w:rsidRPr="002C2D40" w:rsidRDefault="007E61D4" w:rsidP="00592FD6">
      <w:pPr>
        <w:spacing w:before="120"/>
        <w:jc w:val="both"/>
        <w:rPr>
          <w:rFonts w:asciiTheme="minorHAnsi" w:hAnsiTheme="minorHAnsi"/>
        </w:rPr>
      </w:pPr>
      <w:r w:rsidRPr="002C2D40">
        <w:rPr>
          <w:rFonts w:asciiTheme="minorHAnsi" w:hAnsiTheme="minorHAnsi"/>
        </w:rPr>
        <w:t>Zespół ustalił, że wszystkie otrzymane przez MSZ zgłoszenia zostały złożone w terminie. W przypadku ośmiu zgłoszeń Zespół stwierdził konieczność uzupełnienia przez zgłaszające się osoby braków w przesłanej dokumentacji w terminie 14 dni od daty otrzymania wezwania pod rygorem pominięcia kandydata w przypadku nieuzupełnienia dokumentacji. Jedna osoba została poproszona o przedstawienie wyjaśnień w związku z wątpliwościami co do spełnienia określonych wymagań.</w:t>
      </w:r>
    </w:p>
    <w:p w:rsidR="007E61D4" w:rsidRPr="002C2D40" w:rsidRDefault="007E61D4" w:rsidP="00592FD6">
      <w:pPr>
        <w:spacing w:before="120"/>
        <w:jc w:val="both"/>
        <w:rPr>
          <w:rFonts w:asciiTheme="minorHAnsi" w:hAnsiTheme="minorHAnsi"/>
        </w:rPr>
      </w:pPr>
      <w:r w:rsidRPr="002C2D40">
        <w:rPr>
          <w:rFonts w:asciiTheme="minorHAnsi" w:hAnsiTheme="minorHAnsi"/>
        </w:rPr>
        <w:t xml:space="preserve">Zespół postanowił także, że rozmowy kwalifikacyjne z kandydatami zostaną przeprowadzone w dniach 1-2 grudnia 2020 r. Jednocześnie Zespół ustalił zasady przeprowadzenia rozmów kwalifikacyjnych, które zostały zamieszczone na stronie internetowej MSZ oraz przekazane wszystkim kandydatom.  </w:t>
      </w:r>
    </w:p>
    <w:p w:rsidR="007E61D4" w:rsidRPr="002C2D40" w:rsidRDefault="007E61D4" w:rsidP="00592FD6">
      <w:pPr>
        <w:spacing w:before="120"/>
        <w:jc w:val="both"/>
        <w:rPr>
          <w:rFonts w:asciiTheme="minorHAnsi" w:hAnsiTheme="minorHAnsi"/>
        </w:rPr>
      </w:pPr>
      <w:r w:rsidRPr="002C2D40">
        <w:rPr>
          <w:rFonts w:asciiTheme="minorHAnsi" w:hAnsiTheme="minorHAnsi"/>
        </w:rPr>
        <w:t>W dniu 18 listopada 2020 r. Zespół przekazał wszystkim osobom, które zgłosiły się do udziału w procedurze konkursowej, informację o apelach organizacji pozarządowych, przedstawicieli samorządów prawniczych, mediów i parlamentarzystów o ujawnienie danych na temat osób, które zgłosiły się do konkursu. Zespół zwrócił się do wszystkich zgłoszonych osób o rozważenie – na zasadzie dobrowolności – możliwości ujawnienia informacji na temat udziału w konkursie. W odpowiedzi zgodę na ujawnienie informacji o kandydowaniu przekazały dwie osoby.</w:t>
      </w:r>
    </w:p>
    <w:p w:rsidR="007E61D4" w:rsidRPr="002C2D40" w:rsidRDefault="007E61D4" w:rsidP="00592FD6">
      <w:pPr>
        <w:spacing w:before="120"/>
        <w:jc w:val="both"/>
        <w:rPr>
          <w:rFonts w:asciiTheme="minorHAnsi" w:hAnsiTheme="minorHAnsi"/>
        </w:rPr>
      </w:pPr>
      <w:r w:rsidRPr="002C2D40">
        <w:rPr>
          <w:rFonts w:asciiTheme="minorHAnsi" w:hAnsiTheme="minorHAnsi"/>
        </w:rPr>
        <w:t xml:space="preserve">W dniach 1-2 grudnia 2020 r. odbyło się drugie posiedzenie Zespołu. Po przeanalizowaniu dokumentacji Zespół postanowił dopuścić wszystkie zgłoszone osoby do rozmów kwalifikacyjnych, uznając, że wszystkie braki formalne zgłoszeń zostały uzupełnione, a </w:t>
      </w:r>
      <w:r w:rsidRPr="002C2D40">
        <w:rPr>
          <w:rFonts w:asciiTheme="minorHAnsi" w:hAnsiTheme="minorHAnsi"/>
        </w:rPr>
        <w:lastRenderedPageBreak/>
        <w:t xml:space="preserve">wątpliwości wyjaśnione. Zespół odnotował jednocześnie, że trzy osoby wycofały swe kandydatury przed posiedzeniem. </w:t>
      </w:r>
    </w:p>
    <w:p w:rsidR="007E61D4" w:rsidRPr="002C2D40" w:rsidRDefault="007E61D4" w:rsidP="00592FD6">
      <w:pPr>
        <w:spacing w:before="120"/>
        <w:jc w:val="both"/>
        <w:rPr>
          <w:rFonts w:asciiTheme="minorHAnsi" w:hAnsiTheme="minorHAnsi"/>
        </w:rPr>
      </w:pPr>
      <w:r w:rsidRPr="002C2D40">
        <w:rPr>
          <w:rFonts w:asciiTheme="minorHAnsi" w:hAnsiTheme="minorHAnsi"/>
        </w:rPr>
        <w:t>Następnie Zespół ustalił listę 4 pytań do kandydatów, które były następujące:</w:t>
      </w:r>
    </w:p>
    <w:p w:rsidR="007E61D4" w:rsidRPr="002C2D40" w:rsidRDefault="007E61D4" w:rsidP="00592FD6">
      <w:pPr>
        <w:spacing w:before="120"/>
        <w:ind w:left="708"/>
        <w:jc w:val="both"/>
        <w:rPr>
          <w:rFonts w:asciiTheme="minorHAnsi" w:hAnsiTheme="minorHAnsi"/>
          <w:i/>
        </w:rPr>
      </w:pPr>
      <w:r w:rsidRPr="002C2D40">
        <w:rPr>
          <w:rFonts w:asciiTheme="minorHAnsi" w:hAnsiTheme="minorHAnsi"/>
          <w:i/>
          <w:lang w:val="fr-FR"/>
        </w:rPr>
        <w:t xml:space="preserve">1) Quels sont, selon vous, les risques et la valeur ajoutée pour la protection des droits de l'homme résultant de l'adhésion prévue de l'Union européenne à la Convention européenne des droits de l'homme ? Quels sont les défis du processus d'adhésion de l'UE à la Convention ? </w:t>
      </w:r>
      <w:r w:rsidRPr="002C2D40">
        <w:rPr>
          <w:rFonts w:asciiTheme="minorHAnsi" w:hAnsiTheme="minorHAnsi"/>
          <w:i/>
        </w:rPr>
        <w:t>[Jakie są, Pana/Pani zdaniem, zagrożenia i wartości dodane dla ochrony praw człowieka wynikające z planowanego przystąpienie Unii Europejskiej do Konwencji o ochronie praw człowieka i podstawowych wolności? Jakie są wyzwania dla procesu przystąpienia UE do Konwencji?]</w:t>
      </w:r>
    </w:p>
    <w:p w:rsidR="007E61D4" w:rsidRPr="002C2D40" w:rsidRDefault="007E61D4" w:rsidP="00592FD6">
      <w:pPr>
        <w:spacing w:before="120"/>
        <w:ind w:left="708"/>
        <w:jc w:val="both"/>
        <w:rPr>
          <w:rFonts w:asciiTheme="minorHAnsi" w:hAnsiTheme="minorHAnsi"/>
          <w:i/>
        </w:rPr>
      </w:pPr>
      <w:r w:rsidRPr="002C2D40">
        <w:rPr>
          <w:rFonts w:asciiTheme="minorHAnsi" w:hAnsiTheme="minorHAnsi"/>
          <w:i/>
        </w:rPr>
        <w:t>2) Przewlekłość postępowań sądowych w Polsce – proszę wskazać i krótko podsumować najważniejsze wyroki i decyzje Europejskiego Trybunału Praw Człowieka dotyczące tej problematyki, a także ocenić stosowaną w tym zakresie przez Trybunał procedurę wyroku pilotażowego i jej umocowanie w Konwencji o ochronie praw człowieka i podstawowych wolności. Jakie są aktualnie największe wyzwania stojące przed Polską w wykonywaniu wyroków Trybunału dotyczących tego problemu?</w:t>
      </w:r>
    </w:p>
    <w:p w:rsidR="007E61D4" w:rsidRPr="002C2D40" w:rsidRDefault="007E61D4" w:rsidP="00592FD6">
      <w:pPr>
        <w:spacing w:before="120"/>
        <w:ind w:left="708"/>
        <w:jc w:val="both"/>
        <w:rPr>
          <w:rFonts w:asciiTheme="minorHAnsi" w:hAnsiTheme="minorHAnsi"/>
          <w:i/>
        </w:rPr>
      </w:pPr>
      <w:r w:rsidRPr="002C2D40">
        <w:rPr>
          <w:rFonts w:asciiTheme="minorHAnsi" w:hAnsiTheme="minorHAnsi"/>
          <w:i/>
          <w:lang w:val="en-GB"/>
        </w:rPr>
        <w:t xml:space="preserve">3) Does the European Court of Human Rights refer or should it refer to other instruments of public international law as well as decisions or opinions of other international courts and treaty bodies in order to implement the principle of interpreting the European Convention on Human Rights as a living instrument? </w:t>
      </w:r>
      <w:r w:rsidRPr="002C2D40">
        <w:rPr>
          <w:rFonts w:asciiTheme="minorHAnsi" w:hAnsiTheme="minorHAnsi"/>
          <w:i/>
        </w:rPr>
        <w:t>Can you give examples of such references? [Czy Europejski Trybunał Praw Człowieka powołuje się lub powinien powoływać się na inne instrumenty prawa międzynarodowego publicznego oraz orzeczenia i opinie innych międzynarodowych trybunałów i ciał traktatowych w celu realizacji zasady interpretacji Konwencji o ochronie praw człowieka i podstawowych wolności jako żywego instrumentu? Czy może Pan/Pani wskazać przykłady takiego odwoływania się?]</w:t>
      </w:r>
    </w:p>
    <w:p w:rsidR="007E61D4" w:rsidRPr="002C2D40" w:rsidRDefault="007E61D4" w:rsidP="00592FD6">
      <w:pPr>
        <w:spacing w:before="120"/>
        <w:ind w:left="708"/>
        <w:jc w:val="both"/>
        <w:rPr>
          <w:rFonts w:asciiTheme="minorHAnsi" w:hAnsiTheme="minorHAnsi"/>
          <w:i/>
        </w:rPr>
      </w:pPr>
      <w:r w:rsidRPr="002C2D40">
        <w:rPr>
          <w:rFonts w:asciiTheme="minorHAnsi" w:hAnsiTheme="minorHAnsi"/>
          <w:i/>
        </w:rPr>
        <w:t>4) Proszę o wskazanie trzech wyroków Europejskiego Trybunału Praw Człowieka w sprawach polskich, które w Pani/Pana ocenie zostały najskuteczniej wykonane przez władze polskie w aspekcie środków generalnych, jak wymaga tego art. 46 Konwencji o ochronie praw człowieka i podstawowych wolności, dzięki czemu powtrzymany został napływ do Trybunału kolejnych nowych skarg dotyczących tożsamego naruszenia Konwencji.</w:t>
      </w:r>
    </w:p>
    <w:p w:rsidR="007E61D4" w:rsidRPr="002C2D40" w:rsidRDefault="007E61D4" w:rsidP="00592FD6">
      <w:pPr>
        <w:spacing w:before="120"/>
        <w:jc w:val="both"/>
        <w:rPr>
          <w:rFonts w:asciiTheme="minorHAnsi" w:hAnsiTheme="minorHAnsi"/>
        </w:rPr>
      </w:pPr>
      <w:r w:rsidRPr="002C2D40">
        <w:rPr>
          <w:rFonts w:asciiTheme="minorHAnsi" w:hAnsiTheme="minorHAnsi"/>
        </w:rPr>
        <w:t xml:space="preserve">Na tej podstawie Zespół przeprowadził rozmowy kwalifikacyjne z 15 zgłoszonymi osobami. Rozmowy kwalifikacyjne zostały przeprowadzone w kolejności alfabetycznej wynikającej z listy kandydatów dopuszczonych do rozmów kwalifikacyjnych. Czas przewidziany na każdego kandydata wynosił maksymalnie 40 minut. Na wstępie każdy kandydat otrzymał możliwość przedstawienia w ciągu 5-10 minut swojej kandydatury, wizji pełnienia funkcji sędziego Europejskiego Trybunału Praw Człowieka oraz roli i znaczenia Trybunału i Konwencji o ochronie praw człowieka i podstawowych wolności. Następnie każdy kandydat miał ok. 5 minut na odpowiedź na każde z czterech pytań. Jedno z pytań zostało zadane w języku angielskim, a jedno w języku francuskim. Na pytania zadane w języku obcym kandydat miał możliwość udzielenia odpowiedzi w dowolnie wybranym przez siebie języku urzędowym Trybunału, tj. języku angielskim lub francuskim. </w:t>
      </w:r>
    </w:p>
    <w:p w:rsidR="007E61D4" w:rsidRPr="002C2D40" w:rsidRDefault="007E61D4" w:rsidP="00592FD6">
      <w:pPr>
        <w:spacing w:before="120"/>
        <w:jc w:val="both"/>
        <w:rPr>
          <w:rFonts w:asciiTheme="minorHAnsi" w:hAnsiTheme="minorHAnsi"/>
        </w:rPr>
      </w:pPr>
      <w:r w:rsidRPr="002C2D40">
        <w:rPr>
          <w:rFonts w:asciiTheme="minorHAnsi" w:hAnsiTheme="minorHAnsi"/>
        </w:rPr>
        <w:lastRenderedPageBreak/>
        <w:t xml:space="preserve">Następnie po obradach Zespół wyłonił troje kandydatów. Ponadto dwie osoby zostały wskazane na kandydatów rezerwowych. </w:t>
      </w:r>
    </w:p>
    <w:p w:rsidR="007E61D4" w:rsidRPr="00592FD6" w:rsidRDefault="007E61D4" w:rsidP="00592FD6">
      <w:pPr>
        <w:pStyle w:val="Akapitzlist"/>
        <w:numPr>
          <w:ilvl w:val="0"/>
          <w:numId w:val="33"/>
        </w:numPr>
        <w:spacing w:before="120" w:after="0" w:line="240" w:lineRule="auto"/>
        <w:ind w:left="709" w:hanging="425"/>
        <w:jc w:val="both"/>
        <w:rPr>
          <w:rFonts w:asciiTheme="minorHAnsi" w:hAnsiTheme="minorHAnsi"/>
          <w:i/>
          <w:sz w:val="24"/>
          <w:szCs w:val="24"/>
        </w:rPr>
      </w:pPr>
      <w:r w:rsidRPr="00592FD6">
        <w:rPr>
          <w:rFonts w:asciiTheme="minorHAnsi" w:hAnsiTheme="minorHAnsi"/>
          <w:i/>
          <w:sz w:val="24"/>
          <w:szCs w:val="24"/>
        </w:rPr>
        <w:t>przekazanie listy kandydatów do zaopiniowania przez Panel Doradczy RE</w:t>
      </w:r>
    </w:p>
    <w:p w:rsidR="007E61D4" w:rsidRDefault="007E61D4" w:rsidP="00592FD6">
      <w:pPr>
        <w:spacing w:before="120"/>
        <w:jc w:val="both"/>
        <w:rPr>
          <w:rFonts w:asciiTheme="minorHAnsi" w:hAnsiTheme="minorHAnsi"/>
        </w:rPr>
      </w:pPr>
      <w:r w:rsidRPr="002C2D40">
        <w:rPr>
          <w:rFonts w:asciiTheme="minorHAnsi" w:hAnsiTheme="minorHAnsi"/>
        </w:rPr>
        <w:t>W dniu 8 grudnia 2020 r. Minister Spraw Zagranicznych przekazał listę trzech kandydatów z życiorysami i informacją na temat procedury ich wyłonienia do zaopiniowania przez Doradczy Panel Ekspertów Rady Europy do spraw wyłonienia kandydatów na wybór na stanowisko sędziego Europejskiego Trybunału Praw Człowieka. Do końca 2020 r. Panel nie przekazał swojego stanowiska w</w:t>
      </w:r>
      <w:r w:rsidR="0066432B" w:rsidRPr="002C2D40">
        <w:rPr>
          <w:rFonts w:asciiTheme="minorHAnsi" w:hAnsiTheme="minorHAnsi"/>
        </w:rPr>
        <w:t xml:space="preserve"> </w:t>
      </w:r>
      <w:r w:rsidRPr="002C2D40">
        <w:rPr>
          <w:rFonts w:asciiTheme="minorHAnsi" w:hAnsiTheme="minorHAnsi"/>
        </w:rPr>
        <w:t>s</w:t>
      </w:r>
      <w:r w:rsidR="0066432B" w:rsidRPr="002C2D40">
        <w:rPr>
          <w:rFonts w:asciiTheme="minorHAnsi" w:hAnsiTheme="minorHAnsi"/>
        </w:rPr>
        <w:t>prawie</w:t>
      </w:r>
      <w:r w:rsidRPr="002C2D40">
        <w:rPr>
          <w:rFonts w:asciiTheme="minorHAnsi" w:hAnsiTheme="minorHAnsi"/>
        </w:rPr>
        <w:t xml:space="preserve"> listy. </w:t>
      </w:r>
    </w:p>
    <w:p w:rsidR="007E61D4" w:rsidRPr="00592FD6" w:rsidRDefault="007E61D4" w:rsidP="00592FD6">
      <w:pPr>
        <w:pStyle w:val="Akapitzlist"/>
        <w:numPr>
          <w:ilvl w:val="0"/>
          <w:numId w:val="33"/>
        </w:numPr>
        <w:spacing w:before="120" w:after="0" w:line="240" w:lineRule="auto"/>
        <w:ind w:left="709" w:hanging="425"/>
        <w:jc w:val="both"/>
        <w:rPr>
          <w:rFonts w:asciiTheme="minorHAnsi" w:hAnsiTheme="minorHAnsi"/>
          <w:i/>
          <w:sz w:val="24"/>
          <w:szCs w:val="24"/>
        </w:rPr>
      </w:pPr>
      <w:r w:rsidRPr="00592FD6">
        <w:rPr>
          <w:rFonts w:asciiTheme="minorHAnsi" w:hAnsiTheme="minorHAnsi"/>
          <w:i/>
          <w:sz w:val="24"/>
          <w:szCs w:val="24"/>
        </w:rPr>
        <w:t>dialog z organizacjami pozarządowymi, organami samorządu prawniczego i Rzecznikiem Praw Obywatelskich</w:t>
      </w:r>
    </w:p>
    <w:p w:rsidR="007E61D4" w:rsidRPr="002C2D40" w:rsidRDefault="007E61D4" w:rsidP="00592FD6">
      <w:pPr>
        <w:spacing w:before="120"/>
        <w:jc w:val="both"/>
        <w:rPr>
          <w:rFonts w:asciiTheme="minorHAnsi" w:hAnsiTheme="minorHAnsi"/>
        </w:rPr>
      </w:pPr>
      <w:r w:rsidRPr="002C2D40">
        <w:rPr>
          <w:rFonts w:asciiTheme="minorHAnsi" w:hAnsiTheme="minorHAnsi"/>
        </w:rPr>
        <w:t xml:space="preserve">W związku z prowadzoną procedurą wyłaniania kandydatów na urząd sędziego ETPC Ministerstwo Spraw Zagranicznych otrzymało liczne postulaty. W szczególności na uwagę zasługuje list Prezesów Krajowej Rady Radców Prawnych i Naczelnej Rady Adwokackiej oraz Helsińskiej Fundacji Praw Człowieka z dnia 21 maja 2020 r., w którym podmioty te zgłosiły szereg propozycji, w tym dotyczące jak najszerszego rozpowszechnienia ogłoszenia i zwrócenia się w tej sprawie również do organizacji społeczeństwa obywatelskiego; zmiany składu organu wyłaniającego kandydatów poprzez włączenie do niego przedstawicieli spoza administracji rządowej, w szczególności organów władzy sądowej, organizacji pozarządowych oraz samorządów prawniczych; zapewnienia, by rozmowy kwalifikacyjne z kandydatami były prowadzone w sposób ustandaryzowany i jednakowy dla wszystkich, w oparciu o pytania o odpowiedniej szczegółowości i z zapewnieniem szczegółowych instrukcji dla członków zespołu selekcyjnego; wdrożenia monitorowania rozmów kwalifikacyjnych np. przez przedstawicieli mediów i organizacji pozarządowych lub w drodze transmisji; zapewnienia udziału Parlamentu RP, np. poprzez organizację posiedzenia komisji parlamentarnych z udziałem kandydatów; a także prowadzenia rozszerzonej współpracy z Panelem Doradczym RE.  </w:t>
      </w:r>
    </w:p>
    <w:p w:rsidR="007E61D4" w:rsidRPr="002C2D40" w:rsidRDefault="007E61D4" w:rsidP="00592FD6">
      <w:pPr>
        <w:spacing w:before="120"/>
        <w:jc w:val="both"/>
        <w:rPr>
          <w:rFonts w:asciiTheme="minorHAnsi" w:hAnsiTheme="minorHAnsi"/>
        </w:rPr>
      </w:pPr>
      <w:r w:rsidRPr="002C2D40">
        <w:rPr>
          <w:rFonts w:asciiTheme="minorHAnsi" w:hAnsiTheme="minorHAnsi"/>
        </w:rPr>
        <w:t xml:space="preserve">Postulaty te poparł Rzecznik Praw Obywatelskich w piśmie do MSZ z dnia 9 listopada 2020 r. Rzecznik Praw Obywatelskich wyraził w szczególności zastrzeżenia do składu zespołu wyłaniającego kandydatów i zasugerował udział w nim również przedstawicieli wymiaru sprawiedliwości, samorządów prawniczych, RPO czy organizacji pozarządowych zaangażowanych w ochronę praw człowieka. Wyraził też zastrzeżenia w odniesieniu do brak jawności przesłuchania kandydatów. </w:t>
      </w:r>
    </w:p>
    <w:p w:rsidR="007E61D4" w:rsidRPr="002C2D40" w:rsidRDefault="007E61D4" w:rsidP="00592FD6">
      <w:pPr>
        <w:spacing w:before="120"/>
        <w:jc w:val="both"/>
        <w:rPr>
          <w:rFonts w:asciiTheme="minorHAnsi" w:hAnsiTheme="minorHAnsi"/>
        </w:rPr>
      </w:pPr>
      <w:r w:rsidRPr="002C2D40">
        <w:rPr>
          <w:rFonts w:asciiTheme="minorHAnsi" w:hAnsiTheme="minorHAnsi"/>
        </w:rPr>
        <w:t xml:space="preserve">Wszystkie powyższe postulaty zostały przeanalizowane przez Ministerstwo Spraw Zagranicznych, które podjęło starania w celu uwzględnienia ich w możliwym zakresie. MSZ zapewniło w szczególności szerokie rozpowszechnienie ogłoszenia o naborze, zwracając się o to również do samorządów prawniczych i organizacji pozarządowych, uruchomiło stronę internetową, na której publikowało informacje na temat poszczególnych etapów procedury, Zespół wyłaniający kandydatów podjął działania w celu określenia jednolitych dla wszystkich kandydatów zasad prowadzenia rozmów kwalifikacyjnych i pytań, MSZ przekazało członkom Zespołu wszystkie informacje nt. standardów RE dotyczących kandydatów i listy kandydatów. MSZ wyraziło także gotowość do wsparcia organizacji w Parlamencie przesłuchania wyłonionych kandydatów, a także przekazało wszystkim kandydatom apel o ujawnienie informacji o ich udziale w konkursie. Z uwagi jednak na fakt, że procedura wyłaniania kandydatów została zainicjowana w marcu 2020 r., a termin przekazania listy do Panelu Doradczego wyznaczono już na grudzień 2020 r., Ministerstwo Spraw Zagranicznych nie </w:t>
      </w:r>
      <w:r w:rsidRPr="002C2D40">
        <w:rPr>
          <w:rFonts w:asciiTheme="minorHAnsi" w:hAnsiTheme="minorHAnsi"/>
        </w:rPr>
        <w:lastRenderedPageBreak/>
        <w:t xml:space="preserve">zdecydowało się na podjęcie prac w celu całościowego przemodelowania procedury przyjętej w 2012 r., a w szczególności rozszerzenia listy instytucji wyznaczających członków zespołu selekcyjnego, wprowadzenia jawności informacji na temat wszystkich kandydatów oraz publicznego prowadzenia rozmów kwalifikacyjnych. W efekcie zastosowanie miała ta sama procedura, co przyjęta przy okazji wyboru sędziego w 2012 r. Jednakże, próbując częściowo uwzględnić zgłaszane postulaty, wprowadzono w zarządzeniu zmianę dającą większą elastyczność instytucjom wyznaczającym członków zespołu, dzięki temu do jego składu mogli zostać wprowadzeni dwaj eksperci ds. praw człowieka, prawa konstytucyjnego i międzynarodowego, w tym jedna osoba spoza administracji rządowej. </w:t>
      </w:r>
    </w:p>
    <w:p w:rsidR="007E61D4" w:rsidRDefault="007E61D4" w:rsidP="00592FD6">
      <w:pPr>
        <w:spacing w:before="120"/>
        <w:jc w:val="both"/>
        <w:rPr>
          <w:rFonts w:asciiTheme="minorHAnsi" w:hAnsiTheme="minorHAnsi"/>
        </w:rPr>
      </w:pPr>
      <w:r w:rsidRPr="002C2D40">
        <w:rPr>
          <w:rFonts w:asciiTheme="minorHAnsi" w:hAnsiTheme="minorHAnsi"/>
        </w:rPr>
        <w:t>Przewodniczący Zespołu spotkał się także z przedstawicielami Helsińskiej Fundacji Praw Człowieka w celu wyjaśnienia kwestii dotyczących procedury wyłaniania kandydatów. MSZ przekazywało też Helsińskiej Fundacji Praw Człowieka i innym podmiotom składającym wnioski w trybie dostępu do informacji publicznej wszystkie informacje nt. przebiegu procedury – z wyjątkiem informacji objętych ochroną danych osobowych. W dniu 16 grudnia 2020 r. MSZ udostępniło wnioskodawcom (Posłom na Sejm RP oraz Helsińskiej Fundacji Praw Człowieka) protokoły z posiedzeń Zespołu (odpowiednio do wniosku obu posiedzeń lub tylko drugiego) wraz ze wszystkimi załącznikami – w wersji zanonimizowanej.</w:t>
      </w:r>
    </w:p>
    <w:p w:rsidR="00592FD6" w:rsidRPr="002C2D40" w:rsidRDefault="00592FD6" w:rsidP="00592FD6">
      <w:pPr>
        <w:spacing w:before="120"/>
        <w:jc w:val="both"/>
        <w:rPr>
          <w:rFonts w:asciiTheme="minorHAnsi" w:hAnsiTheme="minorHAnsi"/>
        </w:rPr>
      </w:pPr>
    </w:p>
    <w:p w:rsidR="0097084E" w:rsidRPr="002C2D40" w:rsidRDefault="0097084E" w:rsidP="003F20CE">
      <w:pPr>
        <w:pStyle w:val="Nagwek1"/>
        <w:spacing w:before="120"/>
        <w:rPr>
          <w:rFonts w:asciiTheme="minorHAnsi" w:hAnsiTheme="minorHAnsi"/>
        </w:rPr>
      </w:pPr>
      <w:bookmarkStart w:id="11" w:name="_Toc36475951"/>
      <w:bookmarkStart w:id="12" w:name="_Toc67656269"/>
      <w:r w:rsidRPr="002C2D40">
        <w:rPr>
          <w:rFonts w:asciiTheme="minorHAnsi" w:hAnsiTheme="minorHAnsi"/>
        </w:rPr>
        <w:t>Organizacja Seminarium Warszawskiego</w:t>
      </w:r>
      <w:bookmarkEnd w:id="11"/>
      <w:bookmarkEnd w:id="12"/>
    </w:p>
    <w:p w:rsidR="0097084E" w:rsidRDefault="0097084E" w:rsidP="00592FD6">
      <w:pPr>
        <w:spacing w:before="120"/>
        <w:jc w:val="both"/>
        <w:rPr>
          <w:rFonts w:asciiTheme="minorHAnsi" w:hAnsiTheme="minorHAnsi"/>
        </w:rPr>
      </w:pPr>
      <w:r w:rsidRPr="002C2D40">
        <w:rPr>
          <w:rFonts w:asciiTheme="minorHAnsi" w:hAnsiTheme="minorHAnsi"/>
        </w:rPr>
        <w:t xml:space="preserve">Z uwagi na ograniczenia związane z sytuacją epidemiologiczną </w:t>
      </w:r>
      <w:r w:rsidR="0066432B" w:rsidRPr="002C2D40">
        <w:rPr>
          <w:rFonts w:asciiTheme="minorHAnsi" w:hAnsiTheme="minorHAnsi"/>
        </w:rPr>
        <w:t>dotyczącą wirusa</w:t>
      </w:r>
      <w:r w:rsidRPr="002C2D40">
        <w:rPr>
          <w:rFonts w:asciiTheme="minorHAnsi" w:hAnsiTheme="minorHAnsi"/>
        </w:rPr>
        <w:t xml:space="preserve"> SARS-CoV-2 w 2020 r. nie zorganizowano kolejnej edycji Seminarium Warszawskiego, która miała być poświęcona 70 rocznicy Konwencji o ochronie praw czło</w:t>
      </w:r>
      <w:r w:rsidR="00861F61">
        <w:rPr>
          <w:rFonts w:asciiTheme="minorHAnsi" w:hAnsiTheme="minorHAnsi"/>
        </w:rPr>
        <w:t>wieka i podstawowych wolności.</w:t>
      </w:r>
    </w:p>
    <w:p w:rsidR="00861F61" w:rsidRPr="002C2D40" w:rsidRDefault="00861F61" w:rsidP="00592FD6">
      <w:pPr>
        <w:spacing w:before="120"/>
        <w:jc w:val="both"/>
        <w:rPr>
          <w:rFonts w:asciiTheme="minorHAnsi" w:hAnsiTheme="minorHAnsi"/>
        </w:rPr>
      </w:pPr>
    </w:p>
    <w:p w:rsidR="009A31F0" w:rsidRPr="002C2D40" w:rsidRDefault="007151DE" w:rsidP="002C2D40">
      <w:pPr>
        <w:pStyle w:val="Nagwek1"/>
        <w:spacing w:before="120"/>
        <w:rPr>
          <w:rFonts w:asciiTheme="minorHAnsi" w:hAnsiTheme="minorHAnsi"/>
        </w:rPr>
      </w:pPr>
      <w:bookmarkStart w:id="13" w:name="_Toc509233244"/>
      <w:bookmarkStart w:id="14" w:name="_Toc509233245"/>
      <w:bookmarkStart w:id="15" w:name="_Toc509233246"/>
      <w:bookmarkStart w:id="16" w:name="_Toc509233247"/>
      <w:bookmarkStart w:id="17" w:name="_Toc67656270"/>
      <w:bookmarkEnd w:id="13"/>
      <w:bookmarkEnd w:id="14"/>
      <w:bookmarkEnd w:id="15"/>
      <w:bookmarkEnd w:id="16"/>
      <w:r w:rsidRPr="002C2D40">
        <w:rPr>
          <w:rFonts w:asciiTheme="minorHAnsi" w:hAnsiTheme="minorHAnsi"/>
        </w:rPr>
        <w:t>Działalność</w:t>
      </w:r>
      <w:r w:rsidR="00B802A2" w:rsidRPr="002C2D40">
        <w:rPr>
          <w:rFonts w:asciiTheme="minorHAnsi" w:hAnsiTheme="minorHAnsi"/>
        </w:rPr>
        <w:t xml:space="preserve"> Pełnomocnika w </w:t>
      </w:r>
      <w:r w:rsidRPr="002C2D40">
        <w:rPr>
          <w:rFonts w:asciiTheme="minorHAnsi" w:hAnsiTheme="minorHAnsi"/>
        </w:rPr>
        <w:t xml:space="preserve">odniesieniu do procesu reformy Trybunału i systemu </w:t>
      </w:r>
      <w:r w:rsidR="00D91035" w:rsidRPr="002C2D40">
        <w:rPr>
          <w:rFonts w:asciiTheme="minorHAnsi" w:hAnsiTheme="minorHAnsi"/>
        </w:rPr>
        <w:t xml:space="preserve">Konwencji oraz w </w:t>
      </w:r>
      <w:r w:rsidR="00B802A2" w:rsidRPr="002C2D40">
        <w:rPr>
          <w:rFonts w:asciiTheme="minorHAnsi" w:hAnsiTheme="minorHAnsi"/>
        </w:rPr>
        <w:t>pracach komitetów i grup roboczych Rady Europy z zakresu praw człowieka</w:t>
      </w:r>
      <w:bookmarkEnd w:id="17"/>
    </w:p>
    <w:p w:rsidR="009A31F0" w:rsidRPr="002C2D40" w:rsidRDefault="007151DE" w:rsidP="00861F61">
      <w:pPr>
        <w:pStyle w:val="Nagwek2"/>
        <w:numPr>
          <w:ilvl w:val="0"/>
          <w:numId w:val="7"/>
        </w:numPr>
        <w:spacing w:before="120"/>
        <w:ind w:hanging="436"/>
      </w:pPr>
      <w:r w:rsidRPr="002C2D40">
        <w:t>Działalność Pełnomocnika w odniesieniu do</w:t>
      </w:r>
      <w:r w:rsidR="009A31F0" w:rsidRPr="002C2D40">
        <w:t xml:space="preserve"> procesu reformy Trybunału i systemu Konwencji o ochronie praw człowieka i podstawowych wolności</w:t>
      </w:r>
    </w:p>
    <w:p w:rsidR="0097084E" w:rsidRPr="002C2D40" w:rsidRDefault="0097084E" w:rsidP="00861F61">
      <w:pPr>
        <w:spacing w:before="120"/>
        <w:jc w:val="both"/>
        <w:rPr>
          <w:rFonts w:asciiTheme="minorHAnsi" w:hAnsiTheme="minorHAnsi"/>
        </w:rPr>
      </w:pPr>
      <w:r w:rsidRPr="002C2D40">
        <w:rPr>
          <w:rFonts w:asciiTheme="minorHAnsi" w:hAnsiTheme="minorHAnsi"/>
        </w:rPr>
        <w:t>W 2020 r. Komitet Ministrów RE dokonał ewaluacji tzw. procesu Interlaken, czyli procesu reformy systemu Europejskiej Konwencji Praw Człowieka, toczącego się od 2010 r., i przyjął decyzje dotyczące dalszych niezbędnych działań celem zagwarantowania skuteczności systemu Konwencji. Polska aktywnie uczestniczyła w wypracowaniu koncepcji tych decyzji.</w:t>
      </w:r>
    </w:p>
    <w:p w:rsidR="0097084E" w:rsidRPr="002C2D40" w:rsidRDefault="0097084E" w:rsidP="00861F61">
      <w:pPr>
        <w:spacing w:before="120"/>
        <w:jc w:val="both"/>
        <w:rPr>
          <w:rFonts w:asciiTheme="minorHAnsi" w:hAnsiTheme="minorHAnsi"/>
        </w:rPr>
      </w:pPr>
      <w:r w:rsidRPr="002C2D40">
        <w:rPr>
          <w:rFonts w:asciiTheme="minorHAnsi" w:hAnsiTheme="minorHAnsi"/>
        </w:rPr>
        <w:t>Proces Interlaken miał na celu zapewnienie skutecznego funkcjonowania Europejskiego Trybunału Praw Człowieka w obliczu ogromnego napływu skarg i rosnących zaległości. W 2010</w:t>
      </w:r>
      <w:r w:rsidR="007F1C53">
        <w:rPr>
          <w:rFonts w:asciiTheme="minorHAnsi" w:hAnsiTheme="minorHAnsi"/>
        </w:rPr>
        <w:t> </w:t>
      </w:r>
      <w:r w:rsidRPr="002C2D40">
        <w:rPr>
          <w:rFonts w:asciiTheme="minorHAnsi" w:hAnsiTheme="minorHAnsi"/>
        </w:rPr>
        <w:t>r., na początku tego procesu, liczba skarg zaległych w Trybunale doszła do 140 tysięcy, a w 2011 r. osiągnęła rekordowy poziom 160 tysięcy. W ramach procesu reformy opracowano dwa protokoły (nr 15 i 16) do Europejskiej Konwencji Praw Człowieka, przyjęto pięć deklaracji na konferencjach wysokiego szczebla Rady Europy – w Interlaken (2010 r.), Izmirze (2011 r.), Brighton (2012 r.), Brukseli (2015 r.) i w Kopenhadze (2018 r.), a w 2016 r. sfinalizowano raport CDDH nt. długoterminowej przyszłości systemu Konwencji.</w:t>
      </w:r>
    </w:p>
    <w:p w:rsidR="0097084E" w:rsidRPr="002C2D40" w:rsidRDefault="0097084E" w:rsidP="00861F61">
      <w:pPr>
        <w:spacing w:before="120"/>
        <w:jc w:val="both"/>
        <w:rPr>
          <w:rFonts w:asciiTheme="minorHAnsi" w:hAnsiTheme="minorHAnsi"/>
        </w:rPr>
      </w:pPr>
      <w:r w:rsidRPr="002C2D40">
        <w:rPr>
          <w:rFonts w:asciiTheme="minorHAnsi" w:hAnsiTheme="minorHAnsi"/>
        </w:rPr>
        <w:t xml:space="preserve">Podstawą do oceny dotychczasowych skutków reformy przez Komitet Ministrów dotychczasowego procesu reformy stanowił raport ewaluacyjny Komitetu Zarządzającego </w:t>
      </w:r>
      <w:r w:rsidRPr="002C2D40">
        <w:rPr>
          <w:rFonts w:asciiTheme="minorHAnsi" w:hAnsiTheme="minorHAnsi"/>
        </w:rPr>
        <w:lastRenderedPageBreak/>
        <w:t>Praw Człowieka (CDDH) przygotowany w 2019 r. Na tej podstawie, a także na podstawie wkładu Trybunału</w:t>
      </w:r>
      <w:r w:rsidR="007F1C53">
        <w:rPr>
          <w:rFonts w:asciiTheme="minorHAnsi" w:hAnsiTheme="minorHAnsi"/>
        </w:rPr>
        <w:t>,</w:t>
      </w:r>
      <w:r w:rsidRPr="002C2D40">
        <w:rPr>
          <w:rFonts w:asciiTheme="minorHAnsi" w:hAnsiTheme="minorHAnsi"/>
        </w:rPr>
        <w:t xml:space="preserve"> Komitet Ministrów przyjął następujące decyzje na sesji ministerialnej. Uznał, że obecnie nie ma potrzeby kompleksowej reformy mechanizmu Konwencji, Rada Europy powinna jednak podjąć dalsze wysiłki, aby zapewnić, by system Konwencji mógł nadal skutecznie odpowiadać na liczne wyzwania związane z prawami człowieka, przed którymi stoi Europa, w tym poprzez skuteczną reakcję Trybunału na zawisłe skargi. </w:t>
      </w:r>
    </w:p>
    <w:p w:rsidR="0097084E" w:rsidRPr="002C2D40" w:rsidRDefault="0097084E" w:rsidP="00861F61">
      <w:pPr>
        <w:spacing w:before="120"/>
        <w:jc w:val="both"/>
        <w:rPr>
          <w:rFonts w:asciiTheme="minorHAnsi" w:hAnsiTheme="minorHAnsi"/>
        </w:rPr>
      </w:pPr>
      <w:r w:rsidRPr="002C2D40">
        <w:rPr>
          <w:rFonts w:asciiTheme="minorHAnsi" w:hAnsiTheme="minorHAnsi"/>
        </w:rPr>
        <w:t>Wezwał wszystkie Państwa-Strony Konwencji do pełnego wdrożenia zasady subsydiarności poprzez wypełnianie ich zobowiązań w zakresie zapewnienia każdemu człowiekowi podlegającemu ich jurysdykcji praw i wolności określonych w Konwencji, a także w zakresie przestrzegania wyroków Trybunału wydanych przeciwko nim. Zachęcił państwa do upowszechniania Konwencji oraz jej skutecznego wdrażania, a także do tłumaczenia i rozpowszechniania orzecznictwa Trybunału na poziomie krajowym.</w:t>
      </w:r>
    </w:p>
    <w:p w:rsidR="0097084E" w:rsidRPr="002C2D40" w:rsidRDefault="0097084E" w:rsidP="00861F61">
      <w:pPr>
        <w:spacing w:before="120"/>
        <w:jc w:val="both"/>
        <w:rPr>
          <w:rFonts w:asciiTheme="minorHAnsi" w:hAnsiTheme="minorHAnsi"/>
        </w:rPr>
      </w:pPr>
      <w:r w:rsidRPr="002C2D40">
        <w:rPr>
          <w:rFonts w:asciiTheme="minorHAnsi" w:hAnsiTheme="minorHAnsi"/>
        </w:rPr>
        <w:t xml:space="preserve">Komitet Ministrów zwrócił się ponadto do Państw-Stron o rozważenie podpisania i ratyfikacji Protokołu nr 16 do Konwencji w celu dalszego wzmocnienia współdziałania między Trybunałem a sądami krajowymi, a tym samym wzmocnienia wdrażanie Konwencji zgodnie z zasadą subsydiarności. Postanowił też rozważyć prawne i praktyczne aspekty propozycji Trybunału, by Komitet Ministrów objął swym nadzorem wypełnianie przez państwa ich zobowiązań wynikających z deklaracji jednostronnych składanych w postępowaniach przed Trybunałem. </w:t>
      </w:r>
    </w:p>
    <w:p w:rsidR="0097084E" w:rsidRPr="002C2D40" w:rsidRDefault="0097084E" w:rsidP="00861F61">
      <w:pPr>
        <w:spacing w:before="120"/>
        <w:jc w:val="both"/>
        <w:rPr>
          <w:rFonts w:asciiTheme="minorHAnsi" w:hAnsiTheme="minorHAnsi"/>
        </w:rPr>
      </w:pPr>
      <w:r w:rsidRPr="002C2D40">
        <w:rPr>
          <w:rFonts w:asciiTheme="minorHAnsi" w:hAnsiTheme="minorHAnsi"/>
        </w:rPr>
        <w:t>Dodatkowo, KM wezwał wszystkie właściwe podmioty do dalszego gwarantowania najwyższych standardów dotyczących kwalifikacji, niezależności i bezstronności sędziów Trybunału. W tym względzie postanowił rozważyć dalsze środki zapewniające należyte uznanie statusu i służby sędziów w Trybunale oraz dodatkowe gwarancje zachowania ich niezawisłości, w tym po wygaśnięciu kadencji. Zdecydował o przeprowadzeniu do końca 2024</w:t>
      </w:r>
      <w:r w:rsidR="006500A8">
        <w:rPr>
          <w:rFonts w:asciiTheme="minorHAnsi" w:hAnsiTheme="minorHAnsi"/>
        </w:rPr>
        <w:t> </w:t>
      </w:r>
      <w:r w:rsidRPr="002C2D40">
        <w:rPr>
          <w:rFonts w:asciiTheme="minorHAnsi" w:hAnsiTheme="minorHAnsi"/>
        </w:rPr>
        <w:t>r. ponownej oceny skuteczności obecnego systemu wyłaniania kandydatów i wyboru sędziów Trybunału.</w:t>
      </w:r>
    </w:p>
    <w:p w:rsidR="0097084E" w:rsidRPr="002C2D40" w:rsidRDefault="0097084E" w:rsidP="00861F61">
      <w:pPr>
        <w:spacing w:before="120"/>
        <w:jc w:val="both"/>
        <w:rPr>
          <w:rFonts w:asciiTheme="minorHAnsi" w:hAnsiTheme="minorHAnsi"/>
        </w:rPr>
      </w:pPr>
      <w:r w:rsidRPr="002C2D40">
        <w:rPr>
          <w:rFonts w:asciiTheme="minorHAnsi" w:hAnsiTheme="minorHAnsi"/>
        </w:rPr>
        <w:t xml:space="preserve">Komitet Ministrów podkreślił też znaczenie przydzielenia Trybunałowi wystarczających zasobów, aby mógł on przyspieszyć rozpatrywanie toczących się spraw. Uznał za istotne zapewnienie wystarczających zasobów dla Departamentu Wykonania Wyroków ETPC. Zachęcił państwa do dalszych wpłat na specjalne konto utworzone przez Sekretarza Generalnego mające umożliwić Trybunałowi załatwienie zaległości w rozpatrywaniu skarg, oraz na rzecz Funduszu Powierniczego Praw Człowieka. Podkreślił ponadto korzyści płynące z praktyki oddelegowywania sędziów krajowych i prawników wysokiego szczebla do Kancelarii Trybunału i zachęcił Państwa-Strony do kontynuowania wysiłków w tym zakresie. Zachęcił je również do rozważenia możliwości oddelegowania sędziów lub urzędników krajowych do Departamentu Wykonywania Orzeczeń ETPC. </w:t>
      </w:r>
    </w:p>
    <w:p w:rsidR="0097084E" w:rsidRPr="002C2D40" w:rsidRDefault="0097084E" w:rsidP="00861F61">
      <w:pPr>
        <w:spacing w:before="120"/>
        <w:jc w:val="both"/>
        <w:rPr>
          <w:rFonts w:asciiTheme="minorHAnsi" w:hAnsiTheme="minorHAnsi"/>
        </w:rPr>
      </w:pPr>
      <w:r w:rsidRPr="002C2D40">
        <w:rPr>
          <w:rFonts w:asciiTheme="minorHAnsi" w:hAnsiTheme="minorHAnsi"/>
        </w:rPr>
        <w:t xml:space="preserve">W swych decyzjach Komitet Ministrów położył też szczególnie mocny nacisk na skuteczne wykonywanie wyroków Trybunału i wezwał wszystkie państwa członkowskie do zapewnienia pełnej realizacji Rekomendacji Komitetu Ministrów CM/Rec(2008)2 w sprawie skutecznej krajowej zdolności do szybkiego wykonywania wyroków Europejskiego Trybunału Praw Człowieka. Postanowił podejmować dalsze działania w celu zwiększania skuteczności procesu nadzoru Komitetu Ministrów nad wykonywaniem wyroków Trybunału, w szczególności skuteczności jego posiedzeń poświęconych wykonywaniu wyroków. Wskazał na zamiar dalszego rozwijania metod pracy i dostępnych środków, w tym z użyciem nacisków </w:t>
      </w:r>
      <w:r w:rsidRPr="002C2D40">
        <w:rPr>
          <w:rFonts w:asciiTheme="minorHAnsi" w:hAnsiTheme="minorHAnsi"/>
        </w:rPr>
        <w:lastRenderedPageBreak/>
        <w:t>politycznych, w przypadkach niewykonania lub uporczywego odmawiania przez państwo wykonania wyroków Trybunału. Zwrócił też uwagę na potrzebę zwiększania synergii z Trybunałem, a także z innymi odpowiednimi zainteresowanymi podmiotami stronami Rady Europy, w szczególności ze Zgromadzeniem Parlamentarnym i Komisarzem Praw Człowieka.</w:t>
      </w:r>
    </w:p>
    <w:p w:rsidR="0097084E" w:rsidRPr="002C2D40" w:rsidRDefault="0097084E" w:rsidP="00861F61">
      <w:pPr>
        <w:spacing w:before="120"/>
        <w:jc w:val="both"/>
        <w:rPr>
          <w:rFonts w:asciiTheme="minorHAnsi" w:hAnsiTheme="minorHAnsi"/>
        </w:rPr>
      </w:pPr>
      <w:r w:rsidRPr="002C2D40">
        <w:rPr>
          <w:rFonts w:asciiTheme="minorHAnsi" w:hAnsiTheme="minorHAnsi"/>
        </w:rPr>
        <w:t xml:space="preserve">Komitet Ministrów podkreślił również konieczność zwiększania potencjału Rady Europy do udzielania państwom wsparcia w procesie wykonywania i wdrażania Konwencji na poziomie krajowym, w tym poprzez projekty współpracy, takie jak Program HELP (program edukacji praw człowieka dla zawodów prawniczych), a także poprzez rozwijanie synergii z platformą wymiany wiedzy stworzoną przez Trybunał w celu ułatwienia zgodnego z Konwencją orzekania przez sądy krajowe. </w:t>
      </w:r>
    </w:p>
    <w:p w:rsidR="0097084E" w:rsidRPr="002C2D40" w:rsidRDefault="0097084E" w:rsidP="00861F61">
      <w:pPr>
        <w:spacing w:before="120"/>
        <w:jc w:val="both"/>
        <w:rPr>
          <w:rFonts w:asciiTheme="minorHAnsi" w:hAnsiTheme="minorHAnsi"/>
        </w:rPr>
      </w:pPr>
      <w:r w:rsidRPr="002C2D40">
        <w:rPr>
          <w:rFonts w:asciiTheme="minorHAnsi" w:hAnsiTheme="minorHAnsi"/>
        </w:rPr>
        <w:t xml:space="preserve">Wreszcie, KM zachęcił państwa, które jeszcze tego nie uczyniły, do rozważenia możliwości ustanowienia lub wzmocnienia skutecznych, pluralistycznych i niezależnych krajowych instytucji praw człowieka. </w:t>
      </w:r>
    </w:p>
    <w:p w:rsidR="00DD0730" w:rsidRDefault="0097084E" w:rsidP="00861F61">
      <w:pPr>
        <w:pStyle w:val="Akapitzlist"/>
        <w:spacing w:before="120" w:after="0" w:line="240" w:lineRule="auto"/>
        <w:ind w:left="0"/>
        <w:jc w:val="both"/>
        <w:rPr>
          <w:rFonts w:asciiTheme="minorHAnsi" w:eastAsia="Times New Roman" w:hAnsiTheme="minorHAnsi"/>
          <w:sz w:val="24"/>
          <w:szCs w:val="24"/>
          <w:lang w:val="pl-PL" w:eastAsia="pl-PL"/>
        </w:rPr>
      </w:pPr>
      <w:r w:rsidRPr="002C2D40">
        <w:rPr>
          <w:rFonts w:asciiTheme="minorHAnsi" w:eastAsia="Times New Roman" w:hAnsiTheme="minorHAnsi"/>
          <w:sz w:val="24"/>
          <w:szCs w:val="24"/>
          <w:lang w:val="pl-PL" w:eastAsia="pl-PL"/>
        </w:rPr>
        <w:t xml:space="preserve">Postanowił też przeprowadzić ocenę pierwszych skutków Protokołów nr 15 i 16 po pięciu latach od ich wejścia w życie. Jednocześnie z zadowoleniem przyjął wznowienie negocjacji w sprawie przystąpienia </w:t>
      </w:r>
      <w:r w:rsidR="00861F61">
        <w:rPr>
          <w:rFonts w:asciiTheme="minorHAnsi" w:eastAsia="Times New Roman" w:hAnsiTheme="minorHAnsi"/>
          <w:sz w:val="24"/>
          <w:szCs w:val="24"/>
          <w:lang w:val="pl-PL" w:eastAsia="pl-PL"/>
        </w:rPr>
        <w:t>Unii Europejskiej do Konwencji.</w:t>
      </w:r>
    </w:p>
    <w:p w:rsidR="00861F61" w:rsidRPr="002C2D40" w:rsidRDefault="00861F61" w:rsidP="00861F61">
      <w:pPr>
        <w:pStyle w:val="Akapitzlist"/>
        <w:spacing w:before="120" w:after="0" w:line="240" w:lineRule="auto"/>
        <w:ind w:left="0"/>
        <w:jc w:val="both"/>
        <w:rPr>
          <w:rFonts w:asciiTheme="minorHAnsi" w:hAnsiTheme="minorHAnsi"/>
          <w:sz w:val="24"/>
          <w:szCs w:val="24"/>
          <w:highlight w:val="yellow"/>
          <w:lang w:val="pl-PL"/>
        </w:rPr>
      </w:pPr>
    </w:p>
    <w:p w:rsidR="00491F43" w:rsidRPr="002C2D40" w:rsidRDefault="00491F43" w:rsidP="00861F61">
      <w:pPr>
        <w:pStyle w:val="Nagwek2"/>
        <w:spacing w:before="120"/>
        <w:ind w:hanging="436"/>
      </w:pPr>
      <w:r w:rsidRPr="002C2D40">
        <w:t>Udział Pełnomocnika w posiedzeniach Komitetu Ministrów Rady Europy w formacie do spraw Praw Człowieka (KM-DH)</w:t>
      </w:r>
    </w:p>
    <w:p w:rsidR="00491F43" w:rsidRDefault="00491F43" w:rsidP="00861F61">
      <w:pPr>
        <w:spacing w:before="120"/>
        <w:jc w:val="both"/>
        <w:rPr>
          <w:rFonts w:asciiTheme="minorHAnsi" w:hAnsiTheme="minorHAnsi"/>
          <w:lang w:eastAsia="en-US"/>
        </w:rPr>
      </w:pPr>
      <w:r w:rsidRPr="002C2D40">
        <w:rPr>
          <w:rFonts w:asciiTheme="minorHAnsi" w:hAnsiTheme="minorHAnsi"/>
          <w:lang w:eastAsia="en-US"/>
        </w:rPr>
        <w:t>W okresie sprawozdawczym Pełnomocnik zapewni</w:t>
      </w:r>
      <w:r w:rsidR="0066432B" w:rsidRPr="002C2D40">
        <w:rPr>
          <w:rFonts w:asciiTheme="minorHAnsi" w:hAnsiTheme="minorHAnsi"/>
          <w:lang w:eastAsia="en-US"/>
        </w:rPr>
        <w:t>a</w:t>
      </w:r>
      <w:r w:rsidRPr="002C2D40">
        <w:rPr>
          <w:rFonts w:asciiTheme="minorHAnsi" w:hAnsiTheme="minorHAnsi"/>
          <w:lang w:eastAsia="en-US"/>
        </w:rPr>
        <w:t xml:space="preserve">ł obsługę posiedzeń Komitetu Ministrów RE poświęconych realizacji funkcji nadzorczej nad wykonywaniem orzeczeń Europejskiego Trybunału Praw Człowieka, wynikającej z art. 46 ust. 2 Konwencji (tzw. posiedzenia w formacie do spraw praw człowieka KM-DH - od fr. </w:t>
      </w:r>
      <w:r w:rsidRPr="002C2D40">
        <w:rPr>
          <w:rFonts w:asciiTheme="minorHAnsi" w:hAnsiTheme="minorHAnsi"/>
          <w:i/>
          <w:lang w:eastAsia="en-US"/>
        </w:rPr>
        <w:t>droits de l’homme</w:t>
      </w:r>
      <w:r w:rsidRPr="002C2D40">
        <w:rPr>
          <w:rFonts w:asciiTheme="minorHAnsi" w:hAnsiTheme="minorHAnsi"/>
          <w:lang w:eastAsia="en-US"/>
        </w:rPr>
        <w:t xml:space="preserve">). Przedmiotowe posiedzenia </w:t>
      </w:r>
      <w:r w:rsidR="0066432B" w:rsidRPr="002C2D40">
        <w:rPr>
          <w:rFonts w:asciiTheme="minorHAnsi" w:hAnsiTheme="minorHAnsi"/>
          <w:lang w:eastAsia="en-US"/>
        </w:rPr>
        <w:t xml:space="preserve">co do zasady </w:t>
      </w:r>
      <w:r w:rsidRPr="002C2D40">
        <w:rPr>
          <w:rFonts w:asciiTheme="minorHAnsi" w:hAnsiTheme="minorHAnsi"/>
          <w:lang w:eastAsia="en-US"/>
        </w:rPr>
        <w:t>odbywają się cztery razy do roku</w:t>
      </w:r>
      <w:r w:rsidR="0066432B" w:rsidRPr="002C2D40">
        <w:rPr>
          <w:rFonts w:asciiTheme="minorHAnsi" w:hAnsiTheme="minorHAnsi"/>
          <w:lang w:eastAsia="en-US"/>
        </w:rPr>
        <w:t xml:space="preserve"> w Strasburgu</w:t>
      </w:r>
      <w:r w:rsidR="00E474FA" w:rsidRPr="002C2D40">
        <w:rPr>
          <w:rFonts w:asciiTheme="minorHAnsi" w:hAnsiTheme="minorHAnsi"/>
          <w:lang w:eastAsia="en-US"/>
        </w:rPr>
        <w:t xml:space="preserve">. </w:t>
      </w:r>
      <w:r w:rsidR="0066432B" w:rsidRPr="002C2D40">
        <w:rPr>
          <w:rFonts w:asciiTheme="minorHAnsi" w:hAnsiTheme="minorHAnsi"/>
          <w:lang w:eastAsia="en-US"/>
        </w:rPr>
        <w:t>Jednak w</w:t>
      </w:r>
      <w:r w:rsidR="00E474FA" w:rsidRPr="002C2D40">
        <w:rPr>
          <w:rFonts w:asciiTheme="minorHAnsi" w:hAnsiTheme="minorHAnsi"/>
          <w:lang w:eastAsia="en-US"/>
        </w:rPr>
        <w:t xml:space="preserve"> 20</w:t>
      </w:r>
      <w:r w:rsidR="0066432B" w:rsidRPr="002C2D40">
        <w:rPr>
          <w:rFonts w:asciiTheme="minorHAnsi" w:hAnsiTheme="minorHAnsi"/>
          <w:lang w:eastAsia="en-US"/>
        </w:rPr>
        <w:t>20</w:t>
      </w:r>
      <w:r w:rsidR="00E474FA" w:rsidRPr="002C2D40">
        <w:rPr>
          <w:rFonts w:asciiTheme="minorHAnsi" w:hAnsiTheme="minorHAnsi"/>
          <w:lang w:eastAsia="en-US"/>
        </w:rPr>
        <w:t xml:space="preserve"> r. </w:t>
      </w:r>
      <w:r w:rsidR="0066432B" w:rsidRPr="002C2D40">
        <w:rPr>
          <w:rFonts w:asciiTheme="minorHAnsi" w:hAnsiTheme="minorHAnsi"/>
          <w:lang w:eastAsia="en-US"/>
        </w:rPr>
        <w:t>z uwagi na szczególną sytuację związaną z wirusem SARS-Co</w:t>
      </w:r>
      <w:r w:rsidR="004B0FD9">
        <w:rPr>
          <w:rFonts w:asciiTheme="minorHAnsi" w:hAnsiTheme="minorHAnsi"/>
          <w:lang w:eastAsia="en-US"/>
        </w:rPr>
        <w:t>V</w:t>
      </w:r>
      <w:r w:rsidR="0066432B" w:rsidRPr="002C2D40">
        <w:rPr>
          <w:rFonts w:asciiTheme="minorHAnsi" w:hAnsiTheme="minorHAnsi"/>
          <w:lang w:eastAsia="en-US"/>
        </w:rPr>
        <w:t xml:space="preserve">-2 i wprowadzone ograniczenia, </w:t>
      </w:r>
      <w:r w:rsidR="00E474FA" w:rsidRPr="002C2D40">
        <w:rPr>
          <w:rFonts w:asciiTheme="minorHAnsi" w:hAnsiTheme="minorHAnsi"/>
          <w:lang w:eastAsia="en-US"/>
        </w:rPr>
        <w:t xml:space="preserve">KM-DH obradował </w:t>
      </w:r>
      <w:r w:rsidR="0066432B" w:rsidRPr="002C2D40">
        <w:rPr>
          <w:rFonts w:asciiTheme="minorHAnsi" w:hAnsiTheme="minorHAnsi"/>
          <w:lang w:eastAsia="en-US"/>
        </w:rPr>
        <w:t xml:space="preserve">częściowo w Strasburgu i częściowo w formie wideokonferencji </w:t>
      </w:r>
      <w:r w:rsidR="00E474FA" w:rsidRPr="002C2D40">
        <w:rPr>
          <w:rFonts w:asciiTheme="minorHAnsi" w:hAnsiTheme="minorHAnsi"/>
          <w:lang w:eastAsia="en-US"/>
        </w:rPr>
        <w:t xml:space="preserve">w następujących datach: </w:t>
      </w:r>
      <w:r w:rsidR="0066432B" w:rsidRPr="002C2D40">
        <w:rPr>
          <w:rFonts w:asciiTheme="minorHAnsi" w:hAnsiTheme="minorHAnsi"/>
          <w:lang w:eastAsia="en-US"/>
        </w:rPr>
        <w:t>3-5</w:t>
      </w:r>
      <w:r w:rsidR="00E474FA" w:rsidRPr="002C2D40">
        <w:rPr>
          <w:rFonts w:asciiTheme="minorHAnsi" w:hAnsiTheme="minorHAnsi"/>
          <w:lang w:eastAsia="en-US"/>
        </w:rPr>
        <w:t xml:space="preserve"> marca, 4 czerwca</w:t>
      </w:r>
      <w:r w:rsidR="0066432B" w:rsidRPr="002C2D40">
        <w:rPr>
          <w:rFonts w:asciiTheme="minorHAnsi" w:hAnsiTheme="minorHAnsi"/>
          <w:lang w:eastAsia="en-US"/>
        </w:rPr>
        <w:t xml:space="preserve"> (posiedzenie w procedurze pisemnej)</w:t>
      </w:r>
      <w:r w:rsidR="00E474FA" w:rsidRPr="002C2D40">
        <w:rPr>
          <w:rFonts w:asciiTheme="minorHAnsi" w:hAnsiTheme="minorHAnsi"/>
          <w:lang w:eastAsia="en-US"/>
        </w:rPr>
        <w:t xml:space="preserve">, </w:t>
      </w:r>
      <w:r w:rsidR="0066432B" w:rsidRPr="002C2D40">
        <w:rPr>
          <w:rFonts w:asciiTheme="minorHAnsi" w:hAnsiTheme="minorHAnsi"/>
          <w:lang w:eastAsia="en-US"/>
        </w:rPr>
        <w:t xml:space="preserve">1-3 </w:t>
      </w:r>
      <w:r w:rsidR="00E474FA" w:rsidRPr="002C2D40">
        <w:rPr>
          <w:rFonts w:asciiTheme="minorHAnsi" w:hAnsiTheme="minorHAnsi"/>
          <w:lang w:eastAsia="en-US"/>
        </w:rPr>
        <w:t>września</w:t>
      </w:r>
      <w:r w:rsidR="0066432B" w:rsidRPr="002C2D40">
        <w:rPr>
          <w:rFonts w:asciiTheme="minorHAnsi" w:hAnsiTheme="minorHAnsi"/>
          <w:lang w:eastAsia="en-US"/>
        </w:rPr>
        <w:t>, 29 września – 1 października</w:t>
      </w:r>
      <w:r w:rsidR="00E474FA" w:rsidRPr="002C2D40">
        <w:rPr>
          <w:rFonts w:asciiTheme="minorHAnsi" w:hAnsiTheme="minorHAnsi"/>
          <w:lang w:eastAsia="en-US"/>
        </w:rPr>
        <w:t xml:space="preserve"> i </w:t>
      </w:r>
      <w:r w:rsidR="0066432B" w:rsidRPr="002C2D40">
        <w:rPr>
          <w:rFonts w:asciiTheme="minorHAnsi" w:hAnsiTheme="minorHAnsi"/>
          <w:lang w:eastAsia="en-US"/>
        </w:rPr>
        <w:t>1-3</w:t>
      </w:r>
      <w:r w:rsidR="00E474FA" w:rsidRPr="002C2D40">
        <w:rPr>
          <w:rFonts w:asciiTheme="minorHAnsi" w:hAnsiTheme="minorHAnsi"/>
          <w:lang w:eastAsia="en-US"/>
        </w:rPr>
        <w:t xml:space="preserve"> grudnia 20</w:t>
      </w:r>
      <w:r w:rsidR="0066432B" w:rsidRPr="002C2D40">
        <w:rPr>
          <w:rFonts w:asciiTheme="minorHAnsi" w:hAnsiTheme="minorHAnsi"/>
          <w:lang w:eastAsia="en-US"/>
        </w:rPr>
        <w:t>20</w:t>
      </w:r>
      <w:r w:rsidR="00E474FA" w:rsidRPr="002C2D40">
        <w:rPr>
          <w:rFonts w:asciiTheme="minorHAnsi" w:hAnsiTheme="minorHAnsi"/>
          <w:lang w:eastAsia="en-US"/>
        </w:rPr>
        <w:t xml:space="preserve"> r. Wszystkie decyzje przyjęte na przedmiotowych posiedzeniach oraz dokumentacja badanych na przedmiotowych posiedzeniach spraw, dostępne są publicznie na stronie Komitetu oraz w bazie HUDOC-EXEC.</w:t>
      </w:r>
    </w:p>
    <w:p w:rsidR="00861F61" w:rsidRPr="002C2D40" w:rsidRDefault="00861F61" w:rsidP="00861F61">
      <w:pPr>
        <w:spacing w:before="120"/>
        <w:jc w:val="both"/>
        <w:rPr>
          <w:rFonts w:asciiTheme="minorHAnsi" w:hAnsiTheme="minorHAnsi"/>
          <w:lang w:eastAsia="en-US"/>
        </w:rPr>
      </w:pPr>
    </w:p>
    <w:p w:rsidR="00B802A2" w:rsidRPr="002C2D40" w:rsidRDefault="00B802A2" w:rsidP="002C2D40">
      <w:pPr>
        <w:pStyle w:val="Nagwek2"/>
        <w:spacing w:before="120"/>
      </w:pPr>
      <w:r w:rsidRPr="002C2D40">
        <w:t>Udział Pełnomocnika w pracach Komitetu Zarządzającego Praw Człowieka Rady Europy (CDDH) i jego grup roboczych</w:t>
      </w:r>
    </w:p>
    <w:p w:rsidR="0097084E" w:rsidRPr="002C2D40" w:rsidRDefault="0097084E" w:rsidP="00861F61">
      <w:pPr>
        <w:spacing w:before="120"/>
        <w:jc w:val="both"/>
        <w:rPr>
          <w:rFonts w:asciiTheme="minorHAnsi" w:hAnsiTheme="minorHAnsi"/>
        </w:rPr>
      </w:pPr>
      <w:r w:rsidRPr="002C2D40">
        <w:rPr>
          <w:rFonts w:asciiTheme="minorHAnsi" w:hAnsiTheme="minorHAnsi"/>
        </w:rPr>
        <w:t>Pełnomocnik zapewniał obsługę prac i koordynował stanowiska Polski w 2 komitetach Rady Europy właściwych ds. praw człowieka – Komitecie Zarządzającym Praw Człowieka (CDDH) i Komitecie Ekspertów ds. systemu Europejskiej Konwencji Praw Człowieka (DH-SYSC) – oraz 4 podległych im grupach roboczych (DH-SYSC-IV DH-SYSC-V, CDDH-INST oraz CDDH-47+1) zajmujących się tematyką odpowiednio: zapewnienia skutecznego procedowania i rozwiązywania w sprawach dotyczących sporów i konfliktów międzypaństwowych, krajowej implementacji systemu Konwencji na poziomie krajowym, standardami dotyczącymi krajowych struktur praw człowieka oraz negocjacjami w</w:t>
      </w:r>
      <w:r w:rsidR="00AE587A" w:rsidRPr="002C2D40">
        <w:rPr>
          <w:rFonts w:asciiTheme="minorHAnsi" w:hAnsiTheme="minorHAnsi"/>
        </w:rPr>
        <w:t xml:space="preserve"> sprawie </w:t>
      </w:r>
      <w:r w:rsidRPr="002C2D40">
        <w:rPr>
          <w:rFonts w:asciiTheme="minorHAnsi" w:hAnsiTheme="minorHAnsi"/>
        </w:rPr>
        <w:t xml:space="preserve">przystąpienia UE do Konwencji. Pracownicy MSZ uczestniczyli w 11 posiedzeniach i przygotowali liczne pisemne uwagi lub informacje do dokumentów RE (m.in. w odniesieniu do projektu Rekomendacji KM </w:t>
      </w:r>
      <w:r w:rsidRPr="002C2D40">
        <w:rPr>
          <w:rFonts w:asciiTheme="minorHAnsi" w:hAnsiTheme="minorHAnsi"/>
        </w:rPr>
        <w:lastRenderedPageBreak/>
        <w:t>w</w:t>
      </w:r>
      <w:r w:rsidR="00AE587A" w:rsidRPr="002C2D40">
        <w:rPr>
          <w:rFonts w:asciiTheme="minorHAnsi" w:hAnsiTheme="minorHAnsi"/>
        </w:rPr>
        <w:t xml:space="preserve"> sprawie</w:t>
      </w:r>
      <w:r w:rsidRPr="002C2D40">
        <w:rPr>
          <w:rFonts w:asciiTheme="minorHAnsi" w:hAnsiTheme="minorHAnsi"/>
        </w:rPr>
        <w:t xml:space="preserve"> zakazu handlu towarami stosowanymi do tortur i kary śmierci, do propozycji Rosji mających na celu ograniczenie lub obwarowanie dodatkowymi wymogami prawa państw do wni</w:t>
      </w:r>
      <w:r w:rsidR="003F20CE">
        <w:rPr>
          <w:rFonts w:asciiTheme="minorHAnsi" w:hAnsiTheme="minorHAnsi"/>
        </w:rPr>
        <w:t>esienia skargi międzypaństwowej</w:t>
      </w:r>
      <w:r w:rsidRPr="002C2D40">
        <w:rPr>
          <w:rFonts w:asciiTheme="minorHAnsi" w:hAnsiTheme="minorHAnsi"/>
        </w:rPr>
        <w:t>).</w:t>
      </w:r>
    </w:p>
    <w:p w:rsidR="0097084E" w:rsidRPr="002C2D40" w:rsidRDefault="0066432B" w:rsidP="00861F61">
      <w:pPr>
        <w:spacing w:before="120"/>
        <w:jc w:val="both"/>
        <w:rPr>
          <w:rFonts w:asciiTheme="minorHAnsi" w:hAnsiTheme="minorHAnsi"/>
        </w:rPr>
      </w:pPr>
      <w:r w:rsidRPr="002C2D40">
        <w:rPr>
          <w:rFonts w:asciiTheme="minorHAnsi" w:hAnsiTheme="minorHAnsi"/>
        </w:rPr>
        <w:t>W 2020 r. u</w:t>
      </w:r>
      <w:r w:rsidR="0097084E" w:rsidRPr="002C2D40">
        <w:rPr>
          <w:rFonts w:asciiTheme="minorHAnsi" w:hAnsiTheme="minorHAnsi"/>
        </w:rPr>
        <w:t xml:space="preserve">zyskano też wybór Polski do nowej grupy roboczej CDDH ds. praw człowieka i środowiska (CDDH-ENV), która rozpoczęła działalność w 2021 r. Pełnomocnik uczestniczył również w posiedzeniach Biura CDDH (w związku z wyborem na 2-letnią kadencję do tego organu). </w:t>
      </w:r>
    </w:p>
    <w:p w:rsidR="0097084E" w:rsidRDefault="0097084E" w:rsidP="00861F61">
      <w:pPr>
        <w:spacing w:before="120"/>
        <w:jc w:val="both"/>
        <w:rPr>
          <w:rFonts w:asciiTheme="minorHAnsi" w:hAnsiTheme="minorHAnsi"/>
        </w:rPr>
      </w:pPr>
      <w:r w:rsidRPr="002C2D40">
        <w:rPr>
          <w:rFonts w:asciiTheme="minorHAnsi" w:hAnsiTheme="minorHAnsi"/>
        </w:rPr>
        <w:t>Pełnomocnik uczestniczył w konsultacjach prowadzonych w grupie pełnomocników rządów RE przed Europejskim Trybunałem Praw Człowieka, a także przedstawiał informacje na temat prawa i praktyki krajowej na zapytania pełnomocników innych państw w związku z ich postępowaniami przed Trybunałem (m.in. dla pełnomocnika Rumunii na temat praw osób pozostających w związkach tej samej płci, dla pełnomocnika Czech na temat przepisów dotyczących problematyki obowiązkowych szczepień dzieci w Polsce).</w:t>
      </w:r>
    </w:p>
    <w:p w:rsidR="00861F61" w:rsidRPr="002C2D40" w:rsidRDefault="00861F61" w:rsidP="00861F61">
      <w:pPr>
        <w:spacing w:before="120"/>
        <w:jc w:val="both"/>
        <w:rPr>
          <w:rFonts w:asciiTheme="minorHAnsi" w:hAnsiTheme="minorHAnsi"/>
        </w:rPr>
      </w:pPr>
    </w:p>
    <w:p w:rsidR="0097084E" w:rsidRPr="002C2D40" w:rsidRDefault="0097084E" w:rsidP="003F20CE">
      <w:pPr>
        <w:pStyle w:val="Nagwek1"/>
        <w:spacing w:before="120"/>
        <w:rPr>
          <w:rFonts w:asciiTheme="minorHAnsi" w:hAnsiTheme="minorHAnsi"/>
        </w:rPr>
      </w:pPr>
      <w:bookmarkStart w:id="18" w:name="_Toc67656271"/>
      <w:r w:rsidRPr="002C2D40">
        <w:rPr>
          <w:rFonts w:asciiTheme="minorHAnsi" w:hAnsiTheme="minorHAnsi"/>
        </w:rPr>
        <w:t xml:space="preserve">Działania Pełnomocnika MSZ w związku z pandemią </w:t>
      </w:r>
      <w:r w:rsidRPr="002C2D40">
        <w:rPr>
          <w:rFonts w:asciiTheme="minorHAnsi" w:hAnsiTheme="minorHAnsi"/>
          <w:lang w:val="pl-PL"/>
        </w:rPr>
        <w:t>SARS-CoV-2</w:t>
      </w:r>
      <w:bookmarkEnd w:id="18"/>
    </w:p>
    <w:p w:rsidR="0097084E" w:rsidRPr="002C2D40" w:rsidRDefault="0097084E" w:rsidP="006500A8">
      <w:pPr>
        <w:spacing w:before="120"/>
        <w:jc w:val="both"/>
        <w:rPr>
          <w:rFonts w:asciiTheme="minorHAnsi" w:hAnsiTheme="minorHAnsi"/>
        </w:rPr>
      </w:pPr>
      <w:r w:rsidRPr="002C2D40">
        <w:rPr>
          <w:rFonts w:asciiTheme="minorHAnsi" w:hAnsiTheme="minorHAnsi"/>
        </w:rPr>
        <w:t xml:space="preserve">Niezwłocznie po ogłoszeniu w dniu 13 marca 2020 r. stanu zagrożenia epidemiologicznego przez Ministra Zdrowia, Pełnomocnik przygotował notatkę przypominającą, że środki podejmowane w ramach zwalczania epidemii powinny być zgodne z międzynarodowymi zobowiązaniami Polski w dziedzinie praw człowieka. Poinformował też o możliwości notyfikowania do Rady Europy i ONZ derogacji niektórych postanowień Konwencji o ochronie praw człowieka i podstawowych wolności oraz Międzynarodowego Paktu Praw Obywatelskich i Politycznych. Następnie MSZ wystosowało notatkę analityczną do członków Zespołu ds. ETPC informującą o zasadach ograniczania praw człowieka i o możliwości czasowej derogacji stosowania niektórych zobowiązań wynikających z Konwencji w stanie niebezpieczeństwa publicznego. Wszystkie resorty zostały wezwane do przeprowadzenia analizy wdrożonych środków z punktu widzenia ich zgodności z Konwencją i Paktem oraz poproszone o rozważenie potrzeby ewentualnej derogacji. </w:t>
      </w:r>
    </w:p>
    <w:p w:rsidR="0097084E" w:rsidRDefault="0097084E" w:rsidP="006500A8">
      <w:pPr>
        <w:spacing w:before="120"/>
        <w:jc w:val="both"/>
        <w:rPr>
          <w:rFonts w:asciiTheme="minorHAnsi" w:hAnsiTheme="minorHAnsi"/>
        </w:rPr>
      </w:pPr>
      <w:r w:rsidRPr="002C2D40">
        <w:rPr>
          <w:rFonts w:asciiTheme="minorHAnsi" w:hAnsiTheme="minorHAnsi"/>
        </w:rPr>
        <w:t xml:space="preserve">W trakcie dwóch tur konsultacji z członkami Zespołu wszystkie podmioty, które udzieliły odpowiedzi, wyraziły stanowisko, że podejmowane środki mieszczą się w granicach dopuszczalnych zwyczajnych ograniczeń praw chronionych Konwencją oraz MPPOP i w związku z powyższym dokonywanie derogacji nie jest konieczne. Ministerstwo Zdrowia jednocześnie zasygnalizowało wątpliwość co do możliwości dokonania przez Polskę derogacji w sytuacji braku wprowadzenia stanów nadzwyczajnych w rozumieniu Konstytucji. W związku z powyższym nie były prowadzone działania w celu złożenia derogacji. </w:t>
      </w:r>
    </w:p>
    <w:p w:rsidR="006500A8" w:rsidRPr="002C2D40" w:rsidRDefault="006500A8" w:rsidP="006500A8">
      <w:pPr>
        <w:spacing w:before="120"/>
        <w:jc w:val="both"/>
        <w:rPr>
          <w:rFonts w:asciiTheme="minorHAnsi" w:hAnsiTheme="minorHAnsi"/>
        </w:rPr>
      </w:pPr>
    </w:p>
    <w:p w:rsidR="00DD0730" w:rsidRPr="002C2D40" w:rsidRDefault="00DD0730" w:rsidP="002C2D40">
      <w:pPr>
        <w:pStyle w:val="Nagwek1"/>
        <w:spacing w:before="120"/>
        <w:rPr>
          <w:rFonts w:asciiTheme="minorHAnsi" w:hAnsiTheme="minorHAnsi"/>
        </w:rPr>
      </w:pPr>
      <w:bookmarkStart w:id="19" w:name="_Toc67656272"/>
      <w:r w:rsidRPr="002C2D40">
        <w:rPr>
          <w:rFonts w:asciiTheme="minorHAnsi" w:hAnsiTheme="minorHAnsi"/>
        </w:rPr>
        <w:t>Informacje statystyczne</w:t>
      </w:r>
      <w:bookmarkEnd w:id="19"/>
    </w:p>
    <w:p w:rsidR="00633AE0" w:rsidRPr="002C2D40" w:rsidRDefault="00633AE0" w:rsidP="006500A8">
      <w:pPr>
        <w:keepNext/>
        <w:keepLines/>
        <w:numPr>
          <w:ilvl w:val="0"/>
          <w:numId w:val="18"/>
        </w:numPr>
        <w:spacing w:before="120" w:after="120"/>
        <w:ind w:hanging="436"/>
        <w:outlineLvl w:val="2"/>
        <w:rPr>
          <w:rFonts w:asciiTheme="minorHAnsi" w:eastAsiaTheme="majorEastAsia" w:hAnsiTheme="minorHAnsi" w:cstheme="majorBidi"/>
          <w:b/>
          <w:bCs/>
          <w:color w:val="4F81BD" w:themeColor="accent1"/>
          <w:lang w:eastAsia="en-US"/>
        </w:rPr>
      </w:pPr>
      <w:r w:rsidRPr="002C2D40">
        <w:rPr>
          <w:rFonts w:asciiTheme="minorHAnsi" w:eastAsiaTheme="majorEastAsia" w:hAnsiTheme="minorHAnsi" w:cstheme="majorBidi"/>
          <w:b/>
          <w:bCs/>
          <w:lang w:eastAsia="en-US"/>
        </w:rPr>
        <w:t>Sprawy w toku przed Europejskim Trybunałem Praw Człowieka</w:t>
      </w:r>
    </w:p>
    <w:p w:rsidR="00633AE0" w:rsidRPr="002C2D40" w:rsidRDefault="00633AE0" w:rsidP="006500A8">
      <w:pPr>
        <w:numPr>
          <w:ilvl w:val="1"/>
          <w:numId w:val="4"/>
        </w:numPr>
        <w:spacing w:before="120" w:after="120"/>
        <w:ind w:hanging="436"/>
        <w:jc w:val="both"/>
        <w:rPr>
          <w:rFonts w:asciiTheme="minorHAnsi" w:hAnsiTheme="minorHAnsi"/>
          <w:i/>
        </w:rPr>
      </w:pPr>
      <w:r w:rsidRPr="002C2D40">
        <w:rPr>
          <w:rFonts w:asciiTheme="minorHAnsi" w:hAnsiTheme="minorHAnsi"/>
          <w:i/>
        </w:rPr>
        <w:t>Nowe skargi przeciwko Polsce, które wpłynęły do ETPC</w:t>
      </w:r>
    </w:p>
    <w:p w:rsidR="00633AE0" w:rsidRPr="002C2D40" w:rsidRDefault="00633AE0" w:rsidP="006500A8">
      <w:pPr>
        <w:spacing w:before="120"/>
        <w:jc w:val="both"/>
        <w:rPr>
          <w:rFonts w:asciiTheme="minorHAnsi" w:hAnsiTheme="minorHAnsi"/>
        </w:rPr>
      </w:pPr>
      <w:r w:rsidRPr="002C2D40">
        <w:rPr>
          <w:rFonts w:asciiTheme="minorHAnsi" w:hAnsiTheme="minorHAnsi"/>
        </w:rPr>
        <w:t xml:space="preserve">W 2020 r. do składów sędziowskich Trybunału skierowano do rozpoznania </w:t>
      </w:r>
      <w:r w:rsidRPr="002C2D40">
        <w:rPr>
          <w:rFonts w:asciiTheme="minorHAnsi" w:hAnsiTheme="minorHAnsi"/>
          <w:b/>
        </w:rPr>
        <w:t>1628</w:t>
      </w:r>
      <w:r w:rsidRPr="002C2D40">
        <w:rPr>
          <w:rFonts w:asciiTheme="minorHAnsi" w:hAnsiTheme="minorHAnsi"/>
        </w:rPr>
        <w:t xml:space="preserve"> </w:t>
      </w:r>
      <w:r w:rsidRPr="002C2D40">
        <w:rPr>
          <w:rFonts w:asciiTheme="minorHAnsi" w:hAnsiTheme="minorHAnsi"/>
          <w:b/>
        </w:rPr>
        <w:t>nowych skarg</w:t>
      </w:r>
      <w:r w:rsidRPr="002C2D40">
        <w:rPr>
          <w:rFonts w:asciiTheme="minorHAnsi" w:hAnsiTheme="minorHAnsi"/>
        </w:rPr>
        <w:t xml:space="preserve"> </w:t>
      </w:r>
      <w:r w:rsidRPr="002C2D40">
        <w:rPr>
          <w:rFonts w:asciiTheme="minorHAnsi" w:hAnsiTheme="minorHAnsi"/>
          <w:b/>
        </w:rPr>
        <w:t>wniesionych</w:t>
      </w:r>
      <w:r w:rsidRPr="002C2D40">
        <w:rPr>
          <w:rFonts w:asciiTheme="minorHAnsi" w:hAnsiTheme="minorHAnsi"/>
        </w:rPr>
        <w:t xml:space="preserve"> przeciwko Polsce, a więc ok. </w:t>
      </w:r>
      <w:r w:rsidRPr="002C2D40">
        <w:rPr>
          <w:rFonts w:asciiTheme="minorHAnsi" w:hAnsiTheme="minorHAnsi"/>
          <w:b/>
        </w:rPr>
        <w:t>20</w:t>
      </w:r>
      <w:r w:rsidRPr="002C2D40">
        <w:rPr>
          <w:rFonts w:asciiTheme="minorHAnsi" w:hAnsiTheme="minorHAnsi"/>
          <w:b/>
          <w:bCs/>
        </w:rPr>
        <w:t xml:space="preserve">0 mniej </w:t>
      </w:r>
      <w:r w:rsidRPr="002C2D40">
        <w:rPr>
          <w:rFonts w:asciiTheme="minorHAnsi" w:hAnsiTheme="minorHAnsi"/>
        </w:rPr>
        <w:t xml:space="preserve">niż w 2019 r., kiedy sędziom Trybunału przydzielono 1834 nowe skargi (dla porównania w 2010 r. wniesiono przeciwko Polsce 5678 </w:t>
      </w:r>
      <w:r w:rsidRPr="002C2D40">
        <w:rPr>
          <w:rFonts w:asciiTheme="minorHAnsi" w:hAnsiTheme="minorHAnsi"/>
        </w:rPr>
        <w:lastRenderedPageBreak/>
        <w:t>skarg). Utrzymała się więc trwająca od kilku lat zniżkowa tendencja w zakresie kierowanych przeciwko Polsce skarg do Trybunału.</w:t>
      </w:r>
    </w:p>
    <w:p w:rsidR="00633AE0" w:rsidRDefault="00633AE0" w:rsidP="006500A8">
      <w:pPr>
        <w:spacing w:before="120"/>
        <w:jc w:val="both"/>
        <w:rPr>
          <w:rFonts w:asciiTheme="minorHAnsi" w:hAnsiTheme="minorHAnsi"/>
        </w:rPr>
      </w:pPr>
      <w:r w:rsidRPr="002C2D40">
        <w:rPr>
          <w:rFonts w:asciiTheme="minorHAnsi" w:hAnsiTheme="minorHAnsi"/>
        </w:rPr>
        <w:t xml:space="preserve">Liczba napływających z Polski </w:t>
      </w:r>
      <w:r w:rsidRPr="002C2D40">
        <w:rPr>
          <w:rFonts w:asciiTheme="minorHAnsi" w:hAnsiTheme="minorHAnsi"/>
          <w:b/>
        </w:rPr>
        <w:t>nowych</w:t>
      </w:r>
      <w:r w:rsidRPr="002C2D40">
        <w:rPr>
          <w:rFonts w:asciiTheme="minorHAnsi" w:hAnsiTheme="minorHAnsi"/>
        </w:rPr>
        <w:t xml:space="preserve"> </w:t>
      </w:r>
      <w:r w:rsidRPr="002C2D40">
        <w:rPr>
          <w:rFonts w:asciiTheme="minorHAnsi" w:hAnsiTheme="minorHAnsi"/>
          <w:b/>
          <w:bCs/>
        </w:rPr>
        <w:t xml:space="preserve">skarg w stosunku do liczby mieszkańców </w:t>
      </w:r>
      <w:r w:rsidRPr="002C2D40">
        <w:rPr>
          <w:rFonts w:asciiTheme="minorHAnsi" w:hAnsiTheme="minorHAnsi"/>
        </w:rPr>
        <w:t xml:space="preserve">w 2020 r. utrzymywała się nadal </w:t>
      </w:r>
      <w:r w:rsidRPr="002C2D40">
        <w:rPr>
          <w:rFonts w:asciiTheme="minorHAnsi" w:hAnsiTheme="minorHAnsi"/>
          <w:b/>
          <w:bCs/>
        </w:rPr>
        <w:t>poniżej średniej europejskie</w:t>
      </w:r>
      <w:r w:rsidRPr="002C2D40">
        <w:rPr>
          <w:rFonts w:asciiTheme="minorHAnsi" w:hAnsiTheme="minorHAnsi"/>
        </w:rPr>
        <w:t xml:space="preserve">j. Stosowany przez Trybunał wskaźnik liczby skarg w stosunku do ludności spadł wobec naszego kraju do </w:t>
      </w:r>
      <w:r w:rsidRPr="002C2D40">
        <w:rPr>
          <w:rFonts w:asciiTheme="minorHAnsi" w:hAnsiTheme="minorHAnsi"/>
          <w:b/>
        </w:rPr>
        <w:t>0,43</w:t>
      </w:r>
      <w:r w:rsidR="006F29A2">
        <w:rPr>
          <w:rFonts w:asciiTheme="minorHAnsi" w:hAnsiTheme="minorHAnsi"/>
        </w:rPr>
        <w:t xml:space="preserve"> (</w:t>
      </w:r>
      <w:r w:rsidRPr="002C2D40">
        <w:rPr>
          <w:rFonts w:asciiTheme="minorHAnsi" w:hAnsiTheme="minorHAnsi"/>
        </w:rPr>
        <w:t>w 2019 r. – 0,48, a w 2010 r. – 1,51), przy czym średnia europejska wyniosła 0,50. Polska spadła na</w:t>
      </w:r>
      <w:r w:rsidRPr="002C2D40">
        <w:rPr>
          <w:rFonts w:asciiTheme="minorHAnsi" w:hAnsiTheme="minorHAnsi"/>
          <w:b/>
          <w:bCs/>
        </w:rPr>
        <w:t xml:space="preserve"> 29 miejsce </w:t>
      </w:r>
      <w:r w:rsidRPr="002C2D40">
        <w:rPr>
          <w:rFonts w:asciiTheme="minorHAnsi" w:hAnsiTheme="minorHAnsi"/>
        </w:rPr>
        <w:t>wśród 47 państw Rady Europy pod względem liczby nowych skarg w stosunku do liczby ludności.</w:t>
      </w:r>
    </w:p>
    <w:p w:rsidR="00F15678" w:rsidRPr="002C2D40" w:rsidRDefault="00F15678" w:rsidP="006500A8">
      <w:pPr>
        <w:spacing w:before="120"/>
        <w:jc w:val="both"/>
        <w:rPr>
          <w:rFonts w:asciiTheme="minorHAnsi" w:hAnsiTheme="minorHAnsi"/>
        </w:rPr>
      </w:pPr>
    </w:p>
    <w:p w:rsidR="00633AE0" w:rsidRPr="002C2D40" w:rsidRDefault="00633AE0" w:rsidP="006500A8">
      <w:pPr>
        <w:numPr>
          <w:ilvl w:val="1"/>
          <w:numId w:val="4"/>
        </w:numPr>
        <w:spacing w:before="120" w:after="120"/>
        <w:ind w:hanging="436"/>
        <w:jc w:val="both"/>
        <w:rPr>
          <w:rFonts w:asciiTheme="minorHAnsi" w:hAnsiTheme="minorHAnsi"/>
          <w:i/>
        </w:rPr>
      </w:pPr>
      <w:r w:rsidRPr="002C2D40">
        <w:rPr>
          <w:rFonts w:asciiTheme="minorHAnsi" w:hAnsiTheme="minorHAnsi"/>
          <w:i/>
        </w:rPr>
        <w:t>Skargi przeciwko Polsce zawisłe przed ETPC</w:t>
      </w:r>
    </w:p>
    <w:p w:rsidR="00633AE0" w:rsidRPr="002C2D40" w:rsidRDefault="00633AE0" w:rsidP="006500A8">
      <w:pPr>
        <w:spacing w:before="120"/>
        <w:jc w:val="both"/>
        <w:rPr>
          <w:rFonts w:asciiTheme="minorHAnsi" w:hAnsiTheme="minorHAnsi"/>
        </w:rPr>
      </w:pPr>
      <w:r w:rsidRPr="002C2D40">
        <w:rPr>
          <w:rFonts w:asciiTheme="minorHAnsi" w:hAnsiTheme="minorHAnsi"/>
        </w:rPr>
        <w:t xml:space="preserve">Polska poprawiła się nieznacznie również pod względem ogólnej </w:t>
      </w:r>
      <w:r w:rsidRPr="002C2D40">
        <w:rPr>
          <w:rFonts w:asciiTheme="minorHAnsi" w:eastAsiaTheme="minorHAnsi" w:hAnsiTheme="minorHAnsi" w:cstheme="minorBidi"/>
          <w:lang w:eastAsia="en-US"/>
        </w:rPr>
        <w:t>liczby skarg</w:t>
      </w:r>
      <w:r w:rsidRPr="002C2D40">
        <w:rPr>
          <w:rFonts w:asciiTheme="minorHAnsi" w:hAnsiTheme="minorHAnsi"/>
          <w:b/>
          <w:bCs/>
        </w:rPr>
        <w:t xml:space="preserve"> </w:t>
      </w:r>
      <w:r w:rsidRPr="002C2D40">
        <w:rPr>
          <w:rFonts w:asciiTheme="minorHAnsi" w:eastAsiaTheme="minorHAnsi" w:hAnsiTheme="minorHAnsi" w:cstheme="minorBidi"/>
          <w:lang w:eastAsia="en-US"/>
        </w:rPr>
        <w:t>zawisłych</w:t>
      </w:r>
      <w:r w:rsidRPr="002C2D40">
        <w:rPr>
          <w:rFonts w:asciiTheme="minorHAnsi" w:hAnsiTheme="minorHAnsi"/>
        </w:rPr>
        <w:t xml:space="preserve"> przed Trybunałem: na koniec 2020 r. </w:t>
      </w:r>
      <w:r w:rsidRPr="002C2D40">
        <w:rPr>
          <w:rFonts w:asciiTheme="minorHAnsi" w:hAnsiTheme="minorHAnsi"/>
          <w:b/>
        </w:rPr>
        <w:t>zawisłych</w:t>
      </w:r>
      <w:r w:rsidRPr="002C2D40">
        <w:rPr>
          <w:rFonts w:asciiTheme="minorHAnsi" w:hAnsiTheme="minorHAnsi"/>
        </w:rPr>
        <w:t xml:space="preserve"> przeciwko Polsce było </w:t>
      </w:r>
      <w:r w:rsidRPr="002C2D40">
        <w:rPr>
          <w:rFonts w:asciiTheme="minorHAnsi" w:hAnsiTheme="minorHAnsi"/>
          <w:b/>
        </w:rPr>
        <w:t>1150 skarg</w:t>
      </w:r>
      <w:r w:rsidRPr="002C2D40">
        <w:rPr>
          <w:rFonts w:asciiTheme="minorHAnsi" w:hAnsiTheme="minorHAnsi"/>
        </w:rPr>
        <w:t xml:space="preserve"> (o ok. 90 mniej niż na</w:t>
      </w:r>
      <w:r w:rsidR="001F7349">
        <w:rPr>
          <w:rFonts w:asciiTheme="minorHAnsi" w:hAnsiTheme="minorHAnsi"/>
        </w:rPr>
        <w:t xml:space="preserve"> </w:t>
      </w:r>
      <w:r w:rsidRPr="002C2D40">
        <w:rPr>
          <w:rFonts w:asciiTheme="minorHAnsi" w:hAnsiTheme="minorHAnsi"/>
        </w:rPr>
        <w:t xml:space="preserve">koniec 2019 r.), które stanowiły </w:t>
      </w:r>
      <w:r w:rsidRPr="002C2D40">
        <w:rPr>
          <w:rFonts w:asciiTheme="minorHAnsi" w:hAnsiTheme="minorHAnsi"/>
          <w:b/>
        </w:rPr>
        <w:t>1,9%</w:t>
      </w:r>
      <w:r w:rsidRPr="002C2D40">
        <w:rPr>
          <w:rFonts w:asciiTheme="minorHAnsi" w:hAnsiTheme="minorHAnsi"/>
        </w:rPr>
        <w:t xml:space="preserve"> wszystkich spraw zawisłych przed ETPC. Mimo tego spadku Polska znalazła się tym razem na </w:t>
      </w:r>
      <w:r w:rsidRPr="002C2D40">
        <w:rPr>
          <w:rFonts w:asciiTheme="minorHAnsi" w:hAnsiTheme="minorHAnsi"/>
          <w:b/>
        </w:rPr>
        <w:t>9 miejscu</w:t>
      </w:r>
      <w:r w:rsidRPr="002C2D40">
        <w:rPr>
          <w:rFonts w:asciiTheme="minorHAnsi" w:hAnsiTheme="minorHAnsi"/>
        </w:rPr>
        <w:t xml:space="preserve"> w Radzie Europy pod względem liczby zawisłych skarg (w</w:t>
      </w:r>
      <w:r w:rsidR="001F7349">
        <w:rPr>
          <w:rFonts w:asciiTheme="minorHAnsi" w:hAnsiTheme="minorHAnsi"/>
        </w:rPr>
        <w:t xml:space="preserve"> </w:t>
      </w:r>
      <w:r w:rsidRPr="002C2D40">
        <w:rPr>
          <w:rFonts w:asciiTheme="minorHAnsi" w:hAnsiTheme="minorHAnsi"/>
        </w:rPr>
        <w:t>2019 r. była na 10 miejscu), mając o 100 skarg więcej niż Mołdawia, która była na 10 pozycji, a</w:t>
      </w:r>
      <w:r w:rsidR="00172C60">
        <w:rPr>
          <w:rFonts w:asciiTheme="minorHAnsi" w:hAnsiTheme="minorHAnsi"/>
        </w:rPr>
        <w:t xml:space="preserve"> </w:t>
      </w:r>
      <w:r w:rsidRPr="002C2D40">
        <w:rPr>
          <w:rFonts w:asciiTheme="minorHAnsi" w:hAnsiTheme="minorHAnsi"/>
        </w:rPr>
        <w:t>o</w:t>
      </w:r>
      <w:r w:rsidR="00172C60">
        <w:rPr>
          <w:rFonts w:asciiTheme="minorHAnsi" w:hAnsiTheme="minorHAnsi"/>
        </w:rPr>
        <w:t xml:space="preserve"> </w:t>
      </w:r>
      <w:r w:rsidRPr="002C2D40">
        <w:rPr>
          <w:rFonts w:asciiTheme="minorHAnsi" w:hAnsiTheme="minorHAnsi"/>
        </w:rPr>
        <w:t>ok. 250 mniej w stosunku do Armenii, która zajęła 8 miejsce.</w:t>
      </w:r>
    </w:p>
    <w:p w:rsidR="00633AE0" w:rsidRDefault="00633AE0" w:rsidP="006500A8">
      <w:pPr>
        <w:spacing w:before="120"/>
        <w:jc w:val="both"/>
        <w:rPr>
          <w:rFonts w:asciiTheme="minorHAnsi" w:hAnsiTheme="minorHAnsi"/>
        </w:rPr>
      </w:pPr>
      <w:r w:rsidRPr="002C2D40">
        <w:rPr>
          <w:rFonts w:asciiTheme="minorHAnsi" w:hAnsiTheme="minorHAnsi"/>
        </w:rPr>
        <w:t>Najwięcej skarg zawisłych przed ETPC na koniec 2020 r. było przeciwko Rosji (13</w:t>
      </w:r>
      <w:r w:rsidR="00172C60">
        <w:rPr>
          <w:rFonts w:asciiTheme="minorHAnsi" w:hAnsiTheme="minorHAnsi"/>
        </w:rPr>
        <w:t> </w:t>
      </w:r>
      <w:r w:rsidRPr="002C2D40">
        <w:rPr>
          <w:rFonts w:asciiTheme="minorHAnsi" w:hAnsiTheme="minorHAnsi"/>
        </w:rPr>
        <w:t>650, 22%, spadek o</w:t>
      </w:r>
      <w:r w:rsidR="00172C60">
        <w:rPr>
          <w:rFonts w:asciiTheme="minorHAnsi" w:hAnsiTheme="minorHAnsi"/>
        </w:rPr>
        <w:t xml:space="preserve"> </w:t>
      </w:r>
      <w:r w:rsidRPr="002C2D40">
        <w:rPr>
          <w:rFonts w:asciiTheme="minorHAnsi" w:hAnsiTheme="minorHAnsi"/>
        </w:rPr>
        <w:t>1400 skarg). Polskę wyprzedziły także Turcja (11 750 zawisłych skarg, 19%, wzrost o 2500 skarg), Ukraina (10</w:t>
      </w:r>
      <w:r w:rsidR="00172C60">
        <w:rPr>
          <w:rFonts w:asciiTheme="minorHAnsi" w:hAnsiTheme="minorHAnsi"/>
        </w:rPr>
        <w:t> </w:t>
      </w:r>
      <w:r w:rsidRPr="002C2D40">
        <w:rPr>
          <w:rFonts w:asciiTheme="minorHAnsi" w:hAnsiTheme="minorHAnsi"/>
        </w:rPr>
        <w:t>400, 16,8%), Rumunia (7550, 12,2%), Włochy (3450, 5,6%), Azerbejdżan (2050, 3,3%), Serbia (1750, 2,8%) oraz Armenia (1400, 2,3%).</w:t>
      </w:r>
    </w:p>
    <w:p w:rsidR="00F15678" w:rsidRPr="002C2D40" w:rsidRDefault="00F15678" w:rsidP="006500A8">
      <w:pPr>
        <w:spacing w:before="120"/>
        <w:jc w:val="both"/>
        <w:rPr>
          <w:rFonts w:asciiTheme="minorHAnsi" w:eastAsiaTheme="minorHAnsi" w:hAnsiTheme="minorHAnsi" w:cstheme="minorBidi"/>
          <w:lang w:eastAsia="en-US"/>
        </w:rPr>
      </w:pPr>
    </w:p>
    <w:p w:rsidR="00633AE0" w:rsidRPr="002C2D40" w:rsidRDefault="00633AE0" w:rsidP="006500A8">
      <w:pPr>
        <w:numPr>
          <w:ilvl w:val="1"/>
          <w:numId w:val="4"/>
        </w:numPr>
        <w:spacing w:before="120" w:after="120"/>
        <w:ind w:hanging="436"/>
        <w:jc w:val="both"/>
        <w:rPr>
          <w:rFonts w:asciiTheme="minorHAnsi" w:hAnsiTheme="minorHAnsi"/>
          <w:i/>
        </w:rPr>
      </w:pPr>
      <w:r w:rsidRPr="002C2D40">
        <w:rPr>
          <w:rFonts w:asciiTheme="minorHAnsi" w:hAnsiTheme="minorHAnsi"/>
          <w:i/>
        </w:rPr>
        <w:t xml:space="preserve">Nowe skargi zakomunikowane </w:t>
      </w:r>
      <w:r w:rsidR="00172C60">
        <w:rPr>
          <w:rFonts w:asciiTheme="minorHAnsi" w:hAnsiTheme="minorHAnsi"/>
          <w:i/>
        </w:rPr>
        <w:t>R</w:t>
      </w:r>
      <w:r w:rsidRPr="002C2D40">
        <w:rPr>
          <w:rFonts w:asciiTheme="minorHAnsi" w:hAnsiTheme="minorHAnsi"/>
          <w:i/>
        </w:rPr>
        <w:t>ządowi celem zajęcia stanowiska</w:t>
      </w:r>
    </w:p>
    <w:p w:rsidR="00633AE0" w:rsidRPr="002C2D40" w:rsidRDefault="00633AE0" w:rsidP="006500A8">
      <w:pPr>
        <w:spacing w:before="120"/>
        <w:jc w:val="both"/>
        <w:rPr>
          <w:rFonts w:asciiTheme="minorHAnsi" w:hAnsiTheme="minorHAnsi"/>
        </w:rPr>
      </w:pPr>
      <w:r w:rsidRPr="002C2D40">
        <w:rPr>
          <w:rFonts w:asciiTheme="minorHAnsi" w:hAnsiTheme="minorHAnsi"/>
        </w:rPr>
        <w:t xml:space="preserve">W 2020 r. Trybunał zakomunikował </w:t>
      </w:r>
      <w:r w:rsidR="00303FC6">
        <w:rPr>
          <w:rFonts w:asciiTheme="minorHAnsi" w:hAnsiTheme="minorHAnsi"/>
        </w:rPr>
        <w:t>R</w:t>
      </w:r>
      <w:r w:rsidRPr="002C2D40">
        <w:rPr>
          <w:rFonts w:asciiTheme="minorHAnsi" w:hAnsiTheme="minorHAnsi"/>
        </w:rPr>
        <w:t xml:space="preserve">ządowi </w:t>
      </w:r>
      <w:r w:rsidRPr="002C2D40">
        <w:rPr>
          <w:rFonts w:asciiTheme="minorHAnsi" w:hAnsiTheme="minorHAnsi"/>
          <w:b/>
        </w:rPr>
        <w:t>126</w:t>
      </w:r>
      <w:r w:rsidRPr="002C2D40">
        <w:rPr>
          <w:rFonts w:asciiTheme="minorHAnsi" w:hAnsiTheme="minorHAnsi"/>
        </w:rPr>
        <w:t xml:space="preserve"> </w:t>
      </w:r>
      <w:r w:rsidRPr="002C2D40">
        <w:rPr>
          <w:rFonts w:asciiTheme="minorHAnsi" w:hAnsiTheme="minorHAnsi"/>
          <w:b/>
        </w:rPr>
        <w:t>nowych skarg</w:t>
      </w:r>
      <w:r w:rsidRPr="002C2D40">
        <w:rPr>
          <w:rFonts w:asciiTheme="minorHAnsi" w:hAnsiTheme="minorHAnsi"/>
        </w:rPr>
        <w:t>, na</w:t>
      </w:r>
      <w:r w:rsidR="00303FC6">
        <w:rPr>
          <w:rFonts w:asciiTheme="minorHAnsi" w:hAnsiTheme="minorHAnsi"/>
        </w:rPr>
        <w:t xml:space="preserve">stąpił więc powrót do poziomu z </w:t>
      </w:r>
      <w:r w:rsidRPr="002C2D40">
        <w:rPr>
          <w:rFonts w:asciiTheme="minorHAnsi" w:hAnsiTheme="minorHAnsi"/>
        </w:rPr>
        <w:t>2018 r. (kiedy to zakomunikowanych było 117 nowych skarg, dla porównania w 2019 r. nowych komunikacji było 251,</w:t>
      </w:r>
      <w:r w:rsidRPr="002C2D40">
        <w:rPr>
          <w:rFonts w:asciiTheme="minorHAnsi" w:hAnsiTheme="minorHAnsi"/>
          <w:b/>
        </w:rPr>
        <w:t xml:space="preserve"> </w:t>
      </w:r>
      <w:r w:rsidRPr="002C2D40">
        <w:rPr>
          <w:rFonts w:asciiTheme="minorHAnsi" w:hAnsiTheme="minorHAnsi"/>
        </w:rPr>
        <w:t xml:space="preserve">w 2017 r. - 396, a w 2015 r. – 761). Sprawy zakomunikowane Polsce stanowiły ok. 1,6% wszystkich skarg przesłanych przez Trybunał państwom-stronom Europejskiej Konwencji Praw Człowieka celem zajęcia stanowiska (7681). </w:t>
      </w:r>
    </w:p>
    <w:p w:rsidR="00633AE0" w:rsidRPr="002C2D40" w:rsidRDefault="00633AE0" w:rsidP="006500A8">
      <w:pPr>
        <w:spacing w:before="120"/>
        <w:jc w:val="both"/>
        <w:rPr>
          <w:rFonts w:asciiTheme="minorHAnsi" w:hAnsiTheme="minorHAnsi"/>
        </w:rPr>
      </w:pPr>
      <w:r w:rsidRPr="002C2D40">
        <w:rPr>
          <w:rFonts w:asciiTheme="minorHAnsi" w:hAnsiTheme="minorHAnsi"/>
        </w:rPr>
        <w:t>Największa grupa (30) skarg zakomunikowanych w 2020 r. dotyczyła kwestii związanych z likwidacją Służby Celnej i Służby Skarbowej (wyłączenia ścieżki sądowej), 21 skarg odnosiło się zaś do różnych zarzutów dyskryminacji osób LGBT, ponadto 19 otrzymanych przez rząd skarg dotyczyło różnych problemów związanych z</w:t>
      </w:r>
      <w:r w:rsidR="00303FC6">
        <w:rPr>
          <w:rFonts w:asciiTheme="minorHAnsi" w:hAnsiTheme="minorHAnsi"/>
        </w:rPr>
        <w:t xml:space="preserve"> </w:t>
      </w:r>
      <w:r w:rsidRPr="002C2D40">
        <w:rPr>
          <w:rFonts w:asciiTheme="minorHAnsi" w:hAnsiTheme="minorHAnsi"/>
        </w:rPr>
        <w:t>przewlekłością (11 skarg na przewlekłość postępowań sądowych, 8 skarg na przewlekłość tymczasowego aresztowania lub przewlekłe oczekiwanie na zwolnienie z aresztu za</w:t>
      </w:r>
      <w:r w:rsidR="00303FC6">
        <w:rPr>
          <w:rFonts w:asciiTheme="minorHAnsi" w:hAnsiTheme="minorHAnsi"/>
        </w:rPr>
        <w:t xml:space="preserve"> </w:t>
      </w:r>
      <w:r w:rsidRPr="002C2D40">
        <w:rPr>
          <w:rFonts w:asciiTheme="minorHAnsi" w:hAnsiTheme="minorHAnsi"/>
        </w:rPr>
        <w:t>poręczeniem majątkowym).</w:t>
      </w:r>
    </w:p>
    <w:p w:rsidR="00633AE0" w:rsidRDefault="00633AE0" w:rsidP="006500A8">
      <w:pPr>
        <w:spacing w:before="120"/>
        <w:jc w:val="both"/>
        <w:rPr>
          <w:rFonts w:asciiTheme="minorHAnsi" w:hAnsiTheme="minorHAnsi"/>
        </w:rPr>
      </w:pPr>
      <w:r w:rsidRPr="002C2D40">
        <w:rPr>
          <w:rFonts w:asciiTheme="minorHAnsi" w:hAnsiTheme="minorHAnsi"/>
        </w:rPr>
        <w:t xml:space="preserve">Dodatkowo Trybunał wydal </w:t>
      </w:r>
      <w:r w:rsidRPr="002C2D40">
        <w:rPr>
          <w:rFonts w:asciiTheme="minorHAnsi" w:hAnsiTheme="minorHAnsi"/>
          <w:b/>
        </w:rPr>
        <w:t>6</w:t>
      </w:r>
      <w:r w:rsidRPr="002C2D40">
        <w:rPr>
          <w:rFonts w:asciiTheme="minorHAnsi" w:hAnsiTheme="minorHAnsi"/>
        </w:rPr>
        <w:t xml:space="preserve"> </w:t>
      </w:r>
      <w:r w:rsidRPr="002C2D40">
        <w:rPr>
          <w:rFonts w:asciiTheme="minorHAnsi" w:hAnsiTheme="minorHAnsi"/>
          <w:b/>
        </w:rPr>
        <w:t>zarządzeń tymczasowych</w:t>
      </w:r>
      <w:r w:rsidRPr="002C2D40">
        <w:rPr>
          <w:rFonts w:asciiTheme="minorHAnsi" w:hAnsiTheme="minorHAnsi"/>
        </w:rPr>
        <w:t xml:space="preserve"> (</w:t>
      </w:r>
      <w:r w:rsidRPr="002C2D40">
        <w:rPr>
          <w:rFonts w:asciiTheme="minorHAnsi" w:hAnsiTheme="minorHAnsi"/>
          <w:i/>
        </w:rPr>
        <w:t>interim measures</w:t>
      </w:r>
      <w:r w:rsidRPr="002C2D40">
        <w:rPr>
          <w:rFonts w:asciiTheme="minorHAnsi" w:hAnsiTheme="minorHAnsi"/>
        </w:rPr>
        <w:t>) na podstawie Reguły 39 Regulaminu Trybunału, w tym 5 na etapie rozpoznawania sprawy (4 zarządzenia dotyczyły wstrzymania wydaleń do Tadżykistanu i Rosji, a</w:t>
      </w:r>
      <w:r w:rsidR="00303FC6">
        <w:rPr>
          <w:rFonts w:asciiTheme="minorHAnsi" w:hAnsiTheme="minorHAnsi"/>
        </w:rPr>
        <w:t xml:space="preserve"> </w:t>
      </w:r>
      <w:r w:rsidRPr="002C2D40">
        <w:rPr>
          <w:rFonts w:asciiTheme="minorHAnsi" w:hAnsiTheme="minorHAnsi"/>
        </w:rPr>
        <w:t xml:space="preserve">jedno – zapewnienia dostępu do terapii w zakładzie karnym) i </w:t>
      </w:r>
      <w:r w:rsidRPr="002C2D40">
        <w:rPr>
          <w:rFonts w:asciiTheme="minorHAnsi" w:hAnsiTheme="minorHAnsi"/>
          <w:b/>
        </w:rPr>
        <w:t>1</w:t>
      </w:r>
      <w:r w:rsidRPr="002C2D40">
        <w:rPr>
          <w:rFonts w:asciiTheme="minorHAnsi" w:hAnsiTheme="minorHAnsi"/>
        </w:rPr>
        <w:t xml:space="preserve"> na etapie od wydania wyroku Izby do jego uprawomocnienia się (dotyczące wstrzymania wydalenia do Rosji).</w:t>
      </w:r>
    </w:p>
    <w:p w:rsidR="00F15678" w:rsidRPr="002C2D40" w:rsidRDefault="00F15678" w:rsidP="006500A8">
      <w:pPr>
        <w:spacing w:before="120"/>
        <w:jc w:val="both"/>
        <w:rPr>
          <w:rFonts w:asciiTheme="minorHAnsi" w:hAnsiTheme="minorHAnsi"/>
        </w:rPr>
      </w:pPr>
    </w:p>
    <w:p w:rsidR="00633AE0" w:rsidRPr="002C2D40" w:rsidRDefault="00633AE0" w:rsidP="006500A8">
      <w:pPr>
        <w:numPr>
          <w:ilvl w:val="1"/>
          <w:numId w:val="4"/>
        </w:numPr>
        <w:spacing w:before="120" w:after="120"/>
        <w:ind w:hanging="436"/>
        <w:jc w:val="both"/>
        <w:rPr>
          <w:rFonts w:asciiTheme="minorHAnsi" w:hAnsiTheme="minorHAnsi"/>
          <w:i/>
        </w:rPr>
      </w:pPr>
      <w:r w:rsidRPr="002C2D40">
        <w:rPr>
          <w:rFonts w:asciiTheme="minorHAnsi" w:hAnsiTheme="minorHAnsi"/>
          <w:i/>
        </w:rPr>
        <w:t xml:space="preserve">Przedmiot skarg zakomunikowanych w 2020 r. </w:t>
      </w:r>
    </w:p>
    <w:p w:rsidR="00633AE0" w:rsidRPr="002C2D40" w:rsidRDefault="00633AE0" w:rsidP="006500A8">
      <w:pPr>
        <w:spacing w:before="120"/>
        <w:jc w:val="both"/>
        <w:rPr>
          <w:rFonts w:asciiTheme="minorHAnsi" w:hAnsiTheme="minorHAnsi"/>
        </w:rPr>
      </w:pPr>
      <w:r w:rsidRPr="002C2D40">
        <w:rPr>
          <w:rFonts w:asciiTheme="minorHAnsi" w:hAnsiTheme="minorHAnsi"/>
        </w:rPr>
        <w:t xml:space="preserve">W 2020 r. Trybunał zakomunikował Rządowi RP </w:t>
      </w:r>
      <w:r w:rsidRPr="002C2D40">
        <w:rPr>
          <w:rFonts w:asciiTheme="minorHAnsi" w:hAnsiTheme="minorHAnsi"/>
          <w:b/>
        </w:rPr>
        <w:t>126 skarg</w:t>
      </w:r>
      <w:r w:rsidRPr="002C2D40">
        <w:rPr>
          <w:rFonts w:asciiTheme="minorHAnsi" w:hAnsiTheme="minorHAnsi"/>
        </w:rPr>
        <w:t>, które można usystematyzować w</w:t>
      </w:r>
      <w:r w:rsidR="00303FC6">
        <w:rPr>
          <w:rFonts w:asciiTheme="minorHAnsi" w:hAnsiTheme="minorHAnsi"/>
        </w:rPr>
        <w:t xml:space="preserve"> </w:t>
      </w:r>
      <w:r w:rsidRPr="002C2D40">
        <w:rPr>
          <w:rFonts w:asciiTheme="minorHAnsi" w:hAnsiTheme="minorHAnsi"/>
        </w:rPr>
        <w:t>następujące grupy tematyczne:</w:t>
      </w:r>
    </w:p>
    <w:p w:rsidR="00633AE0" w:rsidRPr="00303FC6" w:rsidRDefault="00633AE0" w:rsidP="00303FC6">
      <w:pPr>
        <w:pStyle w:val="Akapitzlist"/>
        <w:numPr>
          <w:ilvl w:val="0"/>
          <w:numId w:val="34"/>
        </w:numPr>
        <w:spacing w:before="120" w:after="0" w:line="240" w:lineRule="auto"/>
        <w:ind w:hanging="436"/>
        <w:jc w:val="both"/>
        <w:rPr>
          <w:rFonts w:asciiTheme="minorHAnsi" w:hAnsiTheme="minorHAnsi"/>
          <w:sz w:val="24"/>
          <w:szCs w:val="24"/>
        </w:rPr>
      </w:pPr>
      <w:r w:rsidRPr="00303FC6">
        <w:rPr>
          <w:rFonts w:asciiTheme="minorHAnsi" w:hAnsiTheme="minorHAnsi"/>
          <w:b/>
          <w:sz w:val="24"/>
          <w:szCs w:val="24"/>
        </w:rPr>
        <w:lastRenderedPageBreak/>
        <w:t>30</w:t>
      </w:r>
      <w:r w:rsidRPr="00303FC6">
        <w:rPr>
          <w:rFonts w:asciiTheme="minorHAnsi" w:hAnsiTheme="minorHAnsi"/>
          <w:sz w:val="24"/>
          <w:szCs w:val="24"/>
        </w:rPr>
        <w:t xml:space="preserve"> skarg dotyczących </w:t>
      </w:r>
      <w:r w:rsidRPr="00303FC6">
        <w:rPr>
          <w:rFonts w:asciiTheme="minorHAnsi" w:hAnsiTheme="minorHAnsi"/>
          <w:sz w:val="24"/>
          <w:szCs w:val="24"/>
          <w:u w:val="single"/>
        </w:rPr>
        <w:t>likwidacji Służby Celnej i Służby Skarbowej</w:t>
      </w:r>
      <w:r w:rsidRPr="00303FC6">
        <w:rPr>
          <w:rFonts w:asciiTheme="minorHAnsi" w:hAnsiTheme="minorHAnsi"/>
          <w:sz w:val="24"/>
          <w:szCs w:val="24"/>
        </w:rPr>
        <w:t xml:space="preserve"> i utworzenia Krajowej Administracji Skarbowej (zarzut naruszenia art. 6 ust. 1 Konwencji w związku z wyłączeniem ścieżki sądowej);</w:t>
      </w:r>
    </w:p>
    <w:p w:rsidR="00633AE0" w:rsidRPr="00303FC6" w:rsidRDefault="00633AE0" w:rsidP="00303FC6">
      <w:pPr>
        <w:pStyle w:val="Akapitzlist"/>
        <w:numPr>
          <w:ilvl w:val="0"/>
          <w:numId w:val="34"/>
        </w:numPr>
        <w:spacing w:before="120" w:after="0" w:line="240" w:lineRule="auto"/>
        <w:ind w:hanging="436"/>
        <w:jc w:val="both"/>
        <w:rPr>
          <w:rFonts w:asciiTheme="minorHAnsi" w:hAnsiTheme="minorHAnsi"/>
          <w:sz w:val="24"/>
          <w:szCs w:val="24"/>
        </w:rPr>
      </w:pPr>
      <w:r w:rsidRPr="00303FC6">
        <w:rPr>
          <w:rFonts w:asciiTheme="minorHAnsi" w:hAnsiTheme="minorHAnsi"/>
          <w:b/>
          <w:sz w:val="24"/>
          <w:szCs w:val="24"/>
        </w:rPr>
        <w:t>21</w:t>
      </w:r>
      <w:r w:rsidRPr="00303FC6">
        <w:rPr>
          <w:rFonts w:asciiTheme="minorHAnsi" w:hAnsiTheme="minorHAnsi"/>
          <w:sz w:val="24"/>
          <w:szCs w:val="24"/>
        </w:rPr>
        <w:t xml:space="preserve"> skarg dotyczących </w:t>
      </w:r>
      <w:r w:rsidRPr="00303FC6">
        <w:rPr>
          <w:rFonts w:asciiTheme="minorHAnsi" w:hAnsiTheme="minorHAnsi"/>
          <w:sz w:val="24"/>
          <w:szCs w:val="24"/>
          <w:u w:val="single"/>
        </w:rPr>
        <w:t>zarzutu dyskryminacji osób LGBT</w:t>
      </w:r>
      <w:r w:rsidRPr="00303FC6">
        <w:rPr>
          <w:rFonts w:asciiTheme="minorHAnsi" w:hAnsiTheme="minorHAnsi"/>
          <w:sz w:val="24"/>
          <w:szCs w:val="24"/>
        </w:rPr>
        <w:t>, w tym w kwestii związków partnerskich, aktów stanu cywilnego, zmiany nazwiska na nazwisko partnera tej samej płci, kwestii podatkowych czy umów ubezpieczenia (zarzuty naruszenia art. 8 i 14);</w:t>
      </w:r>
    </w:p>
    <w:p w:rsidR="00633AE0" w:rsidRPr="00303FC6" w:rsidRDefault="00633AE0" w:rsidP="00303FC6">
      <w:pPr>
        <w:pStyle w:val="Akapitzlist"/>
        <w:numPr>
          <w:ilvl w:val="0"/>
          <w:numId w:val="34"/>
        </w:numPr>
        <w:spacing w:before="120" w:after="0" w:line="240" w:lineRule="auto"/>
        <w:ind w:hanging="436"/>
        <w:jc w:val="both"/>
        <w:rPr>
          <w:rFonts w:asciiTheme="minorHAnsi" w:hAnsiTheme="minorHAnsi"/>
          <w:sz w:val="24"/>
          <w:szCs w:val="24"/>
        </w:rPr>
      </w:pPr>
      <w:r w:rsidRPr="00303FC6">
        <w:rPr>
          <w:rFonts w:asciiTheme="minorHAnsi" w:hAnsiTheme="minorHAnsi"/>
          <w:b/>
          <w:sz w:val="24"/>
          <w:szCs w:val="24"/>
        </w:rPr>
        <w:t>19</w:t>
      </w:r>
      <w:r w:rsidRPr="00303FC6">
        <w:rPr>
          <w:rFonts w:asciiTheme="minorHAnsi" w:hAnsiTheme="minorHAnsi"/>
          <w:sz w:val="24"/>
          <w:szCs w:val="24"/>
        </w:rPr>
        <w:t xml:space="preserve"> skarg dotyczących </w:t>
      </w:r>
      <w:r w:rsidRPr="00303FC6">
        <w:rPr>
          <w:rFonts w:asciiTheme="minorHAnsi" w:hAnsiTheme="minorHAnsi"/>
          <w:sz w:val="24"/>
          <w:szCs w:val="24"/>
          <w:u w:val="single"/>
        </w:rPr>
        <w:t>przewlekłego działania organów</w:t>
      </w:r>
      <w:r w:rsidRPr="00303FC6">
        <w:rPr>
          <w:rFonts w:asciiTheme="minorHAnsi" w:hAnsiTheme="minorHAnsi"/>
          <w:sz w:val="24"/>
          <w:szCs w:val="24"/>
        </w:rPr>
        <w:t>, w tym:</w:t>
      </w:r>
    </w:p>
    <w:p w:rsidR="00633AE0" w:rsidRPr="002C2D40" w:rsidRDefault="00633AE0" w:rsidP="00303FC6">
      <w:pPr>
        <w:numPr>
          <w:ilvl w:val="0"/>
          <w:numId w:val="20"/>
        </w:numPr>
        <w:spacing w:before="120"/>
        <w:ind w:left="1134" w:hanging="426"/>
        <w:jc w:val="both"/>
        <w:rPr>
          <w:rFonts w:asciiTheme="minorHAnsi" w:hAnsiTheme="minorHAnsi"/>
        </w:rPr>
      </w:pPr>
      <w:r w:rsidRPr="002C2D40">
        <w:rPr>
          <w:rFonts w:asciiTheme="minorHAnsi" w:hAnsiTheme="minorHAnsi"/>
        </w:rPr>
        <w:t>11 skarg dotyczących przewlekłości postępowania sądowego i braku skutecznego środka do</w:t>
      </w:r>
      <w:r w:rsidR="00303FC6">
        <w:rPr>
          <w:rFonts w:asciiTheme="minorHAnsi" w:hAnsiTheme="minorHAnsi"/>
        </w:rPr>
        <w:t xml:space="preserve"> </w:t>
      </w:r>
      <w:r w:rsidRPr="002C2D40">
        <w:rPr>
          <w:rFonts w:asciiTheme="minorHAnsi" w:hAnsiTheme="minorHAnsi"/>
        </w:rPr>
        <w:t>zaskarżenia przewlekłości (zarzuty naruszenia art. 6 ust. 1 i 13),</w:t>
      </w:r>
    </w:p>
    <w:p w:rsidR="00633AE0" w:rsidRPr="002C2D40" w:rsidRDefault="00633AE0" w:rsidP="00303FC6">
      <w:pPr>
        <w:numPr>
          <w:ilvl w:val="0"/>
          <w:numId w:val="20"/>
        </w:numPr>
        <w:spacing w:before="120"/>
        <w:ind w:left="1134" w:hanging="426"/>
        <w:jc w:val="both"/>
        <w:rPr>
          <w:rFonts w:asciiTheme="minorHAnsi" w:hAnsiTheme="minorHAnsi"/>
        </w:rPr>
      </w:pPr>
      <w:r w:rsidRPr="002C2D40">
        <w:rPr>
          <w:rFonts w:asciiTheme="minorHAnsi" w:hAnsiTheme="minorHAnsi"/>
        </w:rPr>
        <w:t>8 skarg dotyczących przewlekłości tymczasowego aresztowania lub przewlekłego oczekiwania na zwolnienie z aresztu za poręczeniem majątkowym (zarzut naruszenia art. 5 ust. 3);</w:t>
      </w:r>
    </w:p>
    <w:p w:rsidR="00633AE0" w:rsidRPr="00673E83" w:rsidRDefault="00633AE0" w:rsidP="00BD38C6">
      <w:pPr>
        <w:pStyle w:val="Akapitzlist"/>
        <w:numPr>
          <w:ilvl w:val="0"/>
          <w:numId w:val="35"/>
        </w:numPr>
        <w:spacing w:before="120" w:after="0" w:line="240" w:lineRule="auto"/>
        <w:ind w:hanging="436"/>
        <w:jc w:val="both"/>
        <w:rPr>
          <w:rFonts w:asciiTheme="minorHAnsi" w:hAnsiTheme="minorHAnsi"/>
          <w:sz w:val="24"/>
          <w:szCs w:val="24"/>
        </w:rPr>
      </w:pPr>
      <w:r w:rsidRPr="00673E83">
        <w:rPr>
          <w:rFonts w:asciiTheme="minorHAnsi" w:hAnsiTheme="minorHAnsi"/>
          <w:b/>
          <w:sz w:val="24"/>
          <w:szCs w:val="24"/>
        </w:rPr>
        <w:t>15</w:t>
      </w:r>
      <w:r w:rsidRPr="00673E83">
        <w:rPr>
          <w:rFonts w:asciiTheme="minorHAnsi" w:hAnsiTheme="minorHAnsi"/>
          <w:sz w:val="24"/>
          <w:szCs w:val="24"/>
        </w:rPr>
        <w:t xml:space="preserve"> skarg dotyczących </w:t>
      </w:r>
      <w:r w:rsidRPr="00673E83">
        <w:rPr>
          <w:rFonts w:asciiTheme="minorHAnsi" w:hAnsiTheme="minorHAnsi"/>
          <w:sz w:val="24"/>
          <w:szCs w:val="24"/>
          <w:u w:val="single"/>
        </w:rPr>
        <w:t>funkcjonowania i reformy wymiaru sprawiedliwości</w:t>
      </w:r>
      <w:r w:rsidRPr="00673E83">
        <w:rPr>
          <w:rFonts w:asciiTheme="minorHAnsi" w:hAnsiTheme="minorHAnsi"/>
          <w:sz w:val="24"/>
          <w:szCs w:val="24"/>
        </w:rPr>
        <w:t>, w tym reformy TK, SN, KRS, reformy emerytalnej (dyskryminacja kobiet), odpowiedzialności dyscyplinarnej prawników z</w:t>
      </w:r>
      <w:r w:rsidR="00BD38C6" w:rsidRPr="00673E83">
        <w:rPr>
          <w:rFonts w:asciiTheme="minorHAnsi" w:hAnsiTheme="minorHAnsi"/>
          <w:sz w:val="24"/>
          <w:szCs w:val="24"/>
          <w:lang w:val="pl-PL"/>
        </w:rPr>
        <w:t xml:space="preserve"> </w:t>
      </w:r>
      <w:r w:rsidRPr="00673E83">
        <w:rPr>
          <w:rFonts w:asciiTheme="minorHAnsi" w:hAnsiTheme="minorHAnsi"/>
          <w:sz w:val="24"/>
          <w:szCs w:val="24"/>
        </w:rPr>
        <w:t>różnych korporacji, niepowołania na wakujące stanowiska sędziowskie i prokuratorskie oraz odwołania sędziów z funkcji kierowniczych (zarzuty naruszenia art. 6 i 13);</w:t>
      </w:r>
    </w:p>
    <w:p w:rsidR="00633AE0" w:rsidRPr="00303FC6" w:rsidRDefault="00633AE0" w:rsidP="00BD38C6">
      <w:pPr>
        <w:pStyle w:val="Akapitzlist"/>
        <w:numPr>
          <w:ilvl w:val="0"/>
          <w:numId w:val="35"/>
        </w:numPr>
        <w:spacing w:before="120" w:after="0" w:line="240" w:lineRule="auto"/>
        <w:ind w:hanging="436"/>
        <w:jc w:val="both"/>
        <w:rPr>
          <w:rFonts w:asciiTheme="minorHAnsi" w:hAnsiTheme="minorHAnsi"/>
          <w:sz w:val="24"/>
          <w:szCs w:val="24"/>
        </w:rPr>
      </w:pPr>
      <w:r w:rsidRPr="00673E83">
        <w:rPr>
          <w:rFonts w:asciiTheme="minorHAnsi" w:hAnsiTheme="minorHAnsi"/>
          <w:b/>
          <w:sz w:val="24"/>
          <w:szCs w:val="24"/>
        </w:rPr>
        <w:t>10</w:t>
      </w:r>
      <w:r w:rsidRPr="00673E83">
        <w:rPr>
          <w:rFonts w:asciiTheme="minorHAnsi" w:hAnsiTheme="minorHAnsi"/>
          <w:sz w:val="24"/>
          <w:szCs w:val="24"/>
        </w:rPr>
        <w:t xml:space="preserve"> skarg dotyczących </w:t>
      </w:r>
      <w:r w:rsidRPr="00673E83">
        <w:rPr>
          <w:rFonts w:asciiTheme="minorHAnsi" w:hAnsiTheme="minorHAnsi"/>
          <w:sz w:val="24"/>
          <w:szCs w:val="24"/>
          <w:u w:val="single"/>
        </w:rPr>
        <w:t>wolności wyrażania</w:t>
      </w:r>
      <w:r w:rsidRPr="00303FC6">
        <w:rPr>
          <w:rFonts w:asciiTheme="minorHAnsi" w:hAnsiTheme="minorHAnsi"/>
          <w:sz w:val="24"/>
          <w:szCs w:val="24"/>
          <w:u w:val="single"/>
        </w:rPr>
        <w:t xml:space="preserve"> opinii, zgromadzeń i zrzeszania się</w:t>
      </w:r>
      <w:r w:rsidR="00BD38C6">
        <w:rPr>
          <w:rFonts w:asciiTheme="minorHAnsi" w:hAnsiTheme="minorHAnsi"/>
          <w:sz w:val="24"/>
          <w:szCs w:val="24"/>
        </w:rPr>
        <w:t>, w tym skazania za</w:t>
      </w:r>
      <w:r w:rsidR="00BD38C6">
        <w:rPr>
          <w:rFonts w:asciiTheme="minorHAnsi" w:hAnsiTheme="minorHAnsi"/>
          <w:sz w:val="24"/>
          <w:szCs w:val="24"/>
          <w:lang w:val="pl-PL"/>
        </w:rPr>
        <w:t xml:space="preserve"> </w:t>
      </w:r>
      <w:r w:rsidRPr="00303FC6">
        <w:rPr>
          <w:rFonts w:asciiTheme="minorHAnsi" w:hAnsiTheme="minorHAnsi"/>
          <w:sz w:val="24"/>
          <w:szCs w:val="24"/>
        </w:rPr>
        <w:t>zniesławienie lub w trybie wyborczym, zakazu wstępu do budynku Sejmu, zakazu organizacji zgromadzenia, zatrzymania dziennikarza w trakcie zgromadzenia publicznego, sprawy Stowarzyszenia Osób Narodowości Śląskiej w likwidacji, a także wolności związkowej oraz 2 sprawy wolności wypowiedzi sędziów (zarzuty naruszenia art. 10 i 11);</w:t>
      </w:r>
    </w:p>
    <w:p w:rsidR="00633AE0" w:rsidRPr="00303FC6" w:rsidRDefault="00633AE0" w:rsidP="00BD38C6">
      <w:pPr>
        <w:pStyle w:val="Akapitzlist"/>
        <w:numPr>
          <w:ilvl w:val="0"/>
          <w:numId w:val="35"/>
        </w:numPr>
        <w:spacing w:before="120" w:after="0" w:line="240" w:lineRule="auto"/>
        <w:ind w:hanging="436"/>
        <w:jc w:val="both"/>
        <w:rPr>
          <w:rFonts w:asciiTheme="minorHAnsi" w:hAnsiTheme="minorHAnsi"/>
          <w:sz w:val="24"/>
          <w:szCs w:val="24"/>
        </w:rPr>
      </w:pPr>
      <w:r w:rsidRPr="00303FC6">
        <w:rPr>
          <w:rFonts w:asciiTheme="minorHAnsi" w:hAnsiTheme="minorHAnsi"/>
          <w:b/>
          <w:sz w:val="24"/>
          <w:szCs w:val="24"/>
        </w:rPr>
        <w:t xml:space="preserve">8 </w:t>
      </w:r>
      <w:r w:rsidRPr="00303FC6">
        <w:rPr>
          <w:rFonts w:asciiTheme="minorHAnsi" w:hAnsiTheme="minorHAnsi"/>
          <w:sz w:val="24"/>
          <w:szCs w:val="24"/>
        </w:rPr>
        <w:t xml:space="preserve">skarg związanych z różnymi aspektami </w:t>
      </w:r>
      <w:r w:rsidRPr="00303FC6">
        <w:rPr>
          <w:rFonts w:asciiTheme="minorHAnsi" w:hAnsiTheme="minorHAnsi"/>
          <w:sz w:val="24"/>
          <w:szCs w:val="24"/>
          <w:u w:val="single"/>
        </w:rPr>
        <w:t>pozbawienia wolności w zakładach karnych</w:t>
      </w:r>
      <w:r w:rsidRPr="00303FC6">
        <w:rPr>
          <w:rFonts w:asciiTheme="minorHAnsi" w:hAnsiTheme="minorHAnsi"/>
          <w:sz w:val="24"/>
          <w:szCs w:val="24"/>
        </w:rPr>
        <w:t>, w tym: 4 skargi dotyczące leczenia i wypadków w więzieniu (zarzuty naruszenia art. 3, 6 ust. 1 i 13), 3 skargi dotyczące warunków w zakładzie karnym w kontekście braku wyodrębnienia kącików sanitarnych oraz 1 skarga dotycząca warunków transportu więźnia (zarzut naruszenia art. 8);</w:t>
      </w:r>
    </w:p>
    <w:p w:rsidR="00633AE0" w:rsidRPr="00303FC6" w:rsidRDefault="00633AE0" w:rsidP="00BD38C6">
      <w:pPr>
        <w:pStyle w:val="Akapitzlist"/>
        <w:numPr>
          <w:ilvl w:val="0"/>
          <w:numId w:val="35"/>
        </w:numPr>
        <w:spacing w:before="120" w:after="0" w:line="240" w:lineRule="auto"/>
        <w:ind w:hanging="436"/>
        <w:jc w:val="both"/>
        <w:rPr>
          <w:rFonts w:asciiTheme="minorHAnsi" w:hAnsiTheme="minorHAnsi"/>
          <w:sz w:val="24"/>
          <w:szCs w:val="24"/>
        </w:rPr>
      </w:pPr>
      <w:r w:rsidRPr="00303FC6">
        <w:rPr>
          <w:rFonts w:asciiTheme="minorHAnsi" w:hAnsiTheme="minorHAnsi"/>
          <w:b/>
          <w:sz w:val="24"/>
          <w:szCs w:val="24"/>
        </w:rPr>
        <w:t xml:space="preserve">7 </w:t>
      </w:r>
      <w:r w:rsidRPr="00303FC6">
        <w:rPr>
          <w:rFonts w:asciiTheme="minorHAnsi" w:hAnsiTheme="minorHAnsi"/>
          <w:sz w:val="24"/>
          <w:szCs w:val="24"/>
        </w:rPr>
        <w:t xml:space="preserve">skarg dotyczących różnych aspektów związanych z prawem do </w:t>
      </w:r>
      <w:r w:rsidRPr="00303FC6">
        <w:rPr>
          <w:rFonts w:asciiTheme="minorHAnsi" w:hAnsiTheme="minorHAnsi"/>
          <w:sz w:val="24"/>
          <w:szCs w:val="24"/>
          <w:u w:val="single"/>
        </w:rPr>
        <w:t>ochrony własności</w:t>
      </w:r>
      <w:r w:rsidRPr="00303FC6">
        <w:rPr>
          <w:rFonts w:asciiTheme="minorHAnsi" w:hAnsiTheme="minorHAnsi"/>
          <w:sz w:val="24"/>
          <w:szCs w:val="24"/>
        </w:rPr>
        <w:t>, w tym 3 skargi z</w:t>
      </w:r>
      <w:r w:rsidR="00BD38C6">
        <w:rPr>
          <w:rFonts w:asciiTheme="minorHAnsi" w:hAnsiTheme="minorHAnsi"/>
          <w:sz w:val="24"/>
          <w:szCs w:val="24"/>
          <w:lang w:val="pl-PL"/>
        </w:rPr>
        <w:t xml:space="preserve"> </w:t>
      </w:r>
      <w:r w:rsidRPr="00303FC6">
        <w:rPr>
          <w:rFonts w:asciiTheme="minorHAnsi" w:hAnsiTheme="minorHAnsi"/>
          <w:sz w:val="24"/>
          <w:szCs w:val="24"/>
        </w:rPr>
        <w:t>zakresu ubezpieczeń społecznych, odszkodowań, rent i emerytur, 2 skargi dotyczące wykupu mieszkania komunalnego i 2 sprawy zabużańskie (zarzut naruszenia art. 1 Pr</w:t>
      </w:r>
      <w:r w:rsidR="00BD38C6">
        <w:rPr>
          <w:rFonts w:asciiTheme="minorHAnsi" w:hAnsiTheme="minorHAnsi"/>
          <w:sz w:val="24"/>
          <w:szCs w:val="24"/>
        </w:rPr>
        <w:t xml:space="preserve">otokołu nr 1 do </w:t>
      </w:r>
      <w:r w:rsidRPr="00303FC6">
        <w:rPr>
          <w:rFonts w:asciiTheme="minorHAnsi" w:hAnsiTheme="minorHAnsi"/>
          <w:sz w:val="24"/>
          <w:szCs w:val="24"/>
        </w:rPr>
        <w:t>Konwencji);</w:t>
      </w:r>
    </w:p>
    <w:p w:rsidR="00633AE0" w:rsidRPr="00303FC6" w:rsidRDefault="00633AE0" w:rsidP="00BD38C6">
      <w:pPr>
        <w:pStyle w:val="Akapitzlist"/>
        <w:numPr>
          <w:ilvl w:val="0"/>
          <w:numId w:val="35"/>
        </w:numPr>
        <w:spacing w:before="120" w:after="0" w:line="240" w:lineRule="auto"/>
        <w:ind w:hanging="436"/>
        <w:jc w:val="both"/>
        <w:rPr>
          <w:rFonts w:asciiTheme="minorHAnsi" w:hAnsiTheme="minorHAnsi"/>
          <w:sz w:val="24"/>
          <w:szCs w:val="24"/>
        </w:rPr>
      </w:pPr>
      <w:r w:rsidRPr="00303FC6">
        <w:rPr>
          <w:rFonts w:asciiTheme="minorHAnsi" w:hAnsiTheme="minorHAnsi"/>
          <w:b/>
          <w:sz w:val="24"/>
          <w:szCs w:val="24"/>
        </w:rPr>
        <w:t>4</w:t>
      </w:r>
      <w:r w:rsidRPr="00303FC6">
        <w:rPr>
          <w:rFonts w:asciiTheme="minorHAnsi" w:hAnsiTheme="minorHAnsi"/>
          <w:sz w:val="24"/>
          <w:szCs w:val="24"/>
        </w:rPr>
        <w:t xml:space="preserve"> skargi dotyczące </w:t>
      </w:r>
      <w:r w:rsidRPr="00303FC6">
        <w:rPr>
          <w:rFonts w:asciiTheme="minorHAnsi" w:hAnsiTheme="minorHAnsi"/>
          <w:sz w:val="24"/>
          <w:szCs w:val="24"/>
          <w:u w:val="single"/>
        </w:rPr>
        <w:t>spraw rodzinnych</w:t>
      </w:r>
      <w:r w:rsidRPr="00303FC6">
        <w:rPr>
          <w:rFonts w:asciiTheme="minorHAnsi" w:hAnsiTheme="minorHAnsi"/>
          <w:sz w:val="24"/>
          <w:szCs w:val="24"/>
        </w:rPr>
        <w:t>, w tym ws. stosowania Konwencji haskiej dotyczącej cywilnych aspektów uprowadzenia dziecka za granicę, umieszczenia dzieci w rodzinie zastępczej, kontaktów rodzica z małoletnim dzieckiem lub dorosłym dzieckiem z niepełnosprawnością (zarzuty naruszenia art. 6 ust. 1 i 8);</w:t>
      </w:r>
    </w:p>
    <w:p w:rsidR="00633AE0" w:rsidRPr="00303FC6" w:rsidRDefault="00633AE0" w:rsidP="00BD38C6">
      <w:pPr>
        <w:pStyle w:val="Akapitzlist"/>
        <w:numPr>
          <w:ilvl w:val="0"/>
          <w:numId w:val="35"/>
        </w:numPr>
        <w:spacing w:before="120" w:after="0" w:line="240" w:lineRule="auto"/>
        <w:ind w:hanging="436"/>
        <w:jc w:val="both"/>
        <w:rPr>
          <w:rFonts w:asciiTheme="minorHAnsi" w:hAnsiTheme="minorHAnsi"/>
          <w:sz w:val="24"/>
          <w:szCs w:val="24"/>
        </w:rPr>
      </w:pPr>
      <w:r w:rsidRPr="00303FC6">
        <w:rPr>
          <w:rFonts w:asciiTheme="minorHAnsi" w:hAnsiTheme="minorHAnsi"/>
          <w:b/>
          <w:sz w:val="24"/>
          <w:szCs w:val="24"/>
        </w:rPr>
        <w:t>4</w:t>
      </w:r>
      <w:r w:rsidRPr="00303FC6">
        <w:rPr>
          <w:rFonts w:asciiTheme="minorHAnsi" w:hAnsiTheme="minorHAnsi"/>
          <w:sz w:val="24"/>
          <w:szCs w:val="24"/>
        </w:rPr>
        <w:t xml:space="preserve"> skargi dotyczące </w:t>
      </w:r>
      <w:r w:rsidRPr="00303FC6">
        <w:rPr>
          <w:rFonts w:asciiTheme="minorHAnsi" w:hAnsiTheme="minorHAnsi"/>
          <w:sz w:val="24"/>
          <w:szCs w:val="24"/>
          <w:u w:val="single"/>
        </w:rPr>
        <w:t>wydalenia cudzoziemców</w:t>
      </w:r>
      <w:r w:rsidRPr="00303FC6">
        <w:rPr>
          <w:rFonts w:asciiTheme="minorHAnsi" w:hAnsiTheme="minorHAnsi"/>
          <w:sz w:val="24"/>
          <w:szCs w:val="24"/>
        </w:rPr>
        <w:t xml:space="preserve"> na Ukrainę (zarzut naruszenia art. 3, 8, 13 Konwencji i art. 4 Protokołu nr 4 do Konwencji);</w:t>
      </w:r>
    </w:p>
    <w:p w:rsidR="00633AE0" w:rsidRPr="00303FC6" w:rsidRDefault="00633AE0" w:rsidP="00BD38C6">
      <w:pPr>
        <w:pStyle w:val="Akapitzlist"/>
        <w:numPr>
          <w:ilvl w:val="0"/>
          <w:numId w:val="35"/>
        </w:numPr>
        <w:spacing w:before="120" w:after="0" w:line="240" w:lineRule="auto"/>
        <w:ind w:hanging="436"/>
        <w:jc w:val="both"/>
        <w:rPr>
          <w:rFonts w:asciiTheme="minorHAnsi" w:hAnsiTheme="minorHAnsi"/>
          <w:sz w:val="24"/>
          <w:szCs w:val="24"/>
        </w:rPr>
      </w:pPr>
      <w:r w:rsidRPr="00303FC6">
        <w:rPr>
          <w:rFonts w:asciiTheme="minorHAnsi" w:hAnsiTheme="minorHAnsi"/>
          <w:b/>
          <w:sz w:val="24"/>
          <w:szCs w:val="24"/>
        </w:rPr>
        <w:t>4</w:t>
      </w:r>
      <w:r w:rsidRPr="00303FC6">
        <w:rPr>
          <w:rFonts w:asciiTheme="minorHAnsi" w:hAnsiTheme="minorHAnsi"/>
          <w:sz w:val="24"/>
          <w:szCs w:val="24"/>
        </w:rPr>
        <w:t xml:space="preserve"> skargi dotyczące prawa do </w:t>
      </w:r>
      <w:r w:rsidRPr="00303FC6">
        <w:rPr>
          <w:rFonts w:asciiTheme="minorHAnsi" w:hAnsiTheme="minorHAnsi"/>
          <w:sz w:val="24"/>
          <w:szCs w:val="24"/>
          <w:u w:val="single"/>
        </w:rPr>
        <w:t>rzetelnego postępowania dowodowego</w:t>
      </w:r>
      <w:r w:rsidRPr="00303FC6">
        <w:rPr>
          <w:rFonts w:asciiTheme="minorHAnsi" w:hAnsiTheme="minorHAnsi"/>
          <w:sz w:val="24"/>
          <w:szCs w:val="24"/>
        </w:rPr>
        <w:t xml:space="preserve"> w sprawie karnej (zarzut naruszenia art. 6 ust. 3 lit. c);</w:t>
      </w:r>
    </w:p>
    <w:p w:rsidR="00633AE0" w:rsidRPr="00303FC6" w:rsidRDefault="00633AE0" w:rsidP="00BD38C6">
      <w:pPr>
        <w:pStyle w:val="Akapitzlist"/>
        <w:numPr>
          <w:ilvl w:val="0"/>
          <w:numId w:val="35"/>
        </w:numPr>
        <w:spacing w:before="120" w:after="0" w:line="240" w:lineRule="auto"/>
        <w:ind w:hanging="436"/>
        <w:jc w:val="both"/>
        <w:rPr>
          <w:rFonts w:asciiTheme="minorHAnsi" w:hAnsiTheme="minorHAnsi"/>
          <w:sz w:val="24"/>
          <w:szCs w:val="24"/>
        </w:rPr>
      </w:pPr>
      <w:r w:rsidRPr="00303FC6">
        <w:rPr>
          <w:rFonts w:asciiTheme="minorHAnsi" w:hAnsiTheme="minorHAnsi"/>
          <w:b/>
          <w:sz w:val="24"/>
          <w:szCs w:val="24"/>
        </w:rPr>
        <w:lastRenderedPageBreak/>
        <w:t>2</w:t>
      </w:r>
      <w:r w:rsidRPr="00303FC6">
        <w:rPr>
          <w:rFonts w:asciiTheme="minorHAnsi" w:hAnsiTheme="minorHAnsi"/>
          <w:sz w:val="24"/>
          <w:szCs w:val="24"/>
        </w:rPr>
        <w:t xml:space="preserve"> skargi dotyczące ograniczenia </w:t>
      </w:r>
      <w:r w:rsidRPr="00303FC6">
        <w:rPr>
          <w:rFonts w:asciiTheme="minorHAnsi" w:hAnsiTheme="minorHAnsi"/>
          <w:sz w:val="24"/>
          <w:szCs w:val="24"/>
          <w:u w:val="single"/>
        </w:rPr>
        <w:t>dostępu do sądu z uwagi na koszty sądowe</w:t>
      </w:r>
      <w:r w:rsidRPr="00303FC6">
        <w:rPr>
          <w:rFonts w:asciiTheme="minorHAnsi" w:hAnsiTheme="minorHAnsi"/>
          <w:sz w:val="24"/>
          <w:szCs w:val="24"/>
        </w:rPr>
        <w:t xml:space="preserve"> (zarzut naruszenia art. 6 ust. 1);</w:t>
      </w:r>
    </w:p>
    <w:p w:rsidR="00633AE0" w:rsidRPr="00303FC6" w:rsidRDefault="00633AE0" w:rsidP="00BD38C6">
      <w:pPr>
        <w:pStyle w:val="Akapitzlist"/>
        <w:numPr>
          <w:ilvl w:val="0"/>
          <w:numId w:val="35"/>
        </w:numPr>
        <w:spacing w:before="120" w:after="0" w:line="240" w:lineRule="auto"/>
        <w:ind w:hanging="436"/>
        <w:jc w:val="both"/>
        <w:rPr>
          <w:rFonts w:asciiTheme="minorHAnsi" w:hAnsiTheme="minorHAnsi"/>
          <w:sz w:val="24"/>
          <w:szCs w:val="24"/>
        </w:rPr>
      </w:pPr>
      <w:r w:rsidRPr="00303FC6">
        <w:rPr>
          <w:rFonts w:asciiTheme="minorHAnsi" w:hAnsiTheme="minorHAnsi"/>
          <w:b/>
          <w:sz w:val="24"/>
          <w:szCs w:val="24"/>
        </w:rPr>
        <w:t>2</w:t>
      </w:r>
      <w:r w:rsidRPr="00303FC6">
        <w:rPr>
          <w:rFonts w:asciiTheme="minorHAnsi" w:hAnsiTheme="minorHAnsi"/>
          <w:sz w:val="24"/>
          <w:szCs w:val="24"/>
        </w:rPr>
        <w:t xml:space="preserve"> </w:t>
      </w:r>
      <w:r w:rsidRPr="00303FC6">
        <w:rPr>
          <w:rFonts w:asciiTheme="minorHAnsi" w:hAnsiTheme="minorHAnsi"/>
          <w:sz w:val="24"/>
          <w:szCs w:val="24"/>
          <w:u w:val="single"/>
        </w:rPr>
        <w:t>skargi medyczne (poza zakładem karnym)</w:t>
      </w:r>
      <w:r w:rsidRPr="00303FC6">
        <w:rPr>
          <w:rFonts w:asciiTheme="minorHAnsi" w:hAnsiTheme="minorHAnsi"/>
          <w:sz w:val="24"/>
          <w:szCs w:val="24"/>
        </w:rPr>
        <w:t>, w tym 1 dotycząca odmowy przeprowadzenia zabiegu aborcji w przypadku wad dziecka (zarzut naruszenia art.</w:t>
      </w:r>
      <w:r w:rsidR="00BD38C6">
        <w:rPr>
          <w:rFonts w:asciiTheme="minorHAnsi" w:hAnsiTheme="minorHAnsi"/>
          <w:sz w:val="24"/>
          <w:szCs w:val="24"/>
          <w:lang w:val="pl-PL"/>
        </w:rPr>
        <w:t xml:space="preserve"> </w:t>
      </w:r>
      <w:r w:rsidRPr="00303FC6">
        <w:rPr>
          <w:rFonts w:asciiTheme="minorHAnsi" w:hAnsiTheme="minorHAnsi"/>
          <w:sz w:val="24"/>
          <w:szCs w:val="24"/>
        </w:rPr>
        <w:t>3, 8, 13 i 14) i 1 dotycząca zaprzestania leczenia choroby ultrarzadkiej (zarzut naruszenia art. 2 i 13);</w:t>
      </w:r>
    </w:p>
    <w:p w:rsidR="00633AE0" w:rsidRPr="00303FC6" w:rsidRDefault="00633AE0" w:rsidP="00BD38C6">
      <w:pPr>
        <w:pStyle w:val="Akapitzlist"/>
        <w:numPr>
          <w:ilvl w:val="0"/>
          <w:numId w:val="35"/>
        </w:numPr>
        <w:spacing w:before="120" w:after="0" w:line="240" w:lineRule="auto"/>
        <w:ind w:hanging="436"/>
        <w:jc w:val="both"/>
        <w:rPr>
          <w:rFonts w:asciiTheme="minorHAnsi" w:hAnsiTheme="minorHAnsi"/>
          <w:sz w:val="24"/>
          <w:szCs w:val="24"/>
        </w:rPr>
      </w:pPr>
      <w:r w:rsidRPr="00303FC6">
        <w:rPr>
          <w:rFonts w:asciiTheme="minorHAnsi" w:hAnsiTheme="minorHAnsi"/>
          <w:b/>
          <w:sz w:val="24"/>
          <w:szCs w:val="24"/>
        </w:rPr>
        <w:t>1</w:t>
      </w:r>
      <w:r w:rsidRPr="00303FC6">
        <w:rPr>
          <w:rFonts w:asciiTheme="minorHAnsi" w:hAnsiTheme="minorHAnsi"/>
          <w:sz w:val="24"/>
          <w:szCs w:val="24"/>
        </w:rPr>
        <w:t xml:space="preserve"> </w:t>
      </w:r>
      <w:r w:rsidRPr="00303FC6">
        <w:rPr>
          <w:rFonts w:asciiTheme="minorHAnsi" w:hAnsiTheme="minorHAnsi"/>
          <w:sz w:val="24"/>
          <w:szCs w:val="24"/>
          <w:u w:val="single"/>
        </w:rPr>
        <w:t>skarga klimatyczna</w:t>
      </w:r>
      <w:r w:rsidRPr="00303FC6">
        <w:rPr>
          <w:rFonts w:asciiTheme="minorHAnsi" w:hAnsiTheme="minorHAnsi"/>
          <w:sz w:val="24"/>
          <w:szCs w:val="24"/>
        </w:rPr>
        <w:t xml:space="preserve"> przeciwko 33 państwom członkowskim Rady Europy (zarzut naruszenia art. 2, 3 i 8).</w:t>
      </w:r>
    </w:p>
    <w:p w:rsidR="00F15678" w:rsidRPr="002C2D40" w:rsidRDefault="00F15678" w:rsidP="00303FC6">
      <w:pPr>
        <w:spacing w:before="120"/>
        <w:jc w:val="both"/>
        <w:rPr>
          <w:rFonts w:asciiTheme="minorHAnsi" w:hAnsiTheme="minorHAnsi"/>
        </w:rPr>
      </w:pPr>
    </w:p>
    <w:p w:rsidR="00633AE0" w:rsidRPr="002C2D40" w:rsidRDefault="00633AE0" w:rsidP="003F20CE">
      <w:pPr>
        <w:numPr>
          <w:ilvl w:val="0"/>
          <w:numId w:val="17"/>
        </w:numPr>
        <w:spacing w:before="120" w:after="120"/>
        <w:jc w:val="both"/>
        <w:rPr>
          <w:rFonts w:asciiTheme="minorHAnsi" w:eastAsiaTheme="majorEastAsia" w:hAnsiTheme="minorHAnsi" w:cstheme="majorBidi"/>
          <w:b/>
          <w:lang w:eastAsia="en-US"/>
        </w:rPr>
      </w:pPr>
      <w:r w:rsidRPr="002C2D40">
        <w:rPr>
          <w:rFonts w:asciiTheme="minorHAnsi" w:eastAsiaTheme="majorEastAsia" w:hAnsiTheme="minorHAnsi" w:cstheme="majorBidi"/>
          <w:b/>
          <w:lang w:eastAsia="en-US"/>
        </w:rPr>
        <w:t>Sprawy zakończone przed Europejskim Trybunałem Praw Człowieka w 2020 r. </w:t>
      </w:r>
    </w:p>
    <w:p w:rsidR="00633AE0" w:rsidRPr="006F29A2" w:rsidRDefault="006F29A2" w:rsidP="00BD38C6">
      <w:pPr>
        <w:spacing w:before="120"/>
        <w:jc w:val="both"/>
        <w:rPr>
          <w:rFonts w:asciiTheme="minorHAnsi" w:hAnsiTheme="minorHAnsi"/>
        </w:rPr>
      </w:pPr>
      <w:r w:rsidRPr="006F29A2">
        <w:rPr>
          <w:rFonts w:asciiTheme="minorHAnsi" w:hAnsiTheme="minorHAnsi"/>
        </w:rPr>
        <w:t xml:space="preserve">W 2020 r. </w:t>
      </w:r>
      <w:r w:rsidR="00633AE0" w:rsidRPr="006F29A2">
        <w:rPr>
          <w:rFonts w:asciiTheme="minorHAnsi" w:hAnsiTheme="minorHAnsi"/>
        </w:rPr>
        <w:t xml:space="preserve">Trybunał wydał </w:t>
      </w:r>
      <w:r w:rsidRPr="006F29A2">
        <w:rPr>
          <w:rFonts w:asciiTheme="minorHAnsi" w:hAnsiTheme="minorHAnsi"/>
        </w:rPr>
        <w:t>łącznie</w:t>
      </w:r>
      <w:r w:rsidR="00AF6ADF" w:rsidRPr="006F29A2">
        <w:rPr>
          <w:rFonts w:asciiTheme="minorHAnsi" w:hAnsiTheme="minorHAnsi"/>
        </w:rPr>
        <w:t>:</w:t>
      </w:r>
    </w:p>
    <w:p w:rsidR="00633AE0" w:rsidRPr="006F29A2" w:rsidRDefault="00633AE0" w:rsidP="00BD38C6">
      <w:pPr>
        <w:pStyle w:val="Akapitzlist"/>
        <w:numPr>
          <w:ilvl w:val="0"/>
          <w:numId w:val="36"/>
        </w:numPr>
        <w:spacing w:before="120" w:after="120"/>
        <w:ind w:left="709" w:hanging="425"/>
        <w:jc w:val="both"/>
        <w:rPr>
          <w:rFonts w:asciiTheme="minorHAnsi" w:hAnsiTheme="minorHAnsi"/>
          <w:sz w:val="24"/>
          <w:szCs w:val="24"/>
        </w:rPr>
      </w:pPr>
      <w:r w:rsidRPr="006F29A2">
        <w:rPr>
          <w:rFonts w:asciiTheme="minorHAnsi" w:hAnsiTheme="minorHAnsi"/>
          <w:b/>
          <w:sz w:val="24"/>
          <w:szCs w:val="24"/>
        </w:rPr>
        <w:t>25</w:t>
      </w:r>
      <w:r w:rsidRPr="006F29A2">
        <w:rPr>
          <w:rFonts w:asciiTheme="minorHAnsi" w:hAnsiTheme="minorHAnsi"/>
          <w:sz w:val="24"/>
          <w:szCs w:val="24"/>
        </w:rPr>
        <w:t xml:space="preserve"> </w:t>
      </w:r>
      <w:r w:rsidRPr="006F29A2">
        <w:rPr>
          <w:rFonts w:asciiTheme="minorHAnsi" w:hAnsiTheme="minorHAnsi"/>
          <w:b/>
          <w:bCs/>
          <w:sz w:val="24"/>
          <w:szCs w:val="24"/>
        </w:rPr>
        <w:t xml:space="preserve">orzeczeń korzystnych dla </w:t>
      </w:r>
      <w:r w:rsidR="00BD38C6">
        <w:rPr>
          <w:rFonts w:asciiTheme="minorHAnsi" w:hAnsiTheme="minorHAnsi"/>
          <w:b/>
          <w:bCs/>
          <w:sz w:val="24"/>
          <w:szCs w:val="24"/>
          <w:lang w:val="pl-PL"/>
        </w:rPr>
        <w:t>R</w:t>
      </w:r>
      <w:r w:rsidRPr="006F29A2">
        <w:rPr>
          <w:rFonts w:asciiTheme="minorHAnsi" w:hAnsiTheme="minorHAnsi"/>
          <w:b/>
          <w:bCs/>
          <w:sz w:val="24"/>
          <w:szCs w:val="24"/>
        </w:rPr>
        <w:t xml:space="preserve">ządu </w:t>
      </w:r>
      <w:r w:rsidRPr="006F29A2">
        <w:rPr>
          <w:rFonts w:asciiTheme="minorHAnsi" w:hAnsiTheme="minorHAnsi"/>
          <w:sz w:val="24"/>
          <w:szCs w:val="24"/>
        </w:rPr>
        <w:t>(25 decyzji o</w:t>
      </w:r>
      <w:r w:rsidR="00BD38C6">
        <w:rPr>
          <w:rFonts w:asciiTheme="minorHAnsi" w:hAnsiTheme="minorHAnsi"/>
          <w:sz w:val="24"/>
          <w:szCs w:val="24"/>
          <w:lang w:val="pl-PL"/>
        </w:rPr>
        <w:t xml:space="preserve"> </w:t>
      </w:r>
      <w:r w:rsidRPr="006F29A2">
        <w:rPr>
          <w:rFonts w:asciiTheme="minorHAnsi" w:hAnsiTheme="minorHAnsi"/>
          <w:sz w:val="24"/>
          <w:szCs w:val="24"/>
        </w:rPr>
        <w:t xml:space="preserve">niedopuszczalności) oraz </w:t>
      </w:r>
    </w:p>
    <w:p w:rsidR="00633AE0" w:rsidRDefault="00633AE0" w:rsidP="00BD38C6">
      <w:pPr>
        <w:pStyle w:val="Akapitzlist"/>
        <w:numPr>
          <w:ilvl w:val="0"/>
          <w:numId w:val="36"/>
        </w:numPr>
        <w:spacing w:before="120" w:after="120"/>
        <w:ind w:left="709" w:hanging="425"/>
        <w:jc w:val="both"/>
        <w:rPr>
          <w:rFonts w:asciiTheme="minorHAnsi" w:hAnsiTheme="minorHAnsi"/>
          <w:sz w:val="24"/>
          <w:szCs w:val="24"/>
        </w:rPr>
      </w:pPr>
      <w:r w:rsidRPr="006F29A2">
        <w:rPr>
          <w:rFonts w:asciiTheme="minorHAnsi" w:hAnsiTheme="minorHAnsi"/>
          <w:b/>
          <w:sz w:val="24"/>
          <w:szCs w:val="24"/>
        </w:rPr>
        <w:t>37</w:t>
      </w:r>
      <w:r w:rsidRPr="006F29A2">
        <w:rPr>
          <w:rFonts w:asciiTheme="minorHAnsi" w:hAnsiTheme="minorHAnsi"/>
          <w:sz w:val="24"/>
          <w:szCs w:val="24"/>
        </w:rPr>
        <w:t xml:space="preserve"> </w:t>
      </w:r>
      <w:r w:rsidRPr="006F29A2">
        <w:rPr>
          <w:rFonts w:asciiTheme="minorHAnsi" w:hAnsiTheme="minorHAnsi"/>
          <w:b/>
          <w:bCs/>
          <w:sz w:val="24"/>
          <w:szCs w:val="24"/>
        </w:rPr>
        <w:t xml:space="preserve">orzeczeń niekorzystnych </w:t>
      </w:r>
      <w:r w:rsidRPr="006F29A2">
        <w:rPr>
          <w:rFonts w:asciiTheme="minorHAnsi" w:hAnsiTheme="minorHAnsi"/>
          <w:sz w:val="24"/>
          <w:szCs w:val="24"/>
        </w:rPr>
        <w:t xml:space="preserve">dla </w:t>
      </w:r>
      <w:r w:rsidR="00BD38C6">
        <w:rPr>
          <w:rFonts w:asciiTheme="minorHAnsi" w:hAnsiTheme="minorHAnsi"/>
          <w:sz w:val="24"/>
          <w:szCs w:val="24"/>
          <w:lang w:val="pl-PL"/>
        </w:rPr>
        <w:t>R</w:t>
      </w:r>
      <w:r w:rsidRPr="006F29A2">
        <w:rPr>
          <w:rFonts w:asciiTheme="minorHAnsi" w:hAnsiTheme="minorHAnsi"/>
          <w:sz w:val="24"/>
          <w:szCs w:val="24"/>
        </w:rPr>
        <w:t>ządu (</w:t>
      </w:r>
      <w:r w:rsidRPr="006F29A2">
        <w:rPr>
          <w:rFonts w:asciiTheme="minorHAnsi" w:eastAsiaTheme="minorHAnsi" w:hAnsiTheme="minorHAnsi" w:cstheme="minorBidi"/>
          <w:sz w:val="24"/>
          <w:szCs w:val="24"/>
        </w:rPr>
        <w:t>19 wyroków ws. naruszenia lub słusznego zadośćuczynienia za wcześniej stwierdzone naruszenie, 8 decyzji ws. ugody i 10 decyzji ws. deklaracji jednostronnych</w:t>
      </w:r>
      <w:r w:rsidRPr="006F29A2">
        <w:rPr>
          <w:rFonts w:asciiTheme="minorHAnsi" w:hAnsiTheme="minorHAnsi"/>
          <w:sz w:val="24"/>
          <w:szCs w:val="24"/>
        </w:rPr>
        <w:t xml:space="preserve">), </w:t>
      </w:r>
      <w:r w:rsidRPr="006F29A2">
        <w:rPr>
          <w:rFonts w:asciiTheme="minorHAnsi" w:hAnsiTheme="minorHAnsi"/>
          <w:b/>
          <w:sz w:val="24"/>
          <w:szCs w:val="24"/>
        </w:rPr>
        <w:t>zasądzając</w:t>
      </w:r>
      <w:r w:rsidRPr="006F29A2">
        <w:rPr>
          <w:rFonts w:asciiTheme="minorHAnsi" w:hAnsiTheme="minorHAnsi"/>
          <w:sz w:val="24"/>
          <w:szCs w:val="24"/>
        </w:rPr>
        <w:t xml:space="preserve"> 327 167 EUR plus 518 900 PLN.</w:t>
      </w:r>
    </w:p>
    <w:p w:rsidR="00BD38C6" w:rsidRPr="00BD38C6" w:rsidRDefault="00BD38C6" w:rsidP="00BD38C6">
      <w:pPr>
        <w:spacing w:before="120" w:after="120"/>
        <w:jc w:val="both"/>
        <w:rPr>
          <w:rFonts w:asciiTheme="minorHAnsi" w:hAnsiTheme="minorHAnsi"/>
        </w:rPr>
      </w:pPr>
    </w:p>
    <w:p w:rsidR="00633AE0" w:rsidRPr="002C2D40" w:rsidRDefault="00633AE0" w:rsidP="00BD38C6">
      <w:pPr>
        <w:numPr>
          <w:ilvl w:val="1"/>
          <w:numId w:val="17"/>
        </w:numPr>
        <w:spacing w:before="120" w:after="120"/>
        <w:ind w:hanging="436"/>
        <w:jc w:val="both"/>
        <w:rPr>
          <w:rFonts w:asciiTheme="minorHAnsi" w:hAnsiTheme="minorHAnsi"/>
          <w:i/>
        </w:rPr>
      </w:pPr>
      <w:r w:rsidRPr="002C2D40">
        <w:rPr>
          <w:rFonts w:asciiTheme="minorHAnsi" w:hAnsiTheme="minorHAnsi"/>
          <w:i/>
        </w:rPr>
        <w:t>Wyroki</w:t>
      </w:r>
    </w:p>
    <w:p w:rsidR="00633AE0" w:rsidRPr="002C2D40" w:rsidRDefault="00633AE0" w:rsidP="00BD38C6">
      <w:pPr>
        <w:spacing w:before="120"/>
        <w:jc w:val="both"/>
        <w:rPr>
          <w:rFonts w:asciiTheme="minorHAnsi" w:hAnsiTheme="minorHAnsi"/>
        </w:rPr>
      </w:pPr>
      <w:r w:rsidRPr="002C2D40">
        <w:rPr>
          <w:rFonts w:asciiTheme="minorHAnsi" w:hAnsiTheme="minorHAnsi"/>
        </w:rPr>
        <w:t xml:space="preserve">W 2020 r. Trybunał wydał wobec Polski </w:t>
      </w:r>
      <w:r w:rsidRPr="002C2D40">
        <w:rPr>
          <w:rFonts w:asciiTheme="minorHAnsi" w:hAnsiTheme="minorHAnsi"/>
          <w:b/>
        </w:rPr>
        <w:t>19</w:t>
      </w:r>
      <w:r w:rsidRPr="002C2D40">
        <w:rPr>
          <w:rFonts w:asciiTheme="minorHAnsi" w:hAnsiTheme="minorHAnsi"/>
          <w:b/>
          <w:bCs/>
        </w:rPr>
        <w:t xml:space="preserve"> wyroków ws. 23 skarg</w:t>
      </w:r>
      <w:r w:rsidRPr="002C2D40">
        <w:rPr>
          <w:rFonts w:asciiTheme="minorHAnsi" w:hAnsiTheme="minorHAnsi"/>
        </w:rPr>
        <w:t xml:space="preserve">, a więc </w:t>
      </w:r>
      <w:r w:rsidRPr="002C2D40">
        <w:rPr>
          <w:rFonts w:asciiTheme="minorHAnsi" w:hAnsiTheme="minorHAnsi"/>
          <w:bCs/>
        </w:rPr>
        <w:t xml:space="preserve">o 7 więcej </w:t>
      </w:r>
      <w:r w:rsidRPr="002C2D40">
        <w:rPr>
          <w:rFonts w:asciiTheme="minorHAnsi" w:hAnsiTheme="minorHAnsi"/>
        </w:rPr>
        <w:t>niż w 2019 r. (dla</w:t>
      </w:r>
      <w:r w:rsidR="0050712D">
        <w:rPr>
          <w:rFonts w:asciiTheme="minorHAnsi" w:hAnsiTheme="minorHAnsi"/>
        </w:rPr>
        <w:t xml:space="preserve"> </w:t>
      </w:r>
      <w:r w:rsidRPr="002C2D40">
        <w:rPr>
          <w:rFonts w:asciiTheme="minorHAnsi" w:hAnsiTheme="minorHAnsi"/>
        </w:rPr>
        <w:t xml:space="preserve">porównania w 2018 – 21 wyroków, w 2012 r. 74 wyroki, a w 2008 r. – najwyższa dotąd liczba wyroków – 141). Od 2013 r. liczba wyroków wydawanych rocznie przeciwko Polsce utrzymuje się poniżej trzydziestu. </w:t>
      </w:r>
    </w:p>
    <w:p w:rsidR="00633AE0" w:rsidRDefault="00633AE0" w:rsidP="00BD38C6">
      <w:pPr>
        <w:spacing w:before="120"/>
        <w:jc w:val="both"/>
        <w:rPr>
          <w:rFonts w:asciiTheme="minorHAnsi" w:hAnsiTheme="minorHAnsi"/>
        </w:rPr>
      </w:pPr>
      <w:r w:rsidRPr="002C2D40">
        <w:rPr>
          <w:rFonts w:asciiTheme="minorHAnsi" w:hAnsiTheme="minorHAnsi"/>
        </w:rPr>
        <w:t xml:space="preserve">Liczba </w:t>
      </w:r>
      <w:r w:rsidRPr="002C2D40">
        <w:rPr>
          <w:rFonts w:asciiTheme="minorHAnsi" w:hAnsiTheme="minorHAnsi"/>
          <w:b/>
          <w:bCs/>
        </w:rPr>
        <w:t xml:space="preserve">wyroków stwierdzających naruszenia </w:t>
      </w:r>
      <w:r w:rsidRPr="002C2D40">
        <w:rPr>
          <w:rFonts w:asciiTheme="minorHAnsi" w:hAnsiTheme="minorHAnsi"/>
        </w:rPr>
        <w:t xml:space="preserve">Konwencji o ochronie praw człowieka i podstawowych wolności przez Polskę wyniosła </w:t>
      </w:r>
      <w:r w:rsidRPr="002C2D40">
        <w:rPr>
          <w:rFonts w:asciiTheme="minorHAnsi" w:hAnsiTheme="minorHAnsi"/>
          <w:b/>
        </w:rPr>
        <w:t>18</w:t>
      </w:r>
      <w:r w:rsidRPr="002C2D40">
        <w:rPr>
          <w:rFonts w:asciiTheme="minorHAnsi" w:hAnsiTheme="minorHAnsi"/>
        </w:rPr>
        <w:t xml:space="preserve"> (w 2019 r. takich wyroków było 11, w 2018 r. – 20, a w 2008 r. – 129). Od 2013 r. liczba wyroków stwierdzających naruszenia Konwencji wobec Polski nie przekracza 20 rocznie. </w:t>
      </w:r>
      <w:r w:rsidRPr="002C2D40">
        <w:rPr>
          <w:rFonts w:asciiTheme="minorHAnsi" w:hAnsiTheme="minorHAnsi"/>
          <w:b/>
        </w:rPr>
        <w:t>Jeden</w:t>
      </w:r>
      <w:r w:rsidRPr="002C2D40">
        <w:rPr>
          <w:rFonts w:asciiTheme="minorHAnsi" w:hAnsiTheme="minorHAnsi"/>
        </w:rPr>
        <w:t xml:space="preserve"> z wyroków wydanych w 2020 r. dotyczył kwestii </w:t>
      </w:r>
      <w:r w:rsidRPr="002C2D40">
        <w:rPr>
          <w:rFonts w:asciiTheme="minorHAnsi" w:hAnsiTheme="minorHAnsi"/>
          <w:b/>
        </w:rPr>
        <w:t>słusznego zadośćuczynienia</w:t>
      </w:r>
      <w:r w:rsidR="0050712D">
        <w:rPr>
          <w:rFonts w:asciiTheme="minorHAnsi" w:hAnsiTheme="minorHAnsi"/>
        </w:rPr>
        <w:t xml:space="preserve"> w </w:t>
      </w:r>
      <w:r w:rsidRPr="002C2D40">
        <w:rPr>
          <w:rFonts w:asciiTheme="minorHAnsi" w:hAnsiTheme="minorHAnsi"/>
        </w:rPr>
        <w:t xml:space="preserve">sprawie, w której wyrok merytoryczny zapadł wcześniej. </w:t>
      </w:r>
    </w:p>
    <w:p w:rsidR="0050712D" w:rsidRPr="002C2D40" w:rsidRDefault="0050712D" w:rsidP="00BD38C6">
      <w:pPr>
        <w:spacing w:before="120"/>
        <w:jc w:val="both"/>
        <w:rPr>
          <w:rFonts w:asciiTheme="minorHAnsi" w:hAnsiTheme="minorHAnsi"/>
        </w:rPr>
      </w:pPr>
    </w:p>
    <w:p w:rsidR="00633AE0" w:rsidRPr="002C2D40" w:rsidRDefault="00633AE0" w:rsidP="00674D7A">
      <w:pPr>
        <w:spacing w:before="120" w:after="120"/>
        <w:ind w:left="720"/>
        <w:jc w:val="both"/>
        <w:rPr>
          <w:rFonts w:asciiTheme="minorHAnsi" w:hAnsiTheme="minorHAnsi"/>
          <w:i/>
        </w:rPr>
      </w:pPr>
      <w:r w:rsidRPr="002C2D40">
        <w:rPr>
          <w:rFonts w:asciiTheme="minorHAnsi" w:hAnsiTheme="minorHAnsi"/>
          <w:i/>
        </w:rPr>
        <w:t>2.1.1. Przedmiot wyroków</w:t>
      </w:r>
    </w:p>
    <w:p w:rsidR="00633AE0" w:rsidRPr="002C2D40" w:rsidRDefault="00633AE0" w:rsidP="0050712D">
      <w:pPr>
        <w:spacing w:before="120"/>
        <w:jc w:val="both"/>
        <w:rPr>
          <w:rFonts w:asciiTheme="minorHAnsi" w:hAnsiTheme="minorHAnsi"/>
        </w:rPr>
      </w:pPr>
      <w:r w:rsidRPr="002C2D40">
        <w:rPr>
          <w:rFonts w:asciiTheme="minorHAnsi" w:hAnsiTheme="minorHAnsi"/>
        </w:rPr>
        <w:t xml:space="preserve">Pod względem meritum w 2020 r. Trybunał stwierdził wyrokami </w:t>
      </w:r>
      <w:r w:rsidRPr="002C2D40">
        <w:rPr>
          <w:rFonts w:asciiTheme="minorHAnsi" w:hAnsiTheme="minorHAnsi"/>
          <w:b/>
        </w:rPr>
        <w:t>następujące naruszenia</w:t>
      </w:r>
      <w:r w:rsidRPr="002C2D40">
        <w:rPr>
          <w:rFonts w:asciiTheme="minorHAnsi" w:hAnsiTheme="minorHAnsi"/>
        </w:rPr>
        <w:t xml:space="preserve"> Konwencji: </w:t>
      </w:r>
    </w:p>
    <w:p w:rsidR="00633AE0" w:rsidRPr="0050712D" w:rsidRDefault="00633AE0" w:rsidP="0050712D">
      <w:pPr>
        <w:pStyle w:val="Akapitzlist"/>
        <w:numPr>
          <w:ilvl w:val="0"/>
          <w:numId w:val="37"/>
        </w:numPr>
        <w:spacing w:before="120" w:after="0" w:line="240" w:lineRule="auto"/>
        <w:ind w:left="709" w:hanging="425"/>
        <w:jc w:val="both"/>
        <w:rPr>
          <w:rFonts w:asciiTheme="minorHAnsi" w:hAnsiTheme="minorHAnsi"/>
          <w:sz w:val="24"/>
          <w:szCs w:val="24"/>
        </w:rPr>
      </w:pPr>
      <w:r w:rsidRPr="0050712D">
        <w:rPr>
          <w:rFonts w:asciiTheme="minorHAnsi" w:hAnsiTheme="minorHAnsi"/>
          <w:b/>
          <w:sz w:val="24"/>
          <w:szCs w:val="24"/>
        </w:rPr>
        <w:t xml:space="preserve">4 </w:t>
      </w:r>
      <w:r w:rsidRPr="0050712D">
        <w:rPr>
          <w:rFonts w:asciiTheme="minorHAnsi" w:hAnsiTheme="minorHAnsi"/>
          <w:sz w:val="24"/>
          <w:szCs w:val="24"/>
        </w:rPr>
        <w:t xml:space="preserve">naruszenia prawa do poszanowania </w:t>
      </w:r>
      <w:r w:rsidRPr="0050712D">
        <w:rPr>
          <w:rFonts w:asciiTheme="minorHAnsi" w:hAnsiTheme="minorHAnsi"/>
          <w:sz w:val="24"/>
          <w:szCs w:val="24"/>
          <w:u w:val="single"/>
        </w:rPr>
        <w:t>życia prywatnego i rodzinnego</w:t>
      </w:r>
      <w:r w:rsidRPr="0050712D">
        <w:rPr>
          <w:rFonts w:asciiTheme="minorHAnsi" w:hAnsiTheme="minorHAnsi"/>
          <w:sz w:val="24"/>
          <w:szCs w:val="24"/>
        </w:rPr>
        <w:t>, w tym z uwagi na:</w:t>
      </w:r>
    </w:p>
    <w:p w:rsidR="00633AE0" w:rsidRPr="0050712D" w:rsidRDefault="00633AE0" w:rsidP="0050712D">
      <w:pPr>
        <w:numPr>
          <w:ilvl w:val="0"/>
          <w:numId w:val="20"/>
        </w:numPr>
        <w:spacing w:before="120"/>
        <w:ind w:left="1134" w:hanging="425"/>
        <w:jc w:val="both"/>
        <w:rPr>
          <w:rFonts w:asciiTheme="minorHAnsi" w:hAnsiTheme="minorHAnsi"/>
        </w:rPr>
      </w:pPr>
      <w:r w:rsidRPr="0050712D">
        <w:rPr>
          <w:rFonts w:asciiTheme="minorHAnsi" w:hAnsiTheme="minorHAnsi"/>
        </w:rPr>
        <w:t xml:space="preserve">umieszczenie rodziny z dzieckiem w ośrodku strzeżonym dla cudzoziemców (dodatkowo ugoda w odniesieniu do takiego zarzutu w innej sprawie rozpatrzonej wyrokiem) </w:t>
      </w:r>
    </w:p>
    <w:p w:rsidR="00633AE0" w:rsidRPr="0050712D" w:rsidRDefault="00633AE0" w:rsidP="0050712D">
      <w:pPr>
        <w:numPr>
          <w:ilvl w:val="0"/>
          <w:numId w:val="20"/>
        </w:numPr>
        <w:spacing w:before="120"/>
        <w:ind w:left="1134" w:hanging="425"/>
        <w:jc w:val="both"/>
        <w:rPr>
          <w:rFonts w:asciiTheme="minorHAnsi" w:hAnsiTheme="minorHAnsi"/>
        </w:rPr>
      </w:pPr>
      <w:r w:rsidRPr="0050712D">
        <w:rPr>
          <w:rFonts w:asciiTheme="minorHAnsi" w:hAnsiTheme="minorHAnsi"/>
        </w:rPr>
        <w:t xml:space="preserve">brak skutecznej realizacji prawa do kontaktów z dzieckiem, </w:t>
      </w:r>
    </w:p>
    <w:p w:rsidR="00633AE0" w:rsidRPr="0050712D" w:rsidRDefault="00633AE0" w:rsidP="0050712D">
      <w:pPr>
        <w:numPr>
          <w:ilvl w:val="0"/>
          <w:numId w:val="20"/>
        </w:numPr>
        <w:spacing w:before="120"/>
        <w:ind w:left="1134" w:hanging="425"/>
        <w:jc w:val="both"/>
        <w:rPr>
          <w:rFonts w:asciiTheme="minorHAnsi" w:hAnsiTheme="minorHAnsi"/>
        </w:rPr>
      </w:pPr>
      <w:r w:rsidRPr="0050712D">
        <w:rPr>
          <w:rFonts w:asciiTheme="minorHAnsi" w:hAnsiTheme="minorHAnsi"/>
        </w:rPr>
        <w:t>przeszukanie mieszkania w postępowaniu o wykroczenie,</w:t>
      </w:r>
    </w:p>
    <w:p w:rsidR="00633AE0" w:rsidRPr="0050712D" w:rsidRDefault="00633AE0" w:rsidP="0050712D">
      <w:pPr>
        <w:numPr>
          <w:ilvl w:val="0"/>
          <w:numId w:val="20"/>
        </w:numPr>
        <w:spacing w:before="120"/>
        <w:ind w:left="1134" w:hanging="425"/>
        <w:jc w:val="both"/>
        <w:rPr>
          <w:rFonts w:asciiTheme="minorHAnsi" w:hAnsiTheme="minorHAnsi"/>
        </w:rPr>
      </w:pPr>
      <w:r w:rsidRPr="0050712D">
        <w:rPr>
          <w:rFonts w:asciiTheme="minorHAnsi" w:hAnsiTheme="minorHAnsi"/>
        </w:rPr>
        <w:t xml:space="preserve">pozbawienie widzeń </w:t>
      </w:r>
      <w:r w:rsidR="00583755">
        <w:rPr>
          <w:rFonts w:asciiTheme="minorHAnsi" w:hAnsiTheme="minorHAnsi"/>
        </w:rPr>
        <w:t>z małżonką w zakładzie karnym;</w:t>
      </w:r>
    </w:p>
    <w:p w:rsidR="00633AE0" w:rsidRPr="0050712D" w:rsidRDefault="00633AE0" w:rsidP="0050712D">
      <w:pPr>
        <w:pStyle w:val="Akapitzlist"/>
        <w:numPr>
          <w:ilvl w:val="0"/>
          <w:numId w:val="37"/>
        </w:numPr>
        <w:spacing w:before="120" w:after="0" w:line="240" w:lineRule="auto"/>
        <w:ind w:left="709" w:hanging="289"/>
        <w:jc w:val="both"/>
        <w:rPr>
          <w:rFonts w:asciiTheme="minorHAnsi" w:hAnsiTheme="minorHAnsi"/>
          <w:sz w:val="24"/>
          <w:szCs w:val="24"/>
        </w:rPr>
      </w:pPr>
      <w:r w:rsidRPr="0050712D">
        <w:rPr>
          <w:rFonts w:asciiTheme="minorHAnsi" w:hAnsiTheme="minorHAnsi"/>
          <w:b/>
          <w:sz w:val="24"/>
          <w:szCs w:val="24"/>
        </w:rPr>
        <w:lastRenderedPageBreak/>
        <w:t>3</w:t>
      </w:r>
      <w:r w:rsidRPr="0050712D">
        <w:rPr>
          <w:rFonts w:asciiTheme="minorHAnsi" w:hAnsiTheme="minorHAnsi"/>
          <w:sz w:val="24"/>
          <w:szCs w:val="24"/>
        </w:rPr>
        <w:t xml:space="preserve"> naruszenia prawa do </w:t>
      </w:r>
      <w:r w:rsidRPr="0050712D">
        <w:rPr>
          <w:rFonts w:asciiTheme="minorHAnsi" w:hAnsiTheme="minorHAnsi"/>
          <w:sz w:val="24"/>
          <w:szCs w:val="24"/>
          <w:u w:val="single"/>
        </w:rPr>
        <w:t>rzetelnego procesu</w:t>
      </w:r>
      <w:r w:rsidRPr="0050712D">
        <w:rPr>
          <w:rFonts w:asciiTheme="minorHAnsi" w:hAnsiTheme="minorHAnsi"/>
          <w:sz w:val="24"/>
          <w:szCs w:val="24"/>
        </w:rPr>
        <w:t xml:space="preserve"> sądowego, w tym:</w:t>
      </w:r>
    </w:p>
    <w:p w:rsidR="00633AE0" w:rsidRPr="0050712D" w:rsidRDefault="00633AE0" w:rsidP="0050712D">
      <w:pPr>
        <w:numPr>
          <w:ilvl w:val="0"/>
          <w:numId w:val="21"/>
        </w:numPr>
        <w:spacing w:before="120"/>
        <w:ind w:left="1134" w:hanging="425"/>
        <w:jc w:val="both"/>
        <w:rPr>
          <w:rFonts w:asciiTheme="minorHAnsi" w:hAnsiTheme="minorHAnsi"/>
        </w:rPr>
      </w:pPr>
      <w:r w:rsidRPr="0050712D">
        <w:rPr>
          <w:rFonts w:asciiTheme="minorHAnsi" w:hAnsiTheme="minorHAnsi"/>
        </w:rPr>
        <w:t>2 naruszenia prawa dostępu do sądu z uwagi na odpowiednio: odmowę zwolnienia z kosztów sądowych oraz wadliwą pomoc prawną z urzędu w postępowaniu kasacyjnym,</w:t>
      </w:r>
    </w:p>
    <w:p w:rsidR="00633AE0" w:rsidRPr="0050712D" w:rsidRDefault="00633AE0" w:rsidP="0050712D">
      <w:pPr>
        <w:numPr>
          <w:ilvl w:val="0"/>
          <w:numId w:val="21"/>
        </w:numPr>
        <w:spacing w:before="120"/>
        <w:ind w:left="1134" w:hanging="425"/>
        <w:jc w:val="both"/>
        <w:rPr>
          <w:rFonts w:asciiTheme="minorHAnsi" w:hAnsiTheme="minorHAnsi"/>
        </w:rPr>
      </w:pPr>
      <w:r w:rsidRPr="0050712D">
        <w:rPr>
          <w:rFonts w:asciiTheme="minorHAnsi" w:hAnsiTheme="minorHAnsi"/>
        </w:rPr>
        <w:t>1 naruszenie prawa do sprawiedliwego rozpatrzenia sprawy karnej z uwagi na dopuszczenie dowodów uzyskanych w drodze przemocy;</w:t>
      </w:r>
    </w:p>
    <w:p w:rsidR="00633AE0" w:rsidRPr="0050712D" w:rsidRDefault="00633AE0" w:rsidP="0050712D">
      <w:pPr>
        <w:pStyle w:val="Akapitzlist"/>
        <w:numPr>
          <w:ilvl w:val="0"/>
          <w:numId w:val="38"/>
        </w:numPr>
        <w:spacing w:before="120" w:after="0" w:line="240" w:lineRule="auto"/>
        <w:ind w:hanging="436"/>
        <w:jc w:val="both"/>
        <w:rPr>
          <w:rFonts w:asciiTheme="minorHAnsi" w:hAnsiTheme="minorHAnsi"/>
          <w:sz w:val="24"/>
          <w:szCs w:val="24"/>
        </w:rPr>
      </w:pPr>
      <w:r w:rsidRPr="0050712D">
        <w:rPr>
          <w:rFonts w:asciiTheme="minorHAnsi" w:hAnsiTheme="minorHAnsi"/>
          <w:b/>
          <w:sz w:val="24"/>
          <w:szCs w:val="24"/>
        </w:rPr>
        <w:t>2</w:t>
      </w:r>
      <w:r w:rsidRPr="0050712D">
        <w:rPr>
          <w:rFonts w:asciiTheme="minorHAnsi" w:hAnsiTheme="minorHAnsi"/>
          <w:sz w:val="24"/>
          <w:szCs w:val="24"/>
        </w:rPr>
        <w:t xml:space="preserve"> naruszenia z uwagi na </w:t>
      </w:r>
      <w:r w:rsidRPr="0050712D">
        <w:rPr>
          <w:rFonts w:asciiTheme="minorHAnsi" w:hAnsiTheme="minorHAnsi"/>
          <w:sz w:val="24"/>
          <w:szCs w:val="24"/>
          <w:u w:val="single"/>
        </w:rPr>
        <w:t>przewlekłość postępowania sądowego</w:t>
      </w:r>
      <w:r w:rsidRPr="0050712D">
        <w:rPr>
          <w:rFonts w:asciiTheme="minorHAnsi" w:hAnsiTheme="minorHAnsi"/>
          <w:sz w:val="24"/>
          <w:szCs w:val="24"/>
        </w:rPr>
        <w:t>;</w:t>
      </w:r>
    </w:p>
    <w:p w:rsidR="00633AE0" w:rsidRPr="0050712D" w:rsidRDefault="00633AE0" w:rsidP="0050712D">
      <w:pPr>
        <w:pStyle w:val="Akapitzlist"/>
        <w:numPr>
          <w:ilvl w:val="0"/>
          <w:numId w:val="38"/>
        </w:numPr>
        <w:spacing w:before="120" w:after="0" w:line="240" w:lineRule="auto"/>
        <w:ind w:left="709" w:hanging="425"/>
        <w:jc w:val="both"/>
        <w:rPr>
          <w:rFonts w:asciiTheme="minorHAnsi" w:hAnsiTheme="minorHAnsi"/>
          <w:sz w:val="24"/>
          <w:szCs w:val="24"/>
        </w:rPr>
      </w:pPr>
      <w:r w:rsidRPr="0050712D">
        <w:rPr>
          <w:rFonts w:asciiTheme="minorHAnsi" w:hAnsiTheme="minorHAnsi"/>
          <w:b/>
          <w:sz w:val="24"/>
          <w:szCs w:val="24"/>
        </w:rPr>
        <w:t>2</w:t>
      </w:r>
      <w:r w:rsidRPr="0050712D">
        <w:rPr>
          <w:rFonts w:asciiTheme="minorHAnsi" w:hAnsiTheme="minorHAnsi"/>
          <w:sz w:val="24"/>
          <w:szCs w:val="24"/>
        </w:rPr>
        <w:t xml:space="preserve"> naruszenia prawa do </w:t>
      </w:r>
      <w:r w:rsidRPr="0050712D">
        <w:rPr>
          <w:rFonts w:asciiTheme="minorHAnsi" w:hAnsiTheme="minorHAnsi"/>
          <w:sz w:val="24"/>
          <w:szCs w:val="24"/>
          <w:u w:val="single"/>
        </w:rPr>
        <w:t>wolności i bezpieczeństwa osobistego</w:t>
      </w:r>
      <w:r w:rsidRPr="0050712D">
        <w:rPr>
          <w:rFonts w:asciiTheme="minorHAnsi" w:hAnsiTheme="minorHAnsi"/>
          <w:sz w:val="24"/>
          <w:szCs w:val="24"/>
        </w:rPr>
        <w:t xml:space="preserve"> z uwagi na:</w:t>
      </w:r>
    </w:p>
    <w:p w:rsidR="00633AE0" w:rsidRPr="0050712D" w:rsidRDefault="00633AE0" w:rsidP="0050712D">
      <w:pPr>
        <w:numPr>
          <w:ilvl w:val="0"/>
          <w:numId w:val="24"/>
        </w:numPr>
        <w:spacing w:before="120"/>
        <w:ind w:left="1134" w:hanging="425"/>
        <w:jc w:val="both"/>
        <w:rPr>
          <w:rFonts w:asciiTheme="minorHAnsi" w:hAnsiTheme="minorHAnsi"/>
        </w:rPr>
      </w:pPr>
      <w:r w:rsidRPr="0050712D">
        <w:rPr>
          <w:rFonts w:asciiTheme="minorHAnsi" w:hAnsiTheme="minorHAnsi"/>
        </w:rPr>
        <w:t>nadmierną długość tymczasowego aresztowania,</w:t>
      </w:r>
    </w:p>
    <w:p w:rsidR="00633AE0" w:rsidRPr="0050712D" w:rsidRDefault="00633AE0" w:rsidP="0050712D">
      <w:pPr>
        <w:numPr>
          <w:ilvl w:val="0"/>
          <w:numId w:val="24"/>
        </w:numPr>
        <w:spacing w:before="120"/>
        <w:ind w:left="1134" w:hanging="425"/>
        <w:jc w:val="both"/>
        <w:rPr>
          <w:rFonts w:asciiTheme="minorHAnsi" w:hAnsiTheme="minorHAnsi"/>
        </w:rPr>
      </w:pPr>
      <w:r w:rsidRPr="0050712D">
        <w:rPr>
          <w:rFonts w:asciiTheme="minorHAnsi" w:hAnsiTheme="minorHAnsi"/>
        </w:rPr>
        <w:t>przetrzymywanie dzieci w strzeżonym ośrodku dla cudzoziemców;</w:t>
      </w:r>
    </w:p>
    <w:p w:rsidR="00633AE0" w:rsidRPr="0050712D" w:rsidRDefault="00633AE0" w:rsidP="0050712D">
      <w:pPr>
        <w:pStyle w:val="Akapitzlist"/>
        <w:numPr>
          <w:ilvl w:val="0"/>
          <w:numId w:val="39"/>
        </w:numPr>
        <w:spacing w:before="120" w:after="0" w:line="240" w:lineRule="auto"/>
        <w:ind w:left="709" w:hanging="425"/>
        <w:jc w:val="both"/>
        <w:rPr>
          <w:rFonts w:asciiTheme="minorHAnsi" w:hAnsiTheme="minorHAnsi"/>
          <w:sz w:val="24"/>
          <w:szCs w:val="24"/>
        </w:rPr>
      </w:pPr>
      <w:r w:rsidRPr="0050712D">
        <w:rPr>
          <w:rFonts w:asciiTheme="minorHAnsi" w:hAnsiTheme="minorHAnsi"/>
          <w:b/>
          <w:sz w:val="24"/>
          <w:szCs w:val="24"/>
        </w:rPr>
        <w:t>2</w:t>
      </w:r>
      <w:r w:rsidRPr="0050712D">
        <w:rPr>
          <w:rFonts w:asciiTheme="minorHAnsi" w:hAnsiTheme="minorHAnsi"/>
          <w:sz w:val="24"/>
          <w:szCs w:val="24"/>
        </w:rPr>
        <w:t xml:space="preserve"> naruszenie </w:t>
      </w:r>
      <w:r w:rsidRPr="0050712D">
        <w:rPr>
          <w:rFonts w:asciiTheme="minorHAnsi" w:hAnsiTheme="minorHAnsi"/>
          <w:sz w:val="24"/>
          <w:szCs w:val="24"/>
          <w:u w:val="single"/>
        </w:rPr>
        <w:t>prawa do życia w aspekcie proceduralnym</w:t>
      </w:r>
      <w:r w:rsidRPr="0050712D">
        <w:rPr>
          <w:rFonts w:asciiTheme="minorHAnsi" w:hAnsiTheme="minorHAnsi"/>
          <w:sz w:val="24"/>
          <w:szCs w:val="24"/>
        </w:rPr>
        <w:t xml:space="preserve"> z uwagi</w:t>
      </w:r>
      <w:r w:rsidR="0050712D" w:rsidRPr="0050712D">
        <w:rPr>
          <w:rFonts w:asciiTheme="minorHAnsi" w:hAnsiTheme="minorHAnsi"/>
          <w:sz w:val="24"/>
          <w:szCs w:val="24"/>
        </w:rPr>
        <w:t xml:space="preserve"> na brak skutecznego śledztwa w </w:t>
      </w:r>
      <w:r w:rsidRPr="0050712D">
        <w:rPr>
          <w:rFonts w:asciiTheme="minorHAnsi" w:hAnsiTheme="minorHAnsi"/>
          <w:sz w:val="24"/>
          <w:szCs w:val="24"/>
        </w:rPr>
        <w:t>odniesieniu do śmierci osoby:</w:t>
      </w:r>
    </w:p>
    <w:p w:rsidR="00633AE0" w:rsidRPr="0050712D" w:rsidRDefault="00633AE0" w:rsidP="0050712D">
      <w:pPr>
        <w:numPr>
          <w:ilvl w:val="0"/>
          <w:numId w:val="22"/>
        </w:numPr>
        <w:spacing w:before="120"/>
        <w:ind w:left="1134" w:hanging="425"/>
        <w:jc w:val="both"/>
        <w:rPr>
          <w:rFonts w:asciiTheme="minorHAnsi" w:hAnsiTheme="minorHAnsi"/>
        </w:rPr>
      </w:pPr>
      <w:r w:rsidRPr="0050712D">
        <w:rPr>
          <w:rFonts w:asciiTheme="minorHAnsi" w:hAnsiTheme="minorHAnsi"/>
        </w:rPr>
        <w:t>w związku z interwencją policji,</w:t>
      </w:r>
    </w:p>
    <w:p w:rsidR="00633AE0" w:rsidRPr="0050712D" w:rsidRDefault="00633AE0" w:rsidP="0050712D">
      <w:pPr>
        <w:numPr>
          <w:ilvl w:val="0"/>
          <w:numId w:val="22"/>
        </w:numPr>
        <w:spacing w:before="120"/>
        <w:ind w:left="1134" w:hanging="425"/>
        <w:jc w:val="both"/>
        <w:rPr>
          <w:rFonts w:asciiTheme="minorHAnsi" w:hAnsiTheme="minorHAnsi"/>
        </w:rPr>
      </w:pPr>
      <w:r w:rsidRPr="0050712D">
        <w:rPr>
          <w:rFonts w:asciiTheme="minorHAnsi" w:hAnsiTheme="minorHAnsi"/>
        </w:rPr>
        <w:t>w zakładzie karnym (aspekt leczenia);</w:t>
      </w:r>
    </w:p>
    <w:p w:rsidR="00633AE0" w:rsidRPr="0050712D" w:rsidRDefault="00633AE0" w:rsidP="0050712D">
      <w:pPr>
        <w:pStyle w:val="Akapitzlist"/>
        <w:numPr>
          <w:ilvl w:val="0"/>
          <w:numId w:val="40"/>
        </w:numPr>
        <w:spacing w:before="120" w:after="0" w:line="240" w:lineRule="auto"/>
        <w:ind w:left="709" w:hanging="425"/>
        <w:jc w:val="both"/>
        <w:rPr>
          <w:rFonts w:asciiTheme="minorHAnsi" w:hAnsiTheme="minorHAnsi"/>
          <w:sz w:val="24"/>
          <w:szCs w:val="24"/>
        </w:rPr>
      </w:pPr>
      <w:r w:rsidRPr="0050712D">
        <w:rPr>
          <w:rFonts w:asciiTheme="minorHAnsi" w:hAnsiTheme="minorHAnsi"/>
          <w:b/>
          <w:sz w:val="24"/>
          <w:szCs w:val="24"/>
        </w:rPr>
        <w:t>2</w:t>
      </w:r>
      <w:r w:rsidRPr="0050712D">
        <w:rPr>
          <w:rFonts w:asciiTheme="minorHAnsi" w:hAnsiTheme="minorHAnsi"/>
          <w:sz w:val="24"/>
          <w:szCs w:val="24"/>
        </w:rPr>
        <w:t xml:space="preserve"> naruszenia prawa do </w:t>
      </w:r>
      <w:r w:rsidRPr="0050712D">
        <w:rPr>
          <w:rFonts w:asciiTheme="minorHAnsi" w:hAnsiTheme="minorHAnsi"/>
          <w:sz w:val="24"/>
          <w:szCs w:val="24"/>
          <w:u w:val="single"/>
        </w:rPr>
        <w:t>wolności wyrażania opinii</w:t>
      </w:r>
      <w:r w:rsidRPr="0050712D">
        <w:rPr>
          <w:rFonts w:asciiTheme="minorHAnsi" w:hAnsiTheme="minorHAnsi"/>
          <w:sz w:val="24"/>
          <w:szCs w:val="24"/>
        </w:rPr>
        <w:t xml:space="preserve"> w kontekście:</w:t>
      </w:r>
    </w:p>
    <w:p w:rsidR="00633AE0" w:rsidRPr="0050712D" w:rsidRDefault="00633AE0" w:rsidP="0050712D">
      <w:pPr>
        <w:numPr>
          <w:ilvl w:val="0"/>
          <w:numId w:val="23"/>
        </w:numPr>
        <w:spacing w:before="120"/>
        <w:ind w:left="1134" w:hanging="425"/>
        <w:jc w:val="both"/>
        <w:rPr>
          <w:rFonts w:asciiTheme="minorHAnsi" w:hAnsiTheme="minorHAnsi"/>
        </w:rPr>
      </w:pPr>
      <w:r w:rsidRPr="0050712D">
        <w:rPr>
          <w:rFonts w:asciiTheme="minorHAnsi" w:hAnsiTheme="minorHAnsi"/>
        </w:rPr>
        <w:t>odpowiedzialności właściciela portalu internetowego za komentarze osób trzecich,</w:t>
      </w:r>
    </w:p>
    <w:p w:rsidR="00633AE0" w:rsidRPr="0050712D" w:rsidRDefault="00633AE0" w:rsidP="0050712D">
      <w:pPr>
        <w:numPr>
          <w:ilvl w:val="0"/>
          <w:numId w:val="23"/>
        </w:numPr>
        <w:spacing w:before="120"/>
        <w:ind w:left="1134" w:hanging="425"/>
        <w:jc w:val="both"/>
        <w:rPr>
          <w:rFonts w:asciiTheme="minorHAnsi" w:hAnsiTheme="minorHAnsi"/>
        </w:rPr>
      </w:pPr>
      <w:r w:rsidRPr="0050712D">
        <w:rPr>
          <w:rFonts w:asciiTheme="minorHAnsi" w:hAnsiTheme="minorHAnsi"/>
        </w:rPr>
        <w:t>odpowiedzialności dyscyplinarnej sędziów;</w:t>
      </w:r>
    </w:p>
    <w:p w:rsidR="00633AE0" w:rsidRPr="0050712D" w:rsidRDefault="00633AE0" w:rsidP="0050712D">
      <w:pPr>
        <w:pStyle w:val="Akapitzlist"/>
        <w:numPr>
          <w:ilvl w:val="0"/>
          <w:numId w:val="41"/>
        </w:numPr>
        <w:spacing w:before="120" w:after="0" w:line="240" w:lineRule="auto"/>
        <w:ind w:left="709" w:hanging="425"/>
        <w:jc w:val="both"/>
        <w:rPr>
          <w:rFonts w:asciiTheme="minorHAnsi" w:hAnsiTheme="minorHAnsi"/>
          <w:sz w:val="24"/>
          <w:szCs w:val="24"/>
        </w:rPr>
      </w:pPr>
      <w:r w:rsidRPr="0050712D">
        <w:rPr>
          <w:rFonts w:asciiTheme="minorHAnsi" w:hAnsiTheme="minorHAnsi"/>
          <w:b/>
          <w:sz w:val="24"/>
          <w:szCs w:val="24"/>
        </w:rPr>
        <w:t>2</w:t>
      </w:r>
      <w:r w:rsidRPr="0050712D">
        <w:rPr>
          <w:rFonts w:asciiTheme="minorHAnsi" w:hAnsiTheme="minorHAnsi"/>
          <w:sz w:val="24"/>
          <w:szCs w:val="24"/>
        </w:rPr>
        <w:t xml:space="preserve"> naruszenia prawa do </w:t>
      </w:r>
      <w:r w:rsidRPr="0050712D">
        <w:rPr>
          <w:rFonts w:asciiTheme="minorHAnsi" w:hAnsiTheme="minorHAnsi"/>
          <w:sz w:val="24"/>
          <w:szCs w:val="24"/>
          <w:u w:val="single"/>
        </w:rPr>
        <w:t>skutecznego środka odwoławczego</w:t>
      </w:r>
      <w:r w:rsidRPr="0050712D">
        <w:rPr>
          <w:rFonts w:asciiTheme="minorHAnsi" w:hAnsiTheme="minorHAnsi"/>
          <w:sz w:val="24"/>
          <w:szCs w:val="24"/>
        </w:rPr>
        <w:t>:</w:t>
      </w:r>
    </w:p>
    <w:p w:rsidR="00633AE0" w:rsidRPr="0050712D" w:rsidRDefault="00633AE0" w:rsidP="0050712D">
      <w:pPr>
        <w:numPr>
          <w:ilvl w:val="0"/>
          <w:numId w:val="25"/>
        </w:numPr>
        <w:spacing w:before="120"/>
        <w:ind w:left="1134" w:hanging="425"/>
        <w:jc w:val="both"/>
        <w:rPr>
          <w:rFonts w:asciiTheme="minorHAnsi" w:hAnsiTheme="minorHAnsi"/>
        </w:rPr>
      </w:pPr>
      <w:r w:rsidRPr="0050712D">
        <w:rPr>
          <w:rFonts w:asciiTheme="minorHAnsi" w:hAnsiTheme="minorHAnsi"/>
        </w:rPr>
        <w:t>do skarżenia przewlekłości,</w:t>
      </w:r>
    </w:p>
    <w:p w:rsidR="00633AE0" w:rsidRPr="0050712D" w:rsidRDefault="00633AE0" w:rsidP="0050712D">
      <w:pPr>
        <w:numPr>
          <w:ilvl w:val="0"/>
          <w:numId w:val="25"/>
        </w:numPr>
        <w:spacing w:before="120"/>
        <w:ind w:left="1134" w:hanging="425"/>
        <w:jc w:val="both"/>
        <w:rPr>
          <w:rFonts w:asciiTheme="minorHAnsi" w:hAnsiTheme="minorHAnsi"/>
        </w:rPr>
      </w:pPr>
      <w:r w:rsidRPr="0050712D">
        <w:rPr>
          <w:rFonts w:asciiTheme="minorHAnsi" w:hAnsiTheme="minorHAnsi"/>
        </w:rPr>
        <w:t>do skarżenia odmowy dostępu do procedury ochrony międzynarodowej na granicy;</w:t>
      </w:r>
    </w:p>
    <w:p w:rsidR="00633AE0" w:rsidRPr="0050712D" w:rsidRDefault="00633AE0" w:rsidP="0050712D">
      <w:pPr>
        <w:pStyle w:val="Akapitzlist"/>
        <w:numPr>
          <w:ilvl w:val="0"/>
          <w:numId w:val="42"/>
        </w:numPr>
        <w:spacing w:before="120" w:after="0" w:line="240" w:lineRule="auto"/>
        <w:ind w:left="709" w:hanging="425"/>
        <w:jc w:val="both"/>
        <w:rPr>
          <w:rFonts w:asciiTheme="minorHAnsi" w:hAnsiTheme="minorHAnsi"/>
          <w:sz w:val="24"/>
          <w:szCs w:val="24"/>
        </w:rPr>
      </w:pPr>
      <w:r w:rsidRPr="0050712D">
        <w:rPr>
          <w:rFonts w:asciiTheme="minorHAnsi" w:hAnsiTheme="minorHAnsi"/>
          <w:b/>
          <w:sz w:val="24"/>
          <w:szCs w:val="24"/>
        </w:rPr>
        <w:t>1</w:t>
      </w:r>
      <w:r w:rsidRPr="0050712D">
        <w:rPr>
          <w:rFonts w:asciiTheme="minorHAnsi" w:hAnsiTheme="minorHAnsi"/>
          <w:sz w:val="24"/>
          <w:szCs w:val="24"/>
        </w:rPr>
        <w:t xml:space="preserve"> naruszenie zakazu </w:t>
      </w:r>
      <w:r w:rsidRPr="0050712D">
        <w:rPr>
          <w:rFonts w:asciiTheme="minorHAnsi" w:hAnsiTheme="minorHAnsi"/>
          <w:sz w:val="24"/>
          <w:szCs w:val="24"/>
          <w:u w:val="single"/>
        </w:rPr>
        <w:t>poniżającego traktowania w aspekcie materialnym</w:t>
      </w:r>
      <w:r w:rsidRPr="0050712D">
        <w:rPr>
          <w:rFonts w:asciiTheme="minorHAnsi" w:hAnsiTheme="minorHAnsi"/>
          <w:sz w:val="24"/>
          <w:szCs w:val="24"/>
        </w:rPr>
        <w:t xml:space="preserve"> z uwagi na warunki pozbawienia wolności;</w:t>
      </w:r>
    </w:p>
    <w:p w:rsidR="00633AE0" w:rsidRPr="0050712D" w:rsidRDefault="00633AE0" w:rsidP="0050712D">
      <w:pPr>
        <w:pStyle w:val="Akapitzlist"/>
        <w:numPr>
          <w:ilvl w:val="0"/>
          <w:numId w:val="42"/>
        </w:numPr>
        <w:spacing w:before="120" w:after="0" w:line="240" w:lineRule="auto"/>
        <w:ind w:left="709" w:hanging="425"/>
        <w:jc w:val="both"/>
        <w:rPr>
          <w:rFonts w:asciiTheme="minorHAnsi" w:hAnsiTheme="minorHAnsi"/>
          <w:sz w:val="24"/>
          <w:szCs w:val="24"/>
        </w:rPr>
      </w:pPr>
      <w:r w:rsidRPr="0050712D">
        <w:rPr>
          <w:rFonts w:asciiTheme="minorHAnsi" w:hAnsiTheme="minorHAnsi"/>
          <w:b/>
          <w:sz w:val="24"/>
          <w:szCs w:val="24"/>
        </w:rPr>
        <w:t>1</w:t>
      </w:r>
      <w:r w:rsidRPr="0050712D">
        <w:rPr>
          <w:rFonts w:asciiTheme="minorHAnsi" w:hAnsiTheme="minorHAnsi"/>
          <w:sz w:val="24"/>
          <w:szCs w:val="24"/>
        </w:rPr>
        <w:t xml:space="preserve"> naruszenie zakazu </w:t>
      </w:r>
      <w:r w:rsidRPr="0050712D">
        <w:rPr>
          <w:rFonts w:asciiTheme="minorHAnsi" w:hAnsiTheme="minorHAnsi"/>
          <w:sz w:val="24"/>
          <w:szCs w:val="24"/>
          <w:u w:val="single"/>
        </w:rPr>
        <w:t>nieludzkiego lub poniżającego traktowania</w:t>
      </w:r>
      <w:r w:rsidRPr="0050712D">
        <w:rPr>
          <w:rFonts w:asciiTheme="minorHAnsi" w:hAnsiTheme="minorHAnsi"/>
          <w:sz w:val="24"/>
          <w:szCs w:val="24"/>
        </w:rPr>
        <w:t xml:space="preserve"> z uwagi na naruszenie </w:t>
      </w:r>
      <w:r w:rsidRPr="00583755">
        <w:rPr>
          <w:rFonts w:asciiTheme="minorHAnsi" w:hAnsiTheme="minorHAnsi"/>
          <w:sz w:val="24"/>
          <w:szCs w:val="24"/>
        </w:rPr>
        <w:t>zakazu</w:t>
      </w:r>
      <w:r w:rsidRPr="0050712D">
        <w:rPr>
          <w:rFonts w:asciiTheme="minorHAnsi" w:hAnsiTheme="minorHAnsi"/>
          <w:i/>
          <w:sz w:val="24"/>
          <w:szCs w:val="24"/>
        </w:rPr>
        <w:t xml:space="preserve"> refoulement</w:t>
      </w:r>
      <w:r w:rsidRPr="0050712D">
        <w:rPr>
          <w:rFonts w:asciiTheme="minorHAnsi" w:hAnsiTheme="minorHAnsi"/>
          <w:sz w:val="24"/>
          <w:szCs w:val="24"/>
        </w:rPr>
        <w:t xml:space="preserve"> na</w:t>
      </w:r>
      <w:r w:rsidR="00583755">
        <w:rPr>
          <w:rFonts w:asciiTheme="minorHAnsi" w:hAnsiTheme="minorHAnsi"/>
          <w:sz w:val="24"/>
          <w:szCs w:val="24"/>
          <w:lang w:val="pl-PL"/>
        </w:rPr>
        <w:t xml:space="preserve"> </w:t>
      </w:r>
      <w:r w:rsidRPr="0050712D">
        <w:rPr>
          <w:rFonts w:asciiTheme="minorHAnsi" w:hAnsiTheme="minorHAnsi"/>
          <w:sz w:val="24"/>
          <w:szCs w:val="24"/>
        </w:rPr>
        <w:t>granicy;</w:t>
      </w:r>
    </w:p>
    <w:p w:rsidR="00633AE0" w:rsidRPr="0050712D" w:rsidRDefault="00633AE0" w:rsidP="0050712D">
      <w:pPr>
        <w:pStyle w:val="Akapitzlist"/>
        <w:numPr>
          <w:ilvl w:val="0"/>
          <w:numId w:val="43"/>
        </w:numPr>
        <w:spacing w:before="120" w:after="0" w:line="240" w:lineRule="auto"/>
        <w:ind w:left="709" w:hanging="425"/>
        <w:jc w:val="both"/>
        <w:rPr>
          <w:rFonts w:asciiTheme="minorHAnsi" w:hAnsiTheme="minorHAnsi"/>
          <w:sz w:val="24"/>
          <w:szCs w:val="24"/>
        </w:rPr>
      </w:pPr>
      <w:r w:rsidRPr="0050712D">
        <w:rPr>
          <w:rFonts w:asciiTheme="minorHAnsi" w:hAnsiTheme="minorHAnsi"/>
          <w:b/>
          <w:sz w:val="24"/>
          <w:szCs w:val="24"/>
        </w:rPr>
        <w:t>1</w:t>
      </w:r>
      <w:r w:rsidRPr="0050712D">
        <w:rPr>
          <w:rFonts w:asciiTheme="minorHAnsi" w:hAnsiTheme="minorHAnsi"/>
          <w:sz w:val="24"/>
          <w:szCs w:val="24"/>
        </w:rPr>
        <w:t xml:space="preserve"> naruszenie prawa do </w:t>
      </w:r>
      <w:r w:rsidRPr="0050712D">
        <w:rPr>
          <w:rFonts w:asciiTheme="minorHAnsi" w:hAnsiTheme="minorHAnsi"/>
          <w:sz w:val="24"/>
          <w:szCs w:val="24"/>
          <w:u w:val="single"/>
        </w:rPr>
        <w:t>ochrony własności</w:t>
      </w:r>
      <w:r w:rsidRPr="0050712D">
        <w:rPr>
          <w:rFonts w:asciiTheme="minorHAnsi" w:hAnsiTheme="minorHAnsi"/>
          <w:sz w:val="24"/>
          <w:szCs w:val="24"/>
        </w:rPr>
        <w:t xml:space="preserve"> z uwagi na niezasadne pozbawienie prawa do renty bez</w:t>
      </w:r>
      <w:r w:rsidR="00583755">
        <w:rPr>
          <w:rFonts w:asciiTheme="minorHAnsi" w:hAnsiTheme="minorHAnsi"/>
          <w:sz w:val="24"/>
          <w:szCs w:val="24"/>
          <w:lang w:val="pl-PL"/>
        </w:rPr>
        <w:t xml:space="preserve"> </w:t>
      </w:r>
      <w:r w:rsidRPr="0050712D">
        <w:rPr>
          <w:rFonts w:asciiTheme="minorHAnsi" w:hAnsiTheme="minorHAnsi"/>
          <w:sz w:val="24"/>
          <w:szCs w:val="24"/>
        </w:rPr>
        <w:t>odszkodowania;</w:t>
      </w:r>
    </w:p>
    <w:p w:rsidR="00633AE0" w:rsidRPr="0050712D" w:rsidRDefault="00633AE0" w:rsidP="0050712D">
      <w:pPr>
        <w:pStyle w:val="Akapitzlist"/>
        <w:numPr>
          <w:ilvl w:val="0"/>
          <w:numId w:val="43"/>
        </w:numPr>
        <w:spacing w:before="120" w:after="0" w:line="240" w:lineRule="auto"/>
        <w:ind w:left="709" w:hanging="425"/>
        <w:jc w:val="both"/>
        <w:rPr>
          <w:rFonts w:asciiTheme="minorHAnsi" w:hAnsiTheme="minorHAnsi"/>
          <w:sz w:val="24"/>
          <w:szCs w:val="24"/>
        </w:rPr>
      </w:pPr>
      <w:r w:rsidRPr="0050712D">
        <w:rPr>
          <w:rFonts w:asciiTheme="minorHAnsi" w:hAnsiTheme="minorHAnsi"/>
          <w:b/>
          <w:sz w:val="24"/>
          <w:szCs w:val="24"/>
        </w:rPr>
        <w:t>1</w:t>
      </w:r>
      <w:r w:rsidRPr="0050712D">
        <w:rPr>
          <w:rFonts w:asciiTheme="minorHAnsi" w:hAnsiTheme="minorHAnsi"/>
          <w:sz w:val="24"/>
          <w:szCs w:val="24"/>
        </w:rPr>
        <w:t xml:space="preserve"> naruszenie zakazu </w:t>
      </w:r>
      <w:r w:rsidRPr="0050712D">
        <w:rPr>
          <w:rFonts w:asciiTheme="minorHAnsi" w:hAnsiTheme="minorHAnsi"/>
          <w:sz w:val="24"/>
          <w:szCs w:val="24"/>
          <w:u w:val="single"/>
        </w:rPr>
        <w:t>zbiorowego wydalania cudzoziemców</w:t>
      </w:r>
      <w:r w:rsidRPr="0050712D">
        <w:rPr>
          <w:rFonts w:asciiTheme="minorHAnsi" w:hAnsiTheme="minorHAnsi"/>
          <w:sz w:val="24"/>
          <w:szCs w:val="24"/>
        </w:rPr>
        <w:t xml:space="preserve"> z uwagi na sposób podejmowania na</w:t>
      </w:r>
      <w:r w:rsidR="00583755">
        <w:rPr>
          <w:rFonts w:asciiTheme="minorHAnsi" w:hAnsiTheme="minorHAnsi"/>
          <w:sz w:val="24"/>
          <w:szCs w:val="24"/>
          <w:lang w:val="pl-PL"/>
        </w:rPr>
        <w:t xml:space="preserve"> </w:t>
      </w:r>
      <w:r w:rsidRPr="0050712D">
        <w:rPr>
          <w:rFonts w:asciiTheme="minorHAnsi" w:hAnsiTheme="minorHAnsi"/>
          <w:sz w:val="24"/>
          <w:szCs w:val="24"/>
        </w:rPr>
        <w:t>granicy decyzji o odmowie wjazdu osób ubiegających się o</w:t>
      </w:r>
      <w:r w:rsidR="00583755">
        <w:rPr>
          <w:rFonts w:asciiTheme="minorHAnsi" w:hAnsiTheme="minorHAnsi"/>
          <w:sz w:val="24"/>
          <w:szCs w:val="24"/>
        </w:rPr>
        <w:t xml:space="preserve"> ochronę międzynarodową;</w:t>
      </w:r>
    </w:p>
    <w:p w:rsidR="00633AE0" w:rsidRPr="00673E83" w:rsidRDefault="00633AE0" w:rsidP="0050712D">
      <w:pPr>
        <w:pStyle w:val="Akapitzlist"/>
        <w:numPr>
          <w:ilvl w:val="0"/>
          <w:numId w:val="43"/>
        </w:numPr>
        <w:spacing w:before="120" w:after="0" w:line="240" w:lineRule="auto"/>
        <w:ind w:left="709" w:hanging="425"/>
        <w:jc w:val="both"/>
        <w:rPr>
          <w:rFonts w:asciiTheme="minorHAnsi" w:hAnsiTheme="minorHAnsi"/>
          <w:sz w:val="24"/>
          <w:szCs w:val="24"/>
        </w:rPr>
      </w:pPr>
      <w:r w:rsidRPr="00673E83">
        <w:rPr>
          <w:rFonts w:asciiTheme="minorHAnsi" w:hAnsiTheme="minorHAnsi"/>
          <w:b/>
          <w:sz w:val="24"/>
          <w:szCs w:val="24"/>
        </w:rPr>
        <w:t>1</w:t>
      </w:r>
      <w:r w:rsidRPr="00673E83">
        <w:rPr>
          <w:rFonts w:asciiTheme="minorHAnsi" w:hAnsiTheme="minorHAnsi"/>
          <w:sz w:val="24"/>
          <w:szCs w:val="24"/>
        </w:rPr>
        <w:t xml:space="preserve"> naruszenie </w:t>
      </w:r>
      <w:r w:rsidRPr="00673E83">
        <w:rPr>
          <w:rFonts w:asciiTheme="minorHAnsi" w:hAnsiTheme="minorHAnsi"/>
          <w:sz w:val="24"/>
          <w:szCs w:val="24"/>
          <w:u w:val="single"/>
        </w:rPr>
        <w:t>prawa do skargi indywidualnej</w:t>
      </w:r>
      <w:r w:rsidRPr="00673E83">
        <w:rPr>
          <w:rFonts w:asciiTheme="minorHAnsi" w:hAnsiTheme="minorHAnsi"/>
          <w:sz w:val="24"/>
          <w:szCs w:val="24"/>
        </w:rPr>
        <w:t xml:space="preserve"> do ETPC z uwagi na nierespektowanie zarządzeń tymczasowych Trybunału w</w:t>
      </w:r>
      <w:r w:rsidR="00583755" w:rsidRPr="00673E83">
        <w:rPr>
          <w:rFonts w:asciiTheme="minorHAnsi" w:hAnsiTheme="minorHAnsi"/>
          <w:sz w:val="24"/>
          <w:szCs w:val="24"/>
          <w:lang w:val="pl-PL"/>
        </w:rPr>
        <w:t>s</w:t>
      </w:r>
      <w:r w:rsidRPr="00673E83">
        <w:rPr>
          <w:rFonts w:asciiTheme="minorHAnsi" w:hAnsiTheme="minorHAnsi"/>
          <w:sz w:val="24"/>
          <w:szCs w:val="24"/>
        </w:rPr>
        <w:t>. nieodsyłania na granicy cudzoziemców ubiegających się o ochronę międzynarodową.</w:t>
      </w:r>
    </w:p>
    <w:p w:rsidR="0050712D" w:rsidRPr="0050712D" w:rsidRDefault="0050712D" w:rsidP="0050712D">
      <w:pPr>
        <w:pStyle w:val="Akapitzlist"/>
        <w:spacing w:before="120" w:after="0" w:line="240" w:lineRule="auto"/>
        <w:ind w:left="0"/>
        <w:jc w:val="both"/>
        <w:rPr>
          <w:rFonts w:asciiTheme="minorHAnsi" w:hAnsiTheme="minorHAnsi"/>
          <w:sz w:val="24"/>
          <w:szCs w:val="24"/>
        </w:rPr>
      </w:pPr>
    </w:p>
    <w:p w:rsidR="00633AE0" w:rsidRPr="002C2D40" w:rsidRDefault="00633AE0" w:rsidP="0050712D">
      <w:pPr>
        <w:numPr>
          <w:ilvl w:val="1"/>
          <w:numId w:val="17"/>
        </w:numPr>
        <w:spacing w:before="120" w:after="120"/>
        <w:ind w:left="709" w:hanging="425"/>
        <w:jc w:val="both"/>
        <w:rPr>
          <w:rFonts w:asciiTheme="minorHAnsi" w:hAnsiTheme="minorHAnsi"/>
          <w:i/>
        </w:rPr>
      </w:pPr>
      <w:r w:rsidRPr="002C2D40">
        <w:rPr>
          <w:rFonts w:asciiTheme="minorHAnsi" w:hAnsiTheme="minorHAnsi"/>
          <w:i/>
        </w:rPr>
        <w:t>Decyzje</w:t>
      </w:r>
    </w:p>
    <w:p w:rsidR="00633AE0" w:rsidRPr="002C2D40" w:rsidRDefault="00633AE0" w:rsidP="00583755">
      <w:pPr>
        <w:spacing w:before="120"/>
        <w:jc w:val="both"/>
        <w:rPr>
          <w:rFonts w:asciiTheme="minorHAnsi" w:hAnsiTheme="minorHAnsi"/>
        </w:rPr>
      </w:pPr>
      <w:r w:rsidRPr="002C2D40">
        <w:rPr>
          <w:rFonts w:asciiTheme="minorHAnsi" w:hAnsiTheme="minorHAnsi"/>
        </w:rPr>
        <w:lastRenderedPageBreak/>
        <w:t xml:space="preserve">W 2020 r. Trybunał wydał </w:t>
      </w:r>
      <w:r w:rsidRPr="002C2D40">
        <w:rPr>
          <w:rFonts w:asciiTheme="minorHAnsi" w:hAnsiTheme="minorHAnsi"/>
          <w:b/>
        </w:rPr>
        <w:t>43 decyzje ws. 68 skarg</w:t>
      </w:r>
      <w:r w:rsidRPr="002C2D40">
        <w:rPr>
          <w:rFonts w:asciiTheme="minorHAnsi" w:hAnsiTheme="minorHAnsi"/>
        </w:rPr>
        <w:t xml:space="preserve"> dotyczących Polski (dla porównania w 2019</w:t>
      </w:r>
      <w:r w:rsidR="00583755" w:rsidRPr="002C2D40">
        <w:rPr>
          <w:rFonts w:asciiTheme="minorHAnsi" w:hAnsiTheme="minorHAnsi"/>
        </w:rPr>
        <w:t> </w:t>
      </w:r>
      <w:r w:rsidRPr="002C2D40">
        <w:rPr>
          <w:rFonts w:asciiTheme="minorHAnsi" w:hAnsiTheme="minorHAnsi"/>
        </w:rPr>
        <w:t xml:space="preserve">r. </w:t>
      </w:r>
      <w:r w:rsidR="00583755">
        <w:rPr>
          <w:rFonts w:asciiTheme="minorHAnsi" w:hAnsiTheme="minorHAnsi"/>
        </w:rPr>
        <w:t xml:space="preserve">- </w:t>
      </w:r>
      <w:r w:rsidRPr="002C2D40">
        <w:rPr>
          <w:rFonts w:asciiTheme="minorHAnsi" w:hAnsiTheme="minorHAnsi"/>
        </w:rPr>
        <w:t>85</w:t>
      </w:r>
      <w:r w:rsidR="00583755">
        <w:rPr>
          <w:rFonts w:asciiTheme="minorHAnsi" w:hAnsiTheme="minorHAnsi"/>
        </w:rPr>
        <w:t xml:space="preserve"> </w:t>
      </w:r>
      <w:r w:rsidRPr="002C2D40">
        <w:rPr>
          <w:rFonts w:asciiTheme="minorHAnsi" w:hAnsiTheme="minorHAnsi"/>
        </w:rPr>
        <w:t>decyzji w 102 sprawach, 106 decyzji w 2018 r., 87 w 2017 r., 191</w:t>
      </w:r>
      <w:r w:rsidR="00583755">
        <w:rPr>
          <w:rFonts w:asciiTheme="minorHAnsi" w:hAnsiTheme="minorHAnsi"/>
        </w:rPr>
        <w:t xml:space="preserve"> w 2015 r., 388 w 2008 r.). W </w:t>
      </w:r>
      <w:r w:rsidRPr="002C2D40">
        <w:rPr>
          <w:rFonts w:asciiTheme="minorHAnsi" w:hAnsiTheme="minorHAnsi"/>
        </w:rPr>
        <w:t>2020 r. zapadło:</w:t>
      </w:r>
    </w:p>
    <w:p w:rsidR="00633AE0" w:rsidRPr="00674D7A" w:rsidRDefault="00633AE0" w:rsidP="00583755">
      <w:pPr>
        <w:pStyle w:val="Akapitzlist"/>
        <w:numPr>
          <w:ilvl w:val="0"/>
          <w:numId w:val="44"/>
        </w:numPr>
        <w:spacing w:before="120" w:after="0" w:line="240" w:lineRule="auto"/>
        <w:ind w:hanging="436"/>
        <w:jc w:val="both"/>
        <w:rPr>
          <w:rFonts w:asciiTheme="minorHAnsi" w:hAnsiTheme="minorHAnsi"/>
          <w:sz w:val="24"/>
          <w:szCs w:val="24"/>
        </w:rPr>
      </w:pPr>
      <w:r w:rsidRPr="00674D7A">
        <w:rPr>
          <w:rFonts w:asciiTheme="minorHAnsi" w:hAnsiTheme="minorHAnsi"/>
          <w:b/>
          <w:bCs/>
          <w:sz w:val="24"/>
          <w:szCs w:val="24"/>
        </w:rPr>
        <w:t xml:space="preserve">25 </w:t>
      </w:r>
      <w:r w:rsidRPr="00674D7A">
        <w:rPr>
          <w:rFonts w:asciiTheme="minorHAnsi" w:hAnsiTheme="minorHAnsi"/>
          <w:b/>
          <w:sz w:val="24"/>
          <w:szCs w:val="24"/>
        </w:rPr>
        <w:t>decyzji o niedopuszczalności</w:t>
      </w:r>
      <w:r w:rsidRPr="00674D7A">
        <w:rPr>
          <w:rFonts w:asciiTheme="minorHAnsi" w:hAnsiTheme="minorHAnsi"/>
          <w:sz w:val="24"/>
          <w:szCs w:val="24"/>
        </w:rPr>
        <w:t xml:space="preserve"> 28 skarg (31 w 2019 r., 35 w 2018 r., 24</w:t>
      </w:r>
      <w:r w:rsidR="00583755">
        <w:rPr>
          <w:rFonts w:asciiTheme="minorHAnsi" w:hAnsiTheme="minorHAnsi"/>
          <w:sz w:val="24"/>
          <w:szCs w:val="24"/>
        </w:rPr>
        <w:t xml:space="preserve"> w 2017 r., 32 w 2015 r.), z </w:t>
      </w:r>
      <w:r w:rsidRPr="00674D7A">
        <w:rPr>
          <w:rFonts w:asciiTheme="minorHAnsi" w:hAnsiTheme="minorHAnsi"/>
          <w:sz w:val="24"/>
          <w:szCs w:val="24"/>
        </w:rPr>
        <w:t xml:space="preserve">tego 24 decyzje ws. 27 skarg dotyczyły spraw zakomunikowanych, w których </w:t>
      </w:r>
      <w:r w:rsidR="00583755">
        <w:rPr>
          <w:rFonts w:asciiTheme="minorHAnsi" w:hAnsiTheme="minorHAnsi"/>
          <w:sz w:val="24"/>
          <w:szCs w:val="24"/>
          <w:lang w:val="pl-PL"/>
        </w:rPr>
        <w:t>R</w:t>
      </w:r>
      <w:r w:rsidRPr="00674D7A">
        <w:rPr>
          <w:rFonts w:asciiTheme="minorHAnsi" w:hAnsiTheme="minorHAnsi"/>
          <w:sz w:val="24"/>
          <w:szCs w:val="24"/>
        </w:rPr>
        <w:t>ząd przedłożył stanowisko,</w:t>
      </w:r>
    </w:p>
    <w:p w:rsidR="00633AE0" w:rsidRPr="00674D7A" w:rsidRDefault="00633AE0" w:rsidP="00583755">
      <w:pPr>
        <w:pStyle w:val="Akapitzlist"/>
        <w:numPr>
          <w:ilvl w:val="0"/>
          <w:numId w:val="44"/>
        </w:numPr>
        <w:spacing w:before="120" w:after="0" w:line="240" w:lineRule="auto"/>
        <w:ind w:hanging="436"/>
        <w:jc w:val="both"/>
        <w:rPr>
          <w:rFonts w:asciiTheme="minorHAnsi" w:hAnsiTheme="minorHAnsi"/>
          <w:sz w:val="24"/>
          <w:szCs w:val="24"/>
        </w:rPr>
      </w:pPr>
      <w:r w:rsidRPr="00674D7A">
        <w:rPr>
          <w:rFonts w:asciiTheme="minorHAnsi" w:hAnsiTheme="minorHAnsi"/>
          <w:b/>
          <w:sz w:val="24"/>
          <w:szCs w:val="24"/>
        </w:rPr>
        <w:t>10</w:t>
      </w:r>
      <w:r w:rsidRPr="00674D7A">
        <w:rPr>
          <w:rFonts w:asciiTheme="minorHAnsi" w:hAnsiTheme="minorHAnsi"/>
          <w:b/>
          <w:bCs/>
          <w:sz w:val="24"/>
          <w:szCs w:val="24"/>
        </w:rPr>
        <w:t xml:space="preserve"> </w:t>
      </w:r>
      <w:r w:rsidRPr="00674D7A">
        <w:rPr>
          <w:rFonts w:asciiTheme="minorHAnsi" w:hAnsiTheme="minorHAnsi"/>
          <w:b/>
          <w:sz w:val="24"/>
          <w:szCs w:val="24"/>
        </w:rPr>
        <w:t>decyzji zatwierdzających deklaracje jednostronne</w:t>
      </w:r>
      <w:r w:rsidRPr="00674D7A">
        <w:rPr>
          <w:rFonts w:asciiTheme="minorHAnsi" w:hAnsiTheme="minorHAnsi"/>
          <w:sz w:val="24"/>
          <w:szCs w:val="24"/>
        </w:rPr>
        <w:t xml:space="preserve"> </w:t>
      </w:r>
      <w:r w:rsidR="00583755">
        <w:rPr>
          <w:rFonts w:asciiTheme="minorHAnsi" w:hAnsiTheme="minorHAnsi"/>
          <w:sz w:val="24"/>
          <w:szCs w:val="24"/>
          <w:lang w:val="pl-PL"/>
        </w:rPr>
        <w:t>R</w:t>
      </w:r>
      <w:r w:rsidRPr="00674D7A">
        <w:rPr>
          <w:rFonts w:asciiTheme="minorHAnsi" w:hAnsiTheme="minorHAnsi"/>
          <w:sz w:val="24"/>
          <w:szCs w:val="24"/>
        </w:rPr>
        <w:t>ządu</w:t>
      </w:r>
      <w:r w:rsidR="00583755">
        <w:rPr>
          <w:rFonts w:asciiTheme="minorHAnsi" w:hAnsiTheme="minorHAnsi"/>
          <w:sz w:val="24"/>
          <w:szCs w:val="24"/>
        </w:rPr>
        <w:t xml:space="preserve"> ws. 23 skarg (13 w 2019</w:t>
      </w:r>
      <w:r w:rsidR="00583755" w:rsidRPr="00674D7A">
        <w:rPr>
          <w:rFonts w:asciiTheme="minorHAnsi" w:hAnsiTheme="minorHAnsi"/>
          <w:sz w:val="24"/>
          <w:szCs w:val="24"/>
        </w:rPr>
        <w:t> </w:t>
      </w:r>
      <w:r w:rsidR="00583755">
        <w:rPr>
          <w:rFonts w:asciiTheme="minorHAnsi" w:hAnsiTheme="minorHAnsi"/>
          <w:sz w:val="24"/>
          <w:szCs w:val="24"/>
        </w:rPr>
        <w:t>r., 17</w:t>
      </w:r>
      <w:r w:rsidR="00583755">
        <w:rPr>
          <w:rFonts w:asciiTheme="minorHAnsi" w:hAnsiTheme="minorHAnsi"/>
          <w:sz w:val="24"/>
          <w:szCs w:val="24"/>
          <w:lang w:val="pl-PL"/>
        </w:rPr>
        <w:t xml:space="preserve"> </w:t>
      </w:r>
      <w:r w:rsidRPr="00674D7A">
        <w:rPr>
          <w:rFonts w:asciiTheme="minorHAnsi" w:hAnsiTheme="minorHAnsi"/>
          <w:sz w:val="24"/>
          <w:szCs w:val="24"/>
        </w:rPr>
        <w:t>w</w:t>
      </w:r>
      <w:r w:rsidR="00583755">
        <w:rPr>
          <w:rFonts w:asciiTheme="minorHAnsi" w:hAnsiTheme="minorHAnsi"/>
          <w:sz w:val="24"/>
          <w:szCs w:val="24"/>
          <w:lang w:val="pl-PL"/>
        </w:rPr>
        <w:t xml:space="preserve"> </w:t>
      </w:r>
      <w:r w:rsidRPr="00674D7A">
        <w:rPr>
          <w:rFonts w:asciiTheme="minorHAnsi" w:hAnsiTheme="minorHAnsi"/>
          <w:sz w:val="24"/>
          <w:szCs w:val="24"/>
        </w:rPr>
        <w:t>2018r., 10 w 2017 r., 32 w 2015 r., 58 w 2010 r.),</w:t>
      </w:r>
    </w:p>
    <w:p w:rsidR="00633AE0" w:rsidRPr="00674D7A" w:rsidRDefault="00633AE0" w:rsidP="00583755">
      <w:pPr>
        <w:pStyle w:val="Akapitzlist"/>
        <w:numPr>
          <w:ilvl w:val="0"/>
          <w:numId w:val="44"/>
        </w:numPr>
        <w:spacing w:before="120" w:after="0" w:line="240" w:lineRule="auto"/>
        <w:ind w:right="-142" w:hanging="436"/>
        <w:jc w:val="both"/>
        <w:rPr>
          <w:rFonts w:asciiTheme="minorHAnsi" w:hAnsiTheme="minorHAnsi"/>
          <w:sz w:val="24"/>
          <w:szCs w:val="24"/>
        </w:rPr>
      </w:pPr>
      <w:r w:rsidRPr="00674D7A">
        <w:rPr>
          <w:rFonts w:asciiTheme="minorHAnsi" w:hAnsiTheme="minorHAnsi"/>
          <w:b/>
          <w:sz w:val="24"/>
          <w:szCs w:val="24"/>
        </w:rPr>
        <w:t>8</w:t>
      </w:r>
      <w:r w:rsidRPr="00674D7A">
        <w:rPr>
          <w:rFonts w:asciiTheme="minorHAnsi" w:hAnsiTheme="minorHAnsi"/>
          <w:sz w:val="24"/>
          <w:szCs w:val="24"/>
        </w:rPr>
        <w:t xml:space="preserve"> </w:t>
      </w:r>
      <w:r w:rsidRPr="00674D7A">
        <w:rPr>
          <w:rFonts w:asciiTheme="minorHAnsi" w:hAnsiTheme="minorHAnsi"/>
          <w:b/>
          <w:sz w:val="24"/>
          <w:szCs w:val="24"/>
        </w:rPr>
        <w:t>decyzji zatwierdzające ugody</w:t>
      </w:r>
      <w:r w:rsidRPr="00674D7A">
        <w:rPr>
          <w:rFonts w:asciiTheme="minorHAnsi" w:hAnsiTheme="minorHAnsi"/>
          <w:sz w:val="24"/>
          <w:szCs w:val="24"/>
        </w:rPr>
        <w:t xml:space="preserve"> ws. 17 skarg (22 w 2019 r., 28 w 2018 r., 19 w 2017 r., 110 w 2015 r., 153 w 2011 r.), natomiast</w:t>
      </w:r>
    </w:p>
    <w:p w:rsidR="00633AE0" w:rsidRDefault="00633AE0" w:rsidP="00583755">
      <w:pPr>
        <w:pStyle w:val="Akapitzlist"/>
        <w:numPr>
          <w:ilvl w:val="0"/>
          <w:numId w:val="44"/>
        </w:numPr>
        <w:spacing w:before="120" w:after="0" w:line="240" w:lineRule="auto"/>
        <w:ind w:hanging="436"/>
        <w:jc w:val="both"/>
        <w:rPr>
          <w:rFonts w:asciiTheme="minorHAnsi" w:hAnsiTheme="minorHAnsi"/>
          <w:sz w:val="24"/>
          <w:szCs w:val="24"/>
        </w:rPr>
      </w:pPr>
      <w:r w:rsidRPr="00674D7A">
        <w:rPr>
          <w:rFonts w:asciiTheme="minorHAnsi" w:hAnsiTheme="minorHAnsi"/>
          <w:sz w:val="24"/>
          <w:szCs w:val="24"/>
        </w:rPr>
        <w:t xml:space="preserve">nie wydano </w:t>
      </w:r>
      <w:r w:rsidRPr="00674D7A">
        <w:rPr>
          <w:rFonts w:asciiTheme="minorHAnsi" w:hAnsiTheme="minorHAnsi"/>
          <w:b/>
          <w:sz w:val="24"/>
          <w:szCs w:val="24"/>
        </w:rPr>
        <w:t>żadnej decyzji o skreśleniu skarg z powodów formalnych</w:t>
      </w:r>
      <w:r w:rsidRPr="00674D7A">
        <w:rPr>
          <w:rFonts w:asciiTheme="minorHAnsi" w:hAnsiTheme="minorHAnsi"/>
          <w:sz w:val="24"/>
          <w:szCs w:val="24"/>
        </w:rPr>
        <w:t xml:space="preserve"> (19 w 2019 r., 26 w 2018 r., 34 w 2017 r., 17 w 2015 r.).</w:t>
      </w:r>
    </w:p>
    <w:p w:rsidR="0050712D" w:rsidRPr="00674D7A" w:rsidRDefault="0050712D" w:rsidP="0050712D">
      <w:pPr>
        <w:pStyle w:val="Akapitzlist"/>
        <w:spacing w:before="120" w:after="120"/>
        <w:ind w:left="0"/>
        <w:jc w:val="both"/>
        <w:rPr>
          <w:rFonts w:asciiTheme="minorHAnsi" w:hAnsiTheme="minorHAnsi"/>
          <w:sz w:val="24"/>
          <w:szCs w:val="24"/>
        </w:rPr>
      </w:pPr>
    </w:p>
    <w:p w:rsidR="00633AE0" w:rsidRPr="002C2D40" w:rsidRDefault="00633AE0" w:rsidP="00674D7A">
      <w:pPr>
        <w:spacing w:before="120" w:after="120"/>
        <w:ind w:left="720"/>
        <w:jc w:val="both"/>
        <w:rPr>
          <w:rFonts w:asciiTheme="minorHAnsi" w:hAnsiTheme="minorHAnsi"/>
          <w:i/>
        </w:rPr>
      </w:pPr>
      <w:r w:rsidRPr="002C2D40">
        <w:rPr>
          <w:rFonts w:asciiTheme="minorHAnsi" w:hAnsiTheme="minorHAnsi"/>
          <w:i/>
        </w:rPr>
        <w:t>2.2.1 Przedmiot ugód i deklaracji jednostronnych rządu</w:t>
      </w:r>
    </w:p>
    <w:p w:rsidR="00633AE0" w:rsidRPr="00583755" w:rsidRDefault="00633AE0" w:rsidP="00583755">
      <w:pPr>
        <w:spacing w:before="120"/>
        <w:jc w:val="both"/>
        <w:rPr>
          <w:rFonts w:asciiTheme="minorHAnsi" w:hAnsiTheme="minorHAnsi"/>
        </w:rPr>
      </w:pPr>
      <w:r w:rsidRPr="00583755">
        <w:rPr>
          <w:rFonts w:asciiTheme="minorHAnsi" w:hAnsiTheme="minorHAnsi"/>
        </w:rPr>
        <w:t>Wśród decyzji Trybunału zatwierdzających ugody lub deklaracje jednostronne było:</w:t>
      </w:r>
    </w:p>
    <w:p w:rsidR="00633AE0" w:rsidRPr="00583755" w:rsidRDefault="00633AE0" w:rsidP="00583755">
      <w:pPr>
        <w:pStyle w:val="Akapitzlist"/>
        <w:numPr>
          <w:ilvl w:val="0"/>
          <w:numId w:val="45"/>
        </w:numPr>
        <w:spacing w:before="120" w:after="0" w:line="240" w:lineRule="auto"/>
        <w:ind w:hanging="436"/>
        <w:jc w:val="both"/>
        <w:rPr>
          <w:rFonts w:asciiTheme="minorHAnsi" w:hAnsiTheme="minorHAnsi"/>
          <w:sz w:val="24"/>
          <w:szCs w:val="24"/>
        </w:rPr>
      </w:pPr>
      <w:r w:rsidRPr="00583755">
        <w:rPr>
          <w:rFonts w:asciiTheme="minorHAnsi" w:hAnsiTheme="minorHAnsi"/>
          <w:b/>
          <w:sz w:val="24"/>
          <w:szCs w:val="24"/>
        </w:rPr>
        <w:t>7</w:t>
      </w:r>
      <w:r w:rsidRPr="00583755">
        <w:rPr>
          <w:rFonts w:asciiTheme="minorHAnsi" w:hAnsiTheme="minorHAnsi"/>
          <w:sz w:val="24"/>
          <w:szCs w:val="24"/>
        </w:rPr>
        <w:t xml:space="preserve"> decyzji dotyczących problemu </w:t>
      </w:r>
      <w:r w:rsidRPr="00583755">
        <w:rPr>
          <w:rFonts w:asciiTheme="minorHAnsi" w:hAnsiTheme="minorHAnsi"/>
          <w:sz w:val="24"/>
          <w:szCs w:val="24"/>
          <w:u w:val="single"/>
        </w:rPr>
        <w:t>przewlekłego działania</w:t>
      </w:r>
      <w:r w:rsidRPr="00583755">
        <w:rPr>
          <w:rFonts w:asciiTheme="minorHAnsi" w:hAnsiTheme="minorHAnsi"/>
          <w:sz w:val="24"/>
          <w:szCs w:val="24"/>
        </w:rPr>
        <w:t xml:space="preserve"> organów, w tym: </w:t>
      </w:r>
    </w:p>
    <w:p w:rsidR="00633AE0" w:rsidRPr="00583755" w:rsidRDefault="00633AE0" w:rsidP="00583755">
      <w:pPr>
        <w:numPr>
          <w:ilvl w:val="0"/>
          <w:numId w:val="19"/>
        </w:numPr>
        <w:spacing w:before="120"/>
        <w:ind w:left="1134" w:hanging="425"/>
        <w:jc w:val="both"/>
        <w:rPr>
          <w:rFonts w:asciiTheme="minorHAnsi" w:hAnsiTheme="minorHAnsi"/>
        </w:rPr>
      </w:pPr>
      <w:r w:rsidRPr="00583755">
        <w:rPr>
          <w:rFonts w:asciiTheme="minorHAnsi" w:hAnsiTheme="minorHAnsi"/>
        </w:rPr>
        <w:t>1 decyzja dotycząca zarzutu nadmiernej długości tymczasowego aresztowania,</w:t>
      </w:r>
    </w:p>
    <w:p w:rsidR="00633AE0" w:rsidRPr="00583755" w:rsidRDefault="00633AE0" w:rsidP="00583755">
      <w:pPr>
        <w:numPr>
          <w:ilvl w:val="0"/>
          <w:numId w:val="19"/>
        </w:numPr>
        <w:spacing w:before="120"/>
        <w:ind w:left="1134" w:hanging="425"/>
        <w:jc w:val="both"/>
        <w:rPr>
          <w:rFonts w:asciiTheme="minorHAnsi" w:hAnsiTheme="minorHAnsi"/>
        </w:rPr>
      </w:pPr>
      <w:r w:rsidRPr="00583755">
        <w:rPr>
          <w:rFonts w:asciiTheme="minorHAnsi" w:hAnsiTheme="minorHAnsi"/>
        </w:rPr>
        <w:t>4 decyzje ws. 26 skarg dotyczące zarzutu przewlekłego postępowania sądowego w sprawach karnych lub cywilnych,</w:t>
      </w:r>
    </w:p>
    <w:p w:rsidR="00633AE0" w:rsidRPr="00583755" w:rsidRDefault="00633AE0" w:rsidP="00583755">
      <w:pPr>
        <w:numPr>
          <w:ilvl w:val="0"/>
          <w:numId w:val="19"/>
        </w:numPr>
        <w:spacing w:before="120"/>
        <w:ind w:left="1134" w:hanging="425"/>
        <w:jc w:val="both"/>
        <w:rPr>
          <w:rFonts w:asciiTheme="minorHAnsi" w:hAnsiTheme="minorHAnsi"/>
        </w:rPr>
      </w:pPr>
      <w:r w:rsidRPr="00583755">
        <w:rPr>
          <w:rFonts w:asciiTheme="minorHAnsi" w:hAnsiTheme="minorHAnsi"/>
        </w:rPr>
        <w:t>3 decyzje dotyczące zarzutu przewlekłego postępowania administracyjnego lub sądowo-administracyjnego,</w:t>
      </w:r>
    </w:p>
    <w:p w:rsidR="00633AE0" w:rsidRPr="00583755" w:rsidRDefault="00633AE0" w:rsidP="00583755">
      <w:pPr>
        <w:numPr>
          <w:ilvl w:val="0"/>
          <w:numId w:val="19"/>
        </w:numPr>
        <w:spacing w:before="120"/>
        <w:ind w:left="1134" w:hanging="425"/>
        <w:jc w:val="both"/>
        <w:rPr>
          <w:rFonts w:asciiTheme="minorHAnsi" w:hAnsiTheme="minorHAnsi"/>
        </w:rPr>
      </w:pPr>
      <w:r w:rsidRPr="00583755">
        <w:rPr>
          <w:rFonts w:asciiTheme="minorHAnsi" w:hAnsiTheme="minorHAnsi"/>
        </w:rPr>
        <w:t>5 decyzji ws. 27 skarg dotyczących zarzutu braku skutecznego środka do zaskarżenia przewlekłości postępowania sądowego, administracyjnego lub sądowo-administracyjnego,</w:t>
      </w:r>
    </w:p>
    <w:p w:rsidR="00633AE0" w:rsidRPr="00583755" w:rsidRDefault="00633AE0" w:rsidP="00583755">
      <w:pPr>
        <w:numPr>
          <w:ilvl w:val="0"/>
          <w:numId w:val="19"/>
        </w:numPr>
        <w:spacing w:before="120"/>
        <w:ind w:left="1134" w:hanging="425"/>
        <w:jc w:val="both"/>
        <w:rPr>
          <w:rFonts w:asciiTheme="minorHAnsi" w:hAnsiTheme="minorHAnsi"/>
        </w:rPr>
      </w:pPr>
      <w:r w:rsidRPr="00583755">
        <w:rPr>
          <w:rFonts w:asciiTheme="minorHAnsi" w:hAnsiTheme="minorHAnsi"/>
        </w:rPr>
        <w:t>3 decyzje dotyczące zarzutu naruszenia prawa do ochrony własności z uwagi na przewlekłość postępowania o odszkodowanie za wywłaszczoną nieruchomość;</w:t>
      </w:r>
      <w:r w:rsidR="00F1274F">
        <w:rPr>
          <w:rStyle w:val="Odwoanieprzypisudolnego"/>
          <w:rFonts w:asciiTheme="minorHAnsi" w:hAnsiTheme="minorHAnsi"/>
        </w:rPr>
        <w:footnoteReference w:id="1"/>
      </w:r>
    </w:p>
    <w:p w:rsidR="00633AE0" w:rsidRPr="00583755" w:rsidRDefault="00633AE0" w:rsidP="00583755">
      <w:pPr>
        <w:pStyle w:val="Akapitzlist"/>
        <w:numPr>
          <w:ilvl w:val="0"/>
          <w:numId w:val="45"/>
        </w:numPr>
        <w:spacing w:before="120" w:after="0" w:line="240" w:lineRule="auto"/>
        <w:ind w:hanging="436"/>
        <w:jc w:val="both"/>
        <w:rPr>
          <w:rFonts w:asciiTheme="minorHAnsi" w:hAnsiTheme="minorHAnsi"/>
          <w:sz w:val="24"/>
          <w:szCs w:val="24"/>
        </w:rPr>
      </w:pPr>
      <w:r w:rsidRPr="00583755">
        <w:rPr>
          <w:rFonts w:asciiTheme="minorHAnsi" w:hAnsiTheme="minorHAnsi"/>
          <w:b/>
          <w:sz w:val="24"/>
          <w:szCs w:val="24"/>
        </w:rPr>
        <w:t>4</w:t>
      </w:r>
      <w:r w:rsidRPr="00583755">
        <w:rPr>
          <w:rFonts w:asciiTheme="minorHAnsi" w:hAnsiTheme="minorHAnsi"/>
          <w:sz w:val="24"/>
          <w:szCs w:val="24"/>
        </w:rPr>
        <w:t xml:space="preserve"> decyzje związane z różnymi aspektami </w:t>
      </w:r>
      <w:r w:rsidRPr="00583755">
        <w:rPr>
          <w:rFonts w:asciiTheme="minorHAnsi" w:hAnsiTheme="minorHAnsi"/>
          <w:sz w:val="24"/>
          <w:szCs w:val="24"/>
          <w:u w:val="single"/>
        </w:rPr>
        <w:t>pozbawienia wolności w zakładach karnych</w:t>
      </w:r>
      <w:r w:rsidRPr="00583755">
        <w:rPr>
          <w:rFonts w:asciiTheme="minorHAnsi" w:hAnsiTheme="minorHAnsi"/>
          <w:sz w:val="24"/>
          <w:szCs w:val="24"/>
        </w:rPr>
        <w:t xml:space="preserve">, w tym: </w:t>
      </w:r>
    </w:p>
    <w:p w:rsidR="00633AE0" w:rsidRPr="00583755" w:rsidRDefault="00633AE0" w:rsidP="00583755">
      <w:pPr>
        <w:numPr>
          <w:ilvl w:val="0"/>
          <w:numId w:val="19"/>
        </w:numPr>
        <w:spacing w:before="120"/>
        <w:ind w:left="1134" w:hanging="425"/>
        <w:jc w:val="both"/>
        <w:rPr>
          <w:rFonts w:asciiTheme="minorHAnsi" w:hAnsiTheme="minorHAnsi"/>
        </w:rPr>
      </w:pPr>
      <w:r w:rsidRPr="00583755">
        <w:rPr>
          <w:rFonts w:asciiTheme="minorHAnsi" w:hAnsiTheme="minorHAnsi"/>
        </w:rPr>
        <w:t>1 decyzja dotycząca zarzutu brak skutecznego śledztwa w</w:t>
      </w:r>
      <w:r w:rsidR="00367757">
        <w:rPr>
          <w:rFonts w:asciiTheme="minorHAnsi" w:hAnsiTheme="minorHAnsi"/>
        </w:rPr>
        <w:t xml:space="preserve"> odniesieniu do śmierci osoby w </w:t>
      </w:r>
      <w:r w:rsidRPr="00583755">
        <w:rPr>
          <w:rFonts w:asciiTheme="minorHAnsi" w:hAnsiTheme="minorHAnsi"/>
        </w:rPr>
        <w:t>zakładzie karnym (aspekt zapewnienia bezpieczeństwa i leczenia),</w:t>
      </w:r>
    </w:p>
    <w:p w:rsidR="00633AE0" w:rsidRPr="00583755" w:rsidRDefault="00633AE0" w:rsidP="00583755">
      <w:pPr>
        <w:numPr>
          <w:ilvl w:val="0"/>
          <w:numId w:val="19"/>
        </w:numPr>
        <w:spacing w:before="120"/>
        <w:ind w:left="1134" w:hanging="425"/>
        <w:jc w:val="both"/>
        <w:rPr>
          <w:rFonts w:asciiTheme="minorHAnsi" w:hAnsiTheme="minorHAnsi"/>
        </w:rPr>
      </w:pPr>
      <w:r w:rsidRPr="00583755">
        <w:rPr>
          <w:rFonts w:asciiTheme="minorHAnsi" w:hAnsiTheme="minorHAnsi"/>
        </w:rPr>
        <w:t>1 decyzja dotycząca zarzutu niewłaściwych warunków pozbawienia wolności i przeludnienia,</w:t>
      </w:r>
    </w:p>
    <w:p w:rsidR="00633AE0" w:rsidRPr="00583755" w:rsidRDefault="00633AE0" w:rsidP="00583755">
      <w:pPr>
        <w:numPr>
          <w:ilvl w:val="0"/>
          <w:numId w:val="19"/>
        </w:numPr>
        <w:spacing w:before="120"/>
        <w:ind w:left="1134" w:hanging="425"/>
        <w:jc w:val="both"/>
        <w:rPr>
          <w:rFonts w:asciiTheme="minorHAnsi" w:hAnsiTheme="minorHAnsi"/>
        </w:rPr>
      </w:pPr>
      <w:r w:rsidRPr="00583755">
        <w:rPr>
          <w:rFonts w:asciiTheme="minorHAnsi" w:hAnsiTheme="minorHAnsi"/>
        </w:rPr>
        <w:t>1 decyzja dotycząca zarzutu braku wydzielenia kącików sanitarnych w zakładzie karnym,</w:t>
      </w:r>
    </w:p>
    <w:p w:rsidR="00633AE0" w:rsidRPr="00583755" w:rsidRDefault="00633AE0" w:rsidP="00583755">
      <w:pPr>
        <w:numPr>
          <w:ilvl w:val="0"/>
          <w:numId w:val="19"/>
        </w:numPr>
        <w:spacing w:before="120"/>
        <w:ind w:left="1134" w:hanging="425"/>
        <w:jc w:val="both"/>
        <w:rPr>
          <w:rFonts w:asciiTheme="minorHAnsi" w:hAnsiTheme="minorHAnsi"/>
        </w:rPr>
      </w:pPr>
      <w:r w:rsidRPr="00583755">
        <w:rPr>
          <w:rFonts w:asciiTheme="minorHAnsi" w:hAnsiTheme="minorHAnsi"/>
        </w:rPr>
        <w:lastRenderedPageBreak/>
        <w:t xml:space="preserve">1 decyzja dotycząca sposobu stosowania monitoringu wizyjnego w zakładzie karnym; </w:t>
      </w:r>
    </w:p>
    <w:p w:rsidR="00633AE0" w:rsidRPr="00583755" w:rsidRDefault="00633AE0" w:rsidP="00583755">
      <w:pPr>
        <w:pStyle w:val="Akapitzlist"/>
        <w:numPr>
          <w:ilvl w:val="0"/>
          <w:numId w:val="46"/>
        </w:numPr>
        <w:spacing w:before="120" w:after="0" w:line="240" w:lineRule="auto"/>
        <w:ind w:hanging="436"/>
        <w:jc w:val="both"/>
        <w:rPr>
          <w:rFonts w:asciiTheme="minorHAnsi" w:hAnsiTheme="minorHAnsi"/>
          <w:sz w:val="24"/>
          <w:szCs w:val="24"/>
        </w:rPr>
      </w:pPr>
      <w:r w:rsidRPr="00583755">
        <w:rPr>
          <w:rFonts w:asciiTheme="minorHAnsi" w:hAnsiTheme="minorHAnsi"/>
          <w:b/>
          <w:sz w:val="24"/>
          <w:szCs w:val="24"/>
        </w:rPr>
        <w:t>3</w:t>
      </w:r>
      <w:r w:rsidRPr="00583755">
        <w:rPr>
          <w:rFonts w:asciiTheme="minorHAnsi" w:hAnsiTheme="minorHAnsi"/>
          <w:sz w:val="24"/>
          <w:szCs w:val="24"/>
        </w:rPr>
        <w:t xml:space="preserve"> decyzje dotyczące zarzutu naruszenia prawa do </w:t>
      </w:r>
      <w:r w:rsidRPr="00583755">
        <w:rPr>
          <w:rFonts w:asciiTheme="minorHAnsi" w:hAnsiTheme="minorHAnsi"/>
          <w:sz w:val="24"/>
          <w:szCs w:val="24"/>
          <w:u w:val="single"/>
        </w:rPr>
        <w:t>wolności wyrażania opinii</w:t>
      </w:r>
      <w:r w:rsidRPr="00583755">
        <w:rPr>
          <w:rFonts w:asciiTheme="minorHAnsi" w:hAnsiTheme="minorHAnsi"/>
          <w:sz w:val="24"/>
          <w:szCs w:val="24"/>
        </w:rPr>
        <w:t xml:space="preserve"> z uwagi na zastosowanie sankcji za wypowiedź odpowiednio w: postępowaniu karnym o zniesławienie, postępowaniu cywilnym o ochronę dóbr osobistych i postępowaniu w trybie wyborczym;</w:t>
      </w:r>
    </w:p>
    <w:p w:rsidR="00633AE0" w:rsidRPr="00583755" w:rsidRDefault="00633AE0" w:rsidP="00583755">
      <w:pPr>
        <w:pStyle w:val="Akapitzlist"/>
        <w:numPr>
          <w:ilvl w:val="0"/>
          <w:numId w:val="46"/>
        </w:numPr>
        <w:spacing w:before="120" w:after="0" w:line="240" w:lineRule="auto"/>
        <w:ind w:hanging="436"/>
        <w:jc w:val="both"/>
        <w:rPr>
          <w:rFonts w:asciiTheme="minorHAnsi" w:hAnsiTheme="minorHAnsi"/>
          <w:sz w:val="24"/>
          <w:szCs w:val="24"/>
        </w:rPr>
      </w:pPr>
      <w:r w:rsidRPr="00583755">
        <w:rPr>
          <w:rFonts w:asciiTheme="minorHAnsi" w:hAnsiTheme="minorHAnsi"/>
          <w:b/>
          <w:sz w:val="24"/>
          <w:szCs w:val="24"/>
        </w:rPr>
        <w:t>2</w:t>
      </w:r>
      <w:r w:rsidRPr="00583755">
        <w:rPr>
          <w:rFonts w:asciiTheme="minorHAnsi" w:hAnsiTheme="minorHAnsi"/>
          <w:sz w:val="24"/>
          <w:szCs w:val="24"/>
        </w:rPr>
        <w:t xml:space="preserve"> decyzje dotyczące zarzutu </w:t>
      </w:r>
      <w:r w:rsidRPr="00583755">
        <w:rPr>
          <w:rFonts w:asciiTheme="minorHAnsi" w:hAnsiTheme="minorHAnsi"/>
          <w:sz w:val="24"/>
          <w:szCs w:val="24"/>
          <w:u w:val="single"/>
        </w:rPr>
        <w:t>niezgodności z prawem pozbawienia wolności cudzoziemców</w:t>
      </w:r>
      <w:r w:rsidRPr="00583755">
        <w:rPr>
          <w:rFonts w:asciiTheme="minorHAnsi" w:hAnsiTheme="minorHAnsi"/>
          <w:sz w:val="24"/>
          <w:szCs w:val="24"/>
        </w:rPr>
        <w:t xml:space="preserve"> w</w:t>
      </w:r>
      <w:r w:rsidR="00583755" w:rsidRPr="00583755">
        <w:rPr>
          <w:rFonts w:asciiTheme="minorHAnsi" w:hAnsiTheme="minorHAnsi"/>
          <w:sz w:val="24"/>
          <w:szCs w:val="24"/>
        </w:rPr>
        <w:t xml:space="preserve"> </w:t>
      </w:r>
      <w:r w:rsidRPr="00583755">
        <w:rPr>
          <w:rFonts w:asciiTheme="minorHAnsi" w:hAnsiTheme="minorHAnsi"/>
          <w:sz w:val="24"/>
          <w:szCs w:val="24"/>
        </w:rPr>
        <w:t>kontekście wydalenia lub ekstradycji;</w:t>
      </w:r>
    </w:p>
    <w:p w:rsidR="00633AE0" w:rsidRPr="00583755" w:rsidRDefault="00633AE0" w:rsidP="00583755">
      <w:pPr>
        <w:pStyle w:val="Akapitzlist"/>
        <w:numPr>
          <w:ilvl w:val="0"/>
          <w:numId w:val="46"/>
        </w:numPr>
        <w:spacing w:before="120" w:after="0" w:line="240" w:lineRule="auto"/>
        <w:ind w:hanging="436"/>
        <w:jc w:val="both"/>
        <w:rPr>
          <w:rFonts w:asciiTheme="minorHAnsi" w:hAnsiTheme="minorHAnsi"/>
          <w:sz w:val="24"/>
          <w:szCs w:val="24"/>
        </w:rPr>
      </w:pPr>
      <w:r w:rsidRPr="00583755">
        <w:rPr>
          <w:rFonts w:asciiTheme="minorHAnsi" w:hAnsiTheme="minorHAnsi"/>
          <w:b/>
          <w:sz w:val="24"/>
          <w:szCs w:val="24"/>
        </w:rPr>
        <w:t>2</w:t>
      </w:r>
      <w:r w:rsidRPr="00583755">
        <w:rPr>
          <w:rFonts w:asciiTheme="minorHAnsi" w:hAnsiTheme="minorHAnsi"/>
          <w:sz w:val="24"/>
          <w:szCs w:val="24"/>
        </w:rPr>
        <w:t xml:space="preserve"> decyzje dotyczące różnych aspektów prawa </w:t>
      </w:r>
      <w:r w:rsidRPr="00583755">
        <w:rPr>
          <w:rFonts w:asciiTheme="minorHAnsi" w:hAnsiTheme="minorHAnsi"/>
          <w:sz w:val="24"/>
          <w:szCs w:val="24"/>
          <w:u w:val="single"/>
        </w:rPr>
        <w:t>dostępu do sądu</w:t>
      </w:r>
      <w:r w:rsidRPr="00583755">
        <w:rPr>
          <w:rFonts w:asciiTheme="minorHAnsi" w:hAnsiTheme="minorHAnsi"/>
          <w:sz w:val="24"/>
          <w:szCs w:val="24"/>
        </w:rPr>
        <w:t>, w tym:</w:t>
      </w:r>
    </w:p>
    <w:p w:rsidR="00633AE0" w:rsidRPr="00583755" w:rsidRDefault="00633AE0" w:rsidP="00583755">
      <w:pPr>
        <w:numPr>
          <w:ilvl w:val="0"/>
          <w:numId w:val="19"/>
        </w:numPr>
        <w:spacing w:before="120"/>
        <w:ind w:left="1134" w:hanging="425"/>
        <w:jc w:val="both"/>
        <w:rPr>
          <w:rFonts w:asciiTheme="minorHAnsi" w:hAnsiTheme="minorHAnsi"/>
        </w:rPr>
      </w:pPr>
      <w:r w:rsidRPr="00583755">
        <w:rPr>
          <w:rFonts w:asciiTheme="minorHAnsi" w:hAnsiTheme="minorHAnsi"/>
        </w:rPr>
        <w:t>1 decyzja w związku z odmową zwolnienia z kosztów sądowych,</w:t>
      </w:r>
    </w:p>
    <w:p w:rsidR="00633AE0" w:rsidRPr="00583755" w:rsidRDefault="00633AE0" w:rsidP="00583755">
      <w:pPr>
        <w:numPr>
          <w:ilvl w:val="0"/>
          <w:numId w:val="19"/>
        </w:numPr>
        <w:spacing w:before="120"/>
        <w:ind w:left="1134" w:hanging="425"/>
        <w:jc w:val="both"/>
        <w:rPr>
          <w:rFonts w:asciiTheme="minorHAnsi" w:hAnsiTheme="minorHAnsi"/>
        </w:rPr>
      </w:pPr>
      <w:r w:rsidRPr="00583755">
        <w:rPr>
          <w:rFonts w:asciiTheme="minorHAnsi" w:hAnsiTheme="minorHAnsi"/>
        </w:rPr>
        <w:t>1 decyzja w związku ze zbyt krótkimi terminami postępowania w trybie wyborczym;</w:t>
      </w:r>
    </w:p>
    <w:p w:rsidR="00633AE0" w:rsidRPr="00583755" w:rsidRDefault="00633AE0" w:rsidP="00583755">
      <w:pPr>
        <w:pStyle w:val="Akapitzlist"/>
        <w:numPr>
          <w:ilvl w:val="0"/>
          <w:numId w:val="47"/>
        </w:numPr>
        <w:spacing w:before="120" w:after="0" w:line="240" w:lineRule="auto"/>
        <w:ind w:hanging="436"/>
        <w:jc w:val="both"/>
        <w:rPr>
          <w:rFonts w:asciiTheme="minorHAnsi" w:hAnsiTheme="minorHAnsi"/>
          <w:sz w:val="24"/>
          <w:szCs w:val="24"/>
        </w:rPr>
      </w:pPr>
      <w:r w:rsidRPr="00583755">
        <w:rPr>
          <w:rFonts w:asciiTheme="minorHAnsi" w:hAnsiTheme="minorHAnsi"/>
          <w:b/>
          <w:sz w:val="24"/>
          <w:szCs w:val="24"/>
        </w:rPr>
        <w:t>2</w:t>
      </w:r>
      <w:r w:rsidRPr="00583755">
        <w:rPr>
          <w:rFonts w:asciiTheme="minorHAnsi" w:hAnsiTheme="minorHAnsi"/>
          <w:sz w:val="24"/>
          <w:szCs w:val="24"/>
        </w:rPr>
        <w:t xml:space="preserve"> decyzje dotyczące zarzutu naruszenia prawa do poszanowania </w:t>
      </w:r>
      <w:r w:rsidRPr="00583755">
        <w:rPr>
          <w:rFonts w:asciiTheme="minorHAnsi" w:hAnsiTheme="minorHAnsi"/>
          <w:sz w:val="24"/>
          <w:szCs w:val="24"/>
          <w:u w:val="single"/>
        </w:rPr>
        <w:t>życia prywatnego i rodzinnego</w:t>
      </w:r>
      <w:r w:rsidR="00367757">
        <w:rPr>
          <w:rFonts w:asciiTheme="minorHAnsi" w:hAnsiTheme="minorHAnsi"/>
          <w:sz w:val="24"/>
          <w:szCs w:val="24"/>
        </w:rPr>
        <w:t xml:space="preserve">, w </w:t>
      </w:r>
      <w:r w:rsidRPr="00583755">
        <w:rPr>
          <w:rFonts w:asciiTheme="minorHAnsi" w:hAnsiTheme="minorHAnsi"/>
          <w:sz w:val="24"/>
          <w:szCs w:val="24"/>
        </w:rPr>
        <w:t>tym:</w:t>
      </w:r>
    </w:p>
    <w:p w:rsidR="00633AE0" w:rsidRPr="00583755" w:rsidRDefault="00633AE0" w:rsidP="00583755">
      <w:pPr>
        <w:numPr>
          <w:ilvl w:val="0"/>
          <w:numId w:val="19"/>
        </w:numPr>
        <w:spacing w:before="120"/>
        <w:ind w:left="1134" w:hanging="425"/>
        <w:jc w:val="both"/>
        <w:rPr>
          <w:rFonts w:asciiTheme="minorHAnsi" w:hAnsiTheme="minorHAnsi"/>
        </w:rPr>
      </w:pPr>
      <w:r w:rsidRPr="00583755">
        <w:rPr>
          <w:rFonts w:asciiTheme="minorHAnsi" w:hAnsiTheme="minorHAnsi"/>
        </w:rPr>
        <w:t>1 decyzja dotycząca trybu zarządzenia ekshumacji ofiar katastrofy smoleńskiej,</w:t>
      </w:r>
    </w:p>
    <w:p w:rsidR="00633AE0" w:rsidRPr="00583755" w:rsidRDefault="00633AE0" w:rsidP="00583755">
      <w:pPr>
        <w:numPr>
          <w:ilvl w:val="0"/>
          <w:numId w:val="19"/>
        </w:numPr>
        <w:spacing w:before="120"/>
        <w:ind w:left="1134" w:hanging="425"/>
        <w:jc w:val="both"/>
        <w:rPr>
          <w:rFonts w:asciiTheme="minorHAnsi" w:hAnsiTheme="minorHAnsi"/>
        </w:rPr>
      </w:pPr>
      <w:r w:rsidRPr="00583755">
        <w:rPr>
          <w:rFonts w:asciiTheme="minorHAnsi" w:hAnsiTheme="minorHAnsi"/>
        </w:rPr>
        <w:t>1 decyzja dotycząca braku skutecznej realizacji prawa do kontaktów rodzica z dzieckiem.</w:t>
      </w:r>
    </w:p>
    <w:p w:rsidR="00583755" w:rsidRPr="00583755" w:rsidRDefault="00583755" w:rsidP="00583755">
      <w:pPr>
        <w:spacing w:before="120"/>
        <w:ind w:left="1134"/>
        <w:jc w:val="both"/>
        <w:rPr>
          <w:rFonts w:asciiTheme="minorHAnsi" w:hAnsiTheme="minorHAnsi"/>
        </w:rPr>
      </w:pPr>
    </w:p>
    <w:p w:rsidR="00633AE0" w:rsidRPr="002C2D40" w:rsidRDefault="00633AE0" w:rsidP="002117CA">
      <w:pPr>
        <w:spacing w:before="120"/>
        <w:ind w:left="720"/>
        <w:jc w:val="both"/>
        <w:rPr>
          <w:rFonts w:asciiTheme="minorHAnsi" w:hAnsiTheme="minorHAnsi"/>
          <w:i/>
        </w:rPr>
      </w:pPr>
      <w:r w:rsidRPr="002C2D40">
        <w:rPr>
          <w:rFonts w:asciiTheme="minorHAnsi" w:hAnsiTheme="minorHAnsi"/>
          <w:i/>
        </w:rPr>
        <w:t>2.2.2 Przedmiot decyzji o niedopuszczalności</w:t>
      </w:r>
    </w:p>
    <w:p w:rsidR="00633AE0" w:rsidRPr="00F1274F" w:rsidRDefault="00633AE0" w:rsidP="00F1274F">
      <w:pPr>
        <w:spacing w:before="120"/>
        <w:jc w:val="both"/>
        <w:rPr>
          <w:rFonts w:asciiTheme="minorHAnsi" w:hAnsiTheme="minorHAnsi"/>
        </w:rPr>
      </w:pPr>
      <w:r w:rsidRPr="00F1274F">
        <w:rPr>
          <w:rFonts w:asciiTheme="minorHAnsi" w:eastAsiaTheme="minorHAnsi" w:hAnsiTheme="minorHAnsi" w:cstheme="minorBidi"/>
          <w:bCs/>
          <w:lang w:eastAsia="en-US"/>
        </w:rPr>
        <w:t xml:space="preserve">Wśród spraw wygranych przez </w:t>
      </w:r>
      <w:r w:rsidR="00F1274F">
        <w:rPr>
          <w:rFonts w:asciiTheme="minorHAnsi" w:eastAsiaTheme="minorHAnsi" w:hAnsiTheme="minorHAnsi" w:cstheme="minorBidi"/>
          <w:bCs/>
          <w:lang w:eastAsia="en-US"/>
        </w:rPr>
        <w:t>R</w:t>
      </w:r>
      <w:r w:rsidRPr="00F1274F">
        <w:rPr>
          <w:rFonts w:asciiTheme="minorHAnsi" w:eastAsiaTheme="minorHAnsi" w:hAnsiTheme="minorHAnsi" w:cstheme="minorBidi"/>
          <w:bCs/>
          <w:lang w:eastAsia="en-US"/>
        </w:rPr>
        <w:t xml:space="preserve">ząd na podstawie decyzji o niedopuszczalności warto wskazać następujące sprawy, </w:t>
      </w:r>
      <w:r w:rsidRPr="00F1274F">
        <w:rPr>
          <w:rFonts w:asciiTheme="minorHAnsi" w:hAnsiTheme="minorHAnsi"/>
        </w:rPr>
        <w:t xml:space="preserve">w których Trybunał uznał </w:t>
      </w:r>
      <w:r w:rsidRPr="00F1274F">
        <w:rPr>
          <w:rFonts w:asciiTheme="minorHAnsi" w:hAnsiTheme="minorHAnsi"/>
          <w:b/>
        </w:rPr>
        <w:t>zarzuty</w:t>
      </w:r>
      <w:r w:rsidRPr="00F1274F">
        <w:rPr>
          <w:rFonts w:asciiTheme="minorHAnsi" w:hAnsiTheme="minorHAnsi"/>
        </w:rPr>
        <w:t xml:space="preserve"> za </w:t>
      </w:r>
      <w:r w:rsidRPr="00F1274F">
        <w:rPr>
          <w:rFonts w:asciiTheme="minorHAnsi" w:hAnsiTheme="minorHAnsi"/>
          <w:b/>
        </w:rPr>
        <w:t>w sposób oczywisty nieuzasadnione</w:t>
      </w:r>
      <w:r w:rsidRPr="00F1274F">
        <w:rPr>
          <w:rFonts w:asciiTheme="minorHAnsi" w:hAnsiTheme="minorHAnsi"/>
        </w:rPr>
        <w:t>:</w:t>
      </w:r>
    </w:p>
    <w:p w:rsidR="00633AE0" w:rsidRPr="00F1274F" w:rsidRDefault="00633AE0" w:rsidP="00F1274F">
      <w:pPr>
        <w:pStyle w:val="Akapitzlist"/>
        <w:numPr>
          <w:ilvl w:val="0"/>
          <w:numId w:val="47"/>
        </w:numPr>
        <w:spacing w:before="120" w:after="0" w:line="240" w:lineRule="auto"/>
        <w:ind w:left="709" w:hanging="425"/>
        <w:jc w:val="both"/>
        <w:rPr>
          <w:rFonts w:asciiTheme="minorHAnsi" w:hAnsiTheme="minorHAnsi"/>
          <w:sz w:val="24"/>
          <w:szCs w:val="24"/>
        </w:rPr>
      </w:pPr>
      <w:r w:rsidRPr="00F1274F">
        <w:rPr>
          <w:rFonts w:asciiTheme="minorHAnsi" w:hAnsiTheme="minorHAnsi"/>
          <w:b/>
          <w:sz w:val="24"/>
          <w:szCs w:val="24"/>
        </w:rPr>
        <w:t>8</w:t>
      </w:r>
      <w:r w:rsidRPr="00F1274F">
        <w:rPr>
          <w:rFonts w:asciiTheme="minorHAnsi" w:hAnsiTheme="minorHAnsi"/>
          <w:sz w:val="24"/>
          <w:szCs w:val="24"/>
        </w:rPr>
        <w:t xml:space="preserve"> decyzji dotyczących różnych aspektów prawa do </w:t>
      </w:r>
      <w:r w:rsidRPr="00F1274F">
        <w:rPr>
          <w:rFonts w:asciiTheme="minorHAnsi" w:hAnsiTheme="minorHAnsi"/>
          <w:sz w:val="24"/>
          <w:szCs w:val="24"/>
          <w:u w:val="single"/>
        </w:rPr>
        <w:t>rzetelnego procesu sądowego</w:t>
      </w:r>
      <w:r w:rsidRPr="00F1274F">
        <w:rPr>
          <w:rFonts w:asciiTheme="minorHAnsi" w:hAnsiTheme="minorHAnsi"/>
          <w:sz w:val="24"/>
          <w:szCs w:val="24"/>
        </w:rPr>
        <w:t>, w tym:</w:t>
      </w:r>
    </w:p>
    <w:p w:rsidR="00633AE0" w:rsidRPr="00F1274F" w:rsidRDefault="00633AE0" w:rsidP="00F1274F">
      <w:pPr>
        <w:numPr>
          <w:ilvl w:val="0"/>
          <w:numId w:val="19"/>
        </w:numPr>
        <w:spacing w:before="120"/>
        <w:ind w:left="1134" w:hanging="425"/>
        <w:jc w:val="both"/>
        <w:rPr>
          <w:rFonts w:asciiTheme="minorHAnsi" w:hAnsiTheme="minorHAnsi"/>
        </w:rPr>
      </w:pPr>
      <w:r w:rsidRPr="00F1274F">
        <w:rPr>
          <w:rFonts w:asciiTheme="minorHAnsi" w:hAnsiTheme="minorHAnsi"/>
        </w:rPr>
        <w:t>2 decyzje dotyczące zarzutu jedynie częściowego zwolnienia z kosztów sądowych,</w:t>
      </w:r>
    </w:p>
    <w:p w:rsidR="00633AE0" w:rsidRPr="00F1274F" w:rsidRDefault="00633AE0" w:rsidP="00F1274F">
      <w:pPr>
        <w:numPr>
          <w:ilvl w:val="0"/>
          <w:numId w:val="19"/>
        </w:numPr>
        <w:spacing w:before="120"/>
        <w:ind w:left="1134" w:hanging="425"/>
        <w:jc w:val="both"/>
        <w:rPr>
          <w:rFonts w:asciiTheme="minorHAnsi" w:hAnsiTheme="minorHAnsi"/>
        </w:rPr>
      </w:pPr>
      <w:r w:rsidRPr="00F1274F">
        <w:rPr>
          <w:rFonts w:asciiTheme="minorHAnsi" w:hAnsiTheme="minorHAnsi"/>
        </w:rPr>
        <w:t>1 decyzja dotycząca postępowania przed Komisją Majątkową,</w:t>
      </w:r>
    </w:p>
    <w:p w:rsidR="00633AE0" w:rsidRPr="00F1274F" w:rsidRDefault="00633AE0" w:rsidP="00F1274F">
      <w:pPr>
        <w:numPr>
          <w:ilvl w:val="0"/>
          <w:numId w:val="19"/>
        </w:numPr>
        <w:spacing w:before="120"/>
        <w:ind w:left="1134" w:hanging="425"/>
        <w:jc w:val="both"/>
        <w:rPr>
          <w:rFonts w:asciiTheme="minorHAnsi" w:hAnsiTheme="minorHAnsi"/>
        </w:rPr>
      </w:pPr>
      <w:r w:rsidRPr="00F1274F">
        <w:rPr>
          <w:rFonts w:asciiTheme="minorHAnsi" w:hAnsiTheme="minorHAnsi"/>
        </w:rPr>
        <w:t>1 decyzja dotycząca odmowy przywrócenia terminu procesowego,</w:t>
      </w:r>
    </w:p>
    <w:p w:rsidR="00633AE0" w:rsidRPr="00F1274F" w:rsidRDefault="00633AE0" w:rsidP="00F1274F">
      <w:pPr>
        <w:numPr>
          <w:ilvl w:val="0"/>
          <w:numId w:val="19"/>
        </w:numPr>
        <w:spacing w:before="120"/>
        <w:ind w:left="1134" w:hanging="425"/>
        <w:jc w:val="both"/>
        <w:rPr>
          <w:rFonts w:asciiTheme="minorHAnsi" w:hAnsiTheme="minorHAnsi"/>
        </w:rPr>
      </w:pPr>
      <w:r w:rsidRPr="00F1274F">
        <w:rPr>
          <w:rFonts w:asciiTheme="minorHAnsi" w:hAnsiTheme="minorHAnsi"/>
        </w:rPr>
        <w:t>1 decyzja dotycząca zarzutu niezasadnego odrzucenia skargi kasacyjnej,</w:t>
      </w:r>
    </w:p>
    <w:p w:rsidR="00633AE0" w:rsidRPr="00F1274F" w:rsidRDefault="00633AE0" w:rsidP="00F1274F">
      <w:pPr>
        <w:numPr>
          <w:ilvl w:val="0"/>
          <w:numId w:val="19"/>
        </w:numPr>
        <w:spacing w:before="120"/>
        <w:ind w:left="1134" w:hanging="425"/>
        <w:jc w:val="both"/>
        <w:rPr>
          <w:rFonts w:asciiTheme="minorHAnsi" w:hAnsiTheme="minorHAnsi"/>
        </w:rPr>
      </w:pPr>
      <w:r w:rsidRPr="00F1274F">
        <w:rPr>
          <w:rFonts w:asciiTheme="minorHAnsi" w:hAnsiTheme="minorHAnsi"/>
        </w:rPr>
        <w:t>1 decyzja dotycząca odrzucenia pozwu z uwagi na niewskazanie adresu pozwanego (podobny zarzut został ponadto odrzucony w jednej z decyzji zatwierdzających ugodę),</w:t>
      </w:r>
    </w:p>
    <w:p w:rsidR="00633AE0" w:rsidRPr="00F1274F" w:rsidRDefault="00633AE0" w:rsidP="00F1274F">
      <w:pPr>
        <w:numPr>
          <w:ilvl w:val="0"/>
          <w:numId w:val="19"/>
        </w:numPr>
        <w:spacing w:before="120"/>
        <w:ind w:left="1134" w:hanging="425"/>
        <w:jc w:val="both"/>
        <w:rPr>
          <w:rFonts w:asciiTheme="minorHAnsi" w:hAnsiTheme="minorHAnsi"/>
        </w:rPr>
      </w:pPr>
      <w:r w:rsidRPr="00F1274F">
        <w:rPr>
          <w:rFonts w:asciiTheme="minorHAnsi" w:hAnsiTheme="minorHAnsi"/>
        </w:rPr>
        <w:t>1 decyzja dotycząca składu sądu z udziałem sędziego oddelegowanego z sądu wyższej instancji,</w:t>
      </w:r>
    </w:p>
    <w:p w:rsidR="00633AE0" w:rsidRPr="00F1274F" w:rsidRDefault="00633AE0" w:rsidP="00F1274F">
      <w:pPr>
        <w:numPr>
          <w:ilvl w:val="0"/>
          <w:numId w:val="19"/>
        </w:numPr>
        <w:spacing w:before="120"/>
        <w:ind w:left="1134" w:hanging="425"/>
        <w:jc w:val="both"/>
        <w:rPr>
          <w:rFonts w:asciiTheme="minorHAnsi" w:hAnsiTheme="minorHAnsi"/>
        </w:rPr>
      </w:pPr>
      <w:r w:rsidRPr="00F1274F">
        <w:rPr>
          <w:rFonts w:asciiTheme="minorHAnsi" w:hAnsiTheme="minorHAnsi"/>
        </w:rPr>
        <w:t>1 decyzja dotyczące braku możliwości skutecznego dochodzenia zaprzeczenia ojcostwa,</w:t>
      </w:r>
    </w:p>
    <w:p w:rsidR="00633AE0" w:rsidRPr="00F1274F" w:rsidRDefault="00633AE0" w:rsidP="00F1274F">
      <w:pPr>
        <w:numPr>
          <w:ilvl w:val="0"/>
          <w:numId w:val="19"/>
        </w:numPr>
        <w:spacing w:before="120"/>
        <w:ind w:left="1134" w:hanging="425"/>
        <w:jc w:val="both"/>
        <w:rPr>
          <w:rFonts w:asciiTheme="minorHAnsi" w:hAnsiTheme="minorHAnsi"/>
        </w:rPr>
      </w:pPr>
      <w:r w:rsidRPr="00F1274F">
        <w:rPr>
          <w:rFonts w:asciiTheme="minorHAnsi" w:hAnsiTheme="minorHAnsi"/>
        </w:rPr>
        <w:t xml:space="preserve">1 decyzja dotycząca postępowania ws. pozbawienia notariusza prawa do wykonywania, zawodu w związku z prawomocnym skazaniem (dodatkowo zarzut </w:t>
      </w:r>
      <w:r w:rsidRPr="00F1274F">
        <w:rPr>
          <w:rFonts w:asciiTheme="minorHAnsi" w:hAnsiTheme="minorHAnsi"/>
        </w:rPr>
        <w:lastRenderedPageBreak/>
        <w:t xml:space="preserve">ukarania bez podstawy prawnej (art. 7 Konwencji) uznany za niezgodny z Konwencją </w:t>
      </w:r>
      <w:r w:rsidRPr="00F1274F">
        <w:rPr>
          <w:rFonts w:asciiTheme="minorHAnsi" w:hAnsiTheme="minorHAnsi"/>
          <w:i/>
        </w:rPr>
        <w:t>ratione materiae</w:t>
      </w:r>
      <w:r w:rsidRPr="00F1274F">
        <w:rPr>
          <w:rFonts w:asciiTheme="minorHAnsi" w:hAnsiTheme="minorHAnsi"/>
        </w:rPr>
        <w:t>) /</w:t>
      </w:r>
      <w:r w:rsidRPr="00F1274F">
        <w:rPr>
          <w:rFonts w:asciiTheme="minorHAnsi" w:hAnsiTheme="minorHAnsi"/>
          <w:i/>
        </w:rPr>
        <w:t xml:space="preserve">sprawa niekomunikowana </w:t>
      </w:r>
      <w:r w:rsidR="00F1274F">
        <w:rPr>
          <w:rFonts w:asciiTheme="minorHAnsi" w:hAnsiTheme="minorHAnsi"/>
          <w:i/>
        </w:rPr>
        <w:t>R</w:t>
      </w:r>
      <w:r w:rsidRPr="00F1274F">
        <w:rPr>
          <w:rFonts w:asciiTheme="minorHAnsi" w:hAnsiTheme="minorHAnsi"/>
          <w:i/>
        </w:rPr>
        <w:t>ządowi</w:t>
      </w:r>
      <w:r w:rsidRPr="00F1274F">
        <w:rPr>
          <w:rFonts w:asciiTheme="minorHAnsi" w:hAnsiTheme="minorHAnsi"/>
        </w:rPr>
        <w:t>/;</w:t>
      </w:r>
    </w:p>
    <w:p w:rsidR="00633AE0" w:rsidRPr="00F1274F" w:rsidRDefault="00633AE0" w:rsidP="00F1274F">
      <w:pPr>
        <w:pStyle w:val="Akapitzlist"/>
        <w:numPr>
          <w:ilvl w:val="0"/>
          <w:numId w:val="47"/>
        </w:numPr>
        <w:spacing w:before="120" w:after="0" w:line="240" w:lineRule="auto"/>
        <w:ind w:left="709" w:hanging="425"/>
        <w:jc w:val="both"/>
        <w:rPr>
          <w:rFonts w:asciiTheme="minorHAnsi" w:hAnsiTheme="minorHAnsi"/>
          <w:sz w:val="24"/>
          <w:szCs w:val="24"/>
        </w:rPr>
      </w:pPr>
      <w:r w:rsidRPr="00F1274F">
        <w:rPr>
          <w:rFonts w:asciiTheme="minorHAnsi" w:hAnsiTheme="minorHAnsi"/>
          <w:b/>
          <w:sz w:val="24"/>
          <w:szCs w:val="24"/>
        </w:rPr>
        <w:t xml:space="preserve">4 </w:t>
      </w:r>
      <w:r w:rsidRPr="00F1274F">
        <w:rPr>
          <w:rFonts w:asciiTheme="minorHAnsi" w:hAnsiTheme="minorHAnsi"/>
          <w:sz w:val="24"/>
          <w:szCs w:val="24"/>
        </w:rPr>
        <w:t xml:space="preserve">decyzje dotyczące zarzutu </w:t>
      </w:r>
      <w:r w:rsidRPr="00F1274F">
        <w:rPr>
          <w:rFonts w:asciiTheme="minorHAnsi" w:hAnsiTheme="minorHAnsi"/>
          <w:sz w:val="24"/>
          <w:szCs w:val="24"/>
          <w:u w:val="single"/>
        </w:rPr>
        <w:t>przewlekłego działania organów</w:t>
      </w:r>
      <w:r w:rsidRPr="00F1274F">
        <w:rPr>
          <w:rFonts w:asciiTheme="minorHAnsi" w:hAnsiTheme="minorHAnsi"/>
          <w:sz w:val="24"/>
          <w:szCs w:val="24"/>
        </w:rPr>
        <w:t>, w tym:</w:t>
      </w:r>
    </w:p>
    <w:p w:rsidR="00633AE0" w:rsidRPr="00F1274F" w:rsidRDefault="00633AE0" w:rsidP="00F1274F">
      <w:pPr>
        <w:numPr>
          <w:ilvl w:val="0"/>
          <w:numId w:val="19"/>
        </w:numPr>
        <w:spacing w:before="120"/>
        <w:ind w:left="1134" w:hanging="425"/>
        <w:jc w:val="both"/>
        <w:rPr>
          <w:rFonts w:asciiTheme="minorHAnsi" w:hAnsiTheme="minorHAnsi"/>
        </w:rPr>
      </w:pPr>
      <w:r w:rsidRPr="00F1274F">
        <w:rPr>
          <w:rFonts w:asciiTheme="minorHAnsi" w:hAnsiTheme="minorHAnsi"/>
        </w:rPr>
        <w:t>2 decyzje dotyczące zarzutu nadmiernej długości tymczasowego aresztowania,</w:t>
      </w:r>
    </w:p>
    <w:p w:rsidR="00633AE0" w:rsidRPr="00F1274F" w:rsidRDefault="00633AE0" w:rsidP="00F1274F">
      <w:pPr>
        <w:numPr>
          <w:ilvl w:val="0"/>
          <w:numId w:val="19"/>
        </w:numPr>
        <w:spacing w:before="120"/>
        <w:ind w:left="1134" w:hanging="425"/>
        <w:jc w:val="both"/>
        <w:rPr>
          <w:rFonts w:asciiTheme="minorHAnsi" w:hAnsiTheme="minorHAnsi"/>
        </w:rPr>
      </w:pPr>
      <w:r w:rsidRPr="00F1274F">
        <w:rPr>
          <w:rFonts w:asciiTheme="minorHAnsi" w:hAnsiTheme="minorHAnsi"/>
        </w:rPr>
        <w:t>2 decyzje dotyczące zarzutu przewlekłości postępowania sądowego i postępowania administracyjnego oraz sądowo-administracyjnego o</w:t>
      </w:r>
      <w:r w:rsidR="00F1274F">
        <w:rPr>
          <w:rFonts w:asciiTheme="minorHAnsi" w:hAnsiTheme="minorHAnsi"/>
        </w:rPr>
        <w:t xml:space="preserve">raz braku skutecznego środka do </w:t>
      </w:r>
      <w:r w:rsidRPr="00F1274F">
        <w:rPr>
          <w:rFonts w:asciiTheme="minorHAnsi" w:hAnsiTheme="minorHAnsi"/>
        </w:rPr>
        <w:t>zaskarżenia przewlekłości w tych postępowaniach;</w:t>
      </w:r>
    </w:p>
    <w:p w:rsidR="00633AE0" w:rsidRPr="00F1274F" w:rsidRDefault="00633AE0" w:rsidP="00F1274F">
      <w:pPr>
        <w:pStyle w:val="Akapitzlist"/>
        <w:numPr>
          <w:ilvl w:val="0"/>
          <w:numId w:val="47"/>
        </w:numPr>
        <w:spacing w:before="120" w:after="0" w:line="240" w:lineRule="auto"/>
        <w:ind w:left="709" w:hanging="425"/>
        <w:jc w:val="both"/>
        <w:rPr>
          <w:rFonts w:asciiTheme="minorHAnsi" w:hAnsiTheme="minorHAnsi"/>
          <w:sz w:val="24"/>
          <w:szCs w:val="24"/>
        </w:rPr>
      </w:pPr>
      <w:r w:rsidRPr="00F1274F">
        <w:rPr>
          <w:rFonts w:asciiTheme="minorHAnsi" w:hAnsiTheme="minorHAnsi"/>
          <w:b/>
          <w:sz w:val="24"/>
          <w:szCs w:val="24"/>
        </w:rPr>
        <w:t>4</w:t>
      </w:r>
      <w:r w:rsidRPr="00F1274F">
        <w:rPr>
          <w:rFonts w:asciiTheme="minorHAnsi" w:hAnsiTheme="minorHAnsi"/>
          <w:sz w:val="24"/>
          <w:szCs w:val="24"/>
        </w:rPr>
        <w:t xml:space="preserve"> decyzje dotyczące różnych aspektów pozbawienia wolności </w:t>
      </w:r>
      <w:r w:rsidRPr="00F1274F">
        <w:rPr>
          <w:rFonts w:asciiTheme="minorHAnsi" w:hAnsiTheme="minorHAnsi"/>
          <w:sz w:val="24"/>
          <w:szCs w:val="24"/>
          <w:u w:val="single"/>
        </w:rPr>
        <w:t>w zakładach karnych</w:t>
      </w:r>
      <w:r w:rsidRPr="00F1274F">
        <w:rPr>
          <w:rFonts w:asciiTheme="minorHAnsi" w:hAnsiTheme="minorHAnsi"/>
          <w:sz w:val="24"/>
          <w:szCs w:val="24"/>
        </w:rPr>
        <w:t xml:space="preserve">, w tym: </w:t>
      </w:r>
    </w:p>
    <w:p w:rsidR="00633AE0" w:rsidRPr="00F1274F" w:rsidRDefault="00633AE0" w:rsidP="00F1274F">
      <w:pPr>
        <w:numPr>
          <w:ilvl w:val="0"/>
          <w:numId w:val="19"/>
        </w:numPr>
        <w:spacing w:before="120"/>
        <w:ind w:left="1134" w:hanging="425"/>
        <w:jc w:val="both"/>
        <w:rPr>
          <w:rFonts w:asciiTheme="minorHAnsi" w:hAnsiTheme="minorHAnsi"/>
        </w:rPr>
      </w:pPr>
      <w:r w:rsidRPr="00F1274F">
        <w:rPr>
          <w:rFonts w:asciiTheme="minorHAnsi" w:hAnsiTheme="minorHAnsi"/>
        </w:rPr>
        <w:t>1 decyzja dotycząca dostępu do opieki medycznej w zakładzie karnym i skutecznego śledztwa w sprawie okoliczności śmierci osadzonego,</w:t>
      </w:r>
    </w:p>
    <w:p w:rsidR="00633AE0" w:rsidRPr="00F1274F" w:rsidRDefault="00633AE0" w:rsidP="00F1274F">
      <w:pPr>
        <w:numPr>
          <w:ilvl w:val="0"/>
          <w:numId w:val="19"/>
        </w:numPr>
        <w:spacing w:before="120"/>
        <w:ind w:left="1134" w:hanging="425"/>
        <w:jc w:val="both"/>
        <w:rPr>
          <w:rFonts w:asciiTheme="minorHAnsi" w:hAnsiTheme="minorHAnsi"/>
        </w:rPr>
      </w:pPr>
      <w:r w:rsidRPr="00F1274F">
        <w:rPr>
          <w:rFonts w:asciiTheme="minorHAnsi" w:hAnsiTheme="minorHAnsi"/>
        </w:rPr>
        <w:t>2 decyzje dotyczące prawa do poszanowania życia prywatnego i rodzinnego osób osadzonych, w tym:</w:t>
      </w:r>
    </w:p>
    <w:p w:rsidR="00633AE0" w:rsidRPr="00F1274F" w:rsidRDefault="00633AE0" w:rsidP="00F1274F">
      <w:pPr>
        <w:numPr>
          <w:ilvl w:val="1"/>
          <w:numId w:val="48"/>
        </w:numPr>
        <w:spacing w:before="120"/>
        <w:jc w:val="both"/>
        <w:rPr>
          <w:rFonts w:asciiTheme="minorHAnsi" w:hAnsiTheme="minorHAnsi"/>
        </w:rPr>
      </w:pPr>
      <w:r w:rsidRPr="00F1274F">
        <w:rPr>
          <w:rFonts w:asciiTheme="minorHAnsi" w:hAnsiTheme="minorHAnsi"/>
        </w:rPr>
        <w:t>1 decyzja dotycząca odmowy przepustki na pogrzeb członka rodziny,</w:t>
      </w:r>
    </w:p>
    <w:p w:rsidR="00633AE0" w:rsidRPr="00F1274F" w:rsidRDefault="00633AE0" w:rsidP="00F1274F">
      <w:pPr>
        <w:numPr>
          <w:ilvl w:val="1"/>
          <w:numId w:val="48"/>
        </w:numPr>
        <w:spacing w:before="120"/>
        <w:jc w:val="both"/>
        <w:rPr>
          <w:rFonts w:asciiTheme="minorHAnsi" w:hAnsiTheme="minorHAnsi"/>
        </w:rPr>
      </w:pPr>
      <w:r w:rsidRPr="00F1274F">
        <w:rPr>
          <w:rFonts w:asciiTheme="minorHAnsi" w:hAnsiTheme="minorHAnsi"/>
        </w:rPr>
        <w:t>1 decyzja dotycząca stosowania kontroli osobistych,</w:t>
      </w:r>
    </w:p>
    <w:p w:rsidR="00633AE0" w:rsidRPr="00F1274F" w:rsidRDefault="00633AE0" w:rsidP="00F1274F">
      <w:pPr>
        <w:numPr>
          <w:ilvl w:val="0"/>
          <w:numId w:val="19"/>
        </w:numPr>
        <w:spacing w:before="120"/>
        <w:ind w:left="1134" w:hanging="425"/>
        <w:jc w:val="both"/>
        <w:rPr>
          <w:rFonts w:asciiTheme="minorHAnsi" w:hAnsiTheme="minorHAnsi"/>
        </w:rPr>
      </w:pPr>
      <w:r w:rsidRPr="00F1274F">
        <w:rPr>
          <w:rFonts w:asciiTheme="minorHAnsi" w:hAnsiTheme="minorHAnsi"/>
        </w:rPr>
        <w:t>1 decyzja dotycząca zarzutu nieludzkiego lub poniżającego traktowania albo karania z uwagi na osadzeniu w zakładzie typu zamkniętego;</w:t>
      </w:r>
    </w:p>
    <w:p w:rsidR="00633AE0" w:rsidRPr="00F1274F" w:rsidRDefault="00633AE0" w:rsidP="00F1274F">
      <w:pPr>
        <w:pStyle w:val="Akapitzlist"/>
        <w:numPr>
          <w:ilvl w:val="0"/>
          <w:numId w:val="47"/>
        </w:numPr>
        <w:spacing w:before="120" w:after="0" w:line="240" w:lineRule="auto"/>
        <w:ind w:left="709" w:hanging="425"/>
        <w:jc w:val="both"/>
        <w:rPr>
          <w:rFonts w:asciiTheme="minorHAnsi" w:hAnsiTheme="minorHAnsi"/>
          <w:sz w:val="24"/>
          <w:szCs w:val="24"/>
        </w:rPr>
      </w:pPr>
      <w:r w:rsidRPr="00F1274F">
        <w:rPr>
          <w:rFonts w:asciiTheme="minorHAnsi" w:hAnsiTheme="minorHAnsi"/>
          <w:b/>
          <w:sz w:val="24"/>
          <w:szCs w:val="24"/>
        </w:rPr>
        <w:t>3</w:t>
      </w:r>
      <w:r w:rsidRPr="00F1274F">
        <w:rPr>
          <w:rFonts w:asciiTheme="minorHAnsi" w:hAnsiTheme="minorHAnsi"/>
          <w:sz w:val="24"/>
          <w:szCs w:val="24"/>
        </w:rPr>
        <w:t xml:space="preserve"> decyzje dotyczące różnych aspektów prawa do </w:t>
      </w:r>
      <w:r w:rsidRPr="00F1274F">
        <w:rPr>
          <w:rFonts w:asciiTheme="minorHAnsi" w:hAnsiTheme="minorHAnsi"/>
          <w:sz w:val="24"/>
          <w:szCs w:val="24"/>
          <w:u w:val="single"/>
        </w:rPr>
        <w:t>ochrony własności</w:t>
      </w:r>
      <w:r w:rsidRPr="00F1274F">
        <w:rPr>
          <w:rFonts w:asciiTheme="minorHAnsi" w:hAnsiTheme="minorHAnsi"/>
          <w:sz w:val="24"/>
          <w:szCs w:val="24"/>
        </w:rPr>
        <w:t>, w tym:</w:t>
      </w:r>
    </w:p>
    <w:p w:rsidR="00633AE0" w:rsidRPr="00F1274F" w:rsidRDefault="00633AE0" w:rsidP="00F1274F">
      <w:pPr>
        <w:numPr>
          <w:ilvl w:val="0"/>
          <w:numId w:val="19"/>
        </w:numPr>
        <w:spacing w:before="120"/>
        <w:ind w:left="1134" w:hanging="425"/>
        <w:jc w:val="both"/>
        <w:rPr>
          <w:rFonts w:asciiTheme="minorHAnsi" w:hAnsiTheme="minorHAnsi"/>
        </w:rPr>
      </w:pPr>
      <w:r w:rsidRPr="00F1274F">
        <w:rPr>
          <w:rFonts w:asciiTheme="minorHAnsi" w:hAnsiTheme="minorHAnsi"/>
        </w:rPr>
        <w:t>1 decyzja w sprawie zatrzymania dowodu rzeczowego na cele postępowania karnego,</w:t>
      </w:r>
    </w:p>
    <w:p w:rsidR="00633AE0" w:rsidRPr="00F1274F" w:rsidRDefault="00633AE0" w:rsidP="00F1274F">
      <w:pPr>
        <w:numPr>
          <w:ilvl w:val="0"/>
          <w:numId w:val="19"/>
        </w:numPr>
        <w:spacing w:before="120"/>
        <w:ind w:left="1134" w:hanging="425"/>
        <w:jc w:val="both"/>
        <w:rPr>
          <w:rFonts w:asciiTheme="minorHAnsi" w:hAnsiTheme="minorHAnsi"/>
        </w:rPr>
      </w:pPr>
      <w:r w:rsidRPr="00F1274F">
        <w:rPr>
          <w:rFonts w:asciiTheme="minorHAnsi" w:hAnsiTheme="minorHAnsi"/>
        </w:rPr>
        <w:t>1 decyzja w sprawie nieskutecznego zajęcia komorniczego,</w:t>
      </w:r>
    </w:p>
    <w:p w:rsidR="00633AE0" w:rsidRPr="00F1274F" w:rsidRDefault="00633AE0" w:rsidP="00F1274F">
      <w:pPr>
        <w:numPr>
          <w:ilvl w:val="0"/>
          <w:numId w:val="19"/>
        </w:numPr>
        <w:spacing w:before="120"/>
        <w:ind w:left="1134" w:hanging="425"/>
        <w:jc w:val="both"/>
        <w:rPr>
          <w:rFonts w:asciiTheme="minorHAnsi" w:hAnsiTheme="minorHAnsi"/>
        </w:rPr>
      </w:pPr>
      <w:r w:rsidRPr="00F1274F">
        <w:rPr>
          <w:rFonts w:asciiTheme="minorHAnsi" w:hAnsiTheme="minorHAnsi"/>
        </w:rPr>
        <w:t>1 decyzja w sprawie braku restytucji mienia (zarzut odrzu</w:t>
      </w:r>
      <w:r w:rsidR="00F1274F">
        <w:rPr>
          <w:rFonts w:asciiTheme="minorHAnsi" w:hAnsiTheme="minorHAnsi"/>
        </w:rPr>
        <w:t xml:space="preserve">cony także częściowo z uwagi na </w:t>
      </w:r>
      <w:r w:rsidRPr="00F1274F">
        <w:rPr>
          <w:rFonts w:asciiTheme="minorHAnsi" w:hAnsiTheme="minorHAnsi"/>
        </w:rPr>
        <w:t xml:space="preserve">niezgodność z Konwencją </w:t>
      </w:r>
      <w:r w:rsidRPr="00F1274F">
        <w:rPr>
          <w:rFonts w:asciiTheme="minorHAnsi" w:hAnsiTheme="minorHAnsi"/>
          <w:i/>
        </w:rPr>
        <w:t>ratione materiae);</w:t>
      </w:r>
    </w:p>
    <w:p w:rsidR="00633AE0" w:rsidRPr="00F1274F" w:rsidRDefault="00633AE0" w:rsidP="00F1274F">
      <w:pPr>
        <w:pStyle w:val="Akapitzlist"/>
        <w:numPr>
          <w:ilvl w:val="0"/>
          <w:numId w:val="47"/>
        </w:numPr>
        <w:spacing w:before="120" w:after="0" w:line="240" w:lineRule="auto"/>
        <w:ind w:left="709" w:hanging="425"/>
        <w:jc w:val="both"/>
        <w:rPr>
          <w:rFonts w:asciiTheme="minorHAnsi" w:hAnsiTheme="minorHAnsi"/>
          <w:sz w:val="24"/>
          <w:szCs w:val="24"/>
        </w:rPr>
      </w:pPr>
      <w:r w:rsidRPr="00F1274F">
        <w:rPr>
          <w:rFonts w:asciiTheme="minorHAnsi" w:hAnsiTheme="minorHAnsi"/>
          <w:b/>
          <w:sz w:val="24"/>
          <w:szCs w:val="24"/>
        </w:rPr>
        <w:t>3</w:t>
      </w:r>
      <w:r w:rsidRPr="00F1274F">
        <w:rPr>
          <w:rFonts w:asciiTheme="minorHAnsi" w:hAnsiTheme="minorHAnsi"/>
          <w:sz w:val="24"/>
          <w:szCs w:val="24"/>
        </w:rPr>
        <w:t xml:space="preserve"> decyzje dotyczące </w:t>
      </w:r>
      <w:r w:rsidRPr="00F1274F">
        <w:rPr>
          <w:rFonts w:asciiTheme="minorHAnsi" w:hAnsiTheme="minorHAnsi"/>
          <w:sz w:val="24"/>
          <w:szCs w:val="24"/>
          <w:u w:val="single"/>
        </w:rPr>
        <w:t>spraw rodzinnych</w:t>
      </w:r>
      <w:r w:rsidRPr="00F1274F">
        <w:rPr>
          <w:rFonts w:asciiTheme="minorHAnsi" w:hAnsiTheme="minorHAnsi"/>
          <w:sz w:val="24"/>
          <w:szCs w:val="24"/>
        </w:rPr>
        <w:t>, w tym:</w:t>
      </w:r>
    </w:p>
    <w:p w:rsidR="00633AE0" w:rsidRPr="00F1274F" w:rsidRDefault="00633AE0" w:rsidP="00F1274F">
      <w:pPr>
        <w:numPr>
          <w:ilvl w:val="0"/>
          <w:numId w:val="19"/>
        </w:numPr>
        <w:spacing w:before="120"/>
        <w:ind w:left="1134" w:hanging="425"/>
        <w:jc w:val="both"/>
        <w:rPr>
          <w:rFonts w:asciiTheme="minorHAnsi" w:hAnsiTheme="minorHAnsi"/>
        </w:rPr>
      </w:pPr>
      <w:r w:rsidRPr="00F1274F">
        <w:rPr>
          <w:rFonts w:asciiTheme="minorHAnsi" w:hAnsiTheme="minorHAnsi"/>
        </w:rPr>
        <w:t>2 decyzje dotyczące braku możliwości skutecznego dochodzenia zaprzeczenia lub ustalenia ojcostwa,</w:t>
      </w:r>
    </w:p>
    <w:p w:rsidR="00633AE0" w:rsidRPr="00F1274F" w:rsidRDefault="00633AE0" w:rsidP="00F1274F">
      <w:pPr>
        <w:numPr>
          <w:ilvl w:val="0"/>
          <w:numId w:val="19"/>
        </w:numPr>
        <w:spacing w:before="120"/>
        <w:ind w:left="1134" w:hanging="425"/>
        <w:jc w:val="both"/>
        <w:rPr>
          <w:rFonts w:asciiTheme="minorHAnsi" w:hAnsiTheme="minorHAnsi"/>
        </w:rPr>
      </w:pPr>
      <w:r w:rsidRPr="00F1274F">
        <w:rPr>
          <w:rFonts w:asciiTheme="minorHAnsi" w:hAnsiTheme="minorHAnsi"/>
        </w:rPr>
        <w:t>1 decyzja dotycząca zarzutu braku realizacji prawa do kontaktów z dzieckiem;</w:t>
      </w:r>
    </w:p>
    <w:p w:rsidR="00633AE0" w:rsidRPr="00F1274F" w:rsidRDefault="00633AE0" w:rsidP="00F1274F">
      <w:pPr>
        <w:pStyle w:val="Akapitzlist"/>
        <w:numPr>
          <w:ilvl w:val="0"/>
          <w:numId w:val="49"/>
        </w:numPr>
        <w:spacing w:before="120" w:after="0" w:line="240" w:lineRule="auto"/>
        <w:ind w:left="709" w:hanging="425"/>
        <w:jc w:val="both"/>
        <w:rPr>
          <w:rFonts w:asciiTheme="minorHAnsi" w:hAnsiTheme="minorHAnsi"/>
          <w:sz w:val="24"/>
          <w:szCs w:val="24"/>
        </w:rPr>
      </w:pPr>
      <w:r w:rsidRPr="00F1274F">
        <w:rPr>
          <w:rFonts w:asciiTheme="minorHAnsi" w:hAnsiTheme="minorHAnsi"/>
          <w:b/>
          <w:sz w:val="24"/>
          <w:szCs w:val="24"/>
        </w:rPr>
        <w:t>1</w:t>
      </w:r>
      <w:r w:rsidRPr="00F1274F">
        <w:rPr>
          <w:rFonts w:asciiTheme="minorHAnsi" w:hAnsiTheme="minorHAnsi"/>
          <w:sz w:val="24"/>
          <w:szCs w:val="24"/>
        </w:rPr>
        <w:t xml:space="preserve"> decyzja dotycząca zarzutu naruszenia </w:t>
      </w:r>
      <w:r w:rsidRPr="00F1274F">
        <w:rPr>
          <w:rFonts w:asciiTheme="minorHAnsi" w:hAnsiTheme="minorHAnsi"/>
          <w:sz w:val="24"/>
          <w:szCs w:val="24"/>
          <w:u w:val="single"/>
        </w:rPr>
        <w:t xml:space="preserve">zakazu </w:t>
      </w:r>
      <w:r w:rsidRPr="00F1274F">
        <w:rPr>
          <w:rFonts w:asciiTheme="minorHAnsi" w:hAnsiTheme="minorHAnsi"/>
          <w:i/>
          <w:sz w:val="24"/>
          <w:szCs w:val="24"/>
          <w:u w:val="single"/>
        </w:rPr>
        <w:t>refoulement</w:t>
      </w:r>
      <w:r w:rsidRPr="00F1274F">
        <w:rPr>
          <w:rFonts w:asciiTheme="minorHAnsi" w:hAnsiTheme="minorHAnsi"/>
          <w:sz w:val="24"/>
          <w:szCs w:val="24"/>
        </w:rPr>
        <w:t xml:space="preserve"> w związku z zamiarem wydalenia cudzoziemca i braku skutecznego środka zaskarżenia w sytuacji ni</w:t>
      </w:r>
      <w:r w:rsidR="00F1274F">
        <w:rPr>
          <w:rFonts w:asciiTheme="minorHAnsi" w:hAnsiTheme="minorHAnsi"/>
          <w:sz w:val="24"/>
          <w:szCs w:val="24"/>
        </w:rPr>
        <w:t xml:space="preserve">eprzyznania statusu uchodźcy, a </w:t>
      </w:r>
      <w:r w:rsidRPr="00F1274F">
        <w:rPr>
          <w:rFonts w:asciiTheme="minorHAnsi" w:hAnsiTheme="minorHAnsi"/>
          <w:sz w:val="24"/>
          <w:szCs w:val="24"/>
        </w:rPr>
        <w:t>przyznania prawa pobytu ze względów humanitarnych;</w:t>
      </w:r>
    </w:p>
    <w:p w:rsidR="00633AE0" w:rsidRPr="00F1274F" w:rsidRDefault="00633AE0" w:rsidP="00F1274F">
      <w:pPr>
        <w:pStyle w:val="Akapitzlist"/>
        <w:numPr>
          <w:ilvl w:val="0"/>
          <w:numId w:val="49"/>
        </w:numPr>
        <w:spacing w:before="120" w:after="0" w:line="240" w:lineRule="auto"/>
        <w:ind w:left="709" w:hanging="425"/>
        <w:jc w:val="both"/>
        <w:rPr>
          <w:rFonts w:asciiTheme="minorHAnsi" w:hAnsiTheme="minorHAnsi"/>
          <w:sz w:val="24"/>
          <w:szCs w:val="24"/>
        </w:rPr>
      </w:pPr>
      <w:r w:rsidRPr="00F1274F">
        <w:rPr>
          <w:rFonts w:asciiTheme="minorHAnsi" w:hAnsiTheme="minorHAnsi"/>
          <w:b/>
          <w:sz w:val="24"/>
          <w:szCs w:val="24"/>
        </w:rPr>
        <w:t>1</w:t>
      </w:r>
      <w:r w:rsidRPr="00F1274F">
        <w:rPr>
          <w:rFonts w:asciiTheme="minorHAnsi" w:hAnsiTheme="minorHAnsi"/>
          <w:sz w:val="24"/>
          <w:szCs w:val="24"/>
        </w:rPr>
        <w:t xml:space="preserve"> decyzja dotycząca gwarancji procesowych i środków odwoławczych dla strony pokrzywdzonej zabójstwem krewnego w </w:t>
      </w:r>
      <w:r w:rsidRPr="00F1274F">
        <w:rPr>
          <w:rFonts w:asciiTheme="minorHAnsi" w:hAnsiTheme="minorHAnsi"/>
          <w:sz w:val="24"/>
          <w:szCs w:val="24"/>
          <w:u w:val="single"/>
        </w:rPr>
        <w:t>postępowaniu w sprawach nieletnich</w:t>
      </w:r>
      <w:r w:rsidRPr="00F1274F">
        <w:rPr>
          <w:rFonts w:asciiTheme="minorHAnsi" w:hAnsiTheme="minorHAnsi"/>
          <w:sz w:val="24"/>
          <w:szCs w:val="24"/>
        </w:rPr>
        <w:t>;</w:t>
      </w:r>
    </w:p>
    <w:p w:rsidR="00633AE0" w:rsidRPr="00F1274F" w:rsidRDefault="00633AE0" w:rsidP="00F1274F">
      <w:pPr>
        <w:pStyle w:val="Akapitzlist"/>
        <w:numPr>
          <w:ilvl w:val="0"/>
          <w:numId w:val="49"/>
        </w:numPr>
        <w:spacing w:before="120" w:after="0" w:line="240" w:lineRule="auto"/>
        <w:ind w:left="709" w:hanging="425"/>
        <w:jc w:val="both"/>
        <w:rPr>
          <w:rFonts w:asciiTheme="minorHAnsi" w:hAnsiTheme="minorHAnsi"/>
          <w:sz w:val="24"/>
          <w:szCs w:val="24"/>
        </w:rPr>
      </w:pPr>
      <w:r w:rsidRPr="00F1274F">
        <w:rPr>
          <w:rFonts w:asciiTheme="minorHAnsi" w:hAnsiTheme="minorHAnsi"/>
          <w:b/>
          <w:sz w:val="24"/>
          <w:szCs w:val="24"/>
        </w:rPr>
        <w:t>1</w:t>
      </w:r>
      <w:r w:rsidRPr="00F1274F">
        <w:rPr>
          <w:rFonts w:asciiTheme="minorHAnsi" w:hAnsiTheme="minorHAnsi"/>
          <w:sz w:val="24"/>
          <w:szCs w:val="24"/>
        </w:rPr>
        <w:t xml:space="preserve"> decyzja dotycząca prawa do </w:t>
      </w:r>
      <w:r w:rsidRPr="00F1274F">
        <w:rPr>
          <w:rFonts w:asciiTheme="minorHAnsi" w:hAnsiTheme="minorHAnsi"/>
          <w:sz w:val="24"/>
          <w:szCs w:val="24"/>
          <w:u w:val="single"/>
        </w:rPr>
        <w:t>wolności wyrażania opinii</w:t>
      </w:r>
      <w:r w:rsidRPr="00F1274F">
        <w:rPr>
          <w:rFonts w:asciiTheme="minorHAnsi" w:hAnsiTheme="minorHAnsi"/>
          <w:sz w:val="24"/>
          <w:szCs w:val="24"/>
        </w:rPr>
        <w:t xml:space="preserve"> w związku z sankcją za wypowiedź w</w:t>
      </w:r>
      <w:r w:rsidR="00F1274F">
        <w:rPr>
          <w:rFonts w:asciiTheme="minorHAnsi" w:hAnsiTheme="minorHAnsi"/>
          <w:sz w:val="24"/>
          <w:szCs w:val="24"/>
          <w:lang w:val="pl-PL"/>
        </w:rPr>
        <w:t xml:space="preserve"> </w:t>
      </w:r>
      <w:r w:rsidRPr="00F1274F">
        <w:rPr>
          <w:rFonts w:asciiTheme="minorHAnsi" w:hAnsiTheme="minorHAnsi"/>
          <w:sz w:val="24"/>
          <w:szCs w:val="24"/>
        </w:rPr>
        <w:t>postępowaniu o ochronę dóbr osobistych;</w:t>
      </w:r>
    </w:p>
    <w:p w:rsidR="00633AE0" w:rsidRPr="00F1274F" w:rsidRDefault="00633AE0" w:rsidP="00F1274F">
      <w:pPr>
        <w:pStyle w:val="Akapitzlist"/>
        <w:numPr>
          <w:ilvl w:val="0"/>
          <w:numId w:val="49"/>
        </w:numPr>
        <w:spacing w:before="120" w:after="0" w:line="240" w:lineRule="auto"/>
        <w:ind w:left="709" w:hanging="425"/>
        <w:jc w:val="both"/>
        <w:rPr>
          <w:rFonts w:asciiTheme="minorHAnsi" w:hAnsiTheme="minorHAnsi"/>
          <w:sz w:val="24"/>
          <w:szCs w:val="24"/>
        </w:rPr>
      </w:pPr>
      <w:r w:rsidRPr="00F1274F">
        <w:rPr>
          <w:rFonts w:asciiTheme="minorHAnsi" w:hAnsiTheme="minorHAnsi"/>
          <w:b/>
          <w:sz w:val="24"/>
          <w:szCs w:val="24"/>
        </w:rPr>
        <w:t>1</w:t>
      </w:r>
      <w:r w:rsidRPr="00F1274F">
        <w:rPr>
          <w:rFonts w:asciiTheme="minorHAnsi" w:hAnsiTheme="minorHAnsi"/>
          <w:sz w:val="24"/>
          <w:szCs w:val="24"/>
        </w:rPr>
        <w:t xml:space="preserve"> decyzja ws. </w:t>
      </w:r>
      <w:r w:rsidRPr="00F1274F">
        <w:rPr>
          <w:rFonts w:asciiTheme="minorHAnsi" w:hAnsiTheme="minorHAnsi"/>
          <w:sz w:val="24"/>
          <w:szCs w:val="24"/>
          <w:u w:val="single"/>
        </w:rPr>
        <w:t>zarzutu dyskryminacji</w:t>
      </w:r>
      <w:r w:rsidRPr="00F1274F">
        <w:rPr>
          <w:rFonts w:asciiTheme="minorHAnsi" w:hAnsiTheme="minorHAnsi"/>
          <w:sz w:val="24"/>
          <w:szCs w:val="24"/>
        </w:rPr>
        <w:t xml:space="preserve"> w odniesieniu do traktowania więźniów przez sądy (także na</w:t>
      </w:r>
      <w:r w:rsidR="00F1274F">
        <w:rPr>
          <w:rFonts w:asciiTheme="minorHAnsi" w:hAnsiTheme="minorHAnsi"/>
          <w:sz w:val="24"/>
          <w:szCs w:val="24"/>
          <w:lang w:val="pl-PL"/>
        </w:rPr>
        <w:t xml:space="preserve"> </w:t>
      </w:r>
      <w:r w:rsidRPr="00F1274F">
        <w:rPr>
          <w:rFonts w:asciiTheme="minorHAnsi" w:hAnsiTheme="minorHAnsi"/>
          <w:sz w:val="24"/>
          <w:szCs w:val="24"/>
        </w:rPr>
        <w:t xml:space="preserve">podstawie Protokołu nr 12 – skarga niezgodna </w:t>
      </w:r>
      <w:r w:rsidRPr="00F1274F">
        <w:rPr>
          <w:rFonts w:asciiTheme="minorHAnsi" w:hAnsiTheme="minorHAnsi"/>
          <w:i/>
          <w:sz w:val="24"/>
          <w:szCs w:val="24"/>
        </w:rPr>
        <w:t>ratione personae</w:t>
      </w:r>
      <w:r w:rsidRPr="00F1274F">
        <w:rPr>
          <w:rFonts w:asciiTheme="minorHAnsi" w:hAnsiTheme="minorHAnsi"/>
          <w:sz w:val="24"/>
          <w:szCs w:val="24"/>
        </w:rPr>
        <w:t xml:space="preserve"> z Konwencją).</w:t>
      </w:r>
    </w:p>
    <w:p w:rsidR="00633AE0" w:rsidRPr="00F1274F" w:rsidRDefault="00633AE0" w:rsidP="00F1274F">
      <w:pPr>
        <w:spacing w:before="120"/>
        <w:jc w:val="both"/>
        <w:rPr>
          <w:rFonts w:asciiTheme="minorHAnsi" w:hAnsiTheme="minorHAnsi"/>
        </w:rPr>
      </w:pPr>
      <w:r w:rsidRPr="00F1274F">
        <w:rPr>
          <w:rFonts w:asciiTheme="minorHAnsi" w:eastAsiaTheme="minorHAnsi" w:hAnsiTheme="minorHAnsi" w:cstheme="minorBidi"/>
          <w:bCs/>
          <w:lang w:eastAsia="en-US"/>
        </w:rPr>
        <w:lastRenderedPageBreak/>
        <w:t>Ponadto</w:t>
      </w:r>
      <w:r w:rsidRPr="00F1274F">
        <w:rPr>
          <w:rFonts w:asciiTheme="minorHAnsi" w:hAnsiTheme="minorHAnsi"/>
        </w:rPr>
        <w:t xml:space="preserve"> w kilku decyzjach Trybunał stwierdzał niedopuszczalność skargi lub poszczególnych zarzutów w związku z niewyczerpaniem krajowych środków odwoławczych lub przekroczeniem terminu 6 miesięcy na wniesienie skargi lub ze względu na nieprzekazanie przez skarżącego istotnej dla sprawy informacji. </w:t>
      </w:r>
    </w:p>
    <w:p w:rsidR="00F1274F" w:rsidRPr="00F1274F" w:rsidRDefault="00F1274F" w:rsidP="00F1274F">
      <w:pPr>
        <w:spacing w:before="120"/>
        <w:jc w:val="both"/>
        <w:rPr>
          <w:rFonts w:asciiTheme="minorHAnsi" w:hAnsiTheme="minorHAnsi"/>
        </w:rPr>
      </w:pPr>
    </w:p>
    <w:p w:rsidR="00633AE0" w:rsidRPr="002C2D40" w:rsidRDefault="00633AE0" w:rsidP="005E23A6">
      <w:pPr>
        <w:numPr>
          <w:ilvl w:val="0"/>
          <w:numId w:val="17"/>
        </w:numPr>
        <w:spacing w:before="120" w:after="120"/>
        <w:ind w:hanging="436"/>
        <w:jc w:val="both"/>
        <w:rPr>
          <w:rFonts w:asciiTheme="minorHAnsi" w:hAnsiTheme="minorHAnsi"/>
          <w:b/>
        </w:rPr>
      </w:pPr>
      <w:r w:rsidRPr="002C2D40">
        <w:rPr>
          <w:rFonts w:asciiTheme="minorHAnsi" w:hAnsiTheme="minorHAnsi"/>
          <w:b/>
        </w:rPr>
        <w:t>Wykonywanie orzeczeń Europejskiego Trybunału Praw Człowieka</w:t>
      </w:r>
    </w:p>
    <w:p w:rsidR="00633AE0" w:rsidRPr="002C2D40" w:rsidRDefault="00633AE0" w:rsidP="00F1274F">
      <w:pPr>
        <w:numPr>
          <w:ilvl w:val="1"/>
          <w:numId w:val="17"/>
        </w:numPr>
        <w:spacing w:before="120" w:after="120"/>
        <w:ind w:hanging="436"/>
        <w:jc w:val="both"/>
        <w:rPr>
          <w:rFonts w:asciiTheme="minorHAnsi" w:hAnsiTheme="minorHAnsi"/>
          <w:i/>
        </w:rPr>
      </w:pPr>
      <w:r w:rsidRPr="002C2D40">
        <w:rPr>
          <w:rFonts w:asciiTheme="minorHAnsi" w:hAnsiTheme="minorHAnsi"/>
          <w:i/>
        </w:rPr>
        <w:t xml:space="preserve">Sprawy uznane za wykonane </w:t>
      </w:r>
    </w:p>
    <w:p w:rsidR="00633AE0" w:rsidRDefault="00633AE0" w:rsidP="00F1274F">
      <w:pPr>
        <w:spacing w:before="120"/>
        <w:jc w:val="both"/>
        <w:rPr>
          <w:rFonts w:asciiTheme="minorHAnsi" w:hAnsiTheme="minorHAnsi"/>
        </w:rPr>
      </w:pPr>
      <w:r w:rsidRPr="002C2D40">
        <w:rPr>
          <w:rFonts w:asciiTheme="minorHAnsi" w:hAnsiTheme="minorHAnsi"/>
        </w:rPr>
        <w:t xml:space="preserve">W 2020 r. Komitet Ministrów Rady Europy </w:t>
      </w:r>
      <w:r w:rsidRPr="002C2D40">
        <w:rPr>
          <w:rFonts w:asciiTheme="minorHAnsi" w:hAnsiTheme="minorHAnsi"/>
          <w:b/>
          <w:bCs/>
        </w:rPr>
        <w:t xml:space="preserve">zamknął nadzór nad wykonywaniem 31 orzeczeń </w:t>
      </w:r>
      <w:r w:rsidRPr="002C2D40">
        <w:rPr>
          <w:rFonts w:asciiTheme="minorHAnsi" w:hAnsiTheme="minorHAnsi"/>
        </w:rPr>
        <w:t>Trybunału w sprawach polskich</w:t>
      </w:r>
      <w:r w:rsidRPr="002C2D40">
        <w:rPr>
          <w:rFonts w:asciiTheme="minorHAnsi" w:hAnsiTheme="minorHAnsi"/>
          <w:bCs/>
        </w:rPr>
        <w:t xml:space="preserve"> (w tym </w:t>
      </w:r>
      <w:r w:rsidRPr="002C2D40">
        <w:rPr>
          <w:rFonts w:asciiTheme="minorHAnsi" w:eastAsiaTheme="minorHAnsi" w:hAnsiTheme="minorHAnsi" w:cstheme="minorBidi"/>
          <w:lang w:eastAsia="en-US"/>
        </w:rPr>
        <w:t xml:space="preserve">12 wyroków i 19 decyzji </w:t>
      </w:r>
      <w:r w:rsidRPr="002C2D40">
        <w:rPr>
          <w:rFonts w:asciiTheme="minorHAnsi" w:hAnsiTheme="minorHAnsi"/>
          <w:bCs/>
        </w:rPr>
        <w:t>zatwierdzających ugody)</w:t>
      </w:r>
      <w:r w:rsidR="005E23A6">
        <w:rPr>
          <w:rFonts w:asciiTheme="minorHAnsi" w:hAnsiTheme="minorHAnsi"/>
        </w:rPr>
        <w:t xml:space="preserve">, uznając, że </w:t>
      </w:r>
      <w:r w:rsidRPr="002C2D40">
        <w:rPr>
          <w:rFonts w:asciiTheme="minorHAnsi" w:hAnsiTheme="minorHAnsi"/>
        </w:rPr>
        <w:t xml:space="preserve">Polska podjęła niezbędne do ich wykonania środki indywidualne lub generalne celem usunięcia stanu naruszeń Konwencji i ich źródeł. Polska tym samym znalazła się na </w:t>
      </w:r>
      <w:r w:rsidRPr="002C2D40">
        <w:rPr>
          <w:rFonts w:asciiTheme="minorHAnsi" w:hAnsiTheme="minorHAnsi"/>
          <w:b/>
        </w:rPr>
        <w:t>9</w:t>
      </w:r>
      <w:r w:rsidRPr="002C2D40">
        <w:rPr>
          <w:rFonts w:asciiTheme="minorHAnsi" w:hAnsiTheme="minorHAnsi"/>
        </w:rPr>
        <w:t xml:space="preserve"> miejscu wśród państw RE pod względem liczby spraw wykonanych w ubiegłym roku.</w:t>
      </w:r>
    </w:p>
    <w:p w:rsidR="00F1274F" w:rsidRPr="00F1274F" w:rsidRDefault="00F1274F" w:rsidP="00F1274F">
      <w:pPr>
        <w:spacing w:before="120"/>
        <w:jc w:val="both"/>
        <w:rPr>
          <w:rFonts w:asciiTheme="minorHAnsi" w:hAnsiTheme="minorHAnsi"/>
        </w:rPr>
      </w:pPr>
    </w:p>
    <w:p w:rsidR="00633AE0" w:rsidRPr="002C2D40" w:rsidRDefault="00633AE0" w:rsidP="005E23A6">
      <w:pPr>
        <w:numPr>
          <w:ilvl w:val="1"/>
          <w:numId w:val="17"/>
        </w:numPr>
        <w:spacing w:before="120" w:after="120"/>
        <w:ind w:hanging="436"/>
        <w:jc w:val="both"/>
        <w:rPr>
          <w:rFonts w:asciiTheme="minorHAnsi" w:hAnsiTheme="minorHAnsi"/>
          <w:i/>
        </w:rPr>
      </w:pPr>
      <w:r w:rsidRPr="002C2D40">
        <w:rPr>
          <w:rFonts w:asciiTheme="minorHAnsi" w:hAnsiTheme="minorHAnsi"/>
          <w:i/>
        </w:rPr>
        <w:t>Sprawy znajdujące się w fazie wykonywania</w:t>
      </w:r>
    </w:p>
    <w:p w:rsidR="00633AE0" w:rsidRPr="002C2D40" w:rsidRDefault="00633AE0" w:rsidP="006500A8">
      <w:pPr>
        <w:spacing w:before="120"/>
        <w:jc w:val="both"/>
        <w:rPr>
          <w:rFonts w:asciiTheme="minorHAnsi" w:hAnsiTheme="minorHAnsi"/>
        </w:rPr>
      </w:pPr>
      <w:r w:rsidRPr="002C2D40">
        <w:rPr>
          <w:rFonts w:asciiTheme="minorHAnsi" w:hAnsiTheme="minorHAnsi"/>
        </w:rPr>
        <w:t xml:space="preserve">Na koniec 2020 r. liczba orzeczeń Trybunału przeciwko Polsce znajdujących się w procedurze wykonywania Komitetu Ministrów Rady Europy spadła nieco w porównaniu do 2019 r. i wyniosła </w:t>
      </w:r>
      <w:r w:rsidRPr="002C2D40">
        <w:rPr>
          <w:rFonts w:asciiTheme="minorHAnsi" w:hAnsiTheme="minorHAnsi"/>
          <w:b/>
        </w:rPr>
        <w:t>89</w:t>
      </w:r>
      <w:r w:rsidR="005E23A6">
        <w:rPr>
          <w:rFonts w:asciiTheme="minorHAnsi" w:hAnsiTheme="minorHAnsi"/>
        </w:rPr>
        <w:t xml:space="preserve"> </w:t>
      </w:r>
      <w:r w:rsidRPr="002C2D40">
        <w:rPr>
          <w:rFonts w:asciiTheme="minorHAnsi" w:hAnsiTheme="minorHAnsi"/>
          <w:b/>
          <w:bCs/>
        </w:rPr>
        <w:t xml:space="preserve">orzeczeń wymagających wykonania </w:t>
      </w:r>
      <w:r w:rsidRPr="002C2D40">
        <w:rPr>
          <w:rFonts w:asciiTheme="minorHAnsi" w:hAnsiTheme="minorHAnsi"/>
        </w:rPr>
        <w:t>(w tym 72 wyroków i 17 decyzji zatwierdzających ugody</w:t>
      </w:r>
      <w:r w:rsidR="005E23A6">
        <w:rPr>
          <w:rFonts w:asciiTheme="minorHAnsi" w:hAnsiTheme="minorHAnsi"/>
        </w:rPr>
        <w:t xml:space="preserve">), z </w:t>
      </w:r>
      <w:r w:rsidRPr="002C2D40">
        <w:rPr>
          <w:rFonts w:asciiTheme="minorHAnsi" w:hAnsiTheme="minorHAnsi"/>
        </w:rPr>
        <w:t>czego 22 wyroki dotyczyły przewlekłości postępowań). Dla porównania 98 spraw było zawisłych przed Komitetem Ministrów na koniec 2019 r., 100 – na koniec 2018 r., 124 – na koniec 2017 r., 223 – na koniec 2016 r., 313 – na koniec 2015 r., a w 2011 r. – ponad 900).</w:t>
      </w:r>
    </w:p>
    <w:p w:rsidR="00633AE0" w:rsidRPr="002C2D40" w:rsidRDefault="00633AE0" w:rsidP="006500A8">
      <w:pPr>
        <w:spacing w:before="120"/>
        <w:jc w:val="both"/>
        <w:rPr>
          <w:rFonts w:asciiTheme="minorHAnsi" w:eastAsiaTheme="minorHAnsi" w:hAnsiTheme="minorHAnsi" w:cstheme="minorBidi"/>
          <w:lang w:eastAsia="en-US"/>
        </w:rPr>
      </w:pPr>
      <w:r w:rsidRPr="002C2D40">
        <w:rPr>
          <w:rFonts w:asciiTheme="minorHAnsi" w:hAnsiTheme="minorHAnsi"/>
        </w:rPr>
        <w:t xml:space="preserve">Polska znalazła się na </w:t>
      </w:r>
      <w:r w:rsidRPr="002C2D40">
        <w:rPr>
          <w:rFonts w:asciiTheme="minorHAnsi" w:hAnsiTheme="minorHAnsi"/>
          <w:b/>
        </w:rPr>
        <w:t>11 miejscu</w:t>
      </w:r>
      <w:r w:rsidRPr="002C2D40">
        <w:rPr>
          <w:rFonts w:asciiTheme="minorHAnsi" w:hAnsiTheme="minorHAnsi"/>
        </w:rPr>
        <w:t xml:space="preserve"> wśród państw Rady Europy pod względem liczby orzeczeń w fazie wykonywania i odpowiadała za ok. 1,7 % wszystkich spraw zawisłych w procedurze wykonywania orzeczeń Trybunału (takich spraw na koniec 2020 r. było łącznie 5231). </w:t>
      </w:r>
      <w:r w:rsidR="005E23A6">
        <w:rPr>
          <w:rFonts w:asciiTheme="minorHAnsi" w:eastAsiaTheme="minorHAnsi" w:hAnsiTheme="minorHAnsi" w:cstheme="minorBidi"/>
          <w:lang w:eastAsia="en-US"/>
        </w:rPr>
        <w:t xml:space="preserve">Różnica pomiędzy Polską a </w:t>
      </w:r>
      <w:r w:rsidRPr="002C2D40">
        <w:rPr>
          <w:rFonts w:asciiTheme="minorHAnsi" w:eastAsiaTheme="minorHAnsi" w:hAnsiTheme="minorHAnsi" w:cstheme="minorBidi"/>
          <w:lang w:eastAsia="en-US"/>
        </w:rPr>
        <w:t>Grecją, znajdującą się na 10 miejscu, wynosiła 31 orzeczeń, podczas gdy znajdująca się na 12 miejscu Chorwacja miała ich zaledwie o 16 mniej niż Polska.</w:t>
      </w:r>
    </w:p>
    <w:p w:rsidR="00633AE0" w:rsidRDefault="00633AE0" w:rsidP="006500A8">
      <w:pPr>
        <w:spacing w:before="120"/>
        <w:jc w:val="both"/>
        <w:rPr>
          <w:rFonts w:asciiTheme="minorHAnsi" w:hAnsiTheme="minorHAnsi"/>
        </w:rPr>
      </w:pPr>
      <w:r w:rsidRPr="002C2D40">
        <w:rPr>
          <w:rFonts w:asciiTheme="minorHAnsi" w:hAnsiTheme="minorHAnsi"/>
        </w:rPr>
        <w:t>Najwięcej orzeczeń wymagających wykonania miały na koniec 2020 r.: Rosja (1793 – wzrost o 130), Turcja (624), Ukraina (569), Rumunia (347), Węgry (276), Azerbejdżan (235), Włochy (184), Bułgaria (167), Mołdawia (155), Grecja (120). W przypadku Rosji nastąpił wzrost liczby niewykonanych orzeczeń o dalsze 130 spraw, o kilkadziesiąt wzrosła też liczba orzeczeń wymagających wykonania ze</w:t>
      </w:r>
      <w:r w:rsidR="005E23A6">
        <w:rPr>
          <w:rFonts w:asciiTheme="minorHAnsi" w:hAnsiTheme="minorHAnsi"/>
        </w:rPr>
        <w:t xml:space="preserve"> </w:t>
      </w:r>
      <w:r w:rsidRPr="002C2D40">
        <w:rPr>
          <w:rFonts w:asciiTheme="minorHAnsi" w:hAnsiTheme="minorHAnsi"/>
        </w:rPr>
        <w:t>strony Rumunii i Azerbejdżanu, nieznacznie wzrosła też liczba spraw węgierskich. Pozostałe państwa z tej listy odnotowały pewne zmniejszenie liczby spraw zawisłych w nadzorze Komitetu Minis</w:t>
      </w:r>
      <w:r w:rsidR="005E23A6">
        <w:rPr>
          <w:rFonts w:asciiTheme="minorHAnsi" w:hAnsiTheme="minorHAnsi"/>
        </w:rPr>
        <w:t>trów RE.</w:t>
      </w:r>
    </w:p>
    <w:p w:rsidR="005E23A6" w:rsidRPr="002C2D40" w:rsidRDefault="005E23A6" w:rsidP="006500A8">
      <w:pPr>
        <w:spacing w:before="120"/>
        <w:jc w:val="both"/>
        <w:rPr>
          <w:rFonts w:asciiTheme="minorHAnsi" w:hAnsiTheme="minorHAnsi"/>
        </w:rPr>
      </w:pPr>
    </w:p>
    <w:p w:rsidR="00633AE0" w:rsidRPr="002C2D40" w:rsidRDefault="00633AE0" w:rsidP="005E23A6">
      <w:pPr>
        <w:numPr>
          <w:ilvl w:val="0"/>
          <w:numId w:val="17"/>
        </w:numPr>
        <w:spacing w:before="120" w:after="120"/>
        <w:ind w:hanging="436"/>
        <w:jc w:val="both"/>
        <w:rPr>
          <w:rFonts w:asciiTheme="minorHAnsi" w:hAnsiTheme="minorHAnsi"/>
          <w:b/>
        </w:rPr>
      </w:pPr>
      <w:r w:rsidRPr="002C2D40">
        <w:rPr>
          <w:rFonts w:asciiTheme="minorHAnsi" w:hAnsiTheme="minorHAnsi"/>
          <w:b/>
        </w:rPr>
        <w:t>Zbiorcze statystyki dotyczące wszystkich państw Rady Europy</w:t>
      </w:r>
    </w:p>
    <w:p w:rsidR="00633AE0" w:rsidRPr="002C2D40" w:rsidRDefault="00633AE0" w:rsidP="006500A8">
      <w:pPr>
        <w:spacing w:before="120"/>
        <w:jc w:val="both"/>
        <w:rPr>
          <w:rFonts w:asciiTheme="minorHAnsi" w:hAnsiTheme="minorHAnsi"/>
        </w:rPr>
      </w:pPr>
      <w:r w:rsidRPr="002C2D40">
        <w:rPr>
          <w:rFonts w:asciiTheme="minorHAnsi" w:hAnsiTheme="minorHAnsi"/>
        </w:rPr>
        <w:t xml:space="preserve">Biorąc pod uwagę statystyki dotyczące wszystkich 47 państw Rady Europy, liczba wszystkich </w:t>
      </w:r>
      <w:r w:rsidRPr="002C2D40">
        <w:rPr>
          <w:rFonts w:asciiTheme="minorHAnsi" w:hAnsiTheme="minorHAnsi"/>
          <w:b/>
        </w:rPr>
        <w:t>nowych skarg</w:t>
      </w:r>
      <w:r w:rsidRPr="002C2D40">
        <w:rPr>
          <w:rFonts w:asciiTheme="minorHAnsi" w:hAnsiTheme="minorHAnsi"/>
        </w:rPr>
        <w:t xml:space="preserve"> przydzielonych do rozpoznania Trybunałowi wyniosła w 2020 r. 41,7 tys</w:t>
      </w:r>
      <w:r w:rsidR="005E23A6">
        <w:rPr>
          <w:rFonts w:asciiTheme="minorHAnsi" w:hAnsiTheme="minorHAnsi"/>
        </w:rPr>
        <w:t>.</w:t>
      </w:r>
      <w:r w:rsidRPr="002C2D40">
        <w:rPr>
          <w:rFonts w:asciiTheme="minorHAnsi" w:hAnsiTheme="minorHAnsi"/>
        </w:rPr>
        <w:t xml:space="preserve"> (a więc o 6% mniej niż w 2019 r., gdy liczba nowych skarg sięgnęła </w:t>
      </w:r>
      <w:r w:rsidRPr="002C2D40">
        <w:rPr>
          <w:rFonts w:asciiTheme="minorHAnsi" w:hAnsiTheme="minorHAnsi"/>
          <w:b/>
        </w:rPr>
        <w:t>44,5 tys</w:t>
      </w:r>
      <w:r w:rsidR="005E23A6">
        <w:rPr>
          <w:rFonts w:asciiTheme="minorHAnsi" w:hAnsiTheme="minorHAnsi"/>
          <w:b/>
        </w:rPr>
        <w:t>.</w:t>
      </w:r>
      <w:r w:rsidRPr="002C2D40">
        <w:rPr>
          <w:rFonts w:asciiTheme="minorHAnsi" w:hAnsiTheme="minorHAnsi"/>
        </w:rPr>
        <w:t>, dla porównania w 2017</w:t>
      </w:r>
      <w:r w:rsidR="005E23A6" w:rsidRPr="002C2D40">
        <w:rPr>
          <w:rFonts w:asciiTheme="minorHAnsi" w:hAnsiTheme="minorHAnsi"/>
        </w:rPr>
        <w:t> </w:t>
      </w:r>
      <w:r w:rsidRPr="002C2D40">
        <w:rPr>
          <w:rFonts w:asciiTheme="minorHAnsi" w:hAnsiTheme="minorHAnsi"/>
        </w:rPr>
        <w:t>r. wynosiła 63,5</w:t>
      </w:r>
      <w:r w:rsidR="005E23A6">
        <w:rPr>
          <w:rFonts w:asciiTheme="minorHAnsi" w:hAnsiTheme="minorHAnsi"/>
        </w:rPr>
        <w:t xml:space="preserve"> </w:t>
      </w:r>
      <w:r w:rsidRPr="002C2D40">
        <w:rPr>
          <w:rFonts w:asciiTheme="minorHAnsi" w:hAnsiTheme="minorHAnsi"/>
        </w:rPr>
        <w:t>tys</w:t>
      </w:r>
      <w:r w:rsidR="005E23A6">
        <w:rPr>
          <w:rFonts w:asciiTheme="minorHAnsi" w:hAnsiTheme="minorHAnsi"/>
        </w:rPr>
        <w:t>.</w:t>
      </w:r>
      <w:r w:rsidRPr="002C2D40">
        <w:rPr>
          <w:rFonts w:asciiTheme="minorHAnsi" w:hAnsiTheme="minorHAnsi"/>
        </w:rPr>
        <w:t xml:space="preserve"> nowych skarg). Od 2018 r. liczba napływających nowych skarg do Trybunału ustabilizowała się na poziomie ok. 40-45 tys</w:t>
      </w:r>
      <w:r w:rsidR="005E23A6">
        <w:rPr>
          <w:rFonts w:asciiTheme="minorHAnsi" w:hAnsiTheme="minorHAnsi"/>
        </w:rPr>
        <w:t>.</w:t>
      </w:r>
      <w:r w:rsidRPr="002C2D40">
        <w:rPr>
          <w:rFonts w:asciiTheme="minorHAnsi" w:hAnsiTheme="minorHAnsi"/>
        </w:rPr>
        <w:t xml:space="preserve"> rocznie. Ponad dwie trzecie nowych skarg </w:t>
      </w:r>
      <w:r w:rsidRPr="002C2D40">
        <w:rPr>
          <w:rFonts w:asciiTheme="minorHAnsi" w:hAnsiTheme="minorHAnsi"/>
        </w:rPr>
        <w:lastRenderedPageBreak/>
        <w:t>(26,8</w:t>
      </w:r>
      <w:r w:rsidR="005E23A6" w:rsidRPr="002C2D40">
        <w:rPr>
          <w:rFonts w:asciiTheme="minorHAnsi" w:hAnsiTheme="minorHAnsi"/>
        </w:rPr>
        <w:t> </w:t>
      </w:r>
      <w:r w:rsidRPr="002C2D40">
        <w:rPr>
          <w:rFonts w:asciiTheme="minorHAnsi" w:hAnsiTheme="minorHAnsi"/>
        </w:rPr>
        <w:t>tys</w:t>
      </w:r>
      <w:r w:rsidR="005E23A6">
        <w:rPr>
          <w:rFonts w:asciiTheme="minorHAnsi" w:hAnsiTheme="minorHAnsi"/>
        </w:rPr>
        <w:t>.</w:t>
      </w:r>
      <w:r w:rsidRPr="002C2D40">
        <w:rPr>
          <w:rFonts w:asciiTheme="minorHAnsi" w:hAnsiTheme="minorHAnsi"/>
        </w:rPr>
        <w:t>) wniesionych w 2020 r. zostało wstępnie zakwalifikowane jako skargi oczywiście niedopuszczalne i przydzielone do roz</w:t>
      </w:r>
      <w:r w:rsidR="005E23A6">
        <w:rPr>
          <w:rFonts w:asciiTheme="minorHAnsi" w:hAnsiTheme="minorHAnsi"/>
        </w:rPr>
        <w:t>poznania w składzie 1 sędziego.</w:t>
      </w:r>
    </w:p>
    <w:p w:rsidR="00633AE0" w:rsidRPr="002C2D40" w:rsidRDefault="00633AE0" w:rsidP="006500A8">
      <w:pPr>
        <w:spacing w:before="120"/>
        <w:jc w:val="both"/>
        <w:rPr>
          <w:rFonts w:asciiTheme="minorHAnsi" w:hAnsiTheme="minorHAnsi"/>
        </w:rPr>
      </w:pPr>
      <w:r w:rsidRPr="002C2D40">
        <w:rPr>
          <w:rFonts w:asciiTheme="minorHAnsi" w:hAnsiTheme="minorHAnsi"/>
        </w:rPr>
        <w:t xml:space="preserve">W porównaniu do 2019 r. spadła o 4% liczba skarg rozstrzygniętych przez Trybunał: w 2020 r. Trybunał </w:t>
      </w:r>
      <w:r w:rsidRPr="002C2D40">
        <w:rPr>
          <w:rFonts w:asciiTheme="minorHAnsi" w:hAnsiTheme="minorHAnsi"/>
          <w:b/>
        </w:rPr>
        <w:t>rozstrzygnął</w:t>
      </w:r>
      <w:r w:rsidRPr="002C2D40">
        <w:rPr>
          <w:rFonts w:asciiTheme="minorHAnsi" w:hAnsiTheme="minorHAnsi"/>
        </w:rPr>
        <w:t xml:space="preserve"> bowiem prawie </w:t>
      </w:r>
      <w:r w:rsidRPr="002C2D40">
        <w:rPr>
          <w:rFonts w:asciiTheme="minorHAnsi" w:hAnsiTheme="minorHAnsi"/>
          <w:b/>
        </w:rPr>
        <w:t>39,2 tysiąca</w:t>
      </w:r>
      <w:r w:rsidRPr="002C2D40">
        <w:rPr>
          <w:rFonts w:asciiTheme="minorHAnsi" w:hAnsiTheme="minorHAnsi"/>
        </w:rPr>
        <w:t xml:space="preserve"> skarg, natomiast w </w:t>
      </w:r>
      <w:r w:rsidR="005E23A6">
        <w:rPr>
          <w:rFonts w:asciiTheme="minorHAnsi" w:hAnsiTheme="minorHAnsi"/>
        </w:rPr>
        <w:t xml:space="preserve">2019 r. – 40,6 tysiąca skarg, a </w:t>
      </w:r>
      <w:r w:rsidRPr="002C2D40">
        <w:rPr>
          <w:rFonts w:asciiTheme="minorHAnsi" w:hAnsiTheme="minorHAnsi"/>
        </w:rPr>
        <w:t xml:space="preserve">w 2018 r. – 42,7 tysiąca skarg. Liczba skarg rozstrzygniętych w 2020 r. była także o ponad połowę niższa niż 2017 r., kiedy to Trybunał wydał rozstrzygnięcia w sprawie ok. 86 tysięcy skarg (tamta liczba wynikała jednak z faktu, że w 2017 r. Trybunał zastosował szczególne tryby rozstrzygania, przekazując bardzo duże grupy skarg do procedur krajowych lub do Komitetu Ministrów RE). Można zatem odnotować, że od 2017 r. liczba spraw zamykanych rocznie przez Trybunał systematycznie spada. </w:t>
      </w:r>
    </w:p>
    <w:p w:rsidR="00633AE0" w:rsidRPr="002C2D40" w:rsidRDefault="00633AE0" w:rsidP="006500A8">
      <w:pPr>
        <w:spacing w:before="120"/>
        <w:jc w:val="both"/>
        <w:rPr>
          <w:rFonts w:asciiTheme="minorHAnsi" w:hAnsiTheme="minorHAnsi"/>
        </w:rPr>
      </w:pPr>
      <w:r w:rsidRPr="002C2D40">
        <w:rPr>
          <w:rFonts w:asciiTheme="minorHAnsi" w:hAnsiTheme="minorHAnsi"/>
        </w:rPr>
        <w:t xml:space="preserve">Z drugiej jednak strony wzrosła o 19% liczba spraw </w:t>
      </w:r>
      <w:r w:rsidRPr="002C2D40">
        <w:rPr>
          <w:rFonts w:asciiTheme="minorHAnsi" w:hAnsiTheme="minorHAnsi"/>
          <w:b/>
        </w:rPr>
        <w:t>zakomunikowanych</w:t>
      </w:r>
      <w:r w:rsidR="005E23A6">
        <w:rPr>
          <w:rFonts w:asciiTheme="minorHAnsi" w:hAnsiTheme="minorHAnsi"/>
        </w:rPr>
        <w:t xml:space="preserve"> państwom przez Trybunał: w </w:t>
      </w:r>
      <w:r w:rsidRPr="002C2D40">
        <w:rPr>
          <w:rFonts w:asciiTheme="minorHAnsi" w:hAnsiTheme="minorHAnsi"/>
        </w:rPr>
        <w:t xml:space="preserve">2020 r. Trybunał wezwał państwa do zajęcia stanowiska w odniesieniu do </w:t>
      </w:r>
      <w:r w:rsidRPr="002C2D40">
        <w:rPr>
          <w:rFonts w:asciiTheme="minorHAnsi" w:hAnsiTheme="minorHAnsi"/>
          <w:b/>
        </w:rPr>
        <w:t>7681</w:t>
      </w:r>
      <w:r w:rsidRPr="002C2D40">
        <w:rPr>
          <w:rFonts w:asciiTheme="minorHAnsi" w:hAnsiTheme="minorHAnsi"/>
        </w:rPr>
        <w:t xml:space="preserve"> skarg, podczas gdy w 2019 r. liczba zakomunikowanych skarg wynosiła 6442.</w:t>
      </w:r>
    </w:p>
    <w:p w:rsidR="00633AE0" w:rsidRPr="002C2D40" w:rsidRDefault="00633AE0" w:rsidP="006500A8">
      <w:pPr>
        <w:spacing w:before="120" w:after="120"/>
        <w:jc w:val="both"/>
        <w:rPr>
          <w:rFonts w:asciiTheme="minorHAnsi" w:hAnsiTheme="minorHAnsi"/>
        </w:rPr>
      </w:pPr>
      <w:r w:rsidRPr="002C2D40">
        <w:rPr>
          <w:rFonts w:asciiTheme="minorHAnsi" w:hAnsiTheme="minorHAnsi"/>
        </w:rPr>
        <w:t xml:space="preserve">Ogólna </w:t>
      </w:r>
      <w:r w:rsidRPr="002C2D40">
        <w:rPr>
          <w:rFonts w:asciiTheme="minorHAnsi" w:hAnsiTheme="minorHAnsi"/>
          <w:b/>
        </w:rPr>
        <w:t>liczba skarg</w:t>
      </w:r>
      <w:r w:rsidRPr="002C2D40">
        <w:rPr>
          <w:rFonts w:asciiTheme="minorHAnsi" w:hAnsiTheme="minorHAnsi"/>
        </w:rPr>
        <w:t xml:space="preserve"> </w:t>
      </w:r>
      <w:r w:rsidRPr="002C2D40">
        <w:rPr>
          <w:rFonts w:asciiTheme="minorHAnsi" w:hAnsiTheme="minorHAnsi"/>
          <w:b/>
        </w:rPr>
        <w:t>zawisłych</w:t>
      </w:r>
      <w:r w:rsidRPr="002C2D40">
        <w:rPr>
          <w:rFonts w:asciiTheme="minorHAnsi" w:hAnsiTheme="minorHAnsi"/>
        </w:rPr>
        <w:t xml:space="preserve"> przed Trybunałem w sprawie wszystkich państw Rady Europy na</w:t>
      </w:r>
      <w:r w:rsidR="005E23A6">
        <w:rPr>
          <w:rFonts w:asciiTheme="minorHAnsi" w:hAnsiTheme="minorHAnsi"/>
        </w:rPr>
        <w:t xml:space="preserve"> </w:t>
      </w:r>
      <w:r w:rsidRPr="002C2D40">
        <w:rPr>
          <w:rFonts w:asciiTheme="minorHAnsi" w:hAnsiTheme="minorHAnsi"/>
        </w:rPr>
        <w:t xml:space="preserve">koniec 2020 r. wyniosła </w:t>
      </w:r>
      <w:r w:rsidRPr="002C2D40">
        <w:rPr>
          <w:rFonts w:asciiTheme="minorHAnsi" w:hAnsiTheme="minorHAnsi"/>
          <w:b/>
        </w:rPr>
        <w:t>62 tys</w:t>
      </w:r>
      <w:r w:rsidR="005E23A6">
        <w:rPr>
          <w:rFonts w:asciiTheme="minorHAnsi" w:hAnsiTheme="minorHAnsi"/>
          <w:b/>
        </w:rPr>
        <w:t>.</w:t>
      </w:r>
      <w:r w:rsidRPr="002C2D40">
        <w:rPr>
          <w:rFonts w:asciiTheme="minorHAnsi" w:hAnsiTheme="minorHAnsi"/>
        </w:rPr>
        <w:t>, czyli wzrosła o 4% w porównaniu do 2019 r., kiedy sięgała 59,8</w:t>
      </w:r>
      <w:r w:rsidR="005E23A6">
        <w:rPr>
          <w:rFonts w:asciiTheme="minorHAnsi" w:hAnsiTheme="minorHAnsi"/>
        </w:rPr>
        <w:t xml:space="preserve"> </w:t>
      </w:r>
      <w:r w:rsidRPr="002C2D40">
        <w:rPr>
          <w:rFonts w:asciiTheme="minorHAnsi" w:hAnsiTheme="minorHAnsi"/>
        </w:rPr>
        <w:t>tys</w:t>
      </w:r>
      <w:r w:rsidR="005E23A6">
        <w:rPr>
          <w:rFonts w:asciiTheme="minorHAnsi" w:hAnsiTheme="minorHAnsi"/>
        </w:rPr>
        <w:t>.</w:t>
      </w:r>
      <w:r w:rsidRPr="002C2D40">
        <w:rPr>
          <w:rFonts w:asciiTheme="minorHAnsi" w:hAnsiTheme="minorHAnsi"/>
        </w:rPr>
        <w:t xml:space="preserve"> Oznacza to kolejny od 2017 r. rok zwiększania się liczb</w:t>
      </w:r>
      <w:r w:rsidR="005E23A6">
        <w:rPr>
          <w:rFonts w:asciiTheme="minorHAnsi" w:hAnsiTheme="minorHAnsi"/>
        </w:rPr>
        <w:t xml:space="preserve">y spraw zawisłych przed ETPC (w </w:t>
      </w:r>
      <w:r w:rsidRPr="002C2D40">
        <w:rPr>
          <w:rFonts w:asciiTheme="minorHAnsi" w:hAnsiTheme="minorHAnsi"/>
        </w:rPr>
        <w:t>latach 2017-2018 r. liczba ta oscylowała ok. 56,3 tys</w:t>
      </w:r>
      <w:r w:rsidR="005E23A6">
        <w:rPr>
          <w:rFonts w:asciiTheme="minorHAnsi" w:hAnsiTheme="minorHAnsi"/>
        </w:rPr>
        <w:t>.</w:t>
      </w:r>
      <w:r w:rsidRPr="002C2D40">
        <w:rPr>
          <w:rFonts w:asciiTheme="minorHAnsi" w:hAnsiTheme="minorHAnsi"/>
        </w:rPr>
        <w:t xml:space="preserve">). Dla porównania we wrześniu 2011 r. liczba zawisłych skarg sięgała jednak aż 160 tys. </w:t>
      </w:r>
    </w:p>
    <w:p w:rsidR="00633AE0" w:rsidRPr="002C2D40" w:rsidRDefault="00633AE0" w:rsidP="006500A8">
      <w:pPr>
        <w:spacing w:before="120"/>
        <w:jc w:val="both"/>
        <w:rPr>
          <w:rFonts w:asciiTheme="minorHAnsi" w:hAnsiTheme="minorHAnsi"/>
        </w:rPr>
      </w:pPr>
      <w:r w:rsidRPr="002C2D40">
        <w:rPr>
          <w:rFonts w:asciiTheme="minorHAnsi" w:hAnsiTheme="minorHAnsi"/>
        </w:rPr>
        <w:t>W 2020 r. Komitet Ministrów Rady Europy zamknął procedurę nadzoru nad wykonywaniem w</w:t>
      </w:r>
      <w:r w:rsidR="005E23A6">
        <w:rPr>
          <w:rFonts w:asciiTheme="minorHAnsi" w:hAnsiTheme="minorHAnsi"/>
        </w:rPr>
        <w:t xml:space="preserve"> </w:t>
      </w:r>
      <w:r w:rsidRPr="002C2D40">
        <w:rPr>
          <w:rFonts w:asciiTheme="minorHAnsi" w:hAnsiTheme="minorHAnsi"/>
        </w:rPr>
        <w:t xml:space="preserve">odniesieniu do </w:t>
      </w:r>
      <w:r w:rsidRPr="002C2D40">
        <w:rPr>
          <w:rFonts w:asciiTheme="minorHAnsi" w:hAnsiTheme="minorHAnsi"/>
          <w:b/>
        </w:rPr>
        <w:t>983</w:t>
      </w:r>
      <w:r w:rsidRPr="002C2D40">
        <w:rPr>
          <w:rFonts w:asciiTheme="minorHAnsi" w:hAnsiTheme="minorHAnsi"/>
        </w:rPr>
        <w:t xml:space="preserve"> spraw (dla porównania w 2019 r. zakończono nadzór w sprawie 2080 spraw). W nadzorze pozostawało na koniec 2020 r. </w:t>
      </w:r>
      <w:r w:rsidRPr="002C2D40">
        <w:rPr>
          <w:rFonts w:asciiTheme="minorHAnsi" w:hAnsiTheme="minorHAnsi"/>
          <w:b/>
        </w:rPr>
        <w:t>5231</w:t>
      </w:r>
      <w:r w:rsidRPr="002C2D40">
        <w:rPr>
          <w:rFonts w:asciiTheme="minorHAnsi" w:hAnsiTheme="minorHAnsi"/>
        </w:rPr>
        <w:t xml:space="preserve"> orzeczeń Trybunału.</w:t>
      </w:r>
    </w:p>
    <w:p w:rsidR="00633AE0" w:rsidRPr="002C2D40" w:rsidRDefault="00633AE0" w:rsidP="002C2D40">
      <w:pPr>
        <w:spacing w:before="120" w:after="120"/>
        <w:jc w:val="right"/>
        <w:rPr>
          <w:rFonts w:asciiTheme="minorHAnsi" w:hAnsiTheme="minorHAnsi"/>
          <w:sz w:val="22"/>
          <w:szCs w:val="22"/>
        </w:rPr>
      </w:pPr>
    </w:p>
    <w:p w:rsidR="00DE559B" w:rsidRPr="002C2D40" w:rsidRDefault="00DE559B" w:rsidP="005E23A6">
      <w:pPr>
        <w:numPr>
          <w:ilvl w:val="0"/>
          <w:numId w:val="17"/>
        </w:numPr>
        <w:spacing w:before="120" w:after="120"/>
        <w:ind w:hanging="436"/>
        <w:jc w:val="both"/>
        <w:rPr>
          <w:rFonts w:asciiTheme="minorHAnsi" w:hAnsiTheme="minorHAnsi"/>
          <w:b/>
        </w:rPr>
      </w:pPr>
      <w:r w:rsidRPr="002C2D40">
        <w:rPr>
          <w:rFonts w:asciiTheme="minorHAnsi" w:hAnsiTheme="minorHAnsi"/>
          <w:b/>
        </w:rPr>
        <w:t>Dane statystyczne – wykresy</w:t>
      </w:r>
    </w:p>
    <w:p w:rsidR="00633AE0" w:rsidRPr="002C2D40" w:rsidRDefault="00DE559B" w:rsidP="005E23A6">
      <w:pPr>
        <w:pStyle w:val="Nagwek2"/>
        <w:numPr>
          <w:ilvl w:val="1"/>
          <w:numId w:val="17"/>
        </w:numPr>
        <w:spacing w:before="120"/>
        <w:ind w:hanging="436"/>
        <w:rPr>
          <w:rFonts w:eastAsiaTheme="minorHAnsi" w:cstheme="minorBidi"/>
          <w:sz w:val="22"/>
          <w:szCs w:val="22"/>
        </w:rPr>
      </w:pPr>
      <w:r w:rsidRPr="002C2D40">
        <w:t>Liczba polskich skarg przydzielonych do rozpoznania składom orzekającym Trybunału</w:t>
      </w:r>
    </w:p>
    <w:p w:rsidR="00633AE0" w:rsidRPr="002C2D40" w:rsidRDefault="00633AE0" w:rsidP="002C2D40">
      <w:pPr>
        <w:spacing w:before="120" w:after="120"/>
        <w:jc w:val="both"/>
        <w:rPr>
          <w:rFonts w:asciiTheme="minorHAnsi" w:eastAsiaTheme="minorHAnsi" w:hAnsiTheme="minorHAnsi" w:cstheme="minorBidi"/>
          <w:sz w:val="22"/>
          <w:szCs w:val="22"/>
          <w:lang w:eastAsia="en-US"/>
        </w:rPr>
      </w:pPr>
      <w:r w:rsidRPr="002C2D40">
        <w:rPr>
          <w:rFonts w:asciiTheme="minorHAnsi" w:eastAsiaTheme="minorHAnsi" w:hAnsiTheme="minorHAnsi" w:cstheme="minorBidi"/>
          <w:noProof/>
          <w:sz w:val="22"/>
          <w:szCs w:val="22"/>
        </w:rPr>
        <w:drawing>
          <wp:inline distT="0" distB="0" distL="0" distR="0" wp14:anchorId="41A8C8ED" wp14:editId="03310112">
            <wp:extent cx="5760720" cy="3413760"/>
            <wp:effectExtent l="0" t="0" r="11430" b="15240"/>
            <wp:docPr id="4"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74D7A" w:rsidRDefault="00674D7A" w:rsidP="002C2D40">
      <w:pPr>
        <w:pStyle w:val="Akapitzlist"/>
        <w:spacing w:before="120" w:after="0" w:line="240" w:lineRule="auto"/>
        <w:ind w:left="709"/>
        <w:jc w:val="both"/>
        <w:rPr>
          <w:rFonts w:asciiTheme="minorHAnsi" w:hAnsiTheme="minorHAnsi"/>
          <w:b/>
          <w:sz w:val="24"/>
          <w:szCs w:val="24"/>
          <w:lang w:val="pl-PL"/>
        </w:rPr>
      </w:pPr>
    </w:p>
    <w:p w:rsidR="00DE559B" w:rsidRPr="002C2D40" w:rsidRDefault="005E23A6" w:rsidP="005E23A6">
      <w:pPr>
        <w:pStyle w:val="Akapitzlist"/>
        <w:spacing w:before="120" w:after="0" w:line="240" w:lineRule="auto"/>
        <w:ind w:left="709" w:hanging="425"/>
        <w:jc w:val="both"/>
        <w:rPr>
          <w:rFonts w:asciiTheme="minorHAnsi" w:hAnsiTheme="minorHAnsi"/>
          <w:b/>
          <w:sz w:val="24"/>
          <w:szCs w:val="24"/>
          <w:lang w:val="pl-PL"/>
        </w:rPr>
      </w:pPr>
      <w:r>
        <w:rPr>
          <w:rFonts w:asciiTheme="minorHAnsi" w:hAnsiTheme="minorHAnsi"/>
          <w:b/>
          <w:sz w:val="24"/>
          <w:szCs w:val="24"/>
          <w:lang w:val="pl-PL"/>
        </w:rPr>
        <w:t>5.2.</w:t>
      </w:r>
      <w:r>
        <w:rPr>
          <w:rFonts w:asciiTheme="minorHAnsi" w:hAnsiTheme="minorHAnsi"/>
          <w:b/>
          <w:sz w:val="24"/>
          <w:szCs w:val="24"/>
          <w:lang w:val="pl-PL"/>
        </w:rPr>
        <w:tab/>
      </w:r>
      <w:r w:rsidR="00DE559B" w:rsidRPr="002C2D40">
        <w:rPr>
          <w:rFonts w:asciiTheme="minorHAnsi" w:hAnsiTheme="minorHAnsi"/>
          <w:b/>
          <w:sz w:val="24"/>
          <w:szCs w:val="24"/>
          <w:lang w:val="pl-PL"/>
        </w:rPr>
        <w:t>Miejsce Polski na liście państw RE pod względem liczby zawisłych skarg</w:t>
      </w:r>
    </w:p>
    <w:p w:rsidR="00633AE0" w:rsidRPr="002C2D40" w:rsidRDefault="00633AE0" w:rsidP="002C2D40">
      <w:pPr>
        <w:spacing w:before="120" w:after="120"/>
        <w:jc w:val="both"/>
        <w:rPr>
          <w:rFonts w:asciiTheme="minorHAnsi" w:eastAsiaTheme="minorHAnsi" w:hAnsiTheme="minorHAnsi" w:cstheme="minorBidi"/>
          <w:sz w:val="22"/>
          <w:szCs w:val="22"/>
          <w:lang w:eastAsia="en-US"/>
        </w:rPr>
      </w:pPr>
      <w:r w:rsidRPr="002C2D40">
        <w:rPr>
          <w:rFonts w:asciiTheme="minorHAnsi" w:eastAsiaTheme="minorHAnsi" w:hAnsiTheme="minorHAnsi" w:cstheme="minorBidi"/>
          <w:noProof/>
          <w:sz w:val="22"/>
          <w:szCs w:val="22"/>
        </w:rPr>
        <w:drawing>
          <wp:inline distT="0" distB="0" distL="0" distR="0" wp14:anchorId="0A02C245" wp14:editId="26E3836C">
            <wp:extent cx="5760720" cy="2806866"/>
            <wp:effectExtent l="0" t="0" r="11430" b="12700"/>
            <wp:docPr id="14" name="Wykres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33AE0" w:rsidRPr="002C2D40" w:rsidRDefault="00633AE0" w:rsidP="002C2D40">
      <w:pPr>
        <w:spacing w:before="120" w:after="120"/>
        <w:jc w:val="both"/>
        <w:rPr>
          <w:rFonts w:asciiTheme="minorHAnsi" w:eastAsiaTheme="minorHAnsi" w:hAnsiTheme="minorHAnsi" w:cstheme="minorBidi"/>
          <w:sz w:val="22"/>
          <w:szCs w:val="22"/>
          <w:lang w:eastAsia="en-US"/>
        </w:rPr>
      </w:pPr>
    </w:p>
    <w:p w:rsidR="00DE559B" w:rsidRPr="002C2D40" w:rsidRDefault="00DE559B" w:rsidP="005E23A6">
      <w:pPr>
        <w:pStyle w:val="Nagwek2"/>
        <w:numPr>
          <w:ilvl w:val="0"/>
          <w:numId w:val="0"/>
        </w:numPr>
        <w:spacing w:before="120"/>
        <w:ind w:left="709" w:hanging="425"/>
      </w:pPr>
      <w:r w:rsidRPr="002C2D40">
        <w:t>5.3.</w:t>
      </w:r>
      <w:r w:rsidR="005E23A6">
        <w:tab/>
      </w:r>
      <w:r w:rsidRPr="002C2D40">
        <w:t>Liczba skarg zakomunikowanych rządowi</w:t>
      </w:r>
    </w:p>
    <w:p w:rsidR="00633AE0" w:rsidRPr="002C2D40" w:rsidRDefault="00633AE0" w:rsidP="002C2D40">
      <w:pPr>
        <w:spacing w:before="120" w:after="120"/>
        <w:jc w:val="both"/>
        <w:rPr>
          <w:rFonts w:asciiTheme="minorHAnsi" w:eastAsiaTheme="minorHAnsi" w:hAnsiTheme="minorHAnsi" w:cstheme="minorBidi"/>
          <w:sz w:val="22"/>
          <w:szCs w:val="22"/>
          <w:lang w:eastAsia="en-US"/>
        </w:rPr>
      </w:pPr>
      <w:r w:rsidRPr="002C2D40">
        <w:rPr>
          <w:rFonts w:asciiTheme="minorHAnsi" w:eastAsiaTheme="minorHAnsi" w:hAnsiTheme="minorHAnsi" w:cstheme="minorBidi"/>
          <w:noProof/>
          <w:sz w:val="22"/>
          <w:szCs w:val="22"/>
        </w:rPr>
        <w:drawing>
          <wp:inline distT="0" distB="0" distL="0" distR="0" wp14:anchorId="0135931B" wp14:editId="7F5924F8">
            <wp:extent cx="5760720" cy="4251960"/>
            <wp:effectExtent l="0" t="0" r="11430" b="15240"/>
            <wp:docPr id="15" name="Wykres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33AE0" w:rsidRDefault="00633AE0" w:rsidP="002C2D40">
      <w:pPr>
        <w:spacing w:before="120" w:after="120"/>
        <w:jc w:val="both"/>
        <w:rPr>
          <w:rFonts w:asciiTheme="minorHAnsi" w:eastAsiaTheme="minorHAnsi" w:hAnsiTheme="minorHAnsi" w:cstheme="minorBidi"/>
          <w:sz w:val="22"/>
          <w:szCs w:val="22"/>
          <w:lang w:eastAsia="en-US"/>
        </w:rPr>
      </w:pPr>
    </w:p>
    <w:p w:rsidR="00674D7A" w:rsidRPr="002C2D40" w:rsidRDefault="00674D7A" w:rsidP="002C2D40">
      <w:pPr>
        <w:spacing w:before="120" w:after="120"/>
        <w:jc w:val="both"/>
        <w:rPr>
          <w:rFonts w:asciiTheme="minorHAnsi" w:eastAsiaTheme="minorHAnsi" w:hAnsiTheme="minorHAnsi" w:cstheme="minorBidi"/>
          <w:sz w:val="22"/>
          <w:szCs w:val="22"/>
          <w:lang w:eastAsia="en-US"/>
        </w:rPr>
      </w:pPr>
    </w:p>
    <w:p w:rsidR="00DE559B" w:rsidRPr="002C2D40" w:rsidRDefault="00DE559B" w:rsidP="005E23A6">
      <w:pPr>
        <w:pStyle w:val="Nagwek2"/>
        <w:numPr>
          <w:ilvl w:val="0"/>
          <w:numId w:val="0"/>
        </w:numPr>
        <w:spacing w:before="120"/>
        <w:ind w:left="720" w:hanging="436"/>
      </w:pPr>
      <w:r w:rsidRPr="002C2D40">
        <w:lastRenderedPageBreak/>
        <w:t>5.4.</w:t>
      </w:r>
      <w:r w:rsidR="005E23A6">
        <w:tab/>
      </w:r>
      <w:r w:rsidRPr="002C2D40">
        <w:t>Liczba wyroków wydanych w polskich sprawach</w:t>
      </w:r>
    </w:p>
    <w:p w:rsidR="00633AE0" w:rsidRPr="002C2D40" w:rsidRDefault="00633AE0" w:rsidP="002C2D40">
      <w:pPr>
        <w:spacing w:before="120" w:after="120"/>
        <w:jc w:val="both"/>
        <w:rPr>
          <w:rFonts w:asciiTheme="minorHAnsi" w:eastAsiaTheme="minorHAnsi" w:hAnsiTheme="minorHAnsi" w:cstheme="minorBidi"/>
          <w:sz w:val="22"/>
          <w:szCs w:val="22"/>
          <w:lang w:eastAsia="en-US"/>
        </w:rPr>
      </w:pPr>
      <w:r w:rsidRPr="002C2D40">
        <w:rPr>
          <w:rFonts w:asciiTheme="minorHAnsi" w:eastAsiaTheme="minorHAnsi" w:hAnsiTheme="minorHAnsi" w:cstheme="minorBidi"/>
          <w:noProof/>
          <w:sz w:val="22"/>
          <w:szCs w:val="22"/>
        </w:rPr>
        <w:drawing>
          <wp:inline distT="0" distB="0" distL="0" distR="0" wp14:anchorId="19EC4275" wp14:editId="17BE4F9C">
            <wp:extent cx="5760720" cy="2971800"/>
            <wp:effectExtent l="0" t="0" r="11430" b="19050"/>
            <wp:docPr id="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E559B" w:rsidRPr="002C2D40" w:rsidRDefault="00DE559B" w:rsidP="002C2D40">
      <w:pPr>
        <w:spacing w:before="120" w:after="120"/>
        <w:jc w:val="both"/>
        <w:rPr>
          <w:rFonts w:asciiTheme="minorHAnsi" w:eastAsiaTheme="minorHAnsi" w:hAnsiTheme="minorHAnsi" w:cstheme="minorBidi"/>
          <w:sz w:val="22"/>
          <w:szCs w:val="22"/>
          <w:lang w:eastAsia="en-US"/>
        </w:rPr>
      </w:pPr>
    </w:p>
    <w:p w:rsidR="00DE559B" w:rsidRPr="002C2D40" w:rsidRDefault="00DE559B" w:rsidP="005E23A6">
      <w:pPr>
        <w:pStyle w:val="Nagwek2"/>
        <w:numPr>
          <w:ilvl w:val="0"/>
          <w:numId w:val="0"/>
        </w:numPr>
        <w:spacing w:before="120"/>
        <w:ind w:left="720" w:hanging="436"/>
      </w:pPr>
      <w:r w:rsidRPr="002C2D40">
        <w:t>5.5.</w:t>
      </w:r>
      <w:r w:rsidR="005E23A6">
        <w:tab/>
      </w:r>
      <w:r w:rsidRPr="002C2D40">
        <w:t>Liczba decyzji zatwierdzających ugody i deklaracje jednostronne</w:t>
      </w:r>
    </w:p>
    <w:p w:rsidR="00633AE0" w:rsidRPr="002C2D40" w:rsidRDefault="00633AE0" w:rsidP="002C2D40">
      <w:pPr>
        <w:spacing w:before="120" w:after="120"/>
        <w:jc w:val="both"/>
        <w:rPr>
          <w:rFonts w:asciiTheme="minorHAnsi" w:eastAsiaTheme="minorHAnsi" w:hAnsiTheme="minorHAnsi" w:cstheme="minorBidi"/>
          <w:sz w:val="22"/>
          <w:szCs w:val="22"/>
          <w:lang w:eastAsia="en-US"/>
        </w:rPr>
      </w:pPr>
      <w:r w:rsidRPr="002C2D40">
        <w:rPr>
          <w:rFonts w:asciiTheme="minorHAnsi" w:eastAsiaTheme="minorHAnsi" w:hAnsiTheme="minorHAnsi" w:cstheme="minorBidi"/>
          <w:noProof/>
          <w:sz w:val="22"/>
          <w:szCs w:val="22"/>
        </w:rPr>
        <w:drawing>
          <wp:inline distT="0" distB="0" distL="0" distR="0" wp14:anchorId="7B00C39F" wp14:editId="675DB48E">
            <wp:extent cx="5760720" cy="4145280"/>
            <wp:effectExtent l="0" t="0" r="11430" b="26670"/>
            <wp:docPr id="2" name="Wykres 2" descr="liczba decyzji ws. ugód i deklaracji jednostronnych" title="liczba decyzji ws. ugód i deklaracji jednostronnych"/>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33AE0" w:rsidRDefault="00633AE0" w:rsidP="002C2D40">
      <w:pPr>
        <w:spacing w:before="120" w:after="120"/>
        <w:jc w:val="both"/>
        <w:rPr>
          <w:rFonts w:asciiTheme="minorHAnsi" w:eastAsiaTheme="minorHAnsi" w:hAnsiTheme="minorHAnsi" w:cstheme="minorBidi"/>
          <w:sz w:val="20"/>
          <w:szCs w:val="20"/>
          <w:lang w:eastAsia="en-US"/>
        </w:rPr>
      </w:pPr>
      <w:r w:rsidRPr="00ED53BF">
        <w:rPr>
          <w:rFonts w:asciiTheme="minorHAnsi" w:eastAsiaTheme="minorHAnsi" w:hAnsiTheme="minorHAnsi" w:cstheme="minorBidi"/>
          <w:sz w:val="20"/>
          <w:szCs w:val="20"/>
          <w:lang w:eastAsia="en-US"/>
        </w:rPr>
        <w:t>* uwaga: decyzje za 2017 r. obejmowały również 4 decyzje ws.. 490 skarg (procedura pilotażowa), decyzje za 2018 r. obejmowały zaś 10 decyzji ws. 364 skarg - procedura pilotażowa. Ponadto w 2017 r. 2 decyzje ws. zatwierdzenia deklaracji jednostronnych obejmują także zatwierdzenie ugód.</w:t>
      </w:r>
    </w:p>
    <w:p w:rsidR="00ED53BF" w:rsidRPr="00ED53BF" w:rsidRDefault="00ED53BF" w:rsidP="002C2D40">
      <w:pPr>
        <w:spacing w:before="120" w:after="120"/>
        <w:jc w:val="both"/>
        <w:rPr>
          <w:rFonts w:asciiTheme="minorHAnsi" w:eastAsiaTheme="minorHAnsi" w:hAnsiTheme="minorHAnsi" w:cstheme="minorBidi"/>
          <w:sz w:val="20"/>
          <w:szCs w:val="20"/>
          <w:lang w:eastAsia="en-US"/>
        </w:rPr>
      </w:pPr>
    </w:p>
    <w:p w:rsidR="00DE559B" w:rsidRPr="002C2D40" w:rsidRDefault="00DE559B" w:rsidP="00ED53BF">
      <w:pPr>
        <w:pStyle w:val="Nagwek2"/>
        <w:numPr>
          <w:ilvl w:val="0"/>
          <w:numId w:val="0"/>
        </w:numPr>
        <w:spacing w:before="120"/>
        <w:ind w:left="709" w:hanging="425"/>
        <w:rPr>
          <w:strike/>
        </w:rPr>
      </w:pPr>
      <w:r w:rsidRPr="002C2D40">
        <w:t>5.6.</w:t>
      </w:r>
      <w:r w:rsidR="00ED53BF">
        <w:tab/>
      </w:r>
      <w:r w:rsidRPr="002C2D40">
        <w:t>Liczba decyzji o niedopuszczalności</w:t>
      </w:r>
    </w:p>
    <w:p w:rsidR="00633AE0" w:rsidRPr="002C2D40" w:rsidRDefault="00633AE0" w:rsidP="002C2D40">
      <w:pPr>
        <w:spacing w:before="120" w:after="120"/>
        <w:jc w:val="both"/>
        <w:rPr>
          <w:rFonts w:asciiTheme="minorHAnsi" w:eastAsiaTheme="minorHAnsi" w:hAnsiTheme="minorHAnsi" w:cstheme="minorBidi"/>
          <w:sz w:val="22"/>
          <w:szCs w:val="22"/>
          <w:lang w:eastAsia="en-US"/>
        </w:rPr>
      </w:pPr>
      <w:r w:rsidRPr="002C2D40">
        <w:rPr>
          <w:rFonts w:asciiTheme="minorHAnsi" w:eastAsiaTheme="minorHAnsi" w:hAnsiTheme="minorHAnsi" w:cstheme="minorBidi"/>
          <w:noProof/>
          <w:sz w:val="22"/>
          <w:szCs w:val="22"/>
        </w:rPr>
        <w:drawing>
          <wp:inline distT="0" distB="0" distL="0" distR="0" wp14:anchorId="10E486ED" wp14:editId="2A18F5AF">
            <wp:extent cx="5760720" cy="3124200"/>
            <wp:effectExtent l="0" t="0" r="11430" b="19050"/>
            <wp:docPr id="6"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E559B" w:rsidRPr="002C2D40" w:rsidRDefault="00DE559B" w:rsidP="00ED53BF">
      <w:pPr>
        <w:pStyle w:val="Nagwek2"/>
        <w:numPr>
          <w:ilvl w:val="0"/>
          <w:numId w:val="0"/>
        </w:numPr>
        <w:spacing w:before="120"/>
        <w:ind w:left="720" w:hanging="436"/>
        <w:rPr>
          <w:strike/>
          <w:color w:val="FF0000"/>
        </w:rPr>
      </w:pPr>
      <w:r w:rsidRPr="002C2D40">
        <w:t>5.7.</w:t>
      </w:r>
      <w:r w:rsidR="00ED53BF">
        <w:tab/>
      </w:r>
      <w:r w:rsidRPr="002C2D40">
        <w:t>Liczba całkowicie wygranych spraw (wyroki i decyzje o niedopuszczalności)</w:t>
      </w:r>
    </w:p>
    <w:p w:rsidR="00633AE0" w:rsidRPr="002C2D40" w:rsidRDefault="00633AE0" w:rsidP="002C2D40">
      <w:pPr>
        <w:spacing w:before="120" w:after="120"/>
        <w:jc w:val="both"/>
        <w:rPr>
          <w:rFonts w:asciiTheme="minorHAnsi" w:eastAsiaTheme="minorHAnsi" w:hAnsiTheme="minorHAnsi" w:cstheme="minorBidi"/>
          <w:sz w:val="22"/>
          <w:szCs w:val="22"/>
          <w:lang w:eastAsia="en-US"/>
        </w:rPr>
      </w:pPr>
      <w:r w:rsidRPr="002C2D40">
        <w:rPr>
          <w:rFonts w:asciiTheme="minorHAnsi" w:eastAsiaTheme="minorHAnsi" w:hAnsiTheme="minorHAnsi" w:cstheme="minorBidi"/>
          <w:noProof/>
          <w:sz w:val="22"/>
          <w:szCs w:val="22"/>
        </w:rPr>
        <w:drawing>
          <wp:inline distT="0" distB="0" distL="0" distR="0" wp14:anchorId="1A960E46" wp14:editId="09AE42CA">
            <wp:extent cx="5760720" cy="3406140"/>
            <wp:effectExtent l="0" t="0" r="11430" b="22860"/>
            <wp:docPr id="8" name="Wykres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33AE0" w:rsidRDefault="00633AE0" w:rsidP="002C2D40">
      <w:pPr>
        <w:spacing w:before="120" w:after="120"/>
        <w:jc w:val="both"/>
        <w:rPr>
          <w:rFonts w:asciiTheme="minorHAnsi" w:eastAsiaTheme="minorHAnsi" w:hAnsiTheme="minorHAnsi" w:cstheme="minorBidi"/>
          <w:sz w:val="22"/>
          <w:szCs w:val="22"/>
          <w:lang w:eastAsia="en-US"/>
        </w:rPr>
      </w:pPr>
    </w:p>
    <w:p w:rsidR="00674D7A" w:rsidRDefault="00674D7A" w:rsidP="002C2D40">
      <w:pPr>
        <w:spacing w:before="120" w:after="120"/>
        <w:jc w:val="both"/>
        <w:rPr>
          <w:rFonts w:asciiTheme="minorHAnsi" w:eastAsiaTheme="minorHAnsi" w:hAnsiTheme="minorHAnsi" w:cstheme="minorBidi"/>
          <w:sz w:val="22"/>
          <w:szCs w:val="22"/>
          <w:lang w:eastAsia="en-US"/>
        </w:rPr>
      </w:pPr>
    </w:p>
    <w:p w:rsidR="00674D7A" w:rsidRPr="002C2D40" w:rsidRDefault="00674D7A" w:rsidP="002C2D40">
      <w:pPr>
        <w:spacing w:before="120" w:after="120"/>
        <w:jc w:val="both"/>
        <w:rPr>
          <w:rFonts w:asciiTheme="minorHAnsi" w:eastAsiaTheme="minorHAnsi" w:hAnsiTheme="minorHAnsi" w:cstheme="minorBidi"/>
          <w:sz w:val="22"/>
          <w:szCs w:val="22"/>
          <w:lang w:eastAsia="en-US"/>
        </w:rPr>
      </w:pPr>
    </w:p>
    <w:p w:rsidR="00DE559B" w:rsidRPr="002C2D40" w:rsidRDefault="00DE559B" w:rsidP="00ED53BF">
      <w:pPr>
        <w:pStyle w:val="Nagwek2"/>
        <w:numPr>
          <w:ilvl w:val="0"/>
          <w:numId w:val="0"/>
        </w:numPr>
        <w:spacing w:before="120"/>
        <w:ind w:left="720" w:hanging="436"/>
      </w:pPr>
      <w:r w:rsidRPr="002C2D40">
        <w:lastRenderedPageBreak/>
        <w:t>5.8.</w:t>
      </w:r>
      <w:r w:rsidR="00ED53BF">
        <w:tab/>
      </w:r>
      <w:r w:rsidRPr="002C2D40">
        <w:t>Liczba orzeczeń negatywnych i pozytywnych dla rządu</w:t>
      </w:r>
    </w:p>
    <w:p w:rsidR="00633AE0" w:rsidRPr="002C2D40" w:rsidRDefault="00633AE0" w:rsidP="002C2D40">
      <w:pPr>
        <w:spacing w:before="120" w:after="120"/>
        <w:jc w:val="both"/>
        <w:rPr>
          <w:rFonts w:asciiTheme="minorHAnsi" w:eastAsiaTheme="minorHAnsi" w:hAnsiTheme="minorHAnsi" w:cstheme="minorBidi"/>
          <w:sz w:val="22"/>
          <w:szCs w:val="22"/>
          <w:lang w:eastAsia="en-US"/>
        </w:rPr>
      </w:pPr>
      <w:r w:rsidRPr="002C2D40">
        <w:rPr>
          <w:rFonts w:asciiTheme="minorHAnsi" w:eastAsiaTheme="minorHAnsi" w:hAnsiTheme="minorHAnsi" w:cstheme="minorBidi"/>
          <w:noProof/>
          <w:sz w:val="22"/>
          <w:szCs w:val="22"/>
        </w:rPr>
        <w:drawing>
          <wp:inline distT="0" distB="0" distL="0" distR="0" wp14:anchorId="7D44EB10" wp14:editId="57FAC10B">
            <wp:extent cx="5760720" cy="3436620"/>
            <wp:effectExtent l="0" t="0" r="11430" b="11430"/>
            <wp:docPr id="16" name="Wykres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E559B" w:rsidRPr="002C2D40" w:rsidRDefault="00DE559B" w:rsidP="002C2D40">
      <w:pPr>
        <w:spacing w:before="120" w:after="120"/>
        <w:jc w:val="both"/>
        <w:rPr>
          <w:rFonts w:asciiTheme="minorHAnsi" w:eastAsiaTheme="minorHAnsi" w:hAnsiTheme="minorHAnsi" w:cstheme="minorBidi"/>
          <w:sz w:val="22"/>
          <w:szCs w:val="22"/>
          <w:lang w:eastAsia="en-US"/>
        </w:rPr>
      </w:pPr>
    </w:p>
    <w:p w:rsidR="00EE0C32" w:rsidRPr="002C2D40" w:rsidRDefault="00EE0C32" w:rsidP="00ED53BF">
      <w:pPr>
        <w:pStyle w:val="Nagwek2"/>
        <w:numPr>
          <w:ilvl w:val="0"/>
          <w:numId w:val="0"/>
        </w:numPr>
        <w:spacing w:before="120"/>
        <w:ind w:left="709" w:hanging="425"/>
      </w:pPr>
      <w:r w:rsidRPr="002C2D40">
        <w:t>5.9.</w:t>
      </w:r>
      <w:r w:rsidR="00ED53BF">
        <w:tab/>
      </w:r>
      <w:r w:rsidRPr="002C2D40">
        <w:t>Liczba orzeczeń znajdujących się w fazie wykonywania pod nadzorem KM wg stanu na koniec roku w poszczególnych latach</w:t>
      </w:r>
    </w:p>
    <w:p w:rsidR="00633AE0" w:rsidRPr="002C2D40" w:rsidRDefault="00633AE0" w:rsidP="002C2D40">
      <w:pPr>
        <w:spacing w:before="120" w:after="120"/>
        <w:jc w:val="both"/>
        <w:rPr>
          <w:rFonts w:asciiTheme="minorHAnsi" w:eastAsiaTheme="minorHAnsi" w:hAnsiTheme="minorHAnsi" w:cstheme="minorBidi"/>
          <w:sz w:val="22"/>
          <w:szCs w:val="22"/>
          <w:lang w:eastAsia="en-US"/>
        </w:rPr>
      </w:pPr>
      <w:r w:rsidRPr="002C2D40">
        <w:rPr>
          <w:rFonts w:asciiTheme="minorHAnsi" w:eastAsiaTheme="minorHAnsi" w:hAnsiTheme="minorHAnsi" w:cstheme="minorBidi"/>
          <w:noProof/>
          <w:sz w:val="22"/>
          <w:szCs w:val="22"/>
        </w:rPr>
        <w:drawing>
          <wp:inline distT="0" distB="0" distL="0" distR="0" wp14:anchorId="49CCA321" wp14:editId="4A9B048D">
            <wp:extent cx="5760720" cy="2444907"/>
            <wp:effectExtent l="0" t="0" r="11430" b="12700"/>
            <wp:docPr id="9" name="Wykres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74D7A" w:rsidRDefault="00674D7A" w:rsidP="00674D7A">
      <w:pPr>
        <w:rPr>
          <w:rFonts w:eastAsia="Calibri"/>
          <w:lang w:eastAsia="en-US"/>
        </w:rPr>
      </w:pPr>
    </w:p>
    <w:p w:rsidR="00DE559B" w:rsidRPr="002C2D40" w:rsidRDefault="00DE559B" w:rsidP="00ED53BF">
      <w:pPr>
        <w:pStyle w:val="Nagwek2"/>
        <w:numPr>
          <w:ilvl w:val="0"/>
          <w:numId w:val="0"/>
        </w:numPr>
        <w:spacing w:before="120"/>
        <w:ind w:left="720" w:hanging="436"/>
        <w:rPr>
          <w:rFonts w:eastAsia="Calibri"/>
        </w:rPr>
      </w:pPr>
      <w:r w:rsidRPr="002C2D40">
        <w:rPr>
          <w:rFonts w:eastAsia="Calibri"/>
        </w:rPr>
        <w:lastRenderedPageBreak/>
        <w:t>5.</w:t>
      </w:r>
      <w:r w:rsidR="00EE0C32" w:rsidRPr="002C2D40">
        <w:rPr>
          <w:rFonts w:eastAsia="Calibri"/>
        </w:rPr>
        <w:t>10</w:t>
      </w:r>
      <w:r w:rsidRPr="002C2D40">
        <w:rPr>
          <w:rFonts w:eastAsia="Calibri"/>
        </w:rPr>
        <w:t>. Liczba orzeczeń uznanych przez KM za wykonane</w:t>
      </w:r>
    </w:p>
    <w:p w:rsidR="00E50A57" w:rsidRPr="002C2D40" w:rsidRDefault="00633AE0" w:rsidP="002C2D40">
      <w:pPr>
        <w:spacing w:before="120" w:after="120"/>
        <w:jc w:val="both"/>
        <w:rPr>
          <w:rFonts w:asciiTheme="minorHAnsi" w:hAnsiTheme="minorHAnsi"/>
          <w:b/>
        </w:rPr>
      </w:pPr>
      <w:r w:rsidRPr="002C2D40">
        <w:rPr>
          <w:rFonts w:asciiTheme="minorHAnsi" w:eastAsiaTheme="minorHAnsi" w:hAnsiTheme="minorHAnsi" w:cstheme="minorBidi"/>
          <w:noProof/>
          <w:sz w:val="22"/>
          <w:szCs w:val="22"/>
        </w:rPr>
        <w:drawing>
          <wp:inline distT="0" distB="0" distL="0" distR="0" wp14:anchorId="23F84344" wp14:editId="06395D33">
            <wp:extent cx="5760720" cy="2677639"/>
            <wp:effectExtent l="0" t="0" r="11430" b="27940"/>
            <wp:docPr id="10" name="Wykres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B2B93" w:rsidRPr="002C2D40" w:rsidRDefault="005B2B93" w:rsidP="002C2D40">
      <w:pPr>
        <w:pStyle w:val="Nagwek1"/>
        <w:numPr>
          <w:ilvl w:val="0"/>
          <w:numId w:val="0"/>
        </w:numPr>
        <w:spacing w:before="120"/>
        <w:ind w:left="851"/>
        <w:rPr>
          <w:rFonts w:asciiTheme="minorHAnsi" w:hAnsiTheme="minorHAnsi"/>
        </w:rPr>
      </w:pPr>
    </w:p>
    <w:p w:rsidR="00DD0730" w:rsidRPr="002C2D40" w:rsidRDefault="00DD0730" w:rsidP="002C2D40">
      <w:pPr>
        <w:pStyle w:val="Nagwek1"/>
        <w:spacing w:before="120"/>
        <w:rPr>
          <w:rFonts w:asciiTheme="minorHAnsi" w:hAnsiTheme="minorHAnsi"/>
        </w:rPr>
      </w:pPr>
      <w:bookmarkStart w:id="20" w:name="_Toc67656273"/>
      <w:r w:rsidRPr="002C2D40">
        <w:rPr>
          <w:rFonts w:asciiTheme="minorHAnsi" w:hAnsiTheme="minorHAnsi"/>
        </w:rPr>
        <w:t>Podsumowanie</w:t>
      </w:r>
      <w:bookmarkEnd w:id="20"/>
    </w:p>
    <w:p w:rsidR="00F75E0B" w:rsidRPr="002C2D40" w:rsidRDefault="00DD0730" w:rsidP="006500A8">
      <w:pPr>
        <w:pStyle w:val="Akapitzlist"/>
        <w:spacing w:before="120" w:after="0" w:line="240" w:lineRule="auto"/>
        <w:ind w:left="0"/>
        <w:jc w:val="both"/>
        <w:rPr>
          <w:rFonts w:asciiTheme="minorHAnsi" w:hAnsiTheme="minorHAnsi"/>
          <w:sz w:val="24"/>
          <w:szCs w:val="24"/>
          <w:lang w:val="pl-PL"/>
        </w:rPr>
      </w:pPr>
      <w:r w:rsidRPr="002C2D40">
        <w:rPr>
          <w:rFonts w:asciiTheme="minorHAnsi" w:hAnsiTheme="minorHAnsi"/>
          <w:sz w:val="24"/>
          <w:szCs w:val="24"/>
          <w:lang w:val="pl-PL"/>
        </w:rPr>
        <w:t>Raport za 20</w:t>
      </w:r>
      <w:r w:rsidR="00444520" w:rsidRPr="002C2D40">
        <w:rPr>
          <w:rFonts w:asciiTheme="minorHAnsi" w:hAnsiTheme="minorHAnsi"/>
          <w:sz w:val="24"/>
          <w:szCs w:val="24"/>
          <w:lang w:val="pl-PL"/>
        </w:rPr>
        <w:t>20</w:t>
      </w:r>
      <w:r w:rsidR="00807BB7" w:rsidRPr="002C2D40">
        <w:rPr>
          <w:rFonts w:asciiTheme="minorHAnsi" w:hAnsiTheme="minorHAnsi"/>
          <w:sz w:val="24"/>
          <w:szCs w:val="24"/>
          <w:lang w:val="pl-PL"/>
        </w:rPr>
        <w:t xml:space="preserve"> r., tak jak Raporty za lata ubiegłe, jest podsumowaniem </w:t>
      </w:r>
      <w:r w:rsidRPr="002C2D40">
        <w:rPr>
          <w:rFonts w:asciiTheme="minorHAnsi" w:hAnsiTheme="minorHAnsi"/>
          <w:sz w:val="24"/>
          <w:szCs w:val="24"/>
          <w:lang w:val="pl-PL"/>
        </w:rPr>
        <w:t>działa</w:t>
      </w:r>
      <w:r w:rsidR="00807BB7" w:rsidRPr="002C2D40">
        <w:rPr>
          <w:rFonts w:asciiTheme="minorHAnsi" w:hAnsiTheme="minorHAnsi"/>
          <w:sz w:val="24"/>
          <w:szCs w:val="24"/>
          <w:lang w:val="pl-PL"/>
        </w:rPr>
        <w:t xml:space="preserve">ń podejmowanych w trakcie ostatniego roku zarówno przez Ministerstwo Spraw Zagranicznych, jak również przez inne instytucje </w:t>
      </w:r>
      <w:r w:rsidRPr="002C2D40">
        <w:rPr>
          <w:rFonts w:asciiTheme="minorHAnsi" w:hAnsiTheme="minorHAnsi"/>
          <w:sz w:val="24"/>
          <w:szCs w:val="24"/>
        </w:rPr>
        <w:t>odpowiedzialne</w:t>
      </w:r>
      <w:r w:rsidR="00807BB7" w:rsidRPr="002C2D40">
        <w:rPr>
          <w:rFonts w:asciiTheme="minorHAnsi" w:hAnsiTheme="minorHAnsi"/>
          <w:sz w:val="24"/>
          <w:szCs w:val="24"/>
          <w:lang w:val="pl-PL"/>
        </w:rPr>
        <w:t xml:space="preserve"> i zaangażowane w </w:t>
      </w:r>
      <w:r w:rsidRPr="002C2D40">
        <w:rPr>
          <w:rFonts w:asciiTheme="minorHAnsi" w:hAnsiTheme="minorHAnsi"/>
          <w:sz w:val="24"/>
          <w:szCs w:val="24"/>
        </w:rPr>
        <w:t>wykonanie poszczególnych wyroków Trybunału</w:t>
      </w:r>
      <w:r w:rsidRPr="002C2D40">
        <w:rPr>
          <w:rFonts w:asciiTheme="minorHAnsi" w:hAnsiTheme="minorHAnsi"/>
          <w:sz w:val="24"/>
          <w:szCs w:val="24"/>
          <w:lang w:val="pl-PL"/>
        </w:rPr>
        <w:t xml:space="preserve">. </w:t>
      </w:r>
    </w:p>
    <w:p w:rsidR="007F54DB" w:rsidRPr="002C2D40" w:rsidRDefault="00807BB7" w:rsidP="006500A8">
      <w:pPr>
        <w:pStyle w:val="Akapitzlist"/>
        <w:spacing w:before="120" w:after="0" w:line="240" w:lineRule="auto"/>
        <w:ind w:left="0"/>
        <w:jc w:val="both"/>
        <w:rPr>
          <w:rFonts w:asciiTheme="minorHAnsi" w:hAnsiTheme="minorHAnsi"/>
          <w:sz w:val="24"/>
          <w:szCs w:val="24"/>
          <w:lang w:val="pl-PL"/>
        </w:rPr>
      </w:pPr>
      <w:r w:rsidRPr="002C2D40">
        <w:rPr>
          <w:rFonts w:asciiTheme="minorHAnsi" w:hAnsiTheme="minorHAnsi"/>
          <w:sz w:val="24"/>
          <w:szCs w:val="24"/>
          <w:lang w:val="pl-PL"/>
        </w:rPr>
        <w:t>S</w:t>
      </w:r>
      <w:r w:rsidR="00DD0730" w:rsidRPr="002C2D40">
        <w:rPr>
          <w:rFonts w:asciiTheme="minorHAnsi" w:hAnsiTheme="minorHAnsi"/>
          <w:sz w:val="24"/>
          <w:szCs w:val="24"/>
          <w:lang w:val="pl-PL"/>
        </w:rPr>
        <w:t>zczegółow</w:t>
      </w:r>
      <w:r w:rsidRPr="002C2D40">
        <w:rPr>
          <w:rFonts w:asciiTheme="minorHAnsi" w:hAnsiTheme="minorHAnsi"/>
          <w:sz w:val="24"/>
          <w:szCs w:val="24"/>
          <w:lang w:val="pl-PL"/>
        </w:rPr>
        <w:t xml:space="preserve">e informacje zawarte w </w:t>
      </w:r>
      <w:r w:rsidR="007F54DB" w:rsidRPr="002C2D40">
        <w:rPr>
          <w:rFonts w:asciiTheme="minorHAnsi" w:hAnsiTheme="minorHAnsi"/>
          <w:sz w:val="24"/>
          <w:szCs w:val="24"/>
          <w:lang w:val="pl-PL"/>
        </w:rPr>
        <w:t>R</w:t>
      </w:r>
      <w:r w:rsidR="00DD0730" w:rsidRPr="002C2D40">
        <w:rPr>
          <w:rFonts w:asciiTheme="minorHAnsi" w:hAnsiTheme="minorHAnsi"/>
          <w:sz w:val="24"/>
          <w:szCs w:val="24"/>
          <w:lang w:val="pl-PL"/>
        </w:rPr>
        <w:t>apor</w:t>
      </w:r>
      <w:r w:rsidRPr="002C2D40">
        <w:rPr>
          <w:rFonts w:asciiTheme="minorHAnsi" w:hAnsiTheme="minorHAnsi"/>
          <w:sz w:val="24"/>
          <w:szCs w:val="24"/>
          <w:lang w:val="pl-PL"/>
        </w:rPr>
        <w:t xml:space="preserve">cie </w:t>
      </w:r>
      <w:r w:rsidR="00DD0730" w:rsidRPr="002C2D40">
        <w:rPr>
          <w:rFonts w:asciiTheme="minorHAnsi" w:hAnsiTheme="minorHAnsi"/>
          <w:sz w:val="24"/>
          <w:szCs w:val="24"/>
          <w:lang w:val="pl-PL"/>
        </w:rPr>
        <w:t xml:space="preserve">oraz jego </w:t>
      </w:r>
      <w:r w:rsidRPr="002C2D40">
        <w:rPr>
          <w:rFonts w:asciiTheme="minorHAnsi" w:hAnsiTheme="minorHAnsi"/>
          <w:sz w:val="24"/>
          <w:szCs w:val="24"/>
          <w:lang w:val="pl-PL"/>
        </w:rPr>
        <w:t>upublicznienie</w:t>
      </w:r>
      <w:r w:rsidR="00DD0730" w:rsidRPr="002C2D40">
        <w:rPr>
          <w:rFonts w:asciiTheme="minorHAnsi" w:hAnsiTheme="minorHAnsi"/>
          <w:sz w:val="24"/>
          <w:szCs w:val="24"/>
          <w:lang w:val="pl-PL"/>
        </w:rPr>
        <w:t xml:space="preserve"> po przyjęciu przez Radę Ministrów służ</w:t>
      </w:r>
      <w:r w:rsidR="00F75E0B" w:rsidRPr="002C2D40">
        <w:rPr>
          <w:rFonts w:asciiTheme="minorHAnsi" w:hAnsiTheme="minorHAnsi"/>
          <w:sz w:val="24"/>
          <w:szCs w:val="24"/>
          <w:lang w:val="pl-PL"/>
        </w:rPr>
        <w:t>ą</w:t>
      </w:r>
      <w:r w:rsidR="00DD0730" w:rsidRPr="002C2D40">
        <w:rPr>
          <w:rFonts w:asciiTheme="minorHAnsi" w:hAnsiTheme="minorHAnsi"/>
          <w:sz w:val="24"/>
          <w:szCs w:val="24"/>
          <w:lang w:val="pl-PL"/>
        </w:rPr>
        <w:t xml:space="preserve"> </w:t>
      </w:r>
      <w:r w:rsidR="007F54DB" w:rsidRPr="002C2D40">
        <w:rPr>
          <w:rFonts w:asciiTheme="minorHAnsi" w:hAnsiTheme="minorHAnsi"/>
          <w:sz w:val="24"/>
          <w:szCs w:val="24"/>
          <w:lang w:val="pl-PL"/>
        </w:rPr>
        <w:t xml:space="preserve">nie tylko zapewnieniu </w:t>
      </w:r>
      <w:r w:rsidRPr="002C2D40">
        <w:rPr>
          <w:rFonts w:asciiTheme="minorHAnsi" w:hAnsiTheme="minorHAnsi"/>
          <w:sz w:val="24"/>
          <w:szCs w:val="24"/>
          <w:lang w:val="pl-PL"/>
        </w:rPr>
        <w:t xml:space="preserve">kompleksowej </w:t>
      </w:r>
      <w:r w:rsidR="007F54DB" w:rsidRPr="002C2D40">
        <w:rPr>
          <w:rFonts w:asciiTheme="minorHAnsi" w:hAnsiTheme="minorHAnsi"/>
          <w:sz w:val="24"/>
          <w:szCs w:val="24"/>
          <w:lang w:val="pl-PL"/>
        </w:rPr>
        <w:t xml:space="preserve">informacji na temat wykonywania przez Polskę </w:t>
      </w:r>
      <w:r w:rsidRPr="002C2D40">
        <w:rPr>
          <w:rFonts w:asciiTheme="minorHAnsi" w:hAnsiTheme="minorHAnsi"/>
          <w:sz w:val="24"/>
          <w:szCs w:val="24"/>
          <w:lang w:val="pl-PL"/>
        </w:rPr>
        <w:t>orzeczeń</w:t>
      </w:r>
      <w:r w:rsidR="007F54DB" w:rsidRPr="002C2D40">
        <w:rPr>
          <w:rFonts w:asciiTheme="minorHAnsi" w:hAnsiTheme="minorHAnsi"/>
          <w:sz w:val="24"/>
          <w:szCs w:val="24"/>
          <w:lang w:val="pl-PL"/>
        </w:rPr>
        <w:t xml:space="preserve"> Trybunału, ale również </w:t>
      </w:r>
      <w:r w:rsidR="00DD0730" w:rsidRPr="002C2D40">
        <w:rPr>
          <w:rFonts w:asciiTheme="minorHAnsi" w:hAnsiTheme="minorHAnsi"/>
          <w:sz w:val="24"/>
          <w:szCs w:val="24"/>
          <w:lang w:val="pl-PL"/>
        </w:rPr>
        <w:t xml:space="preserve">zwiększeniu </w:t>
      </w:r>
      <w:r w:rsidRPr="002C2D40">
        <w:rPr>
          <w:rFonts w:asciiTheme="minorHAnsi" w:hAnsiTheme="minorHAnsi"/>
          <w:sz w:val="24"/>
          <w:szCs w:val="24"/>
          <w:lang w:val="pl-PL"/>
        </w:rPr>
        <w:t xml:space="preserve">przejrzystości </w:t>
      </w:r>
      <w:r w:rsidR="00DD0730" w:rsidRPr="002C2D40">
        <w:rPr>
          <w:rFonts w:asciiTheme="minorHAnsi" w:hAnsiTheme="minorHAnsi"/>
          <w:sz w:val="24"/>
          <w:szCs w:val="24"/>
          <w:lang w:val="pl-PL"/>
        </w:rPr>
        <w:t xml:space="preserve">działań </w:t>
      </w:r>
      <w:r w:rsidR="00ED53BF">
        <w:rPr>
          <w:rFonts w:asciiTheme="minorHAnsi" w:hAnsiTheme="minorHAnsi"/>
          <w:sz w:val="24"/>
          <w:szCs w:val="24"/>
          <w:lang w:val="pl-PL"/>
        </w:rPr>
        <w:t>R</w:t>
      </w:r>
      <w:r w:rsidR="00DD0730" w:rsidRPr="002C2D40">
        <w:rPr>
          <w:rFonts w:asciiTheme="minorHAnsi" w:hAnsiTheme="minorHAnsi"/>
          <w:sz w:val="24"/>
          <w:szCs w:val="24"/>
          <w:lang w:val="pl-PL"/>
        </w:rPr>
        <w:t xml:space="preserve">ządu w </w:t>
      </w:r>
      <w:r w:rsidR="007F54DB" w:rsidRPr="002C2D40">
        <w:rPr>
          <w:rFonts w:asciiTheme="minorHAnsi" w:hAnsiTheme="minorHAnsi"/>
          <w:sz w:val="24"/>
          <w:szCs w:val="24"/>
          <w:lang w:val="pl-PL"/>
        </w:rPr>
        <w:t xml:space="preserve">tym </w:t>
      </w:r>
      <w:r w:rsidRPr="002C2D40">
        <w:rPr>
          <w:rFonts w:asciiTheme="minorHAnsi" w:hAnsiTheme="minorHAnsi"/>
          <w:sz w:val="24"/>
          <w:szCs w:val="24"/>
          <w:lang w:val="pl-PL"/>
        </w:rPr>
        <w:t>zakresie</w:t>
      </w:r>
      <w:r w:rsidR="00DD0730" w:rsidRPr="002C2D40">
        <w:rPr>
          <w:rFonts w:asciiTheme="minorHAnsi" w:hAnsiTheme="minorHAnsi"/>
          <w:sz w:val="24"/>
          <w:szCs w:val="24"/>
          <w:lang w:val="pl-PL"/>
        </w:rPr>
        <w:t>. Informacje zawarte</w:t>
      </w:r>
      <w:r w:rsidR="007F54DB" w:rsidRPr="002C2D40">
        <w:rPr>
          <w:rFonts w:asciiTheme="minorHAnsi" w:hAnsiTheme="minorHAnsi"/>
          <w:sz w:val="24"/>
          <w:szCs w:val="24"/>
          <w:lang w:val="pl-PL"/>
        </w:rPr>
        <w:t xml:space="preserve"> w Raporcie</w:t>
      </w:r>
      <w:r w:rsidR="00DD0730" w:rsidRPr="002C2D40">
        <w:rPr>
          <w:rFonts w:asciiTheme="minorHAnsi" w:hAnsiTheme="minorHAnsi"/>
          <w:sz w:val="24"/>
          <w:szCs w:val="24"/>
          <w:lang w:val="pl-PL"/>
        </w:rPr>
        <w:t>, a zwłaszcza przedstawione statystyki, pozwalają na stwierdzenie, że podejmowane w ostatnich latach działania na rzecz realizacji orzeczeń Trybunału w polskich sprawach przynoszą pozytywne rezultaty.</w:t>
      </w:r>
      <w:r w:rsidR="007F54DB" w:rsidRPr="002C2D40">
        <w:rPr>
          <w:rFonts w:asciiTheme="minorHAnsi" w:hAnsiTheme="minorHAnsi"/>
          <w:sz w:val="24"/>
          <w:szCs w:val="24"/>
          <w:lang w:val="pl-PL"/>
        </w:rPr>
        <w:t xml:space="preserve"> Warto podkreślić, że działania </w:t>
      </w:r>
      <w:r w:rsidRPr="002C2D40">
        <w:rPr>
          <w:rFonts w:asciiTheme="minorHAnsi" w:hAnsiTheme="minorHAnsi"/>
          <w:sz w:val="24"/>
          <w:szCs w:val="24"/>
          <w:lang w:val="pl-PL"/>
        </w:rPr>
        <w:t xml:space="preserve">krajowe </w:t>
      </w:r>
      <w:r w:rsidR="007F54DB" w:rsidRPr="002C2D40">
        <w:rPr>
          <w:rFonts w:asciiTheme="minorHAnsi" w:hAnsiTheme="minorHAnsi"/>
          <w:sz w:val="24"/>
          <w:szCs w:val="24"/>
          <w:lang w:val="pl-PL"/>
        </w:rPr>
        <w:t xml:space="preserve">nie były oderwane od szerszego kontekstu </w:t>
      </w:r>
      <w:r w:rsidR="00E25285" w:rsidRPr="002C2D40">
        <w:rPr>
          <w:rFonts w:asciiTheme="minorHAnsi" w:hAnsiTheme="minorHAnsi"/>
          <w:sz w:val="24"/>
          <w:szCs w:val="24"/>
          <w:lang w:val="pl-PL"/>
        </w:rPr>
        <w:t xml:space="preserve">wysiłków podejmowanych na forum Rady Europy, </w:t>
      </w:r>
      <w:r w:rsidRPr="002C2D40">
        <w:rPr>
          <w:rFonts w:asciiTheme="minorHAnsi" w:hAnsiTheme="minorHAnsi"/>
          <w:sz w:val="24"/>
          <w:szCs w:val="24"/>
          <w:lang w:val="pl-PL"/>
        </w:rPr>
        <w:t xml:space="preserve">które zmierzają do </w:t>
      </w:r>
      <w:r w:rsidR="00E25285" w:rsidRPr="002C2D40">
        <w:rPr>
          <w:rFonts w:asciiTheme="minorHAnsi" w:hAnsiTheme="minorHAnsi"/>
          <w:sz w:val="24"/>
          <w:szCs w:val="24"/>
          <w:lang w:val="pl-PL"/>
        </w:rPr>
        <w:t>zwiększeni</w:t>
      </w:r>
      <w:r w:rsidRPr="002C2D40">
        <w:rPr>
          <w:rFonts w:asciiTheme="minorHAnsi" w:hAnsiTheme="minorHAnsi"/>
          <w:sz w:val="24"/>
          <w:szCs w:val="24"/>
          <w:lang w:val="pl-PL"/>
        </w:rPr>
        <w:t>a</w:t>
      </w:r>
      <w:r w:rsidR="00E25285" w:rsidRPr="002C2D40">
        <w:rPr>
          <w:rFonts w:asciiTheme="minorHAnsi" w:hAnsiTheme="minorHAnsi"/>
          <w:sz w:val="24"/>
          <w:szCs w:val="24"/>
          <w:lang w:val="pl-PL"/>
        </w:rPr>
        <w:t xml:space="preserve"> wydajności i wzmocnieni</w:t>
      </w:r>
      <w:r w:rsidRPr="002C2D40">
        <w:rPr>
          <w:rFonts w:asciiTheme="minorHAnsi" w:hAnsiTheme="minorHAnsi"/>
          <w:sz w:val="24"/>
          <w:szCs w:val="24"/>
          <w:lang w:val="pl-PL"/>
        </w:rPr>
        <w:t>a</w:t>
      </w:r>
      <w:r w:rsidR="00E25285" w:rsidRPr="002C2D40">
        <w:rPr>
          <w:rFonts w:asciiTheme="minorHAnsi" w:hAnsiTheme="minorHAnsi"/>
          <w:sz w:val="24"/>
          <w:szCs w:val="24"/>
          <w:lang w:val="pl-PL"/>
        </w:rPr>
        <w:t xml:space="preserve"> systemu ustanowionego Europejską Konwencją Praw Człowieka. Pełnomocnik bierze aktywny udział w przedmiotowych pracach RE. </w:t>
      </w:r>
    </w:p>
    <w:p w:rsidR="00E40C25" w:rsidRPr="002C2D40" w:rsidRDefault="00E40C25" w:rsidP="006500A8">
      <w:pPr>
        <w:pStyle w:val="Akapitzlist"/>
        <w:spacing w:before="120" w:after="0" w:line="240" w:lineRule="auto"/>
        <w:ind w:left="0"/>
        <w:jc w:val="both"/>
        <w:rPr>
          <w:rFonts w:asciiTheme="minorHAnsi" w:hAnsiTheme="minorHAnsi"/>
          <w:sz w:val="24"/>
          <w:szCs w:val="24"/>
          <w:lang w:val="pl-PL"/>
        </w:rPr>
      </w:pPr>
      <w:r w:rsidRPr="002C2D40">
        <w:rPr>
          <w:rFonts w:asciiTheme="minorHAnsi" w:hAnsiTheme="minorHAnsi"/>
          <w:sz w:val="24"/>
          <w:szCs w:val="24"/>
          <w:lang w:val="pl-PL"/>
        </w:rPr>
        <w:t>Implementacja orzeczeń Europejskiego Trybunału Praw Człowieka to proces złożony, wymagający podejmowania działań przez wiele podmiotów administracji rządowej, wobec których Ministerstwo Spraw Zagranicznych pełni rolę koordynacyjną i reprezentacyjną względem Komitetu Ministrów Rady Europy. Kluczem do sukcesu w skutecznym wykonywaniu wyroków jest dobra współpraca pomiędzy MSZ a podmiotami bezpośrednio odpowiedzialnymi za wykonanie orzeczenia.</w:t>
      </w:r>
    </w:p>
    <w:p w:rsidR="00DD0730" w:rsidRPr="002C2D40" w:rsidRDefault="00E25285" w:rsidP="006500A8">
      <w:pPr>
        <w:pStyle w:val="Akapitzlist"/>
        <w:spacing w:before="120" w:after="0" w:line="240" w:lineRule="auto"/>
        <w:ind w:left="0"/>
        <w:jc w:val="both"/>
        <w:rPr>
          <w:rFonts w:asciiTheme="minorHAnsi" w:hAnsiTheme="minorHAnsi"/>
          <w:sz w:val="24"/>
          <w:szCs w:val="24"/>
          <w:lang w:val="pl-PL"/>
        </w:rPr>
      </w:pPr>
      <w:r w:rsidRPr="002C2D40">
        <w:rPr>
          <w:rFonts w:asciiTheme="minorHAnsi" w:hAnsiTheme="minorHAnsi"/>
          <w:sz w:val="24"/>
          <w:szCs w:val="24"/>
          <w:lang w:val="pl-PL"/>
        </w:rPr>
        <w:t xml:space="preserve">Należy jednak </w:t>
      </w:r>
      <w:r w:rsidR="00807BB7" w:rsidRPr="002C2D40">
        <w:rPr>
          <w:rFonts w:asciiTheme="minorHAnsi" w:hAnsiTheme="minorHAnsi"/>
          <w:sz w:val="24"/>
          <w:szCs w:val="24"/>
          <w:lang w:val="pl-PL"/>
        </w:rPr>
        <w:t>wskazać</w:t>
      </w:r>
      <w:r w:rsidR="007F54DB" w:rsidRPr="002C2D40">
        <w:rPr>
          <w:rFonts w:asciiTheme="minorHAnsi" w:hAnsiTheme="minorHAnsi"/>
          <w:sz w:val="24"/>
          <w:szCs w:val="24"/>
          <w:lang w:val="pl-PL"/>
        </w:rPr>
        <w:t xml:space="preserve">, że </w:t>
      </w:r>
      <w:r w:rsidR="00DD0730" w:rsidRPr="002C2D40">
        <w:rPr>
          <w:rFonts w:asciiTheme="minorHAnsi" w:hAnsiTheme="minorHAnsi"/>
          <w:sz w:val="24"/>
          <w:szCs w:val="24"/>
          <w:lang w:val="pl-PL"/>
        </w:rPr>
        <w:t xml:space="preserve">pomimo </w:t>
      </w:r>
      <w:r w:rsidR="00807BB7" w:rsidRPr="002C2D40">
        <w:rPr>
          <w:rFonts w:asciiTheme="minorHAnsi" w:hAnsiTheme="minorHAnsi"/>
          <w:sz w:val="24"/>
          <w:szCs w:val="24"/>
          <w:lang w:val="pl-PL"/>
        </w:rPr>
        <w:t>dużego</w:t>
      </w:r>
      <w:r w:rsidR="00DD0730" w:rsidRPr="002C2D40">
        <w:rPr>
          <w:rFonts w:asciiTheme="minorHAnsi" w:hAnsiTheme="minorHAnsi"/>
          <w:sz w:val="24"/>
          <w:szCs w:val="24"/>
          <w:lang w:val="pl-PL"/>
        </w:rPr>
        <w:t xml:space="preserve"> </w:t>
      </w:r>
      <w:r w:rsidR="00807BB7" w:rsidRPr="002C2D40">
        <w:rPr>
          <w:rFonts w:asciiTheme="minorHAnsi" w:hAnsiTheme="minorHAnsi"/>
          <w:sz w:val="24"/>
          <w:szCs w:val="24"/>
          <w:lang w:val="pl-PL"/>
        </w:rPr>
        <w:t xml:space="preserve">nakładu pracy skutkującego </w:t>
      </w:r>
      <w:r w:rsidR="00DD0730" w:rsidRPr="002C2D40">
        <w:rPr>
          <w:rFonts w:asciiTheme="minorHAnsi" w:hAnsiTheme="minorHAnsi"/>
          <w:sz w:val="24"/>
          <w:szCs w:val="24"/>
          <w:lang w:val="pl-PL"/>
        </w:rPr>
        <w:t>pozytywny</w:t>
      </w:r>
      <w:r w:rsidR="00807BB7" w:rsidRPr="002C2D40">
        <w:rPr>
          <w:rFonts w:asciiTheme="minorHAnsi" w:hAnsiTheme="minorHAnsi"/>
          <w:sz w:val="24"/>
          <w:szCs w:val="24"/>
          <w:lang w:val="pl-PL"/>
        </w:rPr>
        <w:t>mi</w:t>
      </w:r>
      <w:r w:rsidR="00DD0730" w:rsidRPr="002C2D40">
        <w:rPr>
          <w:rFonts w:asciiTheme="minorHAnsi" w:hAnsiTheme="minorHAnsi"/>
          <w:sz w:val="24"/>
          <w:szCs w:val="24"/>
          <w:lang w:val="pl-PL"/>
        </w:rPr>
        <w:t xml:space="preserve"> wynik</w:t>
      </w:r>
      <w:r w:rsidR="00807BB7" w:rsidRPr="002C2D40">
        <w:rPr>
          <w:rFonts w:asciiTheme="minorHAnsi" w:hAnsiTheme="minorHAnsi"/>
          <w:sz w:val="24"/>
          <w:szCs w:val="24"/>
          <w:lang w:val="pl-PL"/>
        </w:rPr>
        <w:t>ami</w:t>
      </w:r>
      <w:r w:rsidR="00DD0730" w:rsidRPr="002C2D40">
        <w:rPr>
          <w:rFonts w:asciiTheme="minorHAnsi" w:hAnsiTheme="minorHAnsi"/>
          <w:sz w:val="24"/>
          <w:szCs w:val="24"/>
          <w:lang w:val="pl-PL"/>
        </w:rPr>
        <w:t xml:space="preserve">, </w:t>
      </w:r>
      <w:r w:rsidR="00A2220F">
        <w:rPr>
          <w:rFonts w:asciiTheme="minorHAnsi" w:hAnsiTheme="minorHAnsi"/>
          <w:sz w:val="24"/>
          <w:szCs w:val="24"/>
          <w:lang w:val="pl-PL"/>
        </w:rPr>
        <w:t>niektóre</w:t>
      </w:r>
      <w:r w:rsidR="00807BB7" w:rsidRPr="002C2D40">
        <w:rPr>
          <w:rFonts w:asciiTheme="minorHAnsi" w:hAnsiTheme="minorHAnsi"/>
          <w:sz w:val="24"/>
          <w:szCs w:val="24"/>
          <w:lang w:val="pl-PL"/>
        </w:rPr>
        <w:t xml:space="preserve"> </w:t>
      </w:r>
      <w:r w:rsidR="00A2220F" w:rsidRPr="002C2D40">
        <w:rPr>
          <w:rFonts w:asciiTheme="minorHAnsi" w:hAnsiTheme="minorHAnsi"/>
          <w:sz w:val="24"/>
          <w:szCs w:val="24"/>
          <w:lang w:val="pl-PL"/>
        </w:rPr>
        <w:t xml:space="preserve">orzeczenia Trybunału </w:t>
      </w:r>
      <w:r w:rsidR="00807BB7" w:rsidRPr="002C2D40">
        <w:rPr>
          <w:rFonts w:asciiTheme="minorHAnsi" w:hAnsiTheme="minorHAnsi"/>
          <w:sz w:val="24"/>
          <w:szCs w:val="24"/>
          <w:lang w:val="pl-PL"/>
        </w:rPr>
        <w:t>nadal pozostają w nadzorze Komitetu Ministrów Rady Europy, w tym niektóre już od wielu lat</w:t>
      </w:r>
      <w:r w:rsidR="00A2220F">
        <w:rPr>
          <w:rFonts w:asciiTheme="minorHAnsi" w:hAnsiTheme="minorHAnsi"/>
          <w:sz w:val="24"/>
          <w:szCs w:val="24"/>
          <w:lang w:val="pl-PL"/>
        </w:rPr>
        <w:t>. Dlatego</w:t>
      </w:r>
      <w:r w:rsidR="00807BB7" w:rsidRPr="002C2D40">
        <w:rPr>
          <w:rFonts w:asciiTheme="minorHAnsi" w:hAnsiTheme="minorHAnsi"/>
          <w:sz w:val="24"/>
          <w:szCs w:val="24"/>
          <w:lang w:val="pl-PL"/>
        </w:rPr>
        <w:t xml:space="preserve"> na poziomie krajowym </w:t>
      </w:r>
      <w:r w:rsidR="00A2220F">
        <w:rPr>
          <w:rFonts w:asciiTheme="minorHAnsi" w:hAnsiTheme="minorHAnsi"/>
          <w:sz w:val="24"/>
          <w:szCs w:val="24"/>
          <w:lang w:val="pl-PL"/>
        </w:rPr>
        <w:t xml:space="preserve">nadal konieczne </w:t>
      </w:r>
      <w:r w:rsidR="00DD0730" w:rsidRPr="002C2D40">
        <w:rPr>
          <w:rFonts w:asciiTheme="minorHAnsi" w:hAnsiTheme="minorHAnsi"/>
          <w:sz w:val="24"/>
          <w:szCs w:val="24"/>
          <w:lang w:val="pl-PL"/>
        </w:rPr>
        <w:t xml:space="preserve">będzie </w:t>
      </w:r>
      <w:r w:rsidR="00A2220F">
        <w:rPr>
          <w:rFonts w:asciiTheme="minorHAnsi" w:hAnsiTheme="minorHAnsi"/>
          <w:sz w:val="24"/>
          <w:szCs w:val="24"/>
          <w:lang w:val="pl-PL"/>
        </w:rPr>
        <w:t>podejmowanie</w:t>
      </w:r>
      <w:r w:rsidR="00DD0730" w:rsidRPr="002C2D40">
        <w:rPr>
          <w:rFonts w:asciiTheme="minorHAnsi" w:hAnsiTheme="minorHAnsi"/>
          <w:sz w:val="24"/>
          <w:szCs w:val="24"/>
          <w:lang w:val="pl-PL"/>
        </w:rPr>
        <w:t xml:space="preserve"> działań zarówno w zakresie zmiany prawa jak i dostosowania praktyki jego stosowania do standardów wynikających z Konwencji i orzecznictwa Trybunału</w:t>
      </w:r>
      <w:r w:rsidR="007F54DB" w:rsidRPr="002C2D40">
        <w:rPr>
          <w:rFonts w:asciiTheme="minorHAnsi" w:hAnsiTheme="minorHAnsi"/>
          <w:sz w:val="24"/>
          <w:szCs w:val="24"/>
          <w:lang w:val="pl-PL"/>
        </w:rPr>
        <w:t xml:space="preserve">. </w:t>
      </w:r>
    </w:p>
    <w:p w:rsidR="00A3595B" w:rsidRPr="002C2D40" w:rsidRDefault="00BC724C" w:rsidP="006500A8">
      <w:pPr>
        <w:spacing w:before="120"/>
        <w:jc w:val="both"/>
        <w:rPr>
          <w:rFonts w:asciiTheme="minorHAnsi" w:hAnsiTheme="minorHAnsi"/>
        </w:rPr>
      </w:pPr>
      <w:r w:rsidRPr="002C2D40">
        <w:rPr>
          <w:rFonts w:asciiTheme="minorHAnsi" w:hAnsiTheme="minorHAnsi"/>
        </w:rPr>
        <w:lastRenderedPageBreak/>
        <w:t>Należy podkreślić, że pomimo szczególnej sytuacji</w:t>
      </w:r>
      <w:r w:rsidR="00A2220F">
        <w:rPr>
          <w:rFonts w:asciiTheme="minorHAnsi" w:hAnsiTheme="minorHAnsi"/>
        </w:rPr>
        <w:t>,</w:t>
      </w:r>
      <w:r w:rsidRPr="002C2D40">
        <w:rPr>
          <w:rFonts w:asciiTheme="minorHAnsi" w:hAnsiTheme="minorHAnsi"/>
        </w:rPr>
        <w:t xml:space="preserve"> jaka miała miejsce w 2020 r.</w:t>
      </w:r>
      <w:r w:rsidR="00A2220F">
        <w:rPr>
          <w:rFonts w:asciiTheme="minorHAnsi" w:hAnsiTheme="minorHAnsi"/>
        </w:rPr>
        <w:t>,</w:t>
      </w:r>
      <w:r w:rsidRPr="002C2D40">
        <w:rPr>
          <w:rFonts w:asciiTheme="minorHAnsi" w:hAnsiTheme="minorHAnsi"/>
        </w:rPr>
        <w:t xml:space="preserve"> związanej z epidemią wirusa SARS-Co</w:t>
      </w:r>
      <w:r w:rsidR="00441DA2">
        <w:rPr>
          <w:rFonts w:asciiTheme="minorHAnsi" w:hAnsiTheme="minorHAnsi"/>
        </w:rPr>
        <w:t>V</w:t>
      </w:r>
      <w:r w:rsidRPr="002C2D40">
        <w:rPr>
          <w:rFonts w:asciiTheme="minorHAnsi" w:hAnsiTheme="minorHAnsi"/>
        </w:rPr>
        <w:t>-2, n</w:t>
      </w:r>
      <w:r w:rsidR="00DD0730" w:rsidRPr="002C2D40">
        <w:rPr>
          <w:rFonts w:asciiTheme="minorHAnsi" w:hAnsiTheme="minorHAnsi"/>
        </w:rPr>
        <w:t>a koniec 20</w:t>
      </w:r>
      <w:r w:rsidR="00AF6ADF" w:rsidRPr="002C2D40">
        <w:rPr>
          <w:rFonts w:asciiTheme="minorHAnsi" w:hAnsiTheme="minorHAnsi"/>
        </w:rPr>
        <w:t>20</w:t>
      </w:r>
      <w:r w:rsidR="00DD0730" w:rsidRPr="002C2D40">
        <w:rPr>
          <w:rFonts w:asciiTheme="minorHAnsi" w:hAnsiTheme="minorHAnsi"/>
        </w:rPr>
        <w:t xml:space="preserve"> r. liczba orzeczeń wydanych przeciwko Polsce</w:t>
      </w:r>
      <w:r w:rsidR="00F75E0B" w:rsidRPr="002C2D40">
        <w:rPr>
          <w:rFonts w:asciiTheme="minorHAnsi" w:hAnsiTheme="minorHAnsi"/>
        </w:rPr>
        <w:t>,</w:t>
      </w:r>
      <w:r w:rsidR="00DD0730" w:rsidRPr="002C2D40">
        <w:rPr>
          <w:rFonts w:asciiTheme="minorHAnsi" w:hAnsiTheme="minorHAnsi"/>
        </w:rPr>
        <w:t xml:space="preserve"> znajdujących się </w:t>
      </w:r>
      <w:r w:rsidR="00A2220F">
        <w:rPr>
          <w:rFonts w:asciiTheme="minorHAnsi" w:hAnsiTheme="minorHAnsi"/>
        </w:rPr>
        <w:t>pod</w:t>
      </w:r>
      <w:r w:rsidR="00A2220F" w:rsidRPr="002C2D40">
        <w:rPr>
          <w:rFonts w:asciiTheme="minorHAnsi" w:hAnsiTheme="minorHAnsi"/>
        </w:rPr>
        <w:t xml:space="preserve"> </w:t>
      </w:r>
      <w:r w:rsidR="00DD0730" w:rsidRPr="002C2D40">
        <w:rPr>
          <w:rFonts w:asciiTheme="minorHAnsi" w:hAnsiTheme="minorHAnsi"/>
        </w:rPr>
        <w:t>nadzor</w:t>
      </w:r>
      <w:r w:rsidR="00A2220F">
        <w:rPr>
          <w:rFonts w:asciiTheme="minorHAnsi" w:hAnsiTheme="minorHAnsi"/>
        </w:rPr>
        <w:t>em</w:t>
      </w:r>
      <w:r w:rsidR="00DD0730" w:rsidRPr="002C2D40">
        <w:rPr>
          <w:rFonts w:asciiTheme="minorHAnsi" w:hAnsiTheme="minorHAnsi"/>
        </w:rPr>
        <w:t xml:space="preserve"> Komitetu Mi</w:t>
      </w:r>
      <w:r w:rsidR="006753AD" w:rsidRPr="002C2D40">
        <w:rPr>
          <w:rFonts w:asciiTheme="minorHAnsi" w:hAnsiTheme="minorHAnsi"/>
        </w:rPr>
        <w:t>nistrów Rady Europy</w:t>
      </w:r>
      <w:r w:rsidR="00F75E0B" w:rsidRPr="002C2D40">
        <w:rPr>
          <w:rFonts w:asciiTheme="minorHAnsi" w:hAnsiTheme="minorHAnsi"/>
        </w:rPr>
        <w:t>,</w:t>
      </w:r>
      <w:r w:rsidR="006753AD" w:rsidRPr="002C2D40">
        <w:rPr>
          <w:rFonts w:asciiTheme="minorHAnsi" w:hAnsiTheme="minorHAnsi"/>
        </w:rPr>
        <w:t xml:space="preserve"> </w:t>
      </w:r>
      <w:r w:rsidRPr="002C2D40">
        <w:rPr>
          <w:rFonts w:asciiTheme="minorHAnsi" w:hAnsiTheme="minorHAnsi"/>
        </w:rPr>
        <w:t xml:space="preserve">po raz kolejny </w:t>
      </w:r>
      <w:r w:rsidR="006753AD" w:rsidRPr="002C2D40">
        <w:rPr>
          <w:rFonts w:asciiTheme="minorHAnsi" w:hAnsiTheme="minorHAnsi"/>
        </w:rPr>
        <w:t>spadła</w:t>
      </w:r>
      <w:r w:rsidRPr="002C2D40">
        <w:rPr>
          <w:rFonts w:asciiTheme="minorHAnsi" w:hAnsiTheme="minorHAnsi"/>
        </w:rPr>
        <w:t xml:space="preserve">. Liczba </w:t>
      </w:r>
      <w:r w:rsidR="00AF6ADF" w:rsidRPr="002C2D40">
        <w:rPr>
          <w:rFonts w:asciiTheme="minorHAnsi" w:hAnsiTheme="minorHAnsi"/>
        </w:rPr>
        <w:t>89</w:t>
      </w:r>
      <w:r w:rsidR="00665CB9" w:rsidRPr="002C2D40">
        <w:rPr>
          <w:rFonts w:asciiTheme="minorHAnsi" w:hAnsiTheme="minorHAnsi"/>
        </w:rPr>
        <w:t xml:space="preserve"> </w:t>
      </w:r>
      <w:r w:rsidRPr="002C2D40">
        <w:rPr>
          <w:rFonts w:asciiTheme="minorHAnsi" w:hAnsiTheme="minorHAnsi"/>
        </w:rPr>
        <w:t xml:space="preserve">orzeczeń </w:t>
      </w:r>
      <w:r w:rsidR="00DD0730" w:rsidRPr="002C2D40">
        <w:rPr>
          <w:rFonts w:asciiTheme="minorHAnsi" w:hAnsiTheme="minorHAnsi"/>
        </w:rPr>
        <w:t xml:space="preserve">(w tym </w:t>
      </w:r>
      <w:r w:rsidR="00AF6ADF" w:rsidRPr="002C2D40">
        <w:rPr>
          <w:rFonts w:asciiTheme="minorHAnsi" w:hAnsiTheme="minorHAnsi"/>
        </w:rPr>
        <w:t>72</w:t>
      </w:r>
      <w:r w:rsidR="00DD0730" w:rsidRPr="002C2D40">
        <w:rPr>
          <w:rFonts w:asciiTheme="minorHAnsi" w:hAnsiTheme="minorHAnsi"/>
        </w:rPr>
        <w:t xml:space="preserve"> wyr</w:t>
      </w:r>
      <w:r w:rsidR="006753AD" w:rsidRPr="002C2D40">
        <w:rPr>
          <w:rFonts w:asciiTheme="minorHAnsi" w:hAnsiTheme="minorHAnsi"/>
        </w:rPr>
        <w:t>ok</w:t>
      </w:r>
      <w:r w:rsidRPr="002C2D40">
        <w:rPr>
          <w:rFonts w:asciiTheme="minorHAnsi" w:hAnsiTheme="minorHAnsi"/>
        </w:rPr>
        <w:t>ów</w:t>
      </w:r>
      <w:r w:rsidR="00DD0730" w:rsidRPr="002C2D40">
        <w:rPr>
          <w:rFonts w:asciiTheme="minorHAnsi" w:hAnsiTheme="minorHAnsi"/>
        </w:rPr>
        <w:t xml:space="preserve"> i </w:t>
      </w:r>
      <w:r w:rsidR="00AF6ADF" w:rsidRPr="002C2D40">
        <w:rPr>
          <w:rFonts w:asciiTheme="minorHAnsi" w:hAnsiTheme="minorHAnsi"/>
        </w:rPr>
        <w:t>17 d</w:t>
      </w:r>
      <w:r w:rsidR="00DD0730" w:rsidRPr="002C2D40">
        <w:rPr>
          <w:rFonts w:asciiTheme="minorHAnsi" w:hAnsiTheme="minorHAnsi"/>
        </w:rPr>
        <w:t>ecyzj</w:t>
      </w:r>
      <w:r w:rsidR="006753AD" w:rsidRPr="002C2D40">
        <w:rPr>
          <w:rFonts w:asciiTheme="minorHAnsi" w:hAnsiTheme="minorHAnsi"/>
        </w:rPr>
        <w:t>i</w:t>
      </w:r>
      <w:r w:rsidR="00DD0730" w:rsidRPr="002C2D40">
        <w:rPr>
          <w:rFonts w:asciiTheme="minorHAnsi" w:hAnsiTheme="minorHAnsi"/>
        </w:rPr>
        <w:t xml:space="preserve"> zatwierdzając</w:t>
      </w:r>
      <w:r w:rsidR="006753AD" w:rsidRPr="002C2D40">
        <w:rPr>
          <w:rFonts w:asciiTheme="minorHAnsi" w:hAnsiTheme="minorHAnsi"/>
        </w:rPr>
        <w:t>ych</w:t>
      </w:r>
      <w:r w:rsidR="00DD0730" w:rsidRPr="002C2D40">
        <w:rPr>
          <w:rFonts w:asciiTheme="minorHAnsi" w:hAnsiTheme="minorHAnsi"/>
        </w:rPr>
        <w:t xml:space="preserve"> ugodę)</w:t>
      </w:r>
      <w:r w:rsidRPr="002C2D40">
        <w:rPr>
          <w:rFonts w:asciiTheme="minorHAnsi" w:hAnsiTheme="minorHAnsi"/>
        </w:rPr>
        <w:t xml:space="preserve"> to </w:t>
      </w:r>
      <w:r w:rsidR="00A3595B" w:rsidRPr="002C2D40">
        <w:rPr>
          <w:rFonts w:asciiTheme="minorHAnsi" w:hAnsiTheme="minorHAnsi"/>
        </w:rPr>
        <w:t>najniższa liczba orzeczeń w procesie wykonywania od czasu przyjęcia Zarządzenia w sprawie utworzenia Zespołu ds. Europejskiego Trybunału Praw Człowieka w 2007 r. i rozpoczęcia systemowych działań nakierowanych na wzmocnienie implementacji wyroków Trybunału i upowszechniania standardów wynikających z Konwencji. Polskie orzeczenia stanowiły na koniec 20</w:t>
      </w:r>
      <w:r w:rsidR="00AF6ADF" w:rsidRPr="002C2D40">
        <w:rPr>
          <w:rFonts w:asciiTheme="minorHAnsi" w:hAnsiTheme="minorHAnsi"/>
        </w:rPr>
        <w:t>20</w:t>
      </w:r>
      <w:r w:rsidR="00A3595B" w:rsidRPr="002C2D40">
        <w:rPr>
          <w:rFonts w:asciiTheme="minorHAnsi" w:hAnsiTheme="minorHAnsi"/>
        </w:rPr>
        <w:t xml:space="preserve"> r. ok. 1,</w:t>
      </w:r>
      <w:r w:rsidR="00AF6ADF" w:rsidRPr="002C2D40">
        <w:rPr>
          <w:rFonts w:asciiTheme="minorHAnsi" w:hAnsiTheme="minorHAnsi"/>
        </w:rPr>
        <w:t>7</w:t>
      </w:r>
      <w:r w:rsidR="00A3595B" w:rsidRPr="002C2D40">
        <w:rPr>
          <w:rFonts w:asciiTheme="minorHAnsi" w:hAnsiTheme="minorHAnsi"/>
        </w:rPr>
        <w:t>% wszystkich orzeczeń znajdujących się w procesie wykonywania pod nadzorem Komitetu</w:t>
      </w:r>
      <w:r w:rsidR="006A5C13" w:rsidRPr="002C2D40">
        <w:rPr>
          <w:rFonts w:asciiTheme="minorHAnsi" w:hAnsiTheme="minorHAnsi"/>
        </w:rPr>
        <w:t xml:space="preserve"> Ministrów </w:t>
      </w:r>
      <w:r w:rsidR="00A3595B" w:rsidRPr="002C2D40">
        <w:rPr>
          <w:rFonts w:asciiTheme="minorHAnsi" w:hAnsiTheme="minorHAnsi"/>
        </w:rPr>
        <w:t xml:space="preserve">RE. </w:t>
      </w:r>
    </w:p>
    <w:p w:rsidR="00DD0730" w:rsidRPr="002C2D40" w:rsidRDefault="00DD0730" w:rsidP="006500A8">
      <w:pPr>
        <w:pStyle w:val="Akapitzlist"/>
        <w:spacing w:before="120" w:after="0" w:line="240" w:lineRule="auto"/>
        <w:ind w:left="0"/>
        <w:jc w:val="both"/>
        <w:rPr>
          <w:rFonts w:asciiTheme="minorHAnsi" w:hAnsiTheme="minorHAnsi"/>
          <w:sz w:val="24"/>
          <w:szCs w:val="24"/>
          <w:lang w:val="pl-PL"/>
        </w:rPr>
      </w:pPr>
      <w:r w:rsidRPr="002C2D40">
        <w:rPr>
          <w:rFonts w:asciiTheme="minorHAnsi" w:hAnsiTheme="minorHAnsi"/>
          <w:sz w:val="24"/>
          <w:szCs w:val="24"/>
          <w:lang w:val="pl-PL"/>
        </w:rPr>
        <w:t xml:space="preserve">Wśród tych </w:t>
      </w:r>
      <w:r w:rsidR="00AF6ADF" w:rsidRPr="002C2D40">
        <w:rPr>
          <w:rFonts w:asciiTheme="minorHAnsi" w:hAnsiTheme="minorHAnsi"/>
          <w:sz w:val="24"/>
          <w:szCs w:val="24"/>
          <w:lang w:val="pl-PL"/>
        </w:rPr>
        <w:t>89</w:t>
      </w:r>
      <w:r w:rsidR="006A5C13" w:rsidRPr="002C2D40">
        <w:rPr>
          <w:rFonts w:asciiTheme="minorHAnsi" w:hAnsiTheme="minorHAnsi"/>
          <w:sz w:val="24"/>
          <w:szCs w:val="24"/>
          <w:lang w:val="pl-PL"/>
        </w:rPr>
        <w:t xml:space="preserve"> </w:t>
      </w:r>
      <w:r w:rsidR="006753AD" w:rsidRPr="002C2D40">
        <w:rPr>
          <w:rFonts w:asciiTheme="minorHAnsi" w:hAnsiTheme="minorHAnsi"/>
          <w:sz w:val="24"/>
          <w:szCs w:val="24"/>
          <w:lang w:val="pl-PL"/>
        </w:rPr>
        <w:t>spraw</w:t>
      </w:r>
      <w:r w:rsidRPr="002C2D40">
        <w:rPr>
          <w:rFonts w:asciiTheme="minorHAnsi" w:hAnsiTheme="minorHAnsi"/>
          <w:sz w:val="24"/>
          <w:szCs w:val="24"/>
          <w:lang w:val="pl-PL"/>
        </w:rPr>
        <w:t xml:space="preserve"> największą grupę </w:t>
      </w:r>
      <w:r w:rsidR="006A5C13" w:rsidRPr="002C2D40">
        <w:rPr>
          <w:rFonts w:asciiTheme="minorHAnsi" w:hAnsiTheme="minorHAnsi"/>
          <w:sz w:val="24"/>
          <w:szCs w:val="24"/>
          <w:lang w:val="pl-PL"/>
        </w:rPr>
        <w:t xml:space="preserve">nadal </w:t>
      </w:r>
      <w:r w:rsidRPr="002C2D40">
        <w:rPr>
          <w:rFonts w:asciiTheme="minorHAnsi" w:hAnsiTheme="minorHAnsi"/>
          <w:sz w:val="24"/>
          <w:szCs w:val="24"/>
          <w:lang w:val="pl-PL"/>
        </w:rPr>
        <w:t>stanowią wyroki dotyczące przewlekłości postępowań administracyjnych i sądowo-administracyjnych</w:t>
      </w:r>
      <w:r w:rsidR="003566DD">
        <w:rPr>
          <w:rFonts w:asciiTheme="minorHAnsi" w:hAnsiTheme="minorHAnsi"/>
          <w:sz w:val="24"/>
          <w:szCs w:val="24"/>
          <w:lang w:val="pl-PL"/>
        </w:rPr>
        <w:t>,</w:t>
      </w:r>
      <w:r w:rsidRPr="002C2D40">
        <w:rPr>
          <w:rFonts w:asciiTheme="minorHAnsi" w:hAnsiTheme="minorHAnsi"/>
          <w:sz w:val="24"/>
          <w:szCs w:val="24"/>
          <w:lang w:val="pl-PL"/>
        </w:rPr>
        <w:t xml:space="preserve"> </w:t>
      </w:r>
      <w:r w:rsidR="006753AD" w:rsidRPr="002C2D40">
        <w:rPr>
          <w:rFonts w:asciiTheme="minorHAnsi" w:hAnsiTheme="minorHAnsi"/>
          <w:sz w:val="24"/>
          <w:szCs w:val="24"/>
          <w:lang w:val="pl-PL"/>
        </w:rPr>
        <w:t>oraz</w:t>
      </w:r>
      <w:r w:rsidRPr="002C2D40">
        <w:rPr>
          <w:rFonts w:asciiTheme="minorHAnsi" w:hAnsiTheme="minorHAnsi"/>
          <w:sz w:val="24"/>
          <w:szCs w:val="24"/>
          <w:lang w:val="pl-PL"/>
        </w:rPr>
        <w:t xml:space="preserve"> przewle</w:t>
      </w:r>
      <w:r w:rsidR="006753AD" w:rsidRPr="002C2D40">
        <w:rPr>
          <w:rFonts w:asciiTheme="minorHAnsi" w:hAnsiTheme="minorHAnsi"/>
          <w:sz w:val="24"/>
          <w:szCs w:val="24"/>
          <w:lang w:val="pl-PL"/>
        </w:rPr>
        <w:t xml:space="preserve">kłości postępowań cywilnych </w:t>
      </w:r>
      <w:r w:rsidRPr="002C2D40">
        <w:rPr>
          <w:rFonts w:asciiTheme="minorHAnsi" w:hAnsiTheme="minorHAnsi"/>
          <w:sz w:val="24"/>
          <w:szCs w:val="24"/>
          <w:lang w:val="pl-PL"/>
        </w:rPr>
        <w:t xml:space="preserve">i karnych. </w:t>
      </w:r>
      <w:r w:rsidR="00604102" w:rsidRPr="002C2D40">
        <w:rPr>
          <w:rFonts w:asciiTheme="minorHAnsi" w:hAnsiTheme="minorHAnsi"/>
          <w:sz w:val="24"/>
          <w:szCs w:val="24"/>
          <w:lang w:val="pl-PL"/>
        </w:rPr>
        <w:t>Mimo zamknięcia wielu spraw w tych grupach w latach 2017-20</w:t>
      </w:r>
      <w:r w:rsidR="00AF6ADF" w:rsidRPr="002C2D40">
        <w:rPr>
          <w:rFonts w:asciiTheme="minorHAnsi" w:hAnsiTheme="minorHAnsi"/>
          <w:sz w:val="24"/>
          <w:szCs w:val="24"/>
          <w:lang w:val="pl-PL"/>
        </w:rPr>
        <w:t>20</w:t>
      </w:r>
      <w:r w:rsidR="00604102" w:rsidRPr="002C2D40">
        <w:rPr>
          <w:rFonts w:asciiTheme="minorHAnsi" w:hAnsiTheme="minorHAnsi"/>
          <w:sz w:val="24"/>
          <w:szCs w:val="24"/>
          <w:lang w:val="pl-PL"/>
        </w:rPr>
        <w:t xml:space="preserve">, </w:t>
      </w:r>
      <w:r w:rsidRPr="002C2D40">
        <w:rPr>
          <w:rFonts w:asciiTheme="minorHAnsi" w:hAnsiTheme="minorHAnsi"/>
          <w:sz w:val="24"/>
          <w:szCs w:val="24"/>
          <w:lang w:val="pl-PL"/>
        </w:rPr>
        <w:t xml:space="preserve">KM nadal </w:t>
      </w:r>
      <w:r w:rsidR="002F22AF" w:rsidRPr="002C2D40">
        <w:rPr>
          <w:rFonts w:asciiTheme="minorHAnsi" w:hAnsiTheme="minorHAnsi"/>
          <w:sz w:val="24"/>
          <w:szCs w:val="24"/>
          <w:lang w:val="pl-PL"/>
        </w:rPr>
        <w:t xml:space="preserve">będzie </w:t>
      </w:r>
      <w:r w:rsidRPr="002C2D40">
        <w:rPr>
          <w:rFonts w:asciiTheme="minorHAnsi" w:hAnsiTheme="minorHAnsi"/>
          <w:sz w:val="24"/>
          <w:szCs w:val="24"/>
          <w:lang w:val="pl-PL"/>
        </w:rPr>
        <w:t xml:space="preserve">nadzorował realizację </w:t>
      </w:r>
      <w:r w:rsidR="00604102" w:rsidRPr="002C2D40">
        <w:rPr>
          <w:rFonts w:asciiTheme="minorHAnsi" w:hAnsiTheme="minorHAnsi"/>
          <w:sz w:val="24"/>
          <w:szCs w:val="24"/>
          <w:lang w:val="pl-PL"/>
        </w:rPr>
        <w:t>środków generalnych</w:t>
      </w:r>
      <w:r w:rsidR="002F22AF" w:rsidRPr="002C2D40">
        <w:rPr>
          <w:rFonts w:asciiTheme="minorHAnsi" w:hAnsiTheme="minorHAnsi"/>
          <w:sz w:val="24"/>
          <w:szCs w:val="24"/>
          <w:lang w:val="pl-PL"/>
        </w:rPr>
        <w:t xml:space="preserve"> w ramach grupy </w:t>
      </w:r>
      <w:r w:rsidR="002F22AF" w:rsidRPr="002C2D40">
        <w:rPr>
          <w:rFonts w:asciiTheme="minorHAnsi" w:hAnsiTheme="minorHAnsi"/>
          <w:i/>
          <w:sz w:val="24"/>
          <w:szCs w:val="24"/>
          <w:lang w:val="pl-PL"/>
        </w:rPr>
        <w:t>Beller</w:t>
      </w:r>
      <w:r w:rsidR="002F22AF" w:rsidRPr="002C2D40">
        <w:rPr>
          <w:rFonts w:asciiTheme="minorHAnsi" w:hAnsiTheme="minorHAnsi"/>
          <w:sz w:val="24"/>
          <w:szCs w:val="24"/>
          <w:lang w:val="pl-PL"/>
        </w:rPr>
        <w:t xml:space="preserve"> oraz grupy </w:t>
      </w:r>
      <w:r w:rsidR="002F22AF" w:rsidRPr="002C2D40">
        <w:rPr>
          <w:rFonts w:asciiTheme="minorHAnsi" w:hAnsiTheme="minorHAnsi"/>
          <w:i/>
          <w:sz w:val="24"/>
          <w:szCs w:val="24"/>
          <w:lang w:val="pl-PL"/>
        </w:rPr>
        <w:t>Bąk, Majewski i Rutkowski i inni</w:t>
      </w:r>
      <w:r w:rsidRPr="002C2D40">
        <w:rPr>
          <w:rFonts w:asciiTheme="minorHAnsi" w:hAnsiTheme="minorHAnsi"/>
          <w:sz w:val="24"/>
          <w:szCs w:val="24"/>
          <w:lang w:val="pl-PL"/>
        </w:rPr>
        <w:t xml:space="preserve">. </w:t>
      </w:r>
      <w:r w:rsidR="00604102" w:rsidRPr="002C2D40">
        <w:rPr>
          <w:rFonts w:asciiTheme="minorHAnsi" w:hAnsiTheme="minorHAnsi"/>
          <w:sz w:val="24"/>
          <w:szCs w:val="24"/>
          <w:lang w:val="pl-PL"/>
        </w:rPr>
        <w:t>Dlatego też działania rządu na rzecz przeciwdziałania przewlekłości postępowań przed sądami (zarówno cywilnymi, karnymi, jak i administracyjnymi) i organami administracyjnymi oraz zapewnienia skuteczności środków zaskarżenia długości tych postępowań, muszą być kontynuowane</w:t>
      </w:r>
      <w:r w:rsidR="002F22AF" w:rsidRPr="002C2D40">
        <w:rPr>
          <w:rFonts w:asciiTheme="minorHAnsi" w:hAnsiTheme="minorHAnsi"/>
          <w:sz w:val="24"/>
          <w:szCs w:val="24"/>
          <w:lang w:val="pl-PL"/>
        </w:rPr>
        <w:t xml:space="preserve"> -</w:t>
      </w:r>
      <w:r w:rsidR="00604102" w:rsidRPr="002C2D40">
        <w:rPr>
          <w:rFonts w:asciiTheme="minorHAnsi" w:hAnsiTheme="minorHAnsi"/>
          <w:sz w:val="24"/>
          <w:szCs w:val="24"/>
          <w:lang w:val="pl-PL"/>
        </w:rPr>
        <w:t xml:space="preserve"> przede wszystkim w zakresie skutecznej realizacji w praktyce przyjętych zmian w prawie. Te wysiłki powinny być wspierane przez władzę sądowniczą, </w:t>
      </w:r>
      <w:r w:rsidR="002F22AF" w:rsidRPr="002C2D40">
        <w:rPr>
          <w:rFonts w:asciiTheme="minorHAnsi" w:hAnsiTheme="minorHAnsi"/>
          <w:sz w:val="24"/>
          <w:szCs w:val="24"/>
          <w:lang w:val="pl-PL"/>
        </w:rPr>
        <w:t xml:space="preserve">inne </w:t>
      </w:r>
      <w:r w:rsidR="00604102" w:rsidRPr="002C2D40">
        <w:rPr>
          <w:rFonts w:asciiTheme="minorHAnsi" w:hAnsiTheme="minorHAnsi"/>
          <w:sz w:val="24"/>
          <w:szCs w:val="24"/>
          <w:lang w:val="pl-PL"/>
        </w:rPr>
        <w:t xml:space="preserve">organy stosujące prawo oraz parlament. </w:t>
      </w:r>
    </w:p>
    <w:p w:rsidR="00DD0730" w:rsidRPr="002C2D40" w:rsidRDefault="00E40C25" w:rsidP="006500A8">
      <w:pPr>
        <w:pStyle w:val="Akapitzlist"/>
        <w:spacing w:before="120" w:after="0" w:line="240" w:lineRule="auto"/>
        <w:ind w:left="0"/>
        <w:jc w:val="both"/>
        <w:rPr>
          <w:rFonts w:asciiTheme="minorHAnsi" w:hAnsiTheme="minorHAnsi"/>
          <w:sz w:val="24"/>
          <w:szCs w:val="24"/>
        </w:rPr>
      </w:pPr>
      <w:r w:rsidRPr="002C2D40">
        <w:rPr>
          <w:rFonts w:asciiTheme="minorHAnsi" w:hAnsiTheme="minorHAnsi"/>
          <w:sz w:val="24"/>
          <w:szCs w:val="24"/>
        </w:rPr>
        <w:t>Skuteczne wykonanie orzeczeń Europejskiego Trybunału Praw Człowieka możliwe jest wyłącznie przy ścisłej i sprawnej współpracy władzy wykonawczej z władzą ustawodawczą i sądowniczą.</w:t>
      </w:r>
      <w:r w:rsidRPr="002C2D40">
        <w:rPr>
          <w:rFonts w:asciiTheme="minorHAnsi" w:hAnsiTheme="minorHAnsi"/>
          <w:sz w:val="24"/>
          <w:szCs w:val="24"/>
          <w:lang w:val="pl-PL"/>
        </w:rPr>
        <w:t xml:space="preserve"> </w:t>
      </w:r>
      <w:r w:rsidR="00153309" w:rsidRPr="002C2D40">
        <w:rPr>
          <w:rFonts w:asciiTheme="minorHAnsi" w:hAnsiTheme="minorHAnsi"/>
          <w:sz w:val="24"/>
          <w:szCs w:val="24"/>
        </w:rPr>
        <w:t xml:space="preserve">Należy </w:t>
      </w:r>
      <w:r w:rsidR="00153309" w:rsidRPr="002C2D40">
        <w:rPr>
          <w:rFonts w:asciiTheme="minorHAnsi" w:hAnsiTheme="minorHAnsi"/>
          <w:sz w:val="24"/>
          <w:szCs w:val="24"/>
          <w:lang w:val="pl-PL"/>
        </w:rPr>
        <w:t>bowiem</w:t>
      </w:r>
      <w:r w:rsidR="00153309" w:rsidRPr="002C2D40">
        <w:rPr>
          <w:rFonts w:asciiTheme="minorHAnsi" w:hAnsiTheme="minorHAnsi"/>
          <w:sz w:val="24"/>
          <w:szCs w:val="24"/>
        </w:rPr>
        <w:t xml:space="preserve"> pamiętać, że za naruszenia </w:t>
      </w:r>
      <w:r w:rsidR="00153309" w:rsidRPr="002C2D40">
        <w:rPr>
          <w:rFonts w:asciiTheme="minorHAnsi" w:hAnsiTheme="minorHAnsi"/>
          <w:sz w:val="24"/>
          <w:szCs w:val="24"/>
          <w:lang w:val="pl-PL"/>
        </w:rPr>
        <w:t xml:space="preserve">Europejskiej </w:t>
      </w:r>
      <w:r w:rsidR="00153309" w:rsidRPr="002C2D40">
        <w:rPr>
          <w:rFonts w:asciiTheme="minorHAnsi" w:hAnsiTheme="minorHAnsi"/>
          <w:sz w:val="24"/>
          <w:szCs w:val="24"/>
        </w:rPr>
        <w:t xml:space="preserve">Konwencji </w:t>
      </w:r>
      <w:r w:rsidR="00153309" w:rsidRPr="002C2D40">
        <w:rPr>
          <w:rFonts w:asciiTheme="minorHAnsi" w:hAnsiTheme="minorHAnsi"/>
          <w:sz w:val="24"/>
          <w:szCs w:val="24"/>
          <w:lang w:val="pl-PL"/>
        </w:rPr>
        <w:t>P</w:t>
      </w:r>
      <w:r w:rsidR="00153309" w:rsidRPr="002C2D40">
        <w:rPr>
          <w:rFonts w:asciiTheme="minorHAnsi" w:hAnsiTheme="minorHAnsi"/>
          <w:sz w:val="24"/>
          <w:szCs w:val="24"/>
        </w:rPr>
        <w:t xml:space="preserve">raw </w:t>
      </w:r>
      <w:r w:rsidR="00153309" w:rsidRPr="002C2D40">
        <w:rPr>
          <w:rFonts w:asciiTheme="minorHAnsi" w:hAnsiTheme="minorHAnsi"/>
          <w:sz w:val="24"/>
          <w:szCs w:val="24"/>
          <w:lang w:val="pl-PL"/>
        </w:rPr>
        <w:t>C</w:t>
      </w:r>
      <w:r w:rsidR="00153309" w:rsidRPr="002C2D40">
        <w:rPr>
          <w:rFonts w:asciiTheme="minorHAnsi" w:hAnsiTheme="minorHAnsi"/>
          <w:sz w:val="24"/>
          <w:szCs w:val="24"/>
        </w:rPr>
        <w:t>złowieka</w:t>
      </w:r>
      <w:r w:rsidR="00F75E0B" w:rsidRPr="002C2D40">
        <w:rPr>
          <w:rFonts w:asciiTheme="minorHAnsi" w:hAnsiTheme="minorHAnsi"/>
          <w:sz w:val="24"/>
          <w:szCs w:val="24"/>
          <w:lang w:val="pl-PL"/>
        </w:rPr>
        <w:t>,</w:t>
      </w:r>
      <w:r w:rsidR="00153309" w:rsidRPr="002C2D40">
        <w:rPr>
          <w:rFonts w:asciiTheme="minorHAnsi" w:hAnsiTheme="minorHAnsi"/>
          <w:sz w:val="24"/>
          <w:szCs w:val="24"/>
        </w:rPr>
        <w:t xml:space="preserve"> stwierdzone przez Trybunał w poszczególnych wyrokach</w:t>
      </w:r>
      <w:r w:rsidR="00F75E0B" w:rsidRPr="002C2D40">
        <w:rPr>
          <w:rFonts w:asciiTheme="minorHAnsi" w:hAnsiTheme="minorHAnsi"/>
          <w:sz w:val="24"/>
          <w:szCs w:val="24"/>
          <w:lang w:val="pl-PL"/>
        </w:rPr>
        <w:t>,</w:t>
      </w:r>
      <w:r w:rsidR="00153309" w:rsidRPr="002C2D40">
        <w:rPr>
          <w:rFonts w:asciiTheme="minorHAnsi" w:hAnsiTheme="minorHAnsi"/>
          <w:sz w:val="24"/>
          <w:szCs w:val="24"/>
        </w:rPr>
        <w:t xml:space="preserve"> odpowiada nie tylko władza wykonawcza, ale też sądownicza i ustawodawcza. Stąd też tylko bliska współpraca przedstawicieli wszystkich trzech władz pozwoli na skuteczn</w:t>
      </w:r>
      <w:r w:rsidR="006E7818" w:rsidRPr="002C2D40">
        <w:rPr>
          <w:rFonts w:asciiTheme="minorHAnsi" w:hAnsiTheme="minorHAnsi"/>
          <w:sz w:val="24"/>
          <w:szCs w:val="24"/>
          <w:lang w:val="pl-PL"/>
        </w:rPr>
        <w:t>ą</w:t>
      </w:r>
      <w:r w:rsidR="00153309" w:rsidRPr="002C2D40">
        <w:rPr>
          <w:rFonts w:asciiTheme="minorHAnsi" w:hAnsiTheme="minorHAnsi"/>
          <w:sz w:val="24"/>
          <w:szCs w:val="24"/>
        </w:rPr>
        <w:t xml:space="preserve"> implementację wyroków</w:t>
      </w:r>
      <w:r w:rsidR="00153309" w:rsidRPr="002C2D40">
        <w:rPr>
          <w:rFonts w:asciiTheme="minorHAnsi" w:hAnsiTheme="minorHAnsi"/>
          <w:sz w:val="24"/>
          <w:szCs w:val="24"/>
          <w:lang w:val="pl-PL"/>
        </w:rPr>
        <w:t>.</w:t>
      </w:r>
      <w:r w:rsidR="00153309" w:rsidRPr="002C2D40">
        <w:rPr>
          <w:rFonts w:asciiTheme="minorHAnsi" w:hAnsiTheme="minorHAnsi"/>
          <w:sz w:val="24"/>
          <w:szCs w:val="24"/>
        </w:rPr>
        <w:t xml:space="preserve"> </w:t>
      </w:r>
      <w:r w:rsidRPr="002C2D40">
        <w:rPr>
          <w:rFonts w:asciiTheme="minorHAnsi" w:hAnsiTheme="minorHAnsi"/>
          <w:sz w:val="24"/>
          <w:szCs w:val="24"/>
          <w:lang w:val="pl-PL"/>
        </w:rPr>
        <w:t>Z</w:t>
      </w:r>
      <w:r w:rsidR="002F22AF" w:rsidRPr="002C2D40">
        <w:rPr>
          <w:rFonts w:asciiTheme="minorHAnsi" w:hAnsiTheme="minorHAnsi"/>
          <w:sz w:val="24"/>
          <w:szCs w:val="24"/>
          <w:lang w:val="pl-PL"/>
        </w:rPr>
        <w:t xml:space="preserve">naczenie w tym zakresie mają </w:t>
      </w:r>
      <w:r w:rsidR="00153309" w:rsidRPr="002C2D40">
        <w:rPr>
          <w:rFonts w:asciiTheme="minorHAnsi" w:hAnsiTheme="minorHAnsi"/>
          <w:sz w:val="24"/>
          <w:szCs w:val="24"/>
          <w:lang w:val="pl-PL"/>
        </w:rPr>
        <w:t>m.in.</w:t>
      </w:r>
      <w:r w:rsidR="002F22AF" w:rsidRPr="002C2D40">
        <w:rPr>
          <w:rFonts w:asciiTheme="minorHAnsi" w:hAnsiTheme="minorHAnsi"/>
          <w:sz w:val="24"/>
          <w:szCs w:val="24"/>
          <w:lang w:val="pl-PL"/>
        </w:rPr>
        <w:t xml:space="preserve"> działania upowszechniające standardy wynikające z Konwencji i orzecznictwa Trybunału oraz działalność szkoleniowa, skierowana do praktyków stosowania prawa. </w:t>
      </w:r>
      <w:r w:rsidR="00153309" w:rsidRPr="002C2D40">
        <w:rPr>
          <w:rFonts w:asciiTheme="minorHAnsi" w:hAnsiTheme="minorHAnsi"/>
          <w:sz w:val="24"/>
          <w:szCs w:val="24"/>
          <w:lang w:val="pl-PL"/>
        </w:rPr>
        <w:t xml:space="preserve">Ponadto niezwykle istotny dla skutecznego przeciwdziałania naruszeniom Konwencji w przyszłości jest proces tworzenia prawa w sposób zgodny ze standardami strasburskimi. </w:t>
      </w:r>
    </w:p>
    <w:p w:rsidR="00DD0730" w:rsidRPr="002C2D40" w:rsidRDefault="00153309" w:rsidP="006500A8">
      <w:pPr>
        <w:pStyle w:val="Akapitzlist"/>
        <w:spacing w:before="120" w:after="0" w:line="240" w:lineRule="auto"/>
        <w:ind w:left="0"/>
        <w:jc w:val="both"/>
        <w:rPr>
          <w:rFonts w:asciiTheme="minorHAnsi" w:hAnsiTheme="minorHAnsi"/>
          <w:sz w:val="24"/>
          <w:szCs w:val="24"/>
          <w:lang w:val="pl-PL"/>
        </w:rPr>
      </w:pPr>
      <w:r w:rsidRPr="002C2D40">
        <w:rPr>
          <w:rFonts w:asciiTheme="minorHAnsi" w:hAnsiTheme="minorHAnsi"/>
          <w:sz w:val="24"/>
          <w:szCs w:val="24"/>
          <w:lang w:val="pl-PL"/>
        </w:rPr>
        <w:t xml:space="preserve">Na zakończenie warto podkreślić, że </w:t>
      </w:r>
      <w:r w:rsidR="006A5C13" w:rsidRPr="002C2D40">
        <w:rPr>
          <w:rFonts w:asciiTheme="minorHAnsi" w:hAnsiTheme="minorHAnsi"/>
          <w:sz w:val="24"/>
          <w:szCs w:val="24"/>
          <w:lang w:val="pl-PL"/>
        </w:rPr>
        <w:t>mimo istniejących nadal wyzwań dla skutecznego wdrażania wyroków Europejskiego Trybunału Praw Człowieka oraz pola dla dalszych ulepszeń wzmacniających system wykonywania, wypracowany w Polsce model instytucjonalnej współpracy administracji państwowej w celu wykonania orzeczeń ETPC funkcjonuje sprawnie i należy ocenić go pozytywnie. Zainteresowanie polskimi rozwiązaniami wykazują inne państwa członkowskie Rady Europy</w:t>
      </w:r>
      <w:r w:rsidR="00AF6ADF" w:rsidRPr="002C2D40">
        <w:rPr>
          <w:rFonts w:asciiTheme="minorHAnsi" w:hAnsiTheme="minorHAnsi"/>
          <w:sz w:val="24"/>
          <w:szCs w:val="24"/>
          <w:lang w:val="pl-PL"/>
        </w:rPr>
        <w:t>.</w:t>
      </w:r>
      <w:r w:rsidR="006A5C13" w:rsidRPr="002C2D40">
        <w:rPr>
          <w:rFonts w:asciiTheme="minorHAnsi" w:hAnsiTheme="minorHAnsi"/>
          <w:sz w:val="24"/>
          <w:szCs w:val="24"/>
          <w:lang w:val="pl-PL"/>
        </w:rPr>
        <w:t xml:space="preserve"> </w:t>
      </w:r>
      <w:r w:rsidR="00984AC7" w:rsidRPr="002C2D40">
        <w:rPr>
          <w:rFonts w:asciiTheme="minorHAnsi" w:hAnsiTheme="minorHAnsi"/>
          <w:sz w:val="24"/>
          <w:szCs w:val="24"/>
          <w:lang w:val="pl-PL"/>
        </w:rPr>
        <w:t xml:space="preserve">Mając jednak świadomość konieczności pełnego wykonania wszystkich wyroków Trybunału, aktywna działalność Pełnomocnika zarówno w kraju, jak i w ramach </w:t>
      </w:r>
      <w:r w:rsidR="00DD0730" w:rsidRPr="002C2D40">
        <w:rPr>
          <w:rFonts w:asciiTheme="minorHAnsi" w:hAnsiTheme="minorHAnsi"/>
          <w:sz w:val="24"/>
          <w:szCs w:val="24"/>
        </w:rPr>
        <w:t>reprezentacji procesowej MSZ</w:t>
      </w:r>
      <w:r w:rsidR="00984AC7" w:rsidRPr="002C2D40">
        <w:rPr>
          <w:rFonts w:asciiTheme="minorHAnsi" w:hAnsiTheme="minorHAnsi"/>
          <w:sz w:val="24"/>
          <w:szCs w:val="24"/>
          <w:lang w:val="pl-PL"/>
        </w:rPr>
        <w:t xml:space="preserve"> na zewnątrz oraz działalność</w:t>
      </w:r>
      <w:r w:rsidR="00DD0730" w:rsidRPr="002C2D40">
        <w:rPr>
          <w:rFonts w:asciiTheme="minorHAnsi" w:hAnsiTheme="minorHAnsi"/>
          <w:sz w:val="24"/>
          <w:szCs w:val="24"/>
        </w:rPr>
        <w:t xml:space="preserve"> </w:t>
      </w:r>
      <w:r w:rsidR="00292854" w:rsidRPr="002C2D40">
        <w:rPr>
          <w:rFonts w:asciiTheme="minorHAnsi" w:hAnsiTheme="minorHAnsi"/>
          <w:sz w:val="24"/>
          <w:szCs w:val="24"/>
          <w:lang w:val="pl-PL"/>
        </w:rPr>
        <w:t>Zespołu ds. Europejskiego Trybunału Praw Człowieka</w:t>
      </w:r>
      <w:r w:rsidR="00984AC7" w:rsidRPr="002C2D40">
        <w:rPr>
          <w:rFonts w:asciiTheme="minorHAnsi" w:hAnsiTheme="minorHAnsi"/>
          <w:sz w:val="24"/>
          <w:szCs w:val="24"/>
          <w:lang w:val="pl-PL"/>
        </w:rPr>
        <w:t xml:space="preserve"> </w:t>
      </w:r>
      <w:r w:rsidR="00DD0730" w:rsidRPr="002C2D40">
        <w:rPr>
          <w:rFonts w:asciiTheme="minorHAnsi" w:hAnsiTheme="minorHAnsi"/>
          <w:sz w:val="24"/>
          <w:szCs w:val="24"/>
        </w:rPr>
        <w:t>na rzecz wykonywania wyroków</w:t>
      </w:r>
      <w:r w:rsidR="00984AC7" w:rsidRPr="002C2D40">
        <w:rPr>
          <w:rFonts w:asciiTheme="minorHAnsi" w:hAnsiTheme="minorHAnsi"/>
          <w:sz w:val="24"/>
          <w:szCs w:val="24"/>
          <w:lang w:val="pl-PL"/>
        </w:rPr>
        <w:t xml:space="preserve"> </w:t>
      </w:r>
      <w:r w:rsidR="00292854" w:rsidRPr="002C2D40">
        <w:rPr>
          <w:rFonts w:asciiTheme="minorHAnsi" w:hAnsiTheme="minorHAnsi"/>
          <w:sz w:val="24"/>
          <w:szCs w:val="24"/>
          <w:lang w:val="pl-PL"/>
        </w:rPr>
        <w:t>będą kontynuowane w 20</w:t>
      </w:r>
      <w:r w:rsidR="00984AC7" w:rsidRPr="002C2D40">
        <w:rPr>
          <w:rFonts w:asciiTheme="minorHAnsi" w:hAnsiTheme="minorHAnsi"/>
          <w:sz w:val="24"/>
          <w:szCs w:val="24"/>
          <w:lang w:val="pl-PL"/>
        </w:rPr>
        <w:t>2</w:t>
      </w:r>
      <w:r w:rsidR="00444520" w:rsidRPr="002C2D40">
        <w:rPr>
          <w:rFonts w:asciiTheme="minorHAnsi" w:hAnsiTheme="minorHAnsi"/>
          <w:sz w:val="24"/>
          <w:szCs w:val="24"/>
          <w:lang w:val="pl-PL"/>
        </w:rPr>
        <w:t>1</w:t>
      </w:r>
      <w:r w:rsidR="00292854" w:rsidRPr="002C2D40">
        <w:rPr>
          <w:rFonts w:asciiTheme="minorHAnsi" w:hAnsiTheme="minorHAnsi"/>
          <w:sz w:val="24"/>
          <w:szCs w:val="24"/>
          <w:lang w:val="pl-PL"/>
        </w:rPr>
        <w:t xml:space="preserve"> r., a informacja o nich </w:t>
      </w:r>
      <w:r w:rsidR="00984AC7" w:rsidRPr="002C2D40">
        <w:rPr>
          <w:rFonts w:asciiTheme="minorHAnsi" w:hAnsiTheme="minorHAnsi"/>
          <w:sz w:val="24"/>
          <w:szCs w:val="24"/>
          <w:lang w:val="pl-PL"/>
        </w:rPr>
        <w:t xml:space="preserve">zostanie </w:t>
      </w:r>
      <w:r w:rsidR="00292854" w:rsidRPr="002C2D40">
        <w:rPr>
          <w:rFonts w:asciiTheme="minorHAnsi" w:hAnsiTheme="minorHAnsi"/>
          <w:sz w:val="24"/>
          <w:szCs w:val="24"/>
          <w:lang w:val="pl-PL"/>
        </w:rPr>
        <w:t>przedstawiona w kolejnym Raporcie.</w:t>
      </w:r>
    </w:p>
    <w:p w:rsidR="00673E83" w:rsidRDefault="00673E83" w:rsidP="00673E83">
      <w:pPr>
        <w:pStyle w:val="Akapitzlist"/>
        <w:spacing w:after="0" w:line="240" w:lineRule="auto"/>
        <w:ind w:left="0" w:firstLine="6"/>
        <w:jc w:val="center"/>
        <w:rPr>
          <w:rFonts w:asciiTheme="minorHAnsi" w:eastAsia="Times New Roman" w:hAnsiTheme="minorHAnsi"/>
          <w:sz w:val="24"/>
          <w:szCs w:val="24"/>
          <w:lang w:val="pl-PL" w:eastAsia="pl-PL"/>
        </w:rPr>
      </w:pPr>
    </w:p>
    <w:p w:rsidR="00DD0730" w:rsidRPr="00673E83" w:rsidRDefault="00DD0730" w:rsidP="00673E83">
      <w:pPr>
        <w:pStyle w:val="Akapitzlist"/>
        <w:spacing w:after="0" w:line="240" w:lineRule="auto"/>
        <w:ind w:left="0" w:firstLine="6"/>
        <w:jc w:val="center"/>
        <w:rPr>
          <w:rFonts w:asciiTheme="minorHAnsi" w:eastAsia="Times New Roman" w:hAnsiTheme="minorHAnsi"/>
          <w:sz w:val="24"/>
          <w:szCs w:val="24"/>
          <w:lang w:val="pl-PL" w:eastAsia="pl-PL"/>
        </w:rPr>
      </w:pPr>
      <w:r w:rsidRPr="00673E83">
        <w:rPr>
          <w:rFonts w:asciiTheme="minorHAnsi" w:eastAsia="Times New Roman" w:hAnsiTheme="minorHAnsi"/>
          <w:sz w:val="24"/>
          <w:szCs w:val="24"/>
          <w:lang w:val="pl-PL" w:eastAsia="pl-PL"/>
        </w:rPr>
        <w:t>Jan Sobczak</w:t>
      </w:r>
    </w:p>
    <w:p w:rsidR="00673E83" w:rsidRDefault="00DD0730" w:rsidP="00673E83">
      <w:pPr>
        <w:pStyle w:val="Akapitzlist"/>
        <w:spacing w:after="0" w:line="240" w:lineRule="auto"/>
        <w:ind w:left="0" w:firstLine="6"/>
        <w:jc w:val="center"/>
        <w:rPr>
          <w:rFonts w:asciiTheme="minorHAnsi" w:eastAsia="Times New Roman" w:hAnsiTheme="minorHAnsi"/>
          <w:sz w:val="24"/>
          <w:szCs w:val="24"/>
          <w:lang w:val="pl-PL" w:eastAsia="pl-PL"/>
        </w:rPr>
      </w:pPr>
      <w:r w:rsidRPr="00673E83">
        <w:rPr>
          <w:rFonts w:asciiTheme="minorHAnsi" w:eastAsia="Times New Roman" w:hAnsiTheme="minorHAnsi"/>
          <w:sz w:val="24"/>
          <w:szCs w:val="24"/>
          <w:lang w:val="pl-PL" w:eastAsia="pl-PL"/>
        </w:rPr>
        <w:t>Pełnomocnik Ministra</w:t>
      </w:r>
    </w:p>
    <w:p w:rsidR="00DC1381" w:rsidRPr="002C2D40" w:rsidRDefault="009E2019" w:rsidP="00673E83">
      <w:pPr>
        <w:pStyle w:val="Akapitzlist"/>
        <w:spacing w:after="0" w:line="240" w:lineRule="auto"/>
        <w:ind w:left="0" w:firstLine="6"/>
        <w:jc w:val="center"/>
        <w:rPr>
          <w:rFonts w:asciiTheme="minorHAnsi" w:hAnsiTheme="minorHAnsi"/>
          <w:b/>
          <w:sz w:val="24"/>
          <w:szCs w:val="24"/>
          <w:highlight w:val="yellow"/>
          <w:lang w:val="pl-PL"/>
        </w:rPr>
      </w:pPr>
      <w:r w:rsidRPr="00673E83">
        <w:rPr>
          <w:rFonts w:asciiTheme="minorHAnsi" w:hAnsiTheme="minorHAnsi"/>
          <w:i/>
          <w:sz w:val="24"/>
          <w:szCs w:val="24"/>
          <w:lang w:val="pl-PL"/>
        </w:rPr>
        <w:t>/podpisano elektronicznie/</w:t>
      </w:r>
      <w:r w:rsidR="00DD0730" w:rsidRPr="002C2D40">
        <w:rPr>
          <w:rFonts w:asciiTheme="minorHAnsi" w:hAnsiTheme="minorHAnsi"/>
          <w:highlight w:val="yellow"/>
        </w:rPr>
        <w:br w:type="page"/>
      </w:r>
    </w:p>
    <w:p w:rsidR="00DD0730" w:rsidRPr="002C2D40" w:rsidRDefault="00DD0730" w:rsidP="002C2D40">
      <w:pPr>
        <w:pStyle w:val="Nagwek1"/>
        <w:numPr>
          <w:ilvl w:val="0"/>
          <w:numId w:val="0"/>
        </w:numPr>
        <w:spacing w:before="120"/>
        <w:ind w:left="851"/>
        <w:rPr>
          <w:rFonts w:asciiTheme="minorHAnsi" w:hAnsiTheme="minorHAnsi"/>
        </w:rPr>
      </w:pPr>
      <w:bookmarkStart w:id="21" w:name="_Toc67656274"/>
      <w:r w:rsidRPr="002C2D40">
        <w:rPr>
          <w:rFonts w:asciiTheme="minorHAnsi" w:hAnsiTheme="minorHAnsi"/>
        </w:rPr>
        <w:lastRenderedPageBreak/>
        <w:t>WYKAZ SKRÓTÓW</w:t>
      </w:r>
      <w:bookmarkEnd w:id="21"/>
    </w:p>
    <w:p w:rsidR="00DD0730" w:rsidRPr="002C2D40" w:rsidRDefault="00DD0730" w:rsidP="002C2D40">
      <w:pPr>
        <w:pStyle w:val="Akapitzlist"/>
        <w:spacing w:before="120" w:after="0" w:line="240" w:lineRule="auto"/>
        <w:ind w:left="426"/>
        <w:jc w:val="both"/>
        <w:rPr>
          <w:rFonts w:asciiTheme="minorHAnsi" w:hAnsiTheme="minorHAnsi"/>
          <w:sz w:val="24"/>
          <w:szCs w:val="24"/>
          <w:lang w:val="pl-PL"/>
        </w:rPr>
      </w:pPr>
      <w:r w:rsidRPr="002C2D40">
        <w:rPr>
          <w:rFonts w:asciiTheme="minorHAnsi" w:hAnsiTheme="minorHAnsi"/>
          <w:b/>
          <w:sz w:val="24"/>
          <w:szCs w:val="24"/>
          <w:lang w:val="pl-PL"/>
        </w:rPr>
        <w:t>Pełnomocnik</w:t>
      </w:r>
      <w:r w:rsidR="00FC7A39" w:rsidRPr="002C2D40">
        <w:rPr>
          <w:rFonts w:asciiTheme="minorHAnsi" w:hAnsiTheme="minorHAnsi"/>
          <w:b/>
          <w:sz w:val="24"/>
          <w:szCs w:val="24"/>
          <w:lang w:val="pl-PL"/>
        </w:rPr>
        <w:t>, Pełnomocnik Ministra</w:t>
      </w:r>
      <w:r w:rsidRPr="002C2D40">
        <w:rPr>
          <w:rFonts w:asciiTheme="minorHAnsi" w:hAnsiTheme="minorHAnsi"/>
          <w:b/>
          <w:sz w:val="24"/>
          <w:szCs w:val="24"/>
          <w:lang w:val="pl-PL"/>
        </w:rPr>
        <w:t xml:space="preserve"> </w:t>
      </w:r>
      <w:r w:rsidRPr="002C2D40">
        <w:rPr>
          <w:rFonts w:asciiTheme="minorHAnsi" w:hAnsiTheme="minorHAnsi"/>
          <w:sz w:val="24"/>
          <w:szCs w:val="24"/>
          <w:lang w:val="pl-PL"/>
        </w:rPr>
        <w:t>– Pełnomocnik Ministra Spraw Zagranicznych do spraw Postępowań przed Europejskim Trybunałem Praw Człowieka</w:t>
      </w:r>
    </w:p>
    <w:p w:rsidR="00DD0730" w:rsidRPr="002C2D40" w:rsidRDefault="00DD0730" w:rsidP="002C2D40">
      <w:pPr>
        <w:pStyle w:val="Akapitzlist"/>
        <w:spacing w:before="120" w:after="0" w:line="240" w:lineRule="auto"/>
        <w:ind w:left="426"/>
        <w:jc w:val="both"/>
        <w:rPr>
          <w:rFonts w:asciiTheme="minorHAnsi" w:hAnsiTheme="minorHAnsi"/>
          <w:sz w:val="24"/>
          <w:szCs w:val="24"/>
          <w:lang w:val="pl-PL"/>
        </w:rPr>
      </w:pPr>
      <w:r w:rsidRPr="002C2D40">
        <w:rPr>
          <w:rFonts w:asciiTheme="minorHAnsi" w:hAnsiTheme="minorHAnsi"/>
          <w:b/>
          <w:sz w:val="24"/>
          <w:szCs w:val="24"/>
          <w:lang w:val="pl-PL"/>
        </w:rPr>
        <w:t>Zespół</w:t>
      </w:r>
      <w:r w:rsidR="000F3E2F" w:rsidRPr="002C2D40">
        <w:rPr>
          <w:rFonts w:asciiTheme="minorHAnsi" w:hAnsiTheme="minorHAnsi"/>
          <w:b/>
          <w:sz w:val="24"/>
          <w:szCs w:val="24"/>
          <w:lang w:val="pl-PL"/>
        </w:rPr>
        <w:t>, Zespół ds. ETPC</w:t>
      </w:r>
      <w:r w:rsidR="00673E83">
        <w:rPr>
          <w:rFonts w:asciiTheme="minorHAnsi" w:hAnsiTheme="minorHAnsi"/>
          <w:b/>
          <w:sz w:val="24"/>
          <w:szCs w:val="24"/>
          <w:lang w:val="pl-PL"/>
        </w:rPr>
        <w:t xml:space="preserve"> </w:t>
      </w:r>
      <w:r w:rsidRPr="002C2D40">
        <w:rPr>
          <w:rFonts w:asciiTheme="minorHAnsi" w:hAnsiTheme="minorHAnsi"/>
          <w:sz w:val="24"/>
          <w:szCs w:val="24"/>
          <w:lang w:val="pl-PL"/>
        </w:rPr>
        <w:t>– Zespół do spraw Europejskiego Trybunału Praw Człowieka</w:t>
      </w:r>
    </w:p>
    <w:p w:rsidR="00DD0730" w:rsidRPr="002C2D40" w:rsidRDefault="00DD0730" w:rsidP="002C2D40">
      <w:pPr>
        <w:pStyle w:val="Akapitzlist"/>
        <w:spacing w:before="120" w:after="0" w:line="240" w:lineRule="auto"/>
        <w:ind w:left="426"/>
        <w:jc w:val="both"/>
        <w:rPr>
          <w:rFonts w:asciiTheme="minorHAnsi" w:hAnsiTheme="minorHAnsi"/>
          <w:sz w:val="24"/>
          <w:szCs w:val="24"/>
          <w:lang w:val="pl-PL"/>
        </w:rPr>
      </w:pPr>
      <w:r w:rsidRPr="002C2D40">
        <w:rPr>
          <w:rFonts w:asciiTheme="minorHAnsi" w:hAnsiTheme="minorHAnsi"/>
          <w:b/>
          <w:sz w:val="24"/>
          <w:szCs w:val="24"/>
          <w:lang w:val="pl-PL"/>
        </w:rPr>
        <w:t>Trybunał</w:t>
      </w:r>
      <w:r w:rsidR="000F3E2F" w:rsidRPr="002C2D40">
        <w:rPr>
          <w:rFonts w:asciiTheme="minorHAnsi" w:hAnsiTheme="minorHAnsi"/>
          <w:b/>
          <w:sz w:val="24"/>
          <w:szCs w:val="24"/>
          <w:lang w:val="pl-PL"/>
        </w:rPr>
        <w:t>, ETPC</w:t>
      </w:r>
      <w:r w:rsidRPr="002C2D40">
        <w:rPr>
          <w:rFonts w:asciiTheme="minorHAnsi" w:hAnsiTheme="minorHAnsi"/>
          <w:b/>
          <w:sz w:val="24"/>
          <w:szCs w:val="24"/>
          <w:lang w:val="pl-PL"/>
        </w:rPr>
        <w:t xml:space="preserve"> </w:t>
      </w:r>
      <w:r w:rsidRPr="002C2D40">
        <w:rPr>
          <w:rFonts w:asciiTheme="minorHAnsi" w:hAnsiTheme="minorHAnsi"/>
          <w:sz w:val="24"/>
          <w:szCs w:val="24"/>
          <w:lang w:val="pl-PL"/>
        </w:rPr>
        <w:t>–</w:t>
      </w:r>
      <w:r w:rsidRPr="002C2D40">
        <w:rPr>
          <w:rFonts w:asciiTheme="minorHAnsi" w:hAnsiTheme="minorHAnsi"/>
          <w:b/>
          <w:sz w:val="24"/>
          <w:szCs w:val="24"/>
          <w:lang w:val="pl-PL"/>
        </w:rPr>
        <w:t xml:space="preserve"> </w:t>
      </w:r>
      <w:r w:rsidRPr="002C2D40">
        <w:rPr>
          <w:rFonts w:asciiTheme="minorHAnsi" w:hAnsiTheme="minorHAnsi"/>
          <w:sz w:val="24"/>
          <w:szCs w:val="24"/>
          <w:lang w:val="pl-PL"/>
        </w:rPr>
        <w:t>Europejski Trybunał Praw Człowieka</w:t>
      </w:r>
    </w:p>
    <w:p w:rsidR="00DD0730" w:rsidRPr="002C2D40" w:rsidRDefault="00DD0730" w:rsidP="002C2D40">
      <w:pPr>
        <w:pStyle w:val="Akapitzlist"/>
        <w:spacing w:before="120" w:after="0" w:line="240" w:lineRule="auto"/>
        <w:ind w:left="426"/>
        <w:jc w:val="both"/>
        <w:rPr>
          <w:rFonts w:asciiTheme="minorHAnsi" w:hAnsiTheme="minorHAnsi"/>
          <w:b/>
          <w:sz w:val="24"/>
          <w:szCs w:val="24"/>
          <w:lang w:val="pl-PL"/>
        </w:rPr>
      </w:pPr>
      <w:r w:rsidRPr="002C2D40">
        <w:rPr>
          <w:rFonts w:asciiTheme="minorHAnsi" w:hAnsiTheme="minorHAnsi"/>
          <w:b/>
          <w:sz w:val="24"/>
          <w:szCs w:val="24"/>
          <w:lang w:val="pl-PL"/>
        </w:rPr>
        <w:t xml:space="preserve">RE </w:t>
      </w:r>
      <w:r w:rsidRPr="002C2D40">
        <w:rPr>
          <w:rFonts w:asciiTheme="minorHAnsi" w:hAnsiTheme="minorHAnsi"/>
          <w:sz w:val="24"/>
          <w:szCs w:val="24"/>
          <w:lang w:val="pl-PL"/>
        </w:rPr>
        <w:t>–</w:t>
      </w:r>
      <w:r w:rsidRPr="002C2D40">
        <w:rPr>
          <w:rFonts w:asciiTheme="minorHAnsi" w:hAnsiTheme="minorHAnsi"/>
          <w:b/>
          <w:sz w:val="24"/>
          <w:szCs w:val="24"/>
          <w:lang w:val="pl-PL"/>
        </w:rPr>
        <w:t xml:space="preserve"> </w:t>
      </w:r>
      <w:r w:rsidRPr="002C2D40">
        <w:rPr>
          <w:rFonts w:asciiTheme="minorHAnsi" w:hAnsiTheme="minorHAnsi"/>
          <w:sz w:val="24"/>
          <w:szCs w:val="24"/>
          <w:lang w:val="pl-PL"/>
        </w:rPr>
        <w:t>Rada Europy</w:t>
      </w:r>
    </w:p>
    <w:p w:rsidR="00DD0730" w:rsidRPr="002C2D40" w:rsidRDefault="00DD0730" w:rsidP="002C2D40">
      <w:pPr>
        <w:pStyle w:val="Akapitzlist"/>
        <w:spacing w:before="120" w:after="0" w:line="240" w:lineRule="auto"/>
        <w:ind w:left="426"/>
        <w:jc w:val="both"/>
        <w:rPr>
          <w:rFonts w:asciiTheme="minorHAnsi" w:hAnsiTheme="minorHAnsi"/>
          <w:sz w:val="24"/>
          <w:szCs w:val="24"/>
          <w:lang w:val="pl-PL"/>
        </w:rPr>
      </w:pPr>
      <w:r w:rsidRPr="002C2D40">
        <w:rPr>
          <w:rFonts w:asciiTheme="minorHAnsi" w:hAnsiTheme="minorHAnsi"/>
          <w:b/>
          <w:sz w:val="24"/>
          <w:szCs w:val="24"/>
          <w:lang w:val="pl-PL"/>
        </w:rPr>
        <w:t xml:space="preserve">Raport z wykonania </w:t>
      </w:r>
      <w:r w:rsidRPr="002C2D40">
        <w:rPr>
          <w:rFonts w:asciiTheme="minorHAnsi" w:hAnsiTheme="minorHAnsi"/>
          <w:sz w:val="24"/>
          <w:szCs w:val="24"/>
          <w:lang w:val="pl-PL"/>
        </w:rPr>
        <w:t xml:space="preserve">– raport z działań podjętych w celu wykonania wyroku Trybunału </w:t>
      </w:r>
    </w:p>
    <w:p w:rsidR="00DD0730" w:rsidRPr="002C2D40" w:rsidRDefault="004B4866" w:rsidP="002C2D40">
      <w:pPr>
        <w:pStyle w:val="Akapitzlist"/>
        <w:spacing w:before="120" w:after="0" w:line="240" w:lineRule="auto"/>
        <w:ind w:left="426"/>
        <w:jc w:val="both"/>
        <w:rPr>
          <w:rFonts w:asciiTheme="minorHAnsi" w:hAnsiTheme="minorHAnsi"/>
          <w:b/>
          <w:sz w:val="24"/>
          <w:szCs w:val="24"/>
          <w:lang w:val="pl-PL"/>
        </w:rPr>
      </w:pPr>
      <w:r w:rsidRPr="002C2D40">
        <w:rPr>
          <w:rFonts w:asciiTheme="minorHAnsi" w:hAnsiTheme="minorHAnsi"/>
          <w:b/>
          <w:sz w:val="24"/>
          <w:szCs w:val="24"/>
          <w:lang w:val="pl-PL"/>
        </w:rPr>
        <w:t xml:space="preserve">Komitet Ministrów, </w:t>
      </w:r>
      <w:r w:rsidR="00DD0730" w:rsidRPr="002C2D40">
        <w:rPr>
          <w:rFonts w:asciiTheme="minorHAnsi" w:hAnsiTheme="minorHAnsi"/>
          <w:b/>
          <w:sz w:val="24"/>
          <w:szCs w:val="24"/>
          <w:lang w:val="pl-PL"/>
        </w:rPr>
        <w:t>KM</w:t>
      </w:r>
      <w:r w:rsidR="000F26D4" w:rsidRPr="002C2D40">
        <w:rPr>
          <w:rFonts w:asciiTheme="minorHAnsi" w:hAnsiTheme="minorHAnsi"/>
          <w:b/>
          <w:sz w:val="24"/>
          <w:szCs w:val="24"/>
          <w:lang w:val="pl-PL"/>
        </w:rPr>
        <w:t>, KM RE</w:t>
      </w:r>
      <w:r w:rsidR="00DD0730" w:rsidRPr="002C2D40">
        <w:rPr>
          <w:rFonts w:asciiTheme="minorHAnsi" w:hAnsiTheme="minorHAnsi"/>
          <w:b/>
          <w:sz w:val="24"/>
          <w:szCs w:val="24"/>
          <w:lang w:val="pl-PL"/>
        </w:rPr>
        <w:t xml:space="preserve"> </w:t>
      </w:r>
      <w:r w:rsidR="00DD0730" w:rsidRPr="002C2D40">
        <w:rPr>
          <w:rFonts w:asciiTheme="minorHAnsi" w:hAnsiTheme="minorHAnsi"/>
          <w:sz w:val="24"/>
          <w:szCs w:val="24"/>
          <w:lang w:val="pl-PL"/>
        </w:rPr>
        <w:t>– Komitet Ministrów Rady Europy</w:t>
      </w:r>
    </w:p>
    <w:p w:rsidR="00DD0730" w:rsidRPr="002C2D40" w:rsidRDefault="000F26D4" w:rsidP="002C2D40">
      <w:pPr>
        <w:pStyle w:val="Akapitzlist"/>
        <w:spacing w:before="120" w:after="0" w:line="240" w:lineRule="auto"/>
        <w:ind w:left="426"/>
        <w:jc w:val="both"/>
        <w:rPr>
          <w:rFonts w:asciiTheme="minorHAnsi" w:hAnsiTheme="minorHAnsi"/>
          <w:sz w:val="24"/>
          <w:szCs w:val="24"/>
          <w:lang w:val="pl-PL"/>
        </w:rPr>
      </w:pPr>
      <w:r w:rsidRPr="002C2D40">
        <w:rPr>
          <w:rFonts w:asciiTheme="minorHAnsi" w:hAnsiTheme="minorHAnsi"/>
          <w:b/>
          <w:sz w:val="24"/>
          <w:szCs w:val="24"/>
          <w:lang w:val="pl-PL"/>
        </w:rPr>
        <w:t>D</w:t>
      </w:r>
      <w:r w:rsidR="00DD0730" w:rsidRPr="002C2D40">
        <w:rPr>
          <w:rFonts w:asciiTheme="minorHAnsi" w:hAnsiTheme="minorHAnsi"/>
          <w:b/>
          <w:sz w:val="24"/>
          <w:szCs w:val="24"/>
          <w:lang w:val="pl-PL"/>
        </w:rPr>
        <w:t>WW</w:t>
      </w:r>
      <w:r w:rsidRPr="002C2D40">
        <w:rPr>
          <w:rFonts w:asciiTheme="minorHAnsi" w:hAnsiTheme="minorHAnsi"/>
          <w:b/>
          <w:sz w:val="24"/>
          <w:szCs w:val="24"/>
          <w:lang w:val="pl-PL"/>
        </w:rPr>
        <w:t>, DWW Sekretariatu RE</w:t>
      </w:r>
      <w:r w:rsidR="00DD0730" w:rsidRPr="002C2D40">
        <w:rPr>
          <w:rFonts w:asciiTheme="minorHAnsi" w:hAnsiTheme="minorHAnsi"/>
          <w:b/>
          <w:sz w:val="24"/>
          <w:szCs w:val="24"/>
          <w:lang w:val="pl-PL"/>
        </w:rPr>
        <w:t xml:space="preserve"> </w:t>
      </w:r>
      <w:r w:rsidR="00DD0730" w:rsidRPr="002C2D40">
        <w:rPr>
          <w:rFonts w:asciiTheme="minorHAnsi" w:hAnsiTheme="minorHAnsi"/>
          <w:sz w:val="24"/>
          <w:szCs w:val="24"/>
          <w:lang w:val="pl-PL"/>
        </w:rPr>
        <w:t xml:space="preserve">– </w:t>
      </w:r>
      <w:r w:rsidRPr="002C2D40">
        <w:rPr>
          <w:rFonts w:asciiTheme="minorHAnsi" w:hAnsiTheme="minorHAnsi"/>
          <w:sz w:val="24"/>
          <w:szCs w:val="24"/>
          <w:lang w:val="pl-PL"/>
        </w:rPr>
        <w:t>Departament</w:t>
      </w:r>
      <w:r w:rsidR="00DD0730" w:rsidRPr="002C2D40">
        <w:rPr>
          <w:rFonts w:asciiTheme="minorHAnsi" w:hAnsiTheme="minorHAnsi"/>
          <w:sz w:val="24"/>
          <w:szCs w:val="24"/>
          <w:lang w:val="pl-PL"/>
        </w:rPr>
        <w:t xml:space="preserve"> Wykonywania Wyroków Europejskiego </w:t>
      </w:r>
      <w:r w:rsidR="00167149">
        <w:rPr>
          <w:rFonts w:asciiTheme="minorHAnsi" w:hAnsiTheme="minorHAnsi"/>
          <w:sz w:val="24"/>
          <w:szCs w:val="24"/>
          <w:lang w:val="pl-PL"/>
        </w:rPr>
        <w:t>T</w:t>
      </w:r>
      <w:r w:rsidR="00DD0730" w:rsidRPr="002C2D40">
        <w:rPr>
          <w:rFonts w:asciiTheme="minorHAnsi" w:hAnsiTheme="minorHAnsi"/>
          <w:sz w:val="24"/>
          <w:szCs w:val="24"/>
          <w:lang w:val="pl-PL"/>
        </w:rPr>
        <w:t>rybunału Praw Człowieka Sekretariatu Rady Europy</w:t>
      </w:r>
    </w:p>
    <w:p w:rsidR="00DD0730" w:rsidRPr="002C2D40" w:rsidRDefault="00DD0730" w:rsidP="002C2D40">
      <w:pPr>
        <w:pStyle w:val="Akapitzlist"/>
        <w:spacing w:before="120" w:after="0" w:line="240" w:lineRule="auto"/>
        <w:ind w:left="426"/>
        <w:jc w:val="both"/>
        <w:rPr>
          <w:rFonts w:asciiTheme="minorHAnsi" w:hAnsiTheme="minorHAnsi"/>
          <w:sz w:val="24"/>
          <w:szCs w:val="24"/>
          <w:lang w:val="pl-PL"/>
        </w:rPr>
      </w:pPr>
      <w:r w:rsidRPr="002C2D40">
        <w:rPr>
          <w:rFonts w:asciiTheme="minorHAnsi" w:hAnsiTheme="minorHAnsi"/>
          <w:b/>
          <w:sz w:val="24"/>
          <w:szCs w:val="24"/>
          <w:lang w:val="pl-PL"/>
        </w:rPr>
        <w:t>Konwencja</w:t>
      </w:r>
      <w:r w:rsidR="000F26D4" w:rsidRPr="002C2D40">
        <w:rPr>
          <w:rFonts w:asciiTheme="minorHAnsi" w:hAnsiTheme="minorHAnsi"/>
          <w:b/>
          <w:sz w:val="24"/>
          <w:szCs w:val="24"/>
          <w:lang w:val="pl-PL"/>
        </w:rPr>
        <w:t>, Europejska Konwencja Praw Człowieka</w:t>
      </w:r>
      <w:r w:rsidRPr="002C2D40">
        <w:rPr>
          <w:rFonts w:asciiTheme="minorHAnsi" w:hAnsiTheme="minorHAnsi"/>
          <w:sz w:val="24"/>
          <w:szCs w:val="24"/>
          <w:lang w:val="pl-PL"/>
        </w:rPr>
        <w:t xml:space="preserve"> – Konwencja o ochronie praw człowieka i podstawowych wolności </w:t>
      </w:r>
    </w:p>
    <w:p w:rsidR="00DD0730" w:rsidRPr="00167149" w:rsidRDefault="00167149" w:rsidP="002C2D40">
      <w:pPr>
        <w:pStyle w:val="Akapitzlist"/>
        <w:spacing w:before="120" w:after="0" w:line="240" w:lineRule="auto"/>
        <w:ind w:left="426"/>
        <w:jc w:val="both"/>
        <w:rPr>
          <w:rFonts w:asciiTheme="minorHAnsi" w:hAnsiTheme="minorHAnsi"/>
          <w:b/>
          <w:sz w:val="24"/>
          <w:szCs w:val="24"/>
          <w:lang w:val="pl-PL"/>
        </w:rPr>
      </w:pPr>
      <w:r w:rsidRPr="00167149">
        <w:rPr>
          <w:rFonts w:asciiTheme="minorHAnsi" w:hAnsiTheme="minorHAnsi"/>
          <w:b/>
          <w:sz w:val="24"/>
          <w:szCs w:val="24"/>
          <w:lang w:val="pl-PL"/>
        </w:rPr>
        <w:t>ZPRE – Zgromadzenie Parlamentarne Rady Europy</w:t>
      </w:r>
    </w:p>
    <w:p w:rsidR="00DD0730" w:rsidRPr="002C2D40" w:rsidRDefault="00DD0730" w:rsidP="002C2D40">
      <w:pPr>
        <w:pStyle w:val="Akapitzlist"/>
        <w:spacing w:before="120" w:after="0" w:line="240" w:lineRule="auto"/>
        <w:ind w:left="426"/>
        <w:jc w:val="both"/>
        <w:rPr>
          <w:rFonts w:asciiTheme="minorHAnsi" w:hAnsiTheme="minorHAnsi"/>
          <w:b/>
          <w:sz w:val="24"/>
          <w:szCs w:val="24"/>
          <w:lang w:val="pl-PL"/>
        </w:rPr>
      </w:pPr>
    </w:p>
    <w:p w:rsidR="00DD0730" w:rsidRPr="002C2D40" w:rsidRDefault="00665061" w:rsidP="002C2D40">
      <w:pPr>
        <w:pStyle w:val="Nagwek1"/>
        <w:numPr>
          <w:ilvl w:val="0"/>
          <w:numId w:val="0"/>
        </w:numPr>
        <w:spacing w:before="120"/>
        <w:ind w:left="851"/>
        <w:rPr>
          <w:rFonts w:asciiTheme="minorHAnsi" w:hAnsiTheme="minorHAnsi"/>
          <w:lang w:val="pl-PL"/>
        </w:rPr>
      </w:pPr>
      <w:bookmarkStart w:id="22" w:name="_Toc67656275"/>
      <w:r w:rsidRPr="002C2D40">
        <w:rPr>
          <w:rFonts w:asciiTheme="minorHAnsi" w:hAnsiTheme="minorHAnsi"/>
        </w:rPr>
        <w:t>WYKAZ ZAŁĄCZNIKÓW</w:t>
      </w:r>
      <w:bookmarkEnd w:id="22"/>
    </w:p>
    <w:p w:rsidR="00E02164" w:rsidRPr="002C2D40" w:rsidRDefault="00DD0730" w:rsidP="002C2D40">
      <w:pPr>
        <w:pStyle w:val="Akapitzlist"/>
        <w:spacing w:before="120" w:after="0" w:line="240" w:lineRule="auto"/>
        <w:ind w:left="426"/>
        <w:jc w:val="both"/>
        <w:rPr>
          <w:rFonts w:asciiTheme="minorHAnsi" w:hAnsiTheme="minorHAnsi"/>
          <w:sz w:val="24"/>
          <w:szCs w:val="24"/>
          <w:lang w:val="pl-PL"/>
        </w:rPr>
      </w:pPr>
      <w:r w:rsidRPr="002C2D40">
        <w:rPr>
          <w:rFonts w:asciiTheme="minorHAnsi" w:hAnsiTheme="minorHAnsi"/>
          <w:b/>
          <w:sz w:val="24"/>
          <w:szCs w:val="24"/>
          <w:lang w:val="pl-PL"/>
        </w:rPr>
        <w:t xml:space="preserve">A. </w:t>
      </w:r>
      <w:r w:rsidR="00E02164" w:rsidRPr="002C2D40">
        <w:rPr>
          <w:rFonts w:asciiTheme="minorHAnsi" w:hAnsiTheme="minorHAnsi"/>
          <w:sz w:val="24"/>
          <w:szCs w:val="24"/>
          <w:lang w:val="pl-PL"/>
        </w:rPr>
        <w:t>Wykaz orzeczeń wydanych w 20</w:t>
      </w:r>
      <w:r w:rsidR="004B4866" w:rsidRPr="002C2D40">
        <w:rPr>
          <w:rFonts w:asciiTheme="minorHAnsi" w:hAnsiTheme="minorHAnsi"/>
          <w:sz w:val="24"/>
          <w:szCs w:val="24"/>
          <w:lang w:val="pl-PL"/>
        </w:rPr>
        <w:t>2</w:t>
      </w:r>
      <w:r w:rsidR="0097084E" w:rsidRPr="002C2D40">
        <w:rPr>
          <w:rFonts w:asciiTheme="minorHAnsi" w:hAnsiTheme="minorHAnsi"/>
          <w:sz w:val="24"/>
          <w:szCs w:val="24"/>
          <w:lang w:val="pl-PL"/>
        </w:rPr>
        <w:t>0</w:t>
      </w:r>
      <w:r w:rsidR="00E02164" w:rsidRPr="002C2D40">
        <w:rPr>
          <w:rFonts w:asciiTheme="minorHAnsi" w:hAnsiTheme="minorHAnsi"/>
          <w:sz w:val="24"/>
          <w:szCs w:val="24"/>
          <w:lang w:val="pl-PL"/>
        </w:rPr>
        <w:t xml:space="preserve"> r. przez Europejski Trybunał Praw Człowieka w sprawach polskich</w:t>
      </w:r>
    </w:p>
    <w:p w:rsidR="00DD0730" w:rsidRPr="002C2D40" w:rsidRDefault="00E02164" w:rsidP="002C2D40">
      <w:pPr>
        <w:pStyle w:val="Akapitzlist"/>
        <w:spacing w:before="120" w:after="0" w:line="240" w:lineRule="auto"/>
        <w:ind w:left="426"/>
        <w:jc w:val="both"/>
        <w:rPr>
          <w:rFonts w:asciiTheme="minorHAnsi" w:hAnsiTheme="minorHAnsi"/>
          <w:b/>
          <w:sz w:val="24"/>
          <w:szCs w:val="24"/>
          <w:lang w:val="pl-PL"/>
        </w:rPr>
      </w:pPr>
      <w:r w:rsidRPr="002C2D40">
        <w:rPr>
          <w:rFonts w:asciiTheme="minorHAnsi" w:hAnsiTheme="minorHAnsi"/>
          <w:b/>
          <w:sz w:val="24"/>
          <w:szCs w:val="24"/>
          <w:lang w:val="pl-PL"/>
        </w:rPr>
        <w:t xml:space="preserve">B. </w:t>
      </w:r>
      <w:r w:rsidR="00DD0730" w:rsidRPr="002C2D40">
        <w:rPr>
          <w:rFonts w:asciiTheme="minorHAnsi" w:hAnsiTheme="minorHAnsi"/>
          <w:sz w:val="24"/>
          <w:szCs w:val="24"/>
          <w:lang w:val="pl-PL"/>
        </w:rPr>
        <w:t xml:space="preserve">Wykaz planów działań i raportów z wykonania wysłanych do Komitetu Ministrów </w:t>
      </w:r>
      <w:r w:rsidRPr="002C2D40">
        <w:rPr>
          <w:rFonts w:asciiTheme="minorHAnsi" w:hAnsiTheme="minorHAnsi"/>
          <w:sz w:val="24"/>
          <w:szCs w:val="24"/>
          <w:lang w:val="pl-PL"/>
        </w:rPr>
        <w:t xml:space="preserve">RE </w:t>
      </w:r>
      <w:r w:rsidR="004B4866" w:rsidRPr="002C2D40">
        <w:rPr>
          <w:rFonts w:asciiTheme="minorHAnsi" w:hAnsiTheme="minorHAnsi"/>
          <w:sz w:val="24"/>
          <w:szCs w:val="24"/>
          <w:lang w:val="pl-PL"/>
        </w:rPr>
        <w:t>w 2020</w:t>
      </w:r>
      <w:r w:rsidR="00DD0730" w:rsidRPr="002C2D40">
        <w:rPr>
          <w:rFonts w:asciiTheme="minorHAnsi" w:hAnsiTheme="minorHAnsi"/>
          <w:sz w:val="24"/>
          <w:szCs w:val="24"/>
          <w:lang w:val="pl-PL"/>
        </w:rPr>
        <w:t xml:space="preserve"> r.</w:t>
      </w:r>
    </w:p>
    <w:p w:rsidR="00DD0730" w:rsidRPr="002C2D40" w:rsidRDefault="00E02164" w:rsidP="002C2D40">
      <w:pPr>
        <w:pStyle w:val="Akapitzlist"/>
        <w:spacing w:before="120" w:after="0" w:line="240" w:lineRule="auto"/>
        <w:ind w:left="426"/>
        <w:jc w:val="both"/>
        <w:rPr>
          <w:rFonts w:asciiTheme="minorHAnsi" w:hAnsiTheme="minorHAnsi"/>
          <w:sz w:val="24"/>
          <w:szCs w:val="24"/>
          <w:lang w:val="pl-PL"/>
        </w:rPr>
      </w:pPr>
      <w:r w:rsidRPr="002C2D40">
        <w:rPr>
          <w:rFonts w:asciiTheme="minorHAnsi" w:hAnsiTheme="minorHAnsi"/>
          <w:b/>
          <w:sz w:val="24"/>
          <w:szCs w:val="24"/>
          <w:lang w:val="pl-PL"/>
        </w:rPr>
        <w:t>C</w:t>
      </w:r>
      <w:r w:rsidR="00DD0730" w:rsidRPr="002C2D40">
        <w:rPr>
          <w:rFonts w:asciiTheme="minorHAnsi" w:hAnsiTheme="minorHAnsi"/>
          <w:b/>
          <w:sz w:val="24"/>
          <w:szCs w:val="24"/>
          <w:lang w:val="pl-PL"/>
        </w:rPr>
        <w:t xml:space="preserve">. </w:t>
      </w:r>
      <w:r w:rsidR="00DD0730" w:rsidRPr="002C2D40">
        <w:rPr>
          <w:rFonts w:asciiTheme="minorHAnsi" w:hAnsiTheme="minorHAnsi"/>
          <w:sz w:val="24"/>
          <w:szCs w:val="24"/>
          <w:lang w:val="pl-PL"/>
        </w:rPr>
        <w:t xml:space="preserve">Pełne teksty planów działań i raportów z wykonania wysłanych do Komitetu Ministrów </w:t>
      </w:r>
      <w:r w:rsidRPr="002C2D40">
        <w:rPr>
          <w:rFonts w:asciiTheme="minorHAnsi" w:hAnsiTheme="minorHAnsi"/>
          <w:sz w:val="24"/>
          <w:szCs w:val="24"/>
          <w:lang w:val="pl-PL"/>
        </w:rPr>
        <w:t xml:space="preserve">RE </w:t>
      </w:r>
      <w:r w:rsidR="00DD0730" w:rsidRPr="002C2D40">
        <w:rPr>
          <w:rFonts w:asciiTheme="minorHAnsi" w:hAnsiTheme="minorHAnsi"/>
          <w:sz w:val="24"/>
          <w:szCs w:val="24"/>
          <w:lang w:val="pl-PL"/>
        </w:rPr>
        <w:t>w 20</w:t>
      </w:r>
      <w:r w:rsidR="004B4866" w:rsidRPr="002C2D40">
        <w:rPr>
          <w:rFonts w:asciiTheme="minorHAnsi" w:hAnsiTheme="minorHAnsi"/>
          <w:sz w:val="24"/>
          <w:szCs w:val="24"/>
          <w:lang w:val="pl-PL"/>
        </w:rPr>
        <w:t>20</w:t>
      </w:r>
      <w:r w:rsidR="00DD0730" w:rsidRPr="002C2D40">
        <w:rPr>
          <w:rFonts w:asciiTheme="minorHAnsi" w:hAnsiTheme="minorHAnsi"/>
          <w:sz w:val="24"/>
          <w:szCs w:val="24"/>
          <w:lang w:val="pl-PL"/>
        </w:rPr>
        <w:t xml:space="preserve"> r.</w:t>
      </w:r>
    </w:p>
    <w:p w:rsidR="00DD0730" w:rsidRPr="002C2D40" w:rsidRDefault="00E02164" w:rsidP="002C2D40">
      <w:pPr>
        <w:pStyle w:val="Akapitzlist"/>
        <w:spacing w:before="120" w:after="0" w:line="240" w:lineRule="auto"/>
        <w:ind w:left="426"/>
        <w:jc w:val="both"/>
        <w:rPr>
          <w:rFonts w:asciiTheme="minorHAnsi" w:hAnsiTheme="minorHAnsi"/>
          <w:sz w:val="24"/>
          <w:szCs w:val="24"/>
          <w:lang w:val="pl-PL"/>
        </w:rPr>
      </w:pPr>
      <w:r w:rsidRPr="002C2D40">
        <w:rPr>
          <w:rFonts w:asciiTheme="minorHAnsi" w:hAnsiTheme="minorHAnsi"/>
          <w:b/>
          <w:sz w:val="24"/>
          <w:szCs w:val="24"/>
          <w:lang w:val="pl-PL"/>
        </w:rPr>
        <w:t>D</w:t>
      </w:r>
      <w:r w:rsidR="00DD0730" w:rsidRPr="002C2D40">
        <w:rPr>
          <w:rFonts w:asciiTheme="minorHAnsi" w:hAnsiTheme="minorHAnsi"/>
          <w:b/>
          <w:sz w:val="24"/>
          <w:szCs w:val="24"/>
          <w:lang w:val="pl-PL"/>
        </w:rPr>
        <w:t xml:space="preserve">. </w:t>
      </w:r>
      <w:r w:rsidR="00DD0730" w:rsidRPr="002C2D40">
        <w:rPr>
          <w:rFonts w:asciiTheme="minorHAnsi" w:hAnsiTheme="minorHAnsi"/>
          <w:sz w:val="24"/>
          <w:szCs w:val="24"/>
          <w:lang w:val="pl-PL"/>
        </w:rPr>
        <w:t>Sprawozdania z posiedzeń plenarnych Zespołu do spraw Europejskiego Trybunału Praw Cz</w:t>
      </w:r>
      <w:r w:rsidR="000F26D4" w:rsidRPr="002C2D40">
        <w:rPr>
          <w:rFonts w:asciiTheme="minorHAnsi" w:hAnsiTheme="minorHAnsi"/>
          <w:sz w:val="24"/>
          <w:szCs w:val="24"/>
          <w:lang w:val="pl-PL"/>
        </w:rPr>
        <w:t>łowieka, które odbyły się w 20</w:t>
      </w:r>
      <w:r w:rsidR="004B4866" w:rsidRPr="002C2D40">
        <w:rPr>
          <w:rFonts w:asciiTheme="minorHAnsi" w:hAnsiTheme="minorHAnsi"/>
          <w:sz w:val="24"/>
          <w:szCs w:val="24"/>
          <w:lang w:val="pl-PL"/>
        </w:rPr>
        <w:t>20</w:t>
      </w:r>
      <w:r w:rsidR="00DD0730" w:rsidRPr="002C2D40">
        <w:rPr>
          <w:rFonts w:asciiTheme="minorHAnsi" w:hAnsiTheme="minorHAnsi"/>
          <w:sz w:val="24"/>
          <w:szCs w:val="24"/>
          <w:lang w:val="pl-PL"/>
        </w:rPr>
        <w:t xml:space="preserve"> r.</w:t>
      </w:r>
    </w:p>
    <w:p w:rsidR="00DD0730" w:rsidRPr="002C2D40" w:rsidRDefault="00DD0730" w:rsidP="002C2D40">
      <w:pPr>
        <w:pStyle w:val="Akapitzlist"/>
        <w:spacing w:before="120" w:after="0" w:line="240" w:lineRule="auto"/>
        <w:ind w:left="426"/>
        <w:jc w:val="both"/>
        <w:rPr>
          <w:rFonts w:asciiTheme="minorHAnsi" w:hAnsiTheme="minorHAnsi"/>
          <w:sz w:val="24"/>
          <w:szCs w:val="24"/>
          <w:lang w:val="pl-PL"/>
        </w:rPr>
      </w:pPr>
      <w:r w:rsidRPr="002C2D40">
        <w:rPr>
          <w:rFonts w:asciiTheme="minorHAnsi" w:hAnsiTheme="minorHAnsi"/>
          <w:b/>
          <w:sz w:val="24"/>
          <w:szCs w:val="24"/>
          <w:lang w:val="pl-PL"/>
        </w:rPr>
        <w:t xml:space="preserve">E. </w:t>
      </w:r>
      <w:r w:rsidRPr="002C2D40">
        <w:rPr>
          <w:rFonts w:asciiTheme="minorHAnsi" w:hAnsiTheme="minorHAnsi"/>
          <w:sz w:val="24"/>
          <w:szCs w:val="24"/>
        </w:rPr>
        <w:t>Wykaz zmian w prawie polskim i w praktyce jego stosowania koniecznych dla wykonania wyroków Europejskiego Trybunału Praw Człowieka</w:t>
      </w:r>
      <w:r w:rsidR="00D07CD3" w:rsidRPr="002C2D40">
        <w:rPr>
          <w:rFonts w:asciiTheme="minorHAnsi" w:hAnsiTheme="minorHAnsi"/>
          <w:sz w:val="24"/>
          <w:szCs w:val="24"/>
          <w:lang w:val="pl-PL"/>
        </w:rPr>
        <w:t xml:space="preserve"> wraz z wykazem wyroków w procesie wykonywania</w:t>
      </w:r>
    </w:p>
    <w:p w:rsidR="00E02164" w:rsidRPr="002C2D40" w:rsidRDefault="00DD0730" w:rsidP="002C2D40">
      <w:pPr>
        <w:pStyle w:val="Akapitzlist"/>
        <w:spacing w:before="120" w:after="0" w:line="240" w:lineRule="auto"/>
        <w:ind w:left="426"/>
        <w:contextualSpacing/>
        <w:jc w:val="both"/>
        <w:rPr>
          <w:rFonts w:asciiTheme="minorHAnsi" w:hAnsiTheme="minorHAnsi"/>
          <w:b/>
          <w:sz w:val="24"/>
          <w:szCs w:val="24"/>
          <w:lang w:val="pl-PL"/>
        </w:rPr>
      </w:pPr>
      <w:r w:rsidRPr="002C2D40">
        <w:rPr>
          <w:rFonts w:asciiTheme="minorHAnsi" w:hAnsiTheme="minorHAnsi"/>
          <w:b/>
          <w:sz w:val="24"/>
          <w:szCs w:val="24"/>
          <w:lang w:val="pl-PL"/>
        </w:rPr>
        <w:t xml:space="preserve">F. </w:t>
      </w:r>
      <w:r w:rsidRPr="002C2D40">
        <w:rPr>
          <w:rFonts w:asciiTheme="minorHAnsi" w:hAnsiTheme="minorHAnsi"/>
          <w:sz w:val="24"/>
          <w:szCs w:val="24"/>
          <w:lang w:val="pl-PL"/>
        </w:rPr>
        <w:t xml:space="preserve">Pełne teksty komunikacji przesłanych do Komitetu Ministrów </w:t>
      </w:r>
      <w:r w:rsidR="00E02164" w:rsidRPr="002C2D40">
        <w:rPr>
          <w:rFonts w:asciiTheme="minorHAnsi" w:hAnsiTheme="minorHAnsi"/>
          <w:sz w:val="24"/>
          <w:szCs w:val="24"/>
          <w:lang w:val="pl-PL"/>
        </w:rPr>
        <w:t xml:space="preserve">RE, </w:t>
      </w:r>
      <w:r w:rsidRPr="002C2D40">
        <w:rPr>
          <w:rFonts w:asciiTheme="minorHAnsi" w:hAnsiTheme="minorHAnsi"/>
          <w:sz w:val="24"/>
          <w:szCs w:val="24"/>
          <w:lang w:val="pl-PL"/>
        </w:rPr>
        <w:t xml:space="preserve">wraz z odpowiedziami </w:t>
      </w:r>
      <w:r w:rsidR="000F26D4" w:rsidRPr="002C2D40">
        <w:rPr>
          <w:rFonts w:asciiTheme="minorHAnsi" w:hAnsiTheme="minorHAnsi"/>
          <w:sz w:val="24"/>
          <w:szCs w:val="24"/>
          <w:lang w:val="pl-PL"/>
        </w:rPr>
        <w:t>r</w:t>
      </w:r>
      <w:r w:rsidR="00E02164" w:rsidRPr="002C2D40">
        <w:rPr>
          <w:rFonts w:asciiTheme="minorHAnsi" w:hAnsiTheme="minorHAnsi"/>
          <w:sz w:val="24"/>
          <w:szCs w:val="24"/>
          <w:lang w:val="pl-PL"/>
        </w:rPr>
        <w:t>ządu</w:t>
      </w:r>
    </w:p>
    <w:p w:rsidR="00B97300" w:rsidRPr="002C2D40" w:rsidRDefault="00E02164" w:rsidP="002C2D40">
      <w:pPr>
        <w:pStyle w:val="Akapitzlist"/>
        <w:spacing w:before="120" w:after="0" w:line="240" w:lineRule="auto"/>
        <w:ind w:left="426"/>
        <w:contextualSpacing/>
        <w:jc w:val="both"/>
        <w:rPr>
          <w:rFonts w:asciiTheme="minorHAnsi" w:hAnsiTheme="minorHAnsi"/>
          <w:sz w:val="24"/>
          <w:szCs w:val="24"/>
          <w:lang w:val="pl-PL"/>
        </w:rPr>
      </w:pPr>
      <w:r w:rsidRPr="002C2D40">
        <w:rPr>
          <w:rFonts w:asciiTheme="minorHAnsi" w:hAnsiTheme="minorHAnsi"/>
          <w:b/>
          <w:sz w:val="24"/>
          <w:szCs w:val="24"/>
          <w:lang w:val="pl-PL"/>
        </w:rPr>
        <w:t xml:space="preserve">G. </w:t>
      </w:r>
      <w:r w:rsidRPr="002C2D40">
        <w:rPr>
          <w:rFonts w:asciiTheme="minorHAnsi" w:hAnsiTheme="minorHAnsi"/>
          <w:sz w:val="24"/>
          <w:szCs w:val="24"/>
        </w:rPr>
        <w:t>Wybrane wyroki Europejskiego Trybunału Praw Człowieka wydane w 20</w:t>
      </w:r>
      <w:r w:rsidR="004B4866" w:rsidRPr="002C2D40">
        <w:rPr>
          <w:rFonts w:asciiTheme="minorHAnsi" w:hAnsiTheme="minorHAnsi"/>
          <w:sz w:val="24"/>
          <w:szCs w:val="24"/>
          <w:lang w:val="pl-PL"/>
        </w:rPr>
        <w:t>20</w:t>
      </w:r>
      <w:r w:rsidRPr="002C2D40">
        <w:rPr>
          <w:rFonts w:asciiTheme="minorHAnsi" w:hAnsiTheme="minorHAnsi"/>
          <w:sz w:val="24"/>
          <w:szCs w:val="24"/>
        </w:rPr>
        <w:t xml:space="preserve"> r. w sprawach dotyczących innych Państw-Stron Konwencji, które mają lub mogą mieć znaczenie dla prawa lub praktyki jego stosowania w Polsce</w:t>
      </w:r>
    </w:p>
    <w:sectPr w:rsidR="00B97300" w:rsidRPr="002C2D40" w:rsidSect="0052112F">
      <w:headerReference w:type="even" r:id="rId18"/>
      <w:headerReference w:type="default" r:id="rId19"/>
      <w:footerReference w:type="even" r:id="rId20"/>
      <w:footerReference w:type="default" r:id="rId21"/>
      <w:headerReference w:type="first" r:id="rId22"/>
      <w:footerReference w:type="first" r:id="rId23"/>
      <w:pgSz w:w="11906" w:h="16838" w:code="9"/>
      <w:pgMar w:top="1560" w:right="1416" w:bottom="156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5BC8" w:rsidRDefault="00745BC8" w:rsidP="00DD0730">
      <w:r>
        <w:separator/>
      </w:r>
    </w:p>
    <w:p w:rsidR="00745BC8" w:rsidRDefault="00745BC8"/>
  </w:endnote>
  <w:endnote w:type="continuationSeparator" w:id="0">
    <w:p w:rsidR="00745BC8" w:rsidRDefault="00745BC8" w:rsidP="00DD0730">
      <w:r>
        <w:continuationSeparator/>
      </w:r>
    </w:p>
    <w:p w:rsidR="00745BC8" w:rsidRDefault="00745B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Minion Pro">
    <w:charset w:val="00"/>
    <w:family w:val="auto"/>
    <w:pitch w:val="variable"/>
    <w:sig w:usb0="E00002AF" w:usb1="5000607B" w:usb2="00000000" w:usb3="00000000" w:csb0="0000009F" w:csb1="00000000"/>
  </w:font>
  <w:font w:name="Cambria,Italic">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12D" w:rsidRDefault="0050712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12D" w:rsidRPr="005C43F6" w:rsidRDefault="0050712D" w:rsidP="005C43F6">
    <w:pPr>
      <w:pStyle w:val="Stopka"/>
      <w:jc w:val="right"/>
      <w:rPr>
        <w:rFonts w:ascii="Calibri" w:hAnsi="Calibri"/>
        <w:lang w:val="pl-PL"/>
      </w:rPr>
    </w:pPr>
    <w:r w:rsidRPr="00DF12A3">
      <w:rPr>
        <w:rFonts w:ascii="Calibri" w:hAnsi="Calibri"/>
      </w:rPr>
      <w:fldChar w:fldCharType="begin"/>
    </w:r>
    <w:r w:rsidRPr="00DF12A3">
      <w:rPr>
        <w:rFonts w:ascii="Calibri" w:hAnsi="Calibri"/>
      </w:rPr>
      <w:instrText>PAGE   \* MERGEFORMAT</w:instrText>
    </w:r>
    <w:r w:rsidRPr="00DF12A3">
      <w:rPr>
        <w:rFonts w:ascii="Calibri" w:hAnsi="Calibri"/>
      </w:rPr>
      <w:fldChar w:fldCharType="separate"/>
    </w:r>
    <w:r w:rsidR="008B572A">
      <w:rPr>
        <w:rFonts w:ascii="Calibri" w:hAnsi="Calibri"/>
        <w:noProof/>
      </w:rPr>
      <w:t>21</w:t>
    </w:r>
    <w:r w:rsidRPr="00DF12A3">
      <w:rPr>
        <w:rFonts w:ascii="Calibri" w:hAnsi="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1003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6"/>
      <w:gridCol w:w="7626"/>
    </w:tblGrid>
    <w:tr w:rsidR="0050712D" w:rsidTr="00FE679B">
      <w:tc>
        <w:tcPr>
          <w:tcW w:w="2406" w:type="dxa"/>
        </w:tcPr>
        <w:p w:rsidR="0050712D" w:rsidRDefault="0050712D" w:rsidP="00DD0730">
          <w:pPr>
            <w:pStyle w:val="Stopka"/>
            <w:rPr>
              <w:noProof/>
              <w:lang w:val="pl-PL" w:eastAsia="pl-PL"/>
            </w:rPr>
          </w:pPr>
        </w:p>
        <w:p w:rsidR="0050712D" w:rsidRDefault="0050712D" w:rsidP="00DD0730">
          <w:pPr>
            <w:pStyle w:val="Stopka"/>
            <w:rPr>
              <w:lang w:val="pl-PL"/>
            </w:rPr>
          </w:pPr>
        </w:p>
      </w:tc>
      <w:tc>
        <w:tcPr>
          <w:tcW w:w="7626" w:type="dxa"/>
        </w:tcPr>
        <w:p w:rsidR="0050712D" w:rsidRDefault="0050712D" w:rsidP="00DD0730">
          <w:pPr>
            <w:pStyle w:val="Stopka"/>
            <w:rPr>
              <w:lang w:val="pl-PL"/>
            </w:rPr>
          </w:pPr>
        </w:p>
      </w:tc>
    </w:tr>
  </w:tbl>
  <w:p w:rsidR="0050712D" w:rsidRPr="00BB21DD" w:rsidRDefault="0050712D" w:rsidP="003C2C26">
    <w:pPr>
      <w:pStyle w:val="Stopka"/>
      <w:ind w:left="-168"/>
      <w:rPr>
        <w:lang w:val="pl-P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5BC8" w:rsidRDefault="00745BC8" w:rsidP="00DD0730">
      <w:r>
        <w:separator/>
      </w:r>
    </w:p>
    <w:p w:rsidR="00745BC8" w:rsidRDefault="00745BC8"/>
  </w:footnote>
  <w:footnote w:type="continuationSeparator" w:id="0">
    <w:p w:rsidR="00745BC8" w:rsidRDefault="00745BC8" w:rsidP="00DD0730">
      <w:r>
        <w:continuationSeparator/>
      </w:r>
    </w:p>
    <w:p w:rsidR="00745BC8" w:rsidRDefault="00745BC8"/>
  </w:footnote>
  <w:footnote w:id="1">
    <w:p w:rsidR="00F1274F" w:rsidRDefault="00F1274F">
      <w:pPr>
        <w:pStyle w:val="Tekstprzypisudolnego"/>
      </w:pPr>
      <w:r>
        <w:rPr>
          <w:rStyle w:val="Odwoanieprzypisudolnego"/>
        </w:rPr>
        <w:footnoteRef/>
      </w:r>
      <w:r>
        <w:t xml:space="preserve"> </w:t>
      </w:r>
      <w:r w:rsidRPr="00AF6ADF">
        <w:rPr>
          <w:rFonts w:asciiTheme="minorHAnsi" w:hAnsiTheme="minorHAnsi"/>
        </w:rPr>
        <w:t>Uwaga, dane się nie sumują, gdyż jedna decyzja Trybunału może dotyczyć wielu różnych zarzutów naruszenia Konwencji.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12D" w:rsidRDefault="0050712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12D" w:rsidRDefault="0050712D">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12D" w:rsidRDefault="0050712D" w:rsidP="00DD0730">
    <w:pPr>
      <w:pStyle w:val="Nagwek"/>
      <w:ind w:left="-168"/>
    </w:pPr>
    <w:r w:rsidRPr="002C2D40">
      <w:rPr>
        <w:noProof/>
        <w:lang w:val="pl-PL" w:eastAsia="pl-PL"/>
      </w:rPr>
      <w:drawing>
        <wp:anchor distT="0" distB="0" distL="114300" distR="114300" simplePos="0" relativeHeight="251659264" behindDoc="1" locked="0" layoutInCell="1" allowOverlap="1" wp14:anchorId="47D9C1E0" wp14:editId="07EF84FF">
          <wp:simplePos x="0" y="0"/>
          <wp:positionH relativeFrom="page">
            <wp:posOffset>16510</wp:posOffset>
          </wp:positionH>
          <wp:positionV relativeFrom="page">
            <wp:posOffset>0</wp:posOffset>
          </wp:positionV>
          <wp:extent cx="2527935" cy="2608580"/>
          <wp:effectExtent l="0" t="0" r="5715" b="127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7935" cy="26085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16F55"/>
    <w:multiLevelType w:val="hybridMultilevel"/>
    <w:tmpl w:val="D7BC0A2A"/>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E64C10"/>
    <w:multiLevelType w:val="hybridMultilevel"/>
    <w:tmpl w:val="6AD4CCD2"/>
    <w:lvl w:ilvl="0" w:tplc="3F644234">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8154DD8"/>
    <w:multiLevelType w:val="hybridMultilevel"/>
    <w:tmpl w:val="1654E81E"/>
    <w:lvl w:ilvl="0" w:tplc="3F644234">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8836E5"/>
    <w:multiLevelType w:val="hybridMultilevel"/>
    <w:tmpl w:val="3EBC1E56"/>
    <w:lvl w:ilvl="0" w:tplc="3F644234">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1941A7B"/>
    <w:multiLevelType w:val="hybridMultilevel"/>
    <w:tmpl w:val="67D8538C"/>
    <w:lvl w:ilvl="0" w:tplc="8096A1C4">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C26266"/>
    <w:multiLevelType w:val="hybridMultilevel"/>
    <w:tmpl w:val="8348DFA8"/>
    <w:lvl w:ilvl="0" w:tplc="3F644234">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2F32832"/>
    <w:multiLevelType w:val="hybridMultilevel"/>
    <w:tmpl w:val="9A7E6F2E"/>
    <w:lvl w:ilvl="0" w:tplc="3F644234">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8E23BBE"/>
    <w:multiLevelType w:val="hybridMultilevel"/>
    <w:tmpl w:val="4E64B72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AAB3CA5"/>
    <w:multiLevelType w:val="hybridMultilevel"/>
    <w:tmpl w:val="774E6DD6"/>
    <w:lvl w:ilvl="0" w:tplc="3F644234">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1C0B0B88"/>
    <w:multiLevelType w:val="hybridMultilevel"/>
    <w:tmpl w:val="45E23BC0"/>
    <w:lvl w:ilvl="0" w:tplc="3F644234">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CCF639B"/>
    <w:multiLevelType w:val="hybridMultilevel"/>
    <w:tmpl w:val="6B66AA52"/>
    <w:lvl w:ilvl="0" w:tplc="3F644234">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EC52003"/>
    <w:multiLevelType w:val="hybridMultilevel"/>
    <w:tmpl w:val="E15ADDEA"/>
    <w:lvl w:ilvl="0" w:tplc="FB3020A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1AC0C47"/>
    <w:multiLevelType w:val="hybridMultilevel"/>
    <w:tmpl w:val="952052DC"/>
    <w:lvl w:ilvl="0" w:tplc="3D904538">
      <w:start w:val="1"/>
      <w:numFmt w:val="upperRoman"/>
      <w:pStyle w:val="Nagwek1"/>
      <w:lvlText w:val="%1."/>
      <w:lvlJc w:val="left"/>
      <w:pPr>
        <w:ind w:left="1080" w:hanging="720"/>
      </w:pPr>
      <w:rPr>
        <w:rFonts w:hint="default"/>
      </w:rPr>
    </w:lvl>
    <w:lvl w:ilvl="1" w:tplc="F82AE810">
      <w:numFmt w:val="bullet"/>
      <w:lvlText w:val="•"/>
      <w:lvlJc w:val="left"/>
      <w:pPr>
        <w:ind w:left="1440" w:hanging="360"/>
      </w:pPr>
      <w:rPr>
        <w:rFonts w:ascii="Calibri" w:eastAsia="Calibri" w:hAnsi="Calibri" w:cs="Times New Roman" w:hint="default"/>
        <w:color w:val="auto"/>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A11C4D"/>
    <w:multiLevelType w:val="hybridMultilevel"/>
    <w:tmpl w:val="A79ED94A"/>
    <w:lvl w:ilvl="0" w:tplc="3F644234">
      <w:start w:val="1"/>
      <w:numFmt w:val="bullet"/>
      <w:lvlText w:val="-"/>
      <w:lvlJc w:val="left"/>
      <w:pPr>
        <w:ind w:left="780" w:hanging="360"/>
      </w:pPr>
      <w:rPr>
        <w:rFonts w:ascii="Calibri" w:hAnsi="Calibri"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4" w15:restartNumberingAfterBreak="0">
    <w:nsid w:val="24D41A05"/>
    <w:multiLevelType w:val="hybridMultilevel"/>
    <w:tmpl w:val="D4BCC772"/>
    <w:lvl w:ilvl="0" w:tplc="35AECC2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26FB360E"/>
    <w:multiLevelType w:val="hybridMultilevel"/>
    <w:tmpl w:val="0EBEF1DA"/>
    <w:lvl w:ilvl="0" w:tplc="35AECC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77B4785"/>
    <w:multiLevelType w:val="hybridMultilevel"/>
    <w:tmpl w:val="FCF87E72"/>
    <w:lvl w:ilvl="0" w:tplc="3F644234">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95D0A2A"/>
    <w:multiLevelType w:val="hybridMultilevel"/>
    <w:tmpl w:val="4BF41E42"/>
    <w:lvl w:ilvl="0" w:tplc="3F644234">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A9E3B8B"/>
    <w:multiLevelType w:val="hybridMultilevel"/>
    <w:tmpl w:val="019E67CA"/>
    <w:lvl w:ilvl="0" w:tplc="3F644234">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1DC7D78"/>
    <w:multiLevelType w:val="hybridMultilevel"/>
    <w:tmpl w:val="6A70A438"/>
    <w:lvl w:ilvl="0" w:tplc="04150003">
      <w:start w:val="1"/>
      <w:numFmt w:val="bullet"/>
      <w:lvlText w:val="o"/>
      <w:lvlJc w:val="left"/>
      <w:pPr>
        <w:ind w:left="720" w:hanging="360"/>
      </w:pPr>
      <w:rPr>
        <w:rFonts w:ascii="Courier New" w:hAnsi="Courier New" w:cs="Courier New" w:hint="default"/>
      </w:rPr>
    </w:lvl>
    <w:lvl w:ilvl="1" w:tplc="A9F81D46">
      <w:start w:val="1"/>
      <w:numFmt w:val="bullet"/>
      <w:lvlText w:val="-"/>
      <w:lvlJc w:val="left"/>
      <w:pPr>
        <w:ind w:left="1440" w:hanging="360"/>
      </w:pPr>
      <w:rPr>
        <w:rFonts w:ascii="Times New Roman" w:hAnsi="Times New Roman"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3EC11E4"/>
    <w:multiLevelType w:val="hybridMultilevel"/>
    <w:tmpl w:val="67D8538C"/>
    <w:lvl w:ilvl="0" w:tplc="8096A1C4">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5BE7BC6"/>
    <w:multiLevelType w:val="hybridMultilevel"/>
    <w:tmpl w:val="7564FD1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6A347B7"/>
    <w:multiLevelType w:val="multilevel"/>
    <w:tmpl w:val="7A72EE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97625F5"/>
    <w:multiLevelType w:val="hybridMultilevel"/>
    <w:tmpl w:val="62A499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9B77329"/>
    <w:multiLevelType w:val="hybridMultilevel"/>
    <w:tmpl w:val="9790EFEC"/>
    <w:lvl w:ilvl="0" w:tplc="3F644234">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BB14690"/>
    <w:multiLevelType w:val="hybridMultilevel"/>
    <w:tmpl w:val="69D0CED0"/>
    <w:lvl w:ilvl="0" w:tplc="3F644234">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3D4B2A61"/>
    <w:multiLevelType w:val="hybridMultilevel"/>
    <w:tmpl w:val="24CE42AA"/>
    <w:lvl w:ilvl="0" w:tplc="3F644234">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D5352BA"/>
    <w:multiLevelType w:val="hybridMultilevel"/>
    <w:tmpl w:val="D52C8D3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2091F92"/>
    <w:multiLevelType w:val="hybridMultilevel"/>
    <w:tmpl w:val="439E7B0E"/>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9" w15:restartNumberingAfterBreak="0">
    <w:nsid w:val="42796B2A"/>
    <w:multiLevelType w:val="hybridMultilevel"/>
    <w:tmpl w:val="2684DF4A"/>
    <w:lvl w:ilvl="0" w:tplc="3F644234">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4F7037E"/>
    <w:multiLevelType w:val="hybridMultilevel"/>
    <w:tmpl w:val="67D8538C"/>
    <w:lvl w:ilvl="0" w:tplc="8096A1C4">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D93348D"/>
    <w:multiLevelType w:val="hybridMultilevel"/>
    <w:tmpl w:val="62A499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D9C0DA0"/>
    <w:multiLevelType w:val="hybridMultilevel"/>
    <w:tmpl w:val="EDB60D14"/>
    <w:lvl w:ilvl="0" w:tplc="35AECC20">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3" w15:restartNumberingAfterBreak="0">
    <w:nsid w:val="4F6A52F1"/>
    <w:multiLevelType w:val="hybridMultilevel"/>
    <w:tmpl w:val="673AB794"/>
    <w:lvl w:ilvl="0" w:tplc="3F644234">
      <w:start w:val="1"/>
      <w:numFmt w:val="bullet"/>
      <w:lvlText w:val="-"/>
      <w:lvlJc w:val="left"/>
      <w:pPr>
        <w:ind w:left="1068" w:hanging="360"/>
      </w:pPr>
      <w:rPr>
        <w:rFonts w:ascii="Calibri" w:hAnsi="Calibri"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4" w15:restartNumberingAfterBreak="0">
    <w:nsid w:val="52F3008D"/>
    <w:multiLevelType w:val="hybridMultilevel"/>
    <w:tmpl w:val="BADE749C"/>
    <w:lvl w:ilvl="0" w:tplc="3F644234">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B075340"/>
    <w:multiLevelType w:val="hybridMultilevel"/>
    <w:tmpl w:val="FC888716"/>
    <w:lvl w:ilvl="0" w:tplc="35AECC2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5D2407CB"/>
    <w:multiLevelType w:val="hybridMultilevel"/>
    <w:tmpl w:val="70AE398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EA76EA5"/>
    <w:multiLevelType w:val="hybridMultilevel"/>
    <w:tmpl w:val="62A499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F690C82"/>
    <w:multiLevelType w:val="multilevel"/>
    <w:tmpl w:val="649C506E"/>
    <w:lvl w:ilvl="0">
      <w:start w:val="1"/>
      <w:numFmt w:val="decimal"/>
      <w:pStyle w:val="Nagwek2"/>
      <w:lvlText w:val="%1."/>
      <w:lvlJc w:val="left"/>
      <w:pPr>
        <w:ind w:left="720" w:hanging="360"/>
      </w:pPr>
      <w:rPr>
        <w:rFonts w:hint="default"/>
        <w:strike w:val="0"/>
        <w:color w:val="auto"/>
      </w:rPr>
    </w:lvl>
    <w:lvl w:ilvl="1">
      <w:start w:val="1"/>
      <w:numFmt w:val="decimal"/>
      <w:isLgl/>
      <w:lvlText w:val="%1.%2."/>
      <w:lvlJc w:val="left"/>
      <w:pPr>
        <w:ind w:left="720" w:hanging="360"/>
      </w:pPr>
      <w:rPr>
        <w:rFonts w:hint="default"/>
        <w:b w:val="0"/>
        <w:i/>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4334A3F"/>
    <w:multiLevelType w:val="hybridMultilevel"/>
    <w:tmpl w:val="4FF246A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6C019A4"/>
    <w:multiLevelType w:val="hybridMultilevel"/>
    <w:tmpl w:val="B0E6F898"/>
    <w:lvl w:ilvl="0" w:tplc="04150003">
      <w:start w:val="1"/>
      <w:numFmt w:val="bullet"/>
      <w:lvlText w:val="o"/>
      <w:lvlJc w:val="left"/>
      <w:pPr>
        <w:ind w:left="720" w:hanging="360"/>
      </w:pPr>
      <w:rPr>
        <w:rFonts w:ascii="Courier New" w:hAnsi="Courier New" w:cs="Courier New" w:hint="default"/>
      </w:rPr>
    </w:lvl>
    <w:lvl w:ilvl="1" w:tplc="0415000B">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7877128"/>
    <w:multiLevelType w:val="hybridMultilevel"/>
    <w:tmpl w:val="AE023866"/>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81A7702"/>
    <w:multiLevelType w:val="hybridMultilevel"/>
    <w:tmpl w:val="92C2C8B2"/>
    <w:lvl w:ilvl="0" w:tplc="04150003">
      <w:start w:val="1"/>
      <w:numFmt w:val="bullet"/>
      <w:lvlText w:val="o"/>
      <w:lvlJc w:val="left"/>
      <w:pPr>
        <w:ind w:left="1068" w:hanging="360"/>
      </w:pPr>
      <w:rPr>
        <w:rFonts w:ascii="Courier New" w:hAnsi="Courier New" w:cs="Courier New"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3" w15:restartNumberingAfterBreak="0">
    <w:nsid w:val="68B37AB3"/>
    <w:multiLevelType w:val="hybridMultilevel"/>
    <w:tmpl w:val="FA8446FE"/>
    <w:lvl w:ilvl="0" w:tplc="3F644234">
      <w:start w:val="1"/>
      <w:numFmt w:val="bullet"/>
      <w:lvlText w:val="-"/>
      <w:lvlJc w:val="left"/>
      <w:pPr>
        <w:ind w:left="780" w:hanging="360"/>
      </w:pPr>
      <w:rPr>
        <w:rFonts w:ascii="Calibri" w:hAnsi="Calibri"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4" w15:restartNumberingAfterBreak="0">
    <w:nsid w:val="6A7B3BA9"/>
    <w:multiLevelType w:val="hybridMultilevel"/>
    <w:tmpl w:val="68BA1AB8"/>
    <w:lvl w:ilvl="0" w:tplc="5E30BED6">
      <w:start w:val="1"/>
      <w:numFmt w:val="decimal"/>
      <w:lvlText w:val="%1."/>
      <w:lvlJc w:val="left"/>
      <w:pPr>
        <w:ind w:left="720" w:hanging="360"/>
      </w:pPr>
      <w:rPr>
        <w:rFonts w:asciiTheme="minorHAnsi" w:hAnsiTheme="minorHAnsi" w:hint="default"/>
        <w:b/>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F793DEE"/>
    <w:multiLevelType w:val="hybridMultilevel"/>
    <w:tmpl w:val="3D101D44"/>
    <w:lvl w:ilvl="0" w:tplc="5AD2AECA">
      <w:start w:val="1"/>
      <w:numFmt w:val="bullet"/>
      <w:lvlText w:val="−"/>
      <w:lvlJc w:val="left"/>
      <w:pPr>
        <w:ind w:left="294" w:hanging="360"/>
      </w:pPr>
      <w:rPr>
        <w:rFonts w:ascii="Times New Roman" w:eastAsia="Times New Roman" w:hAnsi="Times New Roman" w:cs="Times New Roman" w:hint="default"/>
        <w:i w:val="0"/>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46" w15:restartNumberingAfterBreak="0">
    <w:nsid w:val="73A308D1"/>
    <w:multiLevelType w:val="hybridMultilevel"/>
    <w:tmpl w:val="799CD79A"/>
    <w:lvl w:ilvl="0" w:tplc="3F644234">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5BC6F90"/>
    <w:multiLevelType w:val="multilevel"/>
    <w:tmpl w:val="73286344"/>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2"/>
  </w:num>
  <w:num w:numId="2">
    <w:abstractNumId w:val="39"/>
  </w:num>
  <w:num w:numId="3">
    <w:abstractNumId w:val="44"/>
  </w:num>
  <w:num w:numId="4">
    <w:abstractNumId w:val="22"/>
  </w:num>
  <w:num w:numId="5">
    <w:abstractNumId w:val="45"/>
  </w:num>
  <w:num w:numId="6">
    <w:abstractNumId w:val="38"/>
  </w:num>
  <w:num w:numId="7">
    <w:abstractNumId w:val="38"/>
    <w:lvlOverride w:ilvl="0">
      <w:startOverride w:val="1"/>
    </w:lvlOverride>
  </w:num>
  <w:num w:numId="8">
    <w:abstractNumId w:val="35"/>
  </w:num>
  <w:num w:numId="9">
    <w:abstractNumId w:val="28"/>
  </w:num>
  <w:num w:numId="10">
    <w:abstractNumId w:val="31"/>
  </w:num>
  <w:num w:numId="11">
    <w:abstractNumId w:val="23"/>
  </w:num>
  <w:num w:numId="12">
    <w:abstractNumId w:val="37"/>
  </w:num>
  <w:num w:numId="13">
    <w:abstractNumId w:val="20"/>
  </w:num>
  <w:num w:numId="14">
    <w:abstractNumId w:val="4"/>
  </w:num>
  <w:num w:numId="15">
    <w:abstractNumId w:val="30"/>
  </w:num>
  <w:num w:numId="16">
    <w:abstractNumId w:val="32"/>
  </w:num>
  <w:num w:numId="17">
    <w:abstractNumId w:val="47"/>
  </w:num>
  <w:num w:numId="18">
    <w:abstractNumId w:val="11"/>
  </w:num>
  <w:num w:numId="19">
    <w:abstractNumId w:val="36"/>
  </w:num>
  <w:num w:numId="20">
    <w:abstractNumId w:val="42"/>
  </w:num>
  <w:num w:numId="21">
    <w:abstractNumId w:val="7"/>
  </w:num>
  <w:num w:numId="22">
    <w:abstractNumId w:val="41"/>
  </w:num>
  <w:num w:numId="23">
    <w:abstractNumId w:val="27"/>
  </w:num>
  <w:num w:numId="24">
    <w:abstractNumId w:val="21"/>
  </w:num>
  <w:num w:numId="25">
    <w:abstractNumId w:val="0"/>
  </w:num>
  <w:num w:numId="26">
    <w:abstractNumId w:val="19"/>
  </w:num>
  <w:num w:numId="27">
    <w:abstractNumId w:val="14"/>
  </w:num>
  <w:num w:numId="28">
    <w:abstractNumId w:val="15"/>
  </w:num>
  <w:num w:numId="29">
    <w:abstractNumId w:val="25"/>
  </w:num>
  <w:num w:numId="30">
    <w:abstractNumId w:val="33"/>
  </w:num>
  <w:num w:numId="31">
    <w:abstractNumId w:val="24"/>
  </w:num>
  <w:num w:numId="32">
    <w:abstractNumId w:val="29"/>
  </w:num>
  <w:num w:numId="33">
    <w:abstractNumId w:val="13"/>
  </w:num>
  <w:num w:numId="34">
    <w:abstractNumId w:val="2"/>
  </w:num>
  <w:num w:numId="35">
    <w:abstractNumId w:val="26"/>
  </w:num>
  <w:num w:numId="36">
    <w:abstractNumId w:val="8"/>
  </w:num>
  <w:num w:numId="37">
    <w:abstractNumId w:val="43"/>
  </w:num>
  <w:num w:numId="38">
    <w:abstractNumId w:val="16"/>
  </w:num>
  <w:num w:numId="39">
    <w:abstractNumId w:val="17"/>
  </w:num>
  <w:num w:numId="40">
    <w:abstractNumId w:val="18"/>
  </w:num>
  <w:num w:numId="41">
    <w:abstractNumId w:val="3"/>
  </w:num>
  <w:num w:numId="42">
    <w:abstractNumId w:val="9"/>
  </w:num>
  <w:num w:numId="43">
    <w:abstractNumId w:val="6"/>
  </w:num>
  <w:num w:numId="44">
    <w:abstractNumId w:val="34"/>
  </w:num>
  <w:num w:numId="45">
    <w:abstractNumId w:val="46"/>
  </w:num>
  <w:num w:numId="46">
    <w:abstractNumId w:val="1"/>
  </w:num>
  <w:num w:numId="47">
    <w:abstractNumId w:val="10"/>
  </w:num>
  <w:num w:numId="48">
    <w:abstractNumId w:val="40"/>
  </w:num>
  <w:num w:numId="49">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730"/>
    <w:rsid w:val="000003DE"/>
    <w:rsid w:val="00006EF8"/>
    <w:rsid w:val="00015C33"/>
    <w:rsid w:val="00057378"/>
    <w:rsid w:val="00060EDC"/>
    <w:rsid w:val="00082ACE"/>
    <w:rsid w:val="00092C73"/>
    <w:rsid w:val="00093381"/>
    <w:rsid w:val="00096100"/>
    <w:rsid w:val="000A23D6"/>
    <w:rsid w:val="000A7C3A"/>
    <w:rsid w:val="000C08CD"/>
    <w:rsid w:val="000C1C93"/>
    <w:rsid w:val="000C34B8"/>
    <w:rsid w:val="000C7166"/>
    <w:rsid w:val="000D57B1"/>
    <w:rsid w:val="000E4AC2"/>
    <w:rsid w:val="000F26D4"/>
    <w:rsid w:val="000F3CC4"/>
    <w:rsid w:val="000F3E2F"/>
    <w:rsid w:val="000F64F1"/>
    <w:rsid w:val="000F66EF"/>
    <w:rsid w:val="0012328D"/>
    <w:rsid w:val="001237CA"/>
    <w:rsid w:val="001239AE"/>
    <w:rsid w:val="00130622"/>
    <w:rsid w:val="00133EDD"/>
    <w:rsid w:val="0013537F"/>
    <w:rsid w:val="00141658"/>
    <w:rsid w:val="00141A92"/>
    <w:rsid w:val="00145667"/>
    <w:rsid w:val="00153309"/>
    <w:rsid w:val="00153C99"/>
    <w:rsid w:val="00155798"/>
    <w:rsid w:val="00155944"/>
    <w:rsid w:val="0015620F"/>
    <w:rsid w:val="00162114"/>
    <w:rsid w:val="00167149"/>
    <w:rsid w:val="00172C60"/>
    <w:rsid w:val="00173C6B"/>
    <w:rsid w:val="00194FFC"/>
    <w:rsid w:val="001972F9"/>
    <w:rsid w:val="001A0E13"/>
    <w:rsid w:val="001B2159"/>
    <w:rsid w:val="001B218F"/>
    <w:rsid w:val="001B5489"/>
    <w:rsid w:val="001B65F3"/>
    <w:rsid w:val="001C1D2F"/>
    <w:rsid w:val="001C4B4F"/>
    <w:rsid w:val="001D4EB7"/>
    <w:rsid w:val="001D5505"/>
    <w:rsid w:val="001E0BEC"/>
    <w:rsid w:val="001E58EC"/>
    <w:rsid w:val="001F1B7B"/>
    <w:rsid w:val="001F1F05"/>
    <w:rsid w:val="001F7349"/>
    <w:rsid w:val="002013A9"/>
    <w:rsid w:val="00202B9E"/>
    <w:rsid w:val="002034F6"/>
    <w:rsid w:val="00206AEA"/>
    <w:rsid w:val="002117CA"/>
    <w:rsid w:val="0021199C"/>
    <w:rsid w:val="00212722"/>
    <w:rsid w:val="0021355D"/>
    <w:rsid w:val="00230669"/>
    <w:rsid w:val="00231798"/>
    <w:rsid w:val="0023346C"/>
    <w:rsid w:val="0024461F"/>
    <w:rsid w:val="00247FB9"/>
    <w:rsid w:val="00254377"/>
    <w:rsid w:val="002614A4"/>
    <w:rsid w:val="00264F5E"/>
    <w:rsid w:val="00265499"/>
    <w:rsid w:val="0026790A"/>
    <w:rsid w:val="00270818"/>
    <w:rsid w:val="00274DE6"/>
    <w:rsid w:val="00275D8B"/>
    <w:rsid w:val="00276845"/>
    <w:rsid w:val="00282A83"/>
    <w:rsid w:val="00283348"/>
    <w:rsid w:val="00292854"/>
    <w:rsid w:val="002944A0"/>
    <w:rsid w:val="00297924"/>
    <w:rsid w:val="002B15F5"/>
    <w:rsid w:val="002B1B70"/>
    <w:rsid w:val="002B747C"/>
    <w:rsid w:val="002C071A"/>
    <w:rsid w:val="002C2963"/>
    <w:rsid w:val="002C2D40"/>
    <w:rsid w:val="002D3D75"/>
    <w:rsid w:val="002E7CF9"/>
    <w:rsid w:val="002F22AF"/>
    <w:rsid w:val="002F7824"/>
    <w:rsid w:val="003012B3"/>
    <w:rsid w:val="00303FC6"/>
    <w:rsid w:val="00312E44"/>
    <w:rsid w:val="0031497C"/>
    <w:rsid w:val="003200F9"/>
    <w:rsid w:val="00321D40"/>
    <w:rsid w:val="00321E88"/>
    <w:rsid w:val="00330D49"/>
    <w:rsid w:val="003355AF"/>
    <w:rsid w:val="003438C1"/>
    <w:rsid w:val="003566DD"/>
    <w:rsid w:val="003634CB"/>
    <w:rsid w:val="00367757"/>
    <w:rsid w:val="00373128"/>
    <w:rsid w:val="00376367"/>
    <w:rsid w:val="003828CD"/>
    <w:rsid w:val="003978A5"/>
    <w:rsid w:val="003C26C4"/>
    <w:rsid w:val="003C27D8"/>
    <w:rsid w:val="003C2C26"/>
    <w:rsid w:val="003D2170"/>
    <w:rsid w:val="003D3665"/>
    <w:rsid w:val="003D380D"/>
    <w:rsid w:val="003E6F41"/>
    <w:rsid w:val="003F1A52"/>
    <w:rsid w:val="003F20CE"/>
    <w:rsid w:val="003F2CAA"/>
    <w:rsid w:val="00402BF7"/>
    <w:rsid w:val="0041414F"/>
    <w:rsid w:val="00414F5A"/>
    <w:rsid w:val="0041618A"/>
    <w:rsid w:val="004256D3"/>
    <w:rsid w:val="00426319"/>
    <w:rsid w:val="00427407"/>
    <w:rsid w:val="00441DA2"/>
    <w:rsid w:val="0044355A"/>
    <w:rsid w:val="00444520"/>
    <w:rsid w:val="004507BE"/>
    <w:rsid w:val="00451A73"/>
    <w:rsid w:val="00454A68"/>
    <w:rsid w:val="004575DB"/>
    <w:rsid w:val="00463438"/>
    <w:rsid w:val="00472667"/>
    <w:rsid w:val="004747D5"/>
    <w:rsid w:val="0048447F"/>
    <w:rsid w:val="00491F43"/>
    <w:rsid w:val="004949A2"/>
    <w:rsid w:val="004A19D9"/>
    <w:rsid w:val="004A2137"/>
    <w:rsid w:val="004B0FD9"/>
    <w:rsid w:val="004B100A"/>
    <w:rsid w:val="004B4866"/>
    <w:rsid w:val="004B48B7"/>
    <w:rsid w:val="004B639D"/>
    <w:rsid w:val="004C1D83"/>
    <w:rsid w:val="004C2A58"/>
    <w:rsid w:val="004C47B5"/>
    <w:rsid w:val="004D3A74"/>
    <w:rsid w:val="004F29B6"/>
    <w:rsid w:val="004F584A"/>
    <w:rsid w:val="004F6992"/>
    <w:rsid w:val="004F7C2F"/>
    <w:rsid w:val="00503647"/>
    <w:rsid w:val="0050515C"/>
    <w:rsid w:val="00505632"/>
    <w:rsid w:val="0050712D"/>
    <w:rsid w:val="00511F36"/>
    <w:rsid w:val="00520F39"/>
    <w:rsid w:val="0052112F"/>
    <w:rsid w:val="00540E00"/>
    <w:rsid w:val="005432BB"/>
    <w:rsid w:val="005467A4"/>
    <w:rsid w:val="00546F72"/>
    <w:rsid w:val="00557A2B"/>
    <w:rsid w:val="00560D12"/>
    <w:rsid w:val="0056170E"/>
    <w:rsid w:val="00561A09"/>
    <w:rsid w:val="00561EC4"/>
    <w:rsid w:val="00571676"/>
    <w:rsid w:val="005725E0"/>
    <w:rsid w:val="00572C81"/>
    <w:rsid w:val="00573B08"/>
    <w:rsid w:val="00574F4E"/>
    <w:rsid w:val="00582689"/>
    <w:rsid w:val="00583755"/>
    <w:rsid w:val="00584F21"/>
    <w:rsid w:val="00590D21"/>
    <w:rsid w:val="00592498"/>
    <w:rsid w:val="00592FD6"/>
    <w:rsid w:val="00596821"/>
    <w:rsid w:val="005A27C6"/>
    <w:rsid w:val="005B2B93"/>
    <w:rsid w:val="005C01B9"/>
    <w:rsid w:val="005C43F6"/>
    <w:rsid w:val="005D22C1"/>
    <w:rsid w:val="005E23A6"/>
    <w:rsid w:val="005E6FC3"/>
    <w:rsid w:val="00600D0B"/>
    <w:rsid w:val="00604102"/>
    <w:rsid w:val="0060697D"/>
    <w:rsid w:val="00613232"/>
    <w:rsid w:val="00614EBF"/>
    <w:rsid w:val="006164E4"/>
    <w:rsid w:val="00617981"/>
    <w:rsid w:val="00633AE0"/>
    <w:rsid w:val="00636BDE"/>
    <w:rsid w:val="00643711"/>
    <w:rsid w:val="006500A8"/>
    <w:rsid w:val="00650332"/>
    <w:rsid w:val="00654001"/>
    <w:rsid w:val="0066432B"/>
    <w:rsid w:val="00665061"/>
    <w:rsid w:val="00665CB9"/>
    <w:rsid w:val="00670F43"/>
    <w:rsid w:val="00673E83"/>
    <w:rsid w:val="00674D7A"/>
    <w:rsid w:val="006753AD"/>
    <w:rsid w:val="006758E7"/>
    <w:rsid w:val="0068005B"/>
    <w:rsid w:val="006815FC"/>
    <w:rsid w:val="00681A0E"/>
    <w:rsid w:val="006851CE"/>
    <w:rsid w:val="00693B32"/>
    <w:rsid w:val="0069656F"/>
    <w:rsid w:val="006A0C4E"/>
    <w:rsid w:val="006A356F"/>
    <w:rsid w:val="006A4579"/>
    <w:rsid w:val="006A5C13"/>
    <w:rsid w:val="006C64D5"/>
    <w:rsid w:val="006C6E4B"/>
    <w:rsid w:val="006D45E3"/>
    <w:rsid w:val="006D7009"/>
    <w:rsid w:val="006E193F"/>
    <w:rsid w:val="006E5117"/>
    <w:rsid w:val="006E71EA"/>
    <w:rsid w:val="006E7818"/>
    <w:rsid w:val="006E7C5B"/>
    <w:rsid w:val="006F1D97"/>
    <w:rsid w:val="006F29A2"/>
    <w:rsid w:val="0070169A"/>
    <w:rsid w:val="0071237F"/>
    <w:rsid w:val="00714FFF"/>
    <w:rsid w:val="007151DE"/>
    <w:rsid w:val="00720282"/>
    <w:rsid w:val="00720E4B"/>
    <w:rsid w:val="00722243"/>
    <w:rsid w:val="007401CF"/>
    <w:rsid w:val="00745BC8"/>
    <w:rsid w:val="00747984"/>
    <w:rsid w:val="00752DA9"/>
    <w:rsid w:val="00763593"/>
    <w:rsid w:val="00766A88"/>
    <w:rsid w:val="00770D94"/>
    <w:rsid w:val="00784DAF"/>
    <w:rsid w:val="00785BFD"/>
    <w:rsid w:val="00786A58"/>
    <w:rsid w:val="007968D1"/>
    <w:rsid w:val="007A10A2"/>
    <w:rsid w:val="007A6B81"/>
    <w:rsid w:val="007C47E6"/>
    <w:rsid w:val="007D049E"/>
    <w:rsid w:val="007D077C"/>
    <w:rsid w:val="007D55BC"/>
    <w:rsid w:val="007E1064"/>
    <w:rsid w:val="007E4415"/>
    <w:rsid w:val="007E61D4"/>
    <w:rsid w:val="007F1C53"/>
    <w:rsid w:val="007F4797"/>
    <w:rsid w:val="007F54DB"/>
    <w:rsid w:val="00802012"/>
    <w:rsid w:val="00807BB7"/>
    <w:rsid w:val="00810D02"/>
    <w:rsid w:val="00815075"/>
    <w:rsid w:val="00817D92"/>
    <w:rsid w:val="00831780"/>
    <w:rsid w:val="008401F1"/>
    <w:rsid w:val="008577FE"/>
    <w:rsid w:val="00861F61"/>
    <w:rsid w:val="0086340F"/>
    <w:rsid w:val="008635B8"/>
    <w:rsid w:val="00864912"/>
    <w:rsid w:val="0086510C"/>
    <w:rsid w:val="00882285"/>
    <w:rsid w:val="00885175"/>
    <w:rsid w:val="00886B81"/>
    <w:rsid w:val="008A5734"/>
    <w:rsid w:val="008A67F5"/>
    <w:rsid w:val="008B088B"/>
    <w:rsid w:val="008B572A"/>
    <w:rsid w:val="008C3DAB"/>
    <w:rsid w:val="008D7CCC"/>
    <w:rsid w:val="008E410A"/>
    <w:rsid w:val="00901308"/>
    <w:rsid w:val="00916927"/>
    <w:rsid w:val="0092120C"/>
    <w:rsid w:val="00922747"/>
    <w:rsid w:val="009313E8"/>
    <w:rsid w:val="00931616"/>
    <w:rsid w:val="00932307"/>
    <w:rsid w:val="009408EF"/>
    <w:rsid w:val="00943251"/>
    <w:rsid w:val="00956A69"/>
    <w:rsid w:val="00957009"/>
    <w:rsid w:val="0097084E"/>
    <w:rsid w:val="00971859"/>
    <w:rsid w:val="009724AA"/>
    <w:rsid w:val="00973FF7"/>
    <w:rsid w:val="009767C5"/>
    <w:rsid w:val="009832FA"/>
    <w:rsid w:val="00984AC7"/>
    <w:rsid w:val="0098734A"/>
    <w:rsid w:val="00991CC5"/>
    <w:rsid w:val="00994D84"/>
    <w:rsid w:val="009953E7"/>
    <w:rsid w:val="009A31F0"/>
    <w:rsid w:val="009A7D00"/>
    <w:rsid w:val="009B6D29"/>
    <w:rsid w:val="009C6EFC"/>
    <w:rsid w:val="009C7CD6"/>
    <w:rsid w:val="009D1B12"/>
    <w:rsid w:val="009D6847"/>
    <w:rsid w:val="009E0CEB"/>
    <w:rsid w:val="009E2019"/>
    <w:rsid w:val="009E2781"/>
    <w:rsid w:val="009E4907"/>
    <w:rsid w:val="009E4986"/>
    <w:rsid w:val="009F0915"/>
    <w:rsid w:val="009F0BAF"/>
    <w:rsid w:val="009F222B"/>
    <w:rsid w:val="009F424C"/>
    <w:rsid w:val="00A1010F"/>
    <w:rsid w:val="00A151B7"/>
    <w:rsid w:val="00A207BE"/>
    <w:rsid w:val="00A2220F"/>
    <w:rsid w:val="00A24131"/>
    <w:rsid w:val="00A340AB"/>
    <w:rsid w:val="00A35879"/>
    <w:rsid w:val="00A3595B"/>
    <w:rsid w:val="00A3623C"/>
    <w:rsid w:val="00A368C8"/>
    <w:rsid w:val="00A40BCD"/>
    <w:rsid w:val="00A47188"/>
    <w:rsid w:val="00A503A4"/>
    <w:rsid w:val="00A5040F"/>
    <w:rsid w:val="00A66AA6"/>
    <w:rsid w:val="00A72993"/>
    <w:rsid w:val="00A77B53"/>
    <w:rsid w:val="00A80847"/>
    <w:rsid w:val="00A90D37"/>
    <w:rsid w:val="00A94493"/>
    <w:rsid w:val="00A97DE7"/>
    <w:rsid w:val="00AA0BA9"/>
    <w:rsid w:val="00AA1F1F"/>
    <w:rsid w:val="00AA68DC"/>
    <w:rsid w:val="00AB2243"/>
    <w:rsid w:val="00AB5D26"/>
    <w:rsid w:val="00AB6A32"/>
    <w:rsid w:val="00AC7008"/>
    <w:rsid w:val="00AD13EE"/>
    <w:rsid w:val="00AE587A"/>
    <w:rsid w:val="00AE5A88"/>
    <w:rsid w:val="00AF15AE"/>
    <w:rsid w:val="00AF6ADF"/>
    <w:rsid w:val="00AF72C1"/>
    <w:rsid w:val="00B053C8"/>
    <w:rsid w:val="00B10908"/>
    <w:rsid w:val="00B10CF8"/>
    <w:rsid w:val="00B15425"/>
    <w:rsid w:val="00B20E48"/>
    <w:rsid w:val="00B4543A"/>
    <w:rsid w:val="00B46BED"/>
    <w:rsid w:val="00B545CF"/>
    <w:rsid w:val="00B54E93"/>
    <w:rsid w:val="00B55EEE"/>
    <w:rsid w:val="00B56577"/>
    <w:rsid w:val="00B61641"/>
    <w:rsid w:val="00B630EA"/>
    <w:rsid w:val="00B64496"/>
    <w:rsid w:val="00B6782D"/>
    <w:rsid w:val="00B802A2"/>
    <w:rsid w:val="00B8438B"/>
    <w:rsid w:val="00B96722"/>
    <w:rsid w:val="00B97300"/>
    <w:rsid w:val="00B97E30"/>
    <w:rsid w:val="00BA0836"/>
    <w:rsid w:val="00BA2F7F"/>
    <w:rsid w:val="00BA410C"/>
    <w:rsid w:val="00BB21DD"/>
    <w:rsid w:val="00BB614F"/>
    <w:rsid w:val="00BC724C"/>
    <w:rsid w:val="00BD03E2"/>
    <w:rsid w:val="00BD38C6"/>
    <w:rsid w:val="00BE5E49"/>
    <w:rsid w:val="00BF02B1"/>
    <w:rsid w:val="00C12044"/>
    <w:rsid w:val="00C121BB"/>
    <w:rsid w:val="00C13048"/>
    <w:rsid w:val="00C13B95"/>
    <w:rsid w:val="00C150CF"/>
    <w:rsid w:val="00C15E9C"/>
    <w:rsid w:val="00C17BBB"/>
    <w:rsid w:val="00C27481"/>
    <w:rsid w:val="00C3041A"/>
    <w:rsid w:val="00C5042D"/>
    <w:rsid w:val="00C51C84"/>
    <w:rsid w:val="00C54E77"/>
    <w:rsid w:val="00C83CD1"/>
    <w:rsid w:val="00C8631E"/>
    <w:rsid w:val="00CA145F"/>
    <w:rsid w:val="00CB46E6"/>
    <w:rsid w:val="00CB75F3"/>
    <w:rsid w:val="00CC54CB"/>
    <w:rsid w:val="00CC6006"/>
    <w:rsid w:val="00CD13B9"/>
    <w:rsid w:val="00CD19F6"/>
    <w:rsid w:val="00CD4F45"/>
    <w:rsid w:val="00CE0ABD"/>
    <w:rsid w:val="00CE3CD8"/>
    <w:rsid w:val="00CE4751"/>
    <w:rsid w:val="00CE56B0"/>
    <w:rsid w:val="00D06C33"/>
    <w:rsid w:val="00D07CD3"/>
    <w:rsid w:val="00D07E7D"/>
    <w:rsid w:val="00D07F92"/>
    <w:rsid w:val="00D12FCF"/>
    <w:rsid w:val="00D14E85"/>
    <w:rsid w:val="00D16AD9"/>
    <w:rsid w:val="00D175E8"/>
    <w:rsid w:val="00D25D77"/>
    <w:rsid w:val="00D31471"/>
    <w:rsid w:val="00D4209C"/>
    <w:rsid w:val="00D4341D"/>
    <w:rsid w:val="00D5399C"/>
    <w:rsid w:val="00D608B7"/>
    <w:rsid w:val="00D60D01"/>
    <w:rsid w:val="00D650B0"/>
    <w:rsid w:val="00D737F1"/>
    <w:rsid w:val="00D8235D"/>
    <w:rsid w:val="00D82E22"/>
    <w:rsid w:val="00D83BAC"/>
    <w:rsid w:val="00D91035"/>
    <w:rsid w:val="00D95923"/>
    <w:rsid w:val="00DB1508"/>
    <w:rsid w:val="00DB1CFC"/>
    <w:rsid w:val="00DB3784"/>
    <w:rsid w:val="00DB40C1"/>
    <w:rsid w:val="00DB63A5"/>
    <w:rsid w:val="00DC1381"/>
    <w:rsid w:val="00DD0730"/>
    <w:rsid w:val="00DD257C"/>
    <w:rsid w:val="00DE518C"/>
    <w:rsid w:val="00DE559B"/>
    <w:rsid w:val="00DF224D"/>
    <w:rsid w:val="00DF316E"/>
    <w:rsid w:val="00E01E36"/>
    <w:rsid w:val="00E02164"/>
    <w:rsid w:val="00E07CF8"/>
    <w:rsid w:val="00E11928"/>
    <w:rsid w:val="00E141CB"/>
    <w:rsid w:val="00E17372"/>
    <w:rsid w:val="00E22A30"/>
    <w:rsid w:val="00E233FC"/>
    <w:rsid w:val="00E25285"/>
    <w:rsid w:val="00E34A09"/>
    <w:rsid w:val="00E40C25"/>
    <w:rsid w:val="00E4386C"/>
    <w:rsid w:val="00E474FA"/>
    <w:rsid w:val="00E47953"/>
    <w:rsid w:val="00E50A57"/>
    <w:rsid w:val="00E5258B"/>
    <w:rsid w:val="00E533F5"/>
    <w:rsid w:val="00E54466"/>
    <w:rsid w:val="00E5551D"/>
    <w:rsid w:val="00E66C4A"/>
    <w:rsid w:val="00E73FF5"/>
    <w:rsid w:val="00E77514"/>
    <w:rsid w:val="00E77804"/>
    <w:rsid w:val="00E822CE"/>
    <w:rsid w:val="00E82F28"/>
    <w:rsid w:val="00E83A08"/>
    <w:rsid w:val="00E868EC"/>
    <w:rsid w:val="00E9305C"/>
    <w:rsid w:val="00E97BE9"/>
    <w:rsid w:val="00EA6788"/>
    <w:rsid w:val="00EB4FD0"/>
    <w:rsid w:val="00EC2F56"/>
    <w:rsid w:val="00ED178A"/>
    <w:rsid w:val="00ED18B2"/>
    <w:rsid w:val="00ED4816"/>
    <w:rsid w:val="00ED53BF"/>
    <w:rsid w:val="00EE0C32"/>
    <w:rsid w:val="00EE67E4"/>
    <w:rsid w:val="00EF275E"/>
    <w:rsid w:val="00F04CDE"/>
    <w:rsid w:val="00F0681D"/>
    <w:rsid w:val="00F10705"/>
    <w:rsid w:val="00F1274F"/>
    <w:rsid w:val="00F14CEE"/>
    <w:rsid w:val="00F15678"/>
    <w:rsid w:val="00F208EC"/>
    <w:rsid w:val="00F22D89"/>
    <w:rsid w:val="00F258DE"/>
    <w:rsid w:val="00F314BC"/>
    <w:rsid w:val="00F3180D"/>
    <w:rsid w:val="00F325DA"/>
    <w:rsid w:val="00F369C2"/>
    <w:rsid w:val="00F417DE"/>
    <w:rsid w:val="00F42596"/>
    <w:rsid w:val="00F445AF"/>
    <w:rsid w:val="00F44CD3"/>
    <w:rsid w:val="00F454BA"/>
    <w:rsid w:val="00F51BD6"/>
    <w:rsid w:val="00F52487"/>
    <w:rsid w:val="00F53227"/>
    <w:rsid w:val="00F55E95"/>
    <w:rsid w:val="00F6111A"/>
    <w:rsid w:val="00F64E03"/>
    <w:rsid w:val="00F66EBD"/>
    <w:rsid w:val="00F66F63"/>
    <w:rsid w:val="00F67E00"/>
    <w:rsid w:val="00F712C4"/>
    <w:rsid w:val="00F74DC5"/>
    <w:rsid w:val="00F75E0B"/>
    <w:rsid w:val="00F834BB"/>
    <w:rsid w:val="00F85D1E"/>
    <w:rsid w:val="00F87C2D"/>
    <w:rsid w:val="00F93140"/>
    <w:rsid w:val="00F9795A"/>
    <w:rsid w:val="00FA4262"/>
    <w:rsid w:val="00FB1DED"/>
    <w:rsid w:val="00FB2D80"/>
    <w:rsid w:val="00FB2E12"/>
    <w:rsid w:val="00FC0814"/>
    <w:rsid w:val="00FC35B3"/>
    <w:rsid w:val="00FC7A39"/>
    <w:rsid w:val="00FD4573"/>
    <w:rsid w:val="00FD5268"/>
    <w:rsid w:val="00FE362B"/>
    <w:rsid w:val="00FE4439"/>
    <w:rsid w:val="00FE5B3B"/>
    <w:rsid w:val="00FE679B"/>
    <w:rsid w:val="00FE67B7"/>
    <w:rsid w:val="00FE70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B39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D0730"/>
    <w:pPr>
      <w:spacing w:after="0" w:line="240" w:lineRule="auto"/>
    </w:pPr>
    <w:rPr>
      <w:rFonts w:ascii="Times New Roman" w:eastAsia="Times New Roman" w:hAnsi="Times New Roman" w:cs="Times New Roman"/>
      <w:sz w:val="24"/>
      <w:szCs w:val="24"/>
      <w:lang w:eastAsia="pl-PL"/>
    </w:rPr>
  </w:style>
  <w:style w:type="paragraph" w:styleId="Nagwek1">
    <w:name w:val="heading 1"/>
    <w:basedOn w:val="Akapitzlist"/>
    <w:next w:val="Normalny"/>
    <w:link w:val="Nagwek1Znak"/>
    <w:qFormat/>
    <w:rsid w:val="00454A68"/>
    <w:pPr>
      <w:numPr>
        <w:numId w:val="1"/>
      </w:numPr>
      <w:spacing w:after="0" w:line="240" w:lineRule="auto"/>
      <w:jc w:val="both"/>
      <w:outlineLvl w:val="0"/>
    </w:pPr>
    <w:rPr>
      <w:b/>
      <w:sz w:val="24"/>
      <w:szCs w:val="24"/>
    </w:rPr>
  </w:style>
  <w:style w:type="paragraph" w:styleId="Nagwek2">
    <w:name w:val="heading 2"/>
    <w:basedOn w:val="Nagwek3"/>
    <w:next w:val="Normalny"/>
    <w:link w:val="Nagwek2Znak"/>
    <w:uiPriority w:val="9"/>
    <w:unhideWhenUsed/>
    <w:qFormat/>
    <w:rsid w:val="00454A68"/>
    <w:pPr>
      <w:numPr>
        <w:numId w:val="6"/>
      </w:numPr>
      <w:spacing w:before="0" w:line="240" w:lineRule="auto"/>
      <w:outlineLvl w:val="1"/>
    </w:pPr>
    <w:rPr>
      <w:rFonts w:asciiTheme="minorHAnsi" w:hAnsiTheme="minorHAnsi"/>
      <w:color w:val="auto"/>
      <w:sz w:val="24"/>
      <w:szCs w:val="24"/>
    </w:rPr>
  </w:style>
  <w:style w:type="paragraph" w:styleId="Nagwek3">
    <w:name w:val="heading 3"/>
    <w:basedOn w:val="Normalny"/>
    <w:next w:val="Normalny"/>
    <w:link w:val="Nagwek3Znak"/>
    <w:uiPriority w:val="9"/>
    <w:unhideWhenUsed/>
    <w:qFormat/>
    <w:rsid w:val="00E822CE"/>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54A68"/>
    <w:rPr>
      <w:rFonts w:ascii="Calibri" w:eastAsia="Calibri" w:hAnsi="Calibri" w:cs="Times New Roman"/>
      <w:b/>
      <w:sz w:val="24"/>
      <w:szCs w:val="24"/>
      <w:lang w:val="x-none"/>
    </w:rPr>
  </w:style>
  <w:style w:type="paragraph" w:styleId="Nagwek">
    <w:name w:val="header"/>
    <w:basedOn w:val="Normalny"/>
    <w:link w:val="NagwekZnak"/>
    <w:uiPriority w:val="99"/>
    <w:rsid w:val="00DD0730"/>
    <w:pPr>
      <w:tabs>
        <w:tab w:val="center" w:pos="4536"/>
        <w:tab w:val="right" w:pos="9072"/>
      </w:tabs>
    </w:pPr>
    <w:rPr>
      <w:lang w:val="x-none" w:eastAsia="x-none"/>
    </w:rPr>
  </w:style>
  <w:style w:type="character" w:customStyle="1" w:styleId="NagwekZnak">
    <w:name w:val="Nagłówek Znak"/>
    <w:basedOn w:val="Domylnaczcionkaakapitu"/>
    <w:link w:val="Nagwek"/>
    <w:uiPriority w:val="99"/>
    <w:rsid w:val="00DD0730"/>
    <w:rPr>
      <w:rFonts w:ascii="Times New Roman" w:eastAsia="Times New Roman" w:hAnsi="Times New Roman" w:cs="Times New Roman"/>
      <w:sz w:val="24"/>
      <w:szCs w:val="24"/>
      <w:lang w:val="x-none" w:eastAsia="x-none"/>
    </w:rPr>
  </w:style>
  <w:style w:type="paragraph" w:styleId="Stopka">
    <w:name w:val="footer"/>
    <w:basedOn w:val="Normalny"/>
    <w:link w:val="StopkaZnak"/>
    <w:uiPriority w:val="99"/>
    <w:rsid w:val="00DD0730"/>
    <w:pPr>
      <w:tabs>
        <w:tab w:val="center" w:pos="4536"/>
        <w:tab w:val="right" w:pos="9072"/>
      </w:tabs>
    </w:pPr>
    <w:rPr>
      <w:lang w:val="x-none" w:eastAsia="x-none"/>
    </w:rPr>
  </w:style>
  <w:style w:type="character" w:customStyle="1" w:styleId="StopkaZnak">
    <w:name w:val="Stopka Znak"/>
    <w:basedOn w:val="Domylnaczcionkaakapitu"/>
    <w:link w:val="Stopka"/>
    <w:uiPriority w:val="99"/>
    <w:rsid w:val="00DD0730"/>
    <w:rPr>
      <w:rFonts w:ascii="Times New Roman" w:eastAsia="Times New Roman" w:hAnsi="Times New Roman" w:cs="Times New Roman"/>
      <w:sz w:val="24"/>
      <w:szCs w:val="24"/>
      <w:lang w:val="x-none" w:eastAsia="x-none"/>
    </w:rPr>
  </w:style>
  <w:style w:type="paragraph" w:styleId="Listapunktowana">
    <w:name w:val="List Bullet"/>
    <w:basedOn w:val="Normalny"/>
    <w:autoRedefine/>
    <w:rsid w:val="00DD0730"/>
    <w:pPr>
      <w:spacing w:line="360" w:lineRule="auto"/>
      <w:jc w:val="both"/>
    </w:pPr>
    <w:rPr>
      <w:rFonts w:ascii="Calibri" w:hAnsi="Calibri" w:cs="Arial"/>
      <w:i/>
      <w:color w:val="000000"/>
    </w:rPr>
  </w:style>
  <w:style w:type="character" w:styleId="Hipercze">
    <w:name w:val="Hyperlink"/>
    <w:uiPriority w:val="99"/>
    <w:rsid w:val="00DD0730"/>
    <w:rPr>
      <w:color w:val="0000FF"/>
      <w:u w:val="single"/>
    </w:rPr>
  </w:style>
  <w:style w:type="paragraph" w:styleId="Akapitzlist">
    <w:name w:val="List Paragraph"/>
    <w:aliases w:val="Numbered Para 1,No Spacing1,Indicator Text,Bullet 1,2,List Paragraph Char Char Char,Akapit z list¹1,Dot pt,F5 List Paragraph,List Paragraph1,Recommendation,List Paragraph11,List Paragraph,Kolorowa lista — akcent 11,Akapit z listą1,3,LISTA"/>
    <w:basedOn w:val="Normalny"/>
    <w:link w:val="AkapitzlistZnak"/>
    <w:uiPriority w:val="34"/>
    <w:qFormat/>
    <w:rsid w:val="00DD0730"/>
    <w:pPr>
      <w:spacing w:after="200" w:line="276" w:lineRule="auto"/>
      <w:ind w:left="708"/>
    </w:pPr>
    <w:rPr>
      <w:rFonts w:ascii="Calibri" w:eastAsia="Calibri" w:hAnsi="Calibri"/>
      <w:sz w:val="22"/>
      <w:szCs w:val="22"/>
      <w:lang w:val="x-none" w:eastAsia="en-US"/>
    </w:rPr>
  </w:style>
  <w:style w:type="character" w:customStyle="1" w:styleId="AkapitzlistZnak">
    <w:name w:val="Akapit z listą Znak"/>
    <w:aliases w:val="Numbered Para 1 Znak,No Spacing1 Znak,Indicator Text Znak,Bullet 1 Znak,2 Znak,List Paragraph Char Char Char Znak,Akapit z list¹1 Znak,Dot pt Znak,F5 List Paragraph Znak,List Paragraph1 Znak,Recommendation Znak,List Paragraph11 Znak"/>
    <w:link w:val="Akapitzlist"/>
    <w:uiPriority w:val="34"/>
    <w:locked/>
    <w:rsid w:val="00DD0730"/>
    <w:rPr>
      <w:rFonts w:ascii="Calibri" w:eastAsia="Calibri" w:hAnsi="Calibri" w:cs="Times New Roman"/>
      <w:lang w:val="x-none"/>
    </w:rPr>
  </w:style>
  <w:style w:type="paragraph" w:styleId="Tekstprzypisudolnego">
    <w:name w:val="footnote text"/>
    <w:aliases w:val="Footnote Text Char1,Footnote Text Char Char,Footnote Text Char1 Char Char,Footnote Text Char Char Char Char,Footnote Text Char1 Char Char1 Char Char,Footnote Text Char Char Char Char1 Char Char"/>
    <w:basedOn w:val="Normalny"/>
    <w:link w:val="TekstprzypisudolnegoZnak"/>
    <w:uiPriority w:val="99"/>
    <w:rsid w:val="00DD0730"/>
    <w:rPr>
      <w:sz w:val="20"/>
      <w:szCs w:val="20"/>
    </w:rPr>
  </w:style>
  <w:style w:type="character" w:customStyle="1" w:styleId="TekstprzypisudolnegoZnak">
    <w:name w:val="Tekst przypisu dolnego Znak"/>
    <w:aliases w:val="Footnote Text Char1 Znak,Footnote Text Char Char Znak,Footnote Text Char1 Char Char Znak,Footnote Text Char Char Char Char Znak,Footnote Text Char1 Char Char1 Char Char Znak,Footnote Text Char Char Char Char1 Char Char Znak"/>
    <w:basedOn w:val="Domylnaczcionkaakapitu"/>
    <w:link w:val="Tekstprzypisudolnego"/>
    <w:uiPriority w:val="99"/>
    <w:rsid w:val="00DD0730"/>
    <w:rPr>
      <w:rFonts w:ascii="Times New Roman" w:eastAsia="Times New Roman" w:hAnsi="Times New Roman" w:cs="Times New Roman"/>
      <w:sz w:val="20"/>
      <w:szCs w:val="20"/>
      <w:lang w:eastAsia="pl-PL"/>
    </w:rPr>
  </w:style>
  <w:style w:type="paragraph" w:styleId="Tekstpodstawowywcity2">
    <w:name w:val="Body Text Indent 2"/>
    <w:basedOn w:val="Normalny"/>
    <w:link w:val="Tekstpodstawowywcity2Znak"/>
    <w:rsid w:val="00DD0730"/>
    <w:pPr>
      <w:spacing w:line="360" w:lineRule="auto"/>
      <w:ind w:firstLine="708"/>
      <w:jc w:val="both"/>
    </w:pPr>
    <w:rPr>
      <w:b/>
      <w:szCs w:val="20"/>
      <w:lang w:val="x-none" w:eastAsia="x-none"/>
    </w:rPr>
  </w:style>
  <w:style w:type="character" w:customStyle="1" w:styleId="Tekstpodstawowywcity2Znak">
    <w:name w:val="Tekst podstawowy wcięty 2 Znak"/>
    <w:basedOn w:val="Domylnaczcionkaakapitu"/>
    <w:link w:val="Tekstpodstawowywcity2"/>
    <w:rsid w:val="00DD0730"/>
    <w:rPr>
      <w:rFonts w:ascii="Times New Roman" w:eastAsia="Times New Roman" w:hAnsi="Times New Roman" w:cs="Times New Roman"/>
      <w:b/>
      <w:sz w:val="24"/>
      <w:szCs w:val="20"/>
      <w:lang w:val="x-none" w:eastAsia="x-none"/>
    </w:rPr>
  </w:style>
  <w:style w:type="character" w:styleId="Odwoanieprzypisudolnego">
    <w:name w:val="footnote reference"/>
    <w:aliases w:val="Footnotes refss"/>
    <w:uiPriority w:val="99"/>
    <w:rsid w:val="00DD0730"/>
    <w:rPr>
      <w:vertAlign w:val="superscript"/>
    </w:rPr>
  </w:style>
  <w:style w:type="paragraph" w:customStyle="1" w:styleId="celp">
    <w:name w:val="cel_p"/>
    <w:basedOn w:val="Normalny"/>
    <w:rsid w:val="00DD0730"/>
    <w:pPr>
      <w:spacing w:after="15"/>
      <w:ind w:left="15" w:right="15"/>
      <w:jc w:val="both"/>
    </w:pPr>
  </w:style>
  <w:style w:type="paragraph" w:styleId="NormalnyWeb">
    <w:name w:val="Normal (Web)"/>
    <w:basedOn w:val="Normalny"/>
    <w:uiPriority w:val="99"/>
    <w:unhideWhenUsed/>
    <w:rsid w:val="00DD0730"/>
    <w:pPr>
      <w:spacing w:before="100" w:beforeAutospacing="1" w:after="100" w:afterAutospacing="1"/>
    </w:pPr>
    <w:rPr>
      <w:rFonts w:ascii="Verdana" w:hAnsi="Verdana"/>
      <w:color w:val="000000"/>
      <w:sz w:val="29"/>
      <w:szCs w:val="29"/>
    </w:rPr>
  </w:style>
  <w:style w:type="character" w:customStyle="1" w:styleId="FontStyle26">
    <w:name w:val="Font Style26"/>
    <w:rsid w:val="00DD0730"/>
    <w:rPr>
      <w:rFonts w:ascii="Arial" w:hAnsi="Arial" w:cs="Arial" w:hint="default"/>
      <w:sz w:val="24"/>
      <w:szCs w:val="24"/>
    </w:rPr>
  </w:style>
  <w:style w:type="paragraph" w:customStyle="1" w:styleId="JuPara">
    <w:name w:val="Ju_Para"/>
    <w:aliases w:val="Left,First line:  0 cm"/>
    <w:basedOn w:val="Normalny"/>
    <w:link w:val="JuParaChar"/>
    <w:rsid w:val="00DD0730"/>
    <w:pPr>
      <w:suppressAutoHyphens/>
      <w:ind w:firstLine="284"/>
      <w:jc w:val="both"/>
    </w:pPr>
    <w:rPr>
      <w:szCs w:val="20"/>
      <w:lang w:val="en-GB" w:eastAsia="fr-FR"/>
    </w:rPr>
  </w:style>
  <w:style w:type="character" w:customStyle="1" w:styleId="JuParaChar">
    <w:name w:val="Ju_Para Char"/>
    <w:link w:val="JuPara"/>
    <w:rsid w:val="00DD0730"/>
    <w:rPr>
      <w:rFonts w:ascii="Times New Roman" w:eastAsia="Times New Roman" w:hAnsi="Times New Roman" w:cs="Times New Roman"/>
      <w:sz w:val="24"/>
      <w:szCs w:val="20"/>
      <w:lang w:val="en-GB" w:eastAsia="fr-FR"/>
    </w:rPr>
  </w:style>
  <w:style w:type="character" w:customStyle="1" w:styleId="s3f2dd4c6">
    <w:name w:val="s3f2dd4c6"/>
    <w:rsid w:val="00DD0730"/>
  </w:style>
  <w:style w:type="paragraph" w:styleId="Bezodstpw">
    <w:name w:val="No Spacing"/>
    <w:uiPriority w:val="1"/>
    <w:qFormat/>
    <w:rsid w:val="00DD0730"/>
    <w:pPr>
      <w:spacing w:after="0" w:line="240" w:lineRule="auto"/>
    </w:pPr>
    <w:rPr>
      <w:rFonts w:ascii="Calibri" w:eastAsia="Calibri" w:hAnsi="Calibri" w:cs="Times New Roman"/>
    </w:rPr>
  </w:style>
  <w:style w:type="character" w:customStyle="1" w:styleId="sdfc50a6a">
    <w:name w:val="sdfc50a6a"/>
    <w:rsid w:val="00DD0730"/>
  </w:style>
  <w:style w:type="paragraph" w:styleId="Tekstdymka">
    <w:name w:val="Balloon Text"/>
    <w:basedOn w:val="Normalny"/>
    <w:link w:val="TekstdymkaZnak"/>
    <w:uiPriority w:val="99"/>
    <w:rsid w:val="00DD0730"/>
    <w:rPr>
      <w:rFonts w:ascii="Tahoma" w:hAnsi="Tahoma"/>
      <w:sz w:val="16"/>
      <w:szCs w:val="16"/>
      <w:lang w:val="x-none" w:eastAsia="x-none"/>
    </w:rPr>
  </w:style>
  <w:style w:type="character" w:customStyle="1" w:styleId="TekstdymkaZnak">
    <w:name w:val="Tekst dymka Znak"/>
    <w:basedOn w:val="Domylnaczcionkaakapitu"/>
    <w:link w:val="Tekstdymka"/>
    <w:uiPriority w:val="99"/>
    <w:rsid w:val="00DD0730"/>
    <w:rPr>
      <w:rFonts w:ascii="Tahoma" w:eastAsia="Times New Roman" w:hAnsi="Tahoma" w:cs="Times New Roman"/>
      <w:sz w:val="16"/>
      <w:szCs w:val="16"/>
      <w:lang w:val="x-none" w:eastAsia="x-none"/>
    </w:rPr>
  </w:style>
  <w:style w:type="character" w:styleId="Odwoaniedokomentarza">
    <w:name w:val="annotation reference"/>
    <w:uiPriority w:val="99"/>
    <w:rsid w:val="00DD0730"/>
    <w:rPr>
      <w:sz w:val="16"/>
      <w:szCs w:val="16"/>
    </w:rPr>
  </w:style>
  <w:style w:type="paragraph" w:styleId="Tekstkomentarza">
    <w:name w:val="annotation text"/>
    <w:basedOn w:val="Normalny"/>
    <w:link w:val="TekstkomentarzaZnak"/>
    <w:uiPriority w:val="99"/>
    <w:rsid w:val="00DD0730"/>
    <w:rPr>
      <w:sz w:val="20"/>
      <w:szCs w:val="20"/>
    </w:rPr>
  </w:style>
  <w:style w:type="character" w:customStyle="1" w:styleId="TekstkomentarzaZnak">
    <w:name w:val="Tekst komentarza Znak"/>
    <w:basedOn w:val="Domylnaczcionkaakapitu"/>
    <w:link w:val="Tekstkomentarza"/>
    <w:uiPriority w:val="99"/>
    <w:rsid w:val="00DD073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DD0730"/>
    <w:rPr>
      <w:b/>
      <w:bCs/>
      <w:lang w:val="x-none" w:eastAsia="x-none"/>
    </w:rPr>
  </w:style>
  <w:style w:type="character" w:customStyle="1" w:styleId="TematkomentarzaZnak">
    <w:name w:val="Temat komentarza Znak"/>
    <w:basedOn w:val="TekstkomentarzaZnak"/>
    <w:link w:val="Tematkomentarza"/>
    <w:rsid w:val="00DD0730"/>
    <w:rPr>
      <w:rFonts w:ascii="Times New Roman" w:eastAsia="Times New Roman" w:hAnsi="Times New Roman" w:cs="Times New Roman"/>
      <w:b/>
      <w:bCs/>
      <w:sz w:val="20"/>
      <w:szCs w:val="20"/>
      <w:lang w:val="x-none" w:eastAsia="x-none"/>
    </w:rPr>
  </w:style>
  <w:style w:type="paragraph" w:styleId="Tekstprzypisukocowego">
    <w:name w:val="endnote text"/>
    <w:basedOn w:val="Normalny"/>
    <w:link w:val="TekstprzypisukocowegoZnak"/>
    <w:rsid w:val="00DD0730"/>
    <w:rPr>
      <w:sz w:val="20"/>
      <w:szCs w:val="20"/>
    </w:rPr>
  </w:style>
  <w:style w:type="character" w:customStyle="1" w:styleId="TekstprzypisukocowegoZnak">
    <w:name w:val="Tekst przypisu końcowego Znak"/>
    <w:basedOn w:val="Domylnaczcionkaakapitu"/>
    <w:link w:val="Tekstprzypisukocowego"/>
    <w:rsid w:val="00DD0730"/>
    <w:rPr>
      <w:rFonts w:ascii="Times New Roman" w:eastAsia="Times New Roman" w:hAnsi="Times New Roman" w:cs="Times New Roman"/>
      <w:sz w:val="20"/>
      <w:szCs w:val="20"/>
      <w:lang w:eastAsia="pl-PL"/>
    </w:rPr>
  </w:style>
  <w:style w:type="character" w:styleId="Odwoanieprzypisukocowego">
    <w:name w:val="endnote reference"/>
    <w:rsid w:val="00DD0730"/>
    <w:rPr>
      <w:vertAlign w:val="superscript"/>
    </w:rPr>
  </w:style>
  <w:style w:type="paragraph" w:styleId="Spistreci1">
    <w:name w:val="toc 1"/>
    <w:basedOn w:val="Normalny"/>
    <w:next w:val="Normalny"/>
    <w:autoRedefine/>
    <w:uiPriority w:val="39"/>
    <w:rsid w:val="00DD0730"/>
    <w:pPr>
      <w:tabs>
        <w:tab w:val="left" w:pos="440"/>
        <w:tab w:val="right" w:leader="dot" w:pos="9072"/>
      </w:tabs>
      <w:spacing w:before="240" w:after="240"/>
      <w:ind w:right="-1"/>
      <w:jc w:val="both"/>
    </w:pPr>
    <w:rPr>
      <w:rFonts w:ascii="Calibri" w:hAnsi="Calibri"/>
      <w:b/>
      <w:noProof/>
      <w:sz w:val="20"/>
      <w:szCs w:val="20"/>
    </w:rPr>
  </w:style>
  <w:style w:type="character" w:styleId="UyteHipercze">
    <w:name w:val="FollowedHyperlink"/>
    <w:rsid w:val="00DD0730"/>
    <w:rPr>
      <w:color w:val="800080"/>
      <w:u w:val="single"/>
    </w:rPr>
  </w:style>
  <w:style w:type="character" w:customStyle="1" w:styleId="iceouttxt69">
    <w:name w:val="iceouttxt69"/>
    <w:rsid w:val="00DD0730"/>
    <w:rPr>
      <w:color w:val="6D6E71"/>
      <w:sz w:val="18"/>
      <w:szCs w:val="18"/>
    </w:rPr>
  </w:style>
  <w:style w:type="character" w:styleId="Pogrubienie">
    <w:name w:val="Strong"/>
    <w:uiPriority w:val="22"/>
    <w:qFormat/>
    <w:rsid w:val="00DD0730"/>
    <w:rPr>
      <w:b/>
      <w:bCs/>
    </w:rPr>
  </w:style>
  <w:style w:type="character" w:customStyle="1" w:styleId="txt-new">
    <w:name w:val="txt-new"/>
    <w:rsid w:val="00DD0730"/>
  </w:style>
  <w:style w:type="character" w:customStyle="1" w:styleId="luchili">
    <w:name w:val="luc_hili"/>
    <w:rsid w:val="00DD0730"/>
  </w:style>
  <w:style w:type="character" w:customStyle="1" w:styleId="tabulatory">
    <w:name w:val="tabulatory"/>
    <w:rsid w:val="00DD0730"/>
  </w:style>
  <w:style w:type="character" w:styleId="Uwydatnienie">
    <w:name w:val="Emphasis"/>
    <w:uiPriority w:val="20"/>
    <w:qFormat/>
    <w:rsid w:val="00DD0730"/>
    <w:rPr>
      <w:i/>
      <w:iCs/>
    </w:rPr>
  </w:style>
  <w:style w:type="paragraph" w:customStyle="1" w:styleId="s6e50bd9a">
    <w:name w:val="s6e50bd9a"/>
    <w:basedOn w:val="Normalny"/>
    <w:rsid w:val="00DD0730"/>
    <w:pPr>
      <w:spacing w:before="100" w:beforeAutospacing="1" w:after="100" w:afterAutospacing="1"/>
    </w:pPr>
  </w:style>
  <w:style w:type="character" w:customStyle="1" w:styleId="s1a844bc0">
    <w:name w:val="s1a844bc0"/>
    <w:rsid w:val="00DD0730"/>
  </w:style>
  <w:style w:type="character" w:customStyle="1" w:styleId="sfbbfee58">
    <w:name w:val="sfbbfee58"/>
    <w:rsid w:val="00DD0730"/>
  </w:style>
  <w:style w:type="character" w:customStyle="1" w:styleId="wordhighlighted">
    <w:name w:val="wordhighlighted"/>
    <w:rsid w:val="00DD0730"/>
  </w:style>
  <w:style w:type="character" w:customStyle="1" w:styleId="s2a6cf492">
    <w:name w:val="s2a6cf492"/>
    <w:rsid w:val="00DD0730"/>
  </w:style>
  <w:style w:type="character" w:customStyle="1" w:styleId="s52c23de3">
    <w:name w:val="s52c23de3"/>
    <w:rsid w:val="00DD0730"/>
  </w:style>
  <w:style w:type="character" w:customStyle="1" w:styleId="s7d2086b4">
    <w:name w:val="s7d2086b4"/>
    <w:rsid w:val="00DD0730"/>
  </w:style>
  <w:style w:type="table" w:styleId="Tabela-Siatka">
    <w:name w:val="Table Grid"/>
    <w:basedOn w:val="Standardowy"/>
    <w:uiPriority w:val="59"/>
    <w:rsid w:val="00DD0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rsid w:val="00E822CE"/>
    <w:rPr>
      <w:rFonts w:asciiTheme="majorHAnsi" w:eastAsiaTheme="majorEastAsia" w:hAnsiTheme="majorHAnsi" w:cstheme="majorBidi"/>
      <w:b/>
      <w:bCs/>
      <w:color w:val="4F81BD" w:themeColor="accent1"/>
    </w:rPr>
  </w:style>
  <w:style w:type="character" w:styleId="Wyrnienieintensywne">
    <w:name w:val="Intense Emphasis"/>
    <w:basedOn w:val="Domylnaczcionkaakapitu"/>
    <w:uiPriority w:val="21"/>
    <w:qFormat/>
    <w:rsid w:val="00C8631E"/>
    <w:rPr>
      <w:b/>
      <w:bCs/>
      <w:i/>
      <w:iCs/>
      <w:color w:val="4F81BD" w:themeColor="accent1"/>
    </w:rPr>
  </w:style>
  <w:style w:type="paragraph" w:styleId="Zwykytekst">
    <w:name w:val="Plain Text"/>
    <w:basedOn w:val="Normalny"/>
    <w:link w:val="ZwykytekstZnak"/>
    <w:uiPriority w:val="99"/>
    <w:semiHidden/>
    <w:unhideWhenUsed/>
    <w:rsid w:val="00BB614F"/>
    <w:rPr>
      <w:rFonts w:ascii="Calibri" w:eastAsiaTheme="minorHAnsi" w:hAnsi="Calibri" w:cs="Consolas"/>
      <w:sz w:val="22"/>
      <w:szCs w:val="21"/>
      <w:lang w:eastAsia="en-US"/>
    </w:rPr>
  </w:style>
  <w:style w:type="character" w:customStyle="1" w:styleId="ZwykytekstZnak">
    <w:name w:val="Zwykły tekst Znak"/>
    <w:basedOn w:val="Domylnaczcionkaakapitu"/>
    <w:link w:val="Zwykytekst"/>
    <w:uiPriority w:val="99"/>
    <w:semiHidden/>
    <w:rsid w:val="00BB614F"/>
    <w:rPr>
      <w:rFonts w:ascii="Calibri" w:hAnsi="Calibri" w:cs="Consolas"/>
      <w:szCs w:val="21"/>
    </w:rPr>
  </w:style>
  <w:style w:type="paragraph" w:customStyle="1" w:styleId="Paragraphestandard">
    <w:name w:val="[Paragraphe standard]"/>
    <w:basedOn w:val="Normalny"/>
    <w:uiPriority w:val="99"/>
    <w:rsid w:val="00932307"/>
    <w:pPr>
      <w:autoSpaceDE w:val="0"/>
      <w:autoSpaceDN w:val="0"/>
      <w:adjustRightInd w:val="0"/>
      <w:spacing w:line="288" w:lineRule="auto"/>
      <w:textAlignment w:val="center"/>
    </w:pPr>
    <w:rPr>
      <w:rFonts w:ascii="Minion Pro" w:eastAsia="Calibri" w:hAnsi="Minion Pro" w:cs="Minion Pro"/>
      <w:color w:val="000000"/>
      <w:lang w:val="en-GB" w:eastAsia="en-US"/>
    </w:rPr>
  </w:style>
  <w:style w:type="character" w:customStyle="1" w:styleId="vsmall">
    <w:name w:val="vsmall"/>
    <w:basedOn w:val="Domylnaczcionkaakapitu"/>
    <w:rsid w:val="00932307"/>
  </w:style>
  <w:style w:type="character" w:customStyle="1" w:styleId="textcolumn">
    <w:name w:val="textcolumn"/>
    <w:basedOn w:val="Domylnaczcionkaakapitu"/>
    <w:rsid w:val="00BF02B1"/>
  </w:style>
  <w:style w:type="character" w:customStyle="1" w:styleId="sb6c4b58f">
    <w:name w:val="sb6c4b58f"/>
    <w:basedOn w:val="Domylnaczcionkaakapitu"/>
    <w:rsid w:val="0041414F"/>
  </w:style>
  <w:style w:type="paragraph" w:customStyle="1" w:styleId="sfb943b7b">
    <w:name w:val="sfb943b7b"/>
    <w:basedOn w:val="Normalny"/>
    <w:rsid w:val="00CD13B9"/>
    <w:pPr>
      <w:spacing w:before="100" w:beforeAutospacing="1" w:after="100" w:afterAutospacing="1"/>
    </w:pPr>
  </w:style>
  <w:style w:type="character" w:customStyle="1" w:styleId="column">
    <w:name w:val="column"/>
    <w:basedOn w:val="Domylnaczcionkaakapitu"/>
    <w:rsid w:val="0024461F"/>
  </w:style>
  <w:style w:type="character" w:customStyle="1" w:styleId="sb8d990e2">
    <w:name w:val="sb8d990e2"/>
    <w:basedOn w:val="Domylnaczcionkaakapitu"/>
    <w:rsid w:val="0024461F"/>
  </w:style>
  <w:style w:type="character" w:customStyle="1" w:styleId="Nagwek2Znak">
    <w:name w:val="Nagłówek 2 Znak"/>
    <w:basedOn w:val="Domylnaczcionkaakapitu"/>
    <w:link w:val="Nagwek2"/>
    <w:uiPriority w:val="9"/>
    <w:rsid w:val="00454A68"/>
    <w:rPr>
      <w:rFonts w:eastAsiaTheme="majorEastAsia" w:cstheme="majorBidi"/>
      <w:b/>
      <w:bCs/>
      <w:sz w:val="24"/>
      <w:szCs w:val="24"/>
    </w:rPr>
  </w:style>
  <w:style w:type="character" w:customStyle="1" w:styleId="pdfoutput11">
    <w:name w:val="pdfoutput_11"/>
    <w:basedOn w:val="Domylnaczcionkaakapitu"/>
    <w:rsid w:val="00330D49"/>
  </w:style>
  <w:style w:type="paragraph" w:styleId="Tekstpodstawowy2">
    <w:name w:val="Body Text 2"/>
    <w:basedOn w:val="Normalny"/>
    <w:link w:val="Tekstpodstawowy2Znak"/>
    <w:uiPriority w:val="99"/>
    <w:semiHidden/>
    <w:unhideWhenUsed/>
    <w:rsid w:val="0097084E"/>
    <w:pPr>
      <w:spacing w:after="120" w:line="480" w:lineRule="auto"/>
    </w:pPr>
  </w:style>
  <w:style w:type="character" w:customStyle="1" w:styleId="Tekstpodstawowy2Znak">
    <w:name w:val="Tekst podstawowy 2 Znak"/>
    <w:basedOn w:val="Domylnaczcionkaakapitu"/>
    <w:link w:val="Tekstpodstawowy2"/>
    <w:uiPriority w:val="99"/>
    <w:semiHidden/>
    <w:rsid w:val="0097084E"/>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18692">
      <w:bodyDiv w:val="1"/>
      <w:marLeft w:val="0"/>
      <w:marRight w:val="0"/>
      <w:marTop w:val="0"/>
      <w:marBottom w:val="0"/>
      <w:divBdr>
        <w:top w:val="none" w:sz="0" w:space="0" w:color="auto"/>
        <w:left w:val="none" w:sz="0" w:space="0" w:color="auto"/>
        <w:bottom w:val="none" w:sz="0" w:space="0" w:color="auto"/>
        <w:right w:val="none" w:sz="0" w:space="0" w:color="auto"/>
      </w:divBdr>
      <w:divsChild>
        <w:div w:id="1623726048">
          <w:marLeft w:val="0"/>
          <w:marRight w:val="0"/>
          <w:marTop w:val="0"/>
          <w:marBottom w:val="0"/>
          <w:divBdr>
            <w:top w:val="none" w:sz="0" w:space="0" w:color="auto"/>
            <w:left w:val="none" w:sz="0" w:space="0" w:color="auto"/>
            <w:bottom w:val="none" w:sz="0" w:space="0" w:color="auto"/>
            <w:right w:val="none" w:sz="0" w:space="0" w:color="auto"/>
          </w:divBdr>
          <w:divsChild>
            <w:div w:id="911082465">
              <w:marLeft w:val="0"/>
              <w:marRight w:val="0"/>
              <w:marTop w:val="0"/>
              <w:marBottom w:val="0"/>
              <w:divBdr>
                <w:top w:val="none" w:sz="0" w:space="0" w:color="auto"/>
                <w:left w:val="none" w:sz="0" w:space="0" w:color="auto"/>
                <w:bottom w:val="none" w:sz="0" w:space="0" w:color="auto"/>
                <w:right w:val="none" w:sz="0" w:space="0" w:color="auto"/>
              </w:divBdr>
              <w:divsChild>
                <w:div w:id="1141771867">
                  <w:marLeft w:val="0"/>
                  <w:marRight w:val="0"/>
                  <w:marTop w:val="0"/>
                  <w:marBottom w:val="0"/>
                  <w:divBdr>
                    <w:top w:val="none" w:sz="0" w:space="0" w:color="auto"/>
                    <w:left w:val="none" w:sz="0" w:space="0" w:color="auto"/>
                    <w:bottom w:val="none" w:sz="0" w:space="0" w:color="auto"/>
                    <w:right w:val="none" w:sz="0" w:space="0" w:color="auto"/>
                  </w:divBdr>
                  <w:divsChild>
                    <w:div w:id="2087728317">
                      <w:marLeft w:val="0"/>
                      <w:marRight w:val="0"/>
                      <w:marTop w:val="0"/>
                      <w:marBottom w:val="0"/>
                      <w:divBdr>
                        <w:top w:val="none" w:sz="0" w:space="0" w:color="auto"/>
                        <w:left w:val="none" w:sz="0" w:space="0" w:color="auto"/>
                        <w:bottom w:val="none" w:sz="0" w:space="0" w:color="auto"/>
                        <w:right w:val="none" w:sz="0" w:space="0" w:color="auto"/>
                      </w:divBdr>
                      <w:divsChild>
                        <w:div w:id="2706914">
                          <w:marLeft w:val="0"/>
                          <w:marRight w:val="0"/>
                          <w:marTop w:val="0"/>
                          <w:marBottom w:val="0"/>
                          <w:divBdr>
                            <w:top w:val="none" w:sz="0" w:space="0" w:color="auto"/>
                            <w:left w:val="none" w:sz="0" w:space="0" w:color="auto"/>
                            <w:bottom w:val="none" w:sz="0" w:space="0" w:color="auto"/>
                            <w:right w:val="none" w:sz="0" w:space="0" w:color="auto"/>
                          </w:divBdr>
                          <w:divsChild>
                            <w:div w:id="109806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44122">
      <w:bodyDiv w:val="1"/>
      <w:marLeft w:val="0"/>
      <w:marRight w:val="0"/>
      <w:marTop w:val="0"/>
      <w:marBottom w:val="0"/>
      <w:divBdr>
        <w:top w:val="none" w:sz="0" w:space="0" w:color="auto"/>
        <w:left w:val="none" w:sz="0" w:space="0" w:color="auto"/>
        <w:bottom w:val="none" w:sz="0" w:space="0" w:color="auto"/>
        <w:right w:val="none" w:sz="0" w:space="0" w:color="auto"/>
      </w:divBdr>
    </w:div>
    <w:div w:id="218395626">
      <w:bodyDiv w:val="1"/>
      <w:marLeft w:val="0"/>
      <w:marRight w:val="0"/>
      <w:marTop w:val="0"/>
      <w:marBottom w:val="0"/>
      <w:divBdr>
        <w:top w:val="none" w:sz="0" w:space="0" w:color="auto"/>
        <w:left w:val="none" w:sz="0" w:space="0" w:color="auto"/>
        <w:bottom w:val="none" w:sz="0" w:space="0" w:color="auto"/>
        <w:right w:val="none" w:sz="0" w:space="0" w:color="auto"/>
      </w:divBdr>
    </w:div>
    <w:div w:id="513880904">
      <w:bodyDiv w:val="1"/>
      <w:marLeft w:val="0"/>
      <w:marRight w:val="0"/>
      <w:marTop w:val="0"/>
      <w:marBottom w:val="0"/>
      <w:divBdr>
        <w:top w:val="none" w:sz="0" w:space="0" w:color="auto"/>
        <w:left w:val="none" w:sz="0" w:space="0" w:color="auto"/>
        <w:bottom w:val="none" w:sz="0" w:space="0" w:color="auto"/>
        <w:right w:val="none" w:sz="0" w:space="0" w:color="auto"/>
      </w:divBdr>
      <w:divsChild>
        <w:div w:id="1194002063">
          <w:marLeft w:val="0"/>
          <w:marRight w:val="0"/>
          <w:marTop w:val="0"/>
          <w:marBottom w:val="0"/>
          <w:divBdr>
            <w:top w:val="none" w:sz="0" w:space="0" w:color="auto"/>
            <w:left w:val="none" w:sz="0" w:space="0" w:color="auto"/>
            <w:bottom w:val="none" w:sz="0" w:space="0" w:color="auto"/>
            <w:right w:val="none" w:sz="0" w:space="0" w:color="auto"/>
          </w:divBdr>
          <w:divsChild>
            <w:div w:id="684330544">
              <w:marLeft w:val="0"/>
              <w:marRight w:val="0"/>
              <w:marTop w:val="0"/>
              <w:marBottom w:val="0"/>
              <w:divBdr>
                <w:top w:val="none" w:sz="0" w:space="0" w:color="auto"/>
                <w:left w:val="none" w:sz="0" w:space="0" w:color="auto"/>
                <w:bottom w:val="none" w:sz="0" w:space="0" w:color="auto"/>
                <w:right w:val="none" w:sz="0" w:space="0" w:color="auto"/>
              </w:divBdr>
              <w:divsChild>
                <w:div w:id="1937056928">
                  <w:marLeft w:val="0"/>
                  <w:marRight w:val="0"/>
                  <w:marTop w:val="0"/>
                  <w:marBottom w:val="0"/>
                  <w:divBdr>
                    <w:top w:val="none" w:sz="0" w:space="0" w:color="auto"/>
                    <w:left w:val="none" w:sz="0" w:space="0" w:color="auto"/>
                    <w:bottom w:val="none" w:sz="0" w:space="0" w:color="auto"/>
                    <w:right w:val="none" w:sz="0" w:space="0" w:color="auto"/>
                  </w:divBdr>
                  <w:divsChild>
                    <w:div w:id="702364609">
                      <w:marLeft w:val="0"/>
                      <w:marRight w:val="0"/>
                      <w:marTop w:val="0"/>
                      <w:marBottom w:val="0"/>
                      <w:divBdr>
                        <w:top w:val="none" w:sz="0" w:space="0" w:color="auto"/>
                        <w:left w:val="none" w:sz="0" w:space="0" w:color="auto"/>
                        <w:bottom w:val="none" w:sz="0" w:space="0" w:color="auto"/>
                        <w:right w:val="none" w:sz="0" w:space="0" w:color="auto"/>
                      </w:divBdr>
                      <w:divsChild>
                        <w:div w:id="1728138066">
                          <w:marLeft w:val="0"/>
                          <w:marRight w:val="0"/>
                          <w:marTop w:val="0"/>
                          <w:marBottom w:val="0"/>
                          <w:divBdr>
                            <w:top w:val="none" w:sz="0" w:space="0" w:color="auto"/>
                            <w:left w:val="none" w:sz="0" w:space="0" w:color="auto"/>
                            <w:bottom w:val="none" w:sz="0" w:space="0" w:color="auto"/>
                            <w:right w:val="none" w:sz="0" w:space="0" w:color="auto"/>
                          </w:divBdr>
                          <w:divsChild>
                            <w:div w:id="51114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205316">
      <w:bodyDiv w:val="1"/>
      <w:marLeft w:val="0"/>
      <w:marRight w:val="0"/>
      <w:marTop w:val="0"/>
      <w:marBottom w:val="0"/>
      <w:divBdr>
        <w:top w:val="none" w:sz="0" w:space="0" w:color="auto"/>
        <w:left w:val="none" w:sz="0" w:space="0" w:color="auto"/>
        <w:bottom w:val="none" w:sz="0" w:space="0" w:color="auto"/>
        <w:right w:val="none" w:sz="0" w:space="0" w:color="auto"/>
      </w:divBdr>
    </w:div>
    <w:div w:id="983318379">
      <w:bodyDiv w:val="1"/>
      <w:marLeft w:val="0"/>
      <w:marRight w:val="0"/>
      <w:marTop w:val="0"/>
      <w:marBottom w:val="0"/>
      <w:divBdr>
        <w:top w:val="none" w:sz="0" w:space="0" w:color="auto"/>
        <w:left w:val="none" w:sz="0" w:space="0" w:color="auto"/>
        <w:bottom w:val="none" w:sz="0" w:space="0" w:color="auto"/>
        <w:right w:val="none" w:sz="0" w:space="0" w:color="auto"/>
      </w:divBdr>
      <w:divsChild>
        <w:div w:id="805662576">
          <w:marLeft w:val="0"/>
          <w:marRight w:val="0"/>
          <w:marTop w:val="0"/>
          <w:marBottom w:val="0"/>
          <w:divBdr>
            <w:top w:val="none" w:sz="0" w:space="0" w:color="auto"/>
            <w:left w:val="none" w:sz="0" w:space="0" w:color="auto"/>
            <w:bottom w:val="none" w:sz="0" w:space="0" w:color="auto"/>
            <w:right w:val="none" w:sz="0" w:space="0" w:color="auto"/>
          </w:divBdr>
          <w:divsChild>
            <w:div w:id="744568266">
              <w:marLeft w:val="0"/>
              <w:marRight w:val="0"/>
              <w:marTop w:val="0"/>
              <w:marBottom w:val="0"/>
              <w:divBdr>
                <w:top w:val="none" w:sz="0" w:space="0" w:color="auto"/>
                <w:left w:val="none" w:sz="0" w:space="0" w:color="auto"/>
                <w:bottom w:val="none" w:sz="0" w:space="0" w:color="auto"/>
                <w:right w:val="none" w:sz="0" w:space="0" w:color="auto"/>
              </w:divBdr>
              <w:divsChild>
                <w:div w:id="141778588">
                  <w:marLeft w:val="0"/>
                  <w:marRight w:val="0"/>
                  <w:marTop w:val="0"/>
                  <w:marBottom w:val="0"/>
                  <w:divBdr>
                    <w:top w:val="none" w:sz="0" w:space="0" w:color="auto"/>
                    <w:left w:val="none" w:sz="0" w:space="0" w:color="auto"/>
                    <w:bottom w:val="none" w:sz="0" w:space="0" w:color="auto"/>
                    <w:right w:val="none" w:sz="0" w:space="0" w:color="auto"/>
                  </w:divBdr>
                  <w:divsChild>
                    <w:div w:id="2092770784">
                      <w:marLeft w:val="0"/>
                      <w:marRight w:val="0"/>
                      <w:marTop w:val="0"/>
                      <w:marBottom w:val="0"/>
                      <w:divBdr>
                        <w:top w:val="none" w:sz="0" w:space="0" w:color="auto"/>
                        <w:left w:val="none" w:sz="0" w:space="0" w:color="auto"/>
                        <w:bottom w:val="none" w:sz="0" w:space="0" w:color="auto"/>
                        <w:right w:val="none" w:sz="0" w:space="0" w:color="auto"/>
                      </w:divBdr>
                      <w:divsChild>
                        <w:div w:id="2072537175">
                          <w:marLeft w:val="0"/>
                          <w:marRight w:val="0"/>
                          <w:marTop w:val="0"/>
                          <w:marBottom w:val="0"/>
                          <w:divBdr>
                            <w:top w:val="none" w:sz="0" w:space="0" w:color="auto"/>
                            <w:left w:val="none" w:sz="0" w:space="0" w:color="auto"/>
                            <w:bottom w:val="none" w:sz="0" w:space="0" w:color="auto"/>
                            <w:right w:val="none" w:sz="0" w:space="0" w:color="auto"/>
                          </w:divBdr>
                          <w:divsChild>
                            <w:div w:id="21451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0666038">
      <w:bodyDiv w:val="1"/>
      <w:marLeft w:val="0"/>
      <w:marRight w:val="0"/>
      <w:marTop w:val="0"/>
      <w:marBottom w:val="0"/>
      <w:divBdr>
        <w:top w:val="none" w:sz="0" w:space="0" w:color="auto"/>
        <w:left w:val="none" w:sz="0" w:space="0" w:color="auto"/>
        <w:bottom w:val="none" w:sz="0" w:space="0" w:color="auto"/>
        <w:right w:val="none" w:sz="0" w:space="0" w:color="auto"/>
      </w:divBdr>
      <w:divsChild>
        <w:div w:id="1028407779">
          <w:marLeft w:val="0"/>
          <w:marRight w:val="0"/>
          <w:marTop w:val="0"/>
          <w:marBottom w:val="0"/>
          <w:divBdr>
            <w:top w:val="none" w:sz="0" w:space="0" w:color="auto"/>
            <w:left w:val="none" w:sz="0" w:space="0" w:color="auto"/>
            <w:bottom w:val="none" w:sz="0" w:space="0" w:color="auto"/>
            <w:right w:val="none" w:sz="0" w:space="0" w:color="auto"/>
          </w:divBdr>
          <w:divsChild>
            <w:div w:id="990138338">
              <w:marLeft w:val="0"/>
              <w:marRight w:val="0"/>
              <w:marTop w:val="0"/>
              <w:marBottom w:val="0"/>
              <w:divBdr>
                <w:top w:val="none" w:sz="0" w:space="0" w:color="auto"/>
                <w:left w:val="none" w:sz="0" w:space="0" w:color="auto"/>
                <w:bottom w:val="none" w:sz="0" w:space="0" w:color="auto"/>
                <w:right w:val="none" w:sz="0" w:space="0" w:color="auto"/>
              </w:divBdr>
              <w:divsChild>
                <w:div w:id="2000887752">
                  <w:marLeft w:val="0"/>
                  <w:marRight w:val="0"/>
                  <w:marTop w:val="0"/>
                  <w:marBottom w:val="0"/>
                  <w:divBdr>
                    <w:top w:val="none" w:sz="0" w:space="0" w:color="auto"/>
                    <w:left w:val="none" w:sz="0" w:space="0" w:color="auto"/>
                    <w:bottom w:val="none" w:sz="0" w:space="0" w:color="auto"/>
                    <w:right w:val="none" w:sz="0" w:space="0" w:color="auto"/>
                  </w:divBdr>
                  <w:divsChild>
                    <w:div w:id="569383357">
                      <w:marLeft w:val="0"/>
                      <w:marRight w:val="0"/>
                      <w:marTop w:val="0"/>
                      <w:marBottom w:val="0"/>
                      <w:divBdr>
                        <w:top w:val="none" w:sz="0" w:space="0" w:color="auto"/>
                        <w:left w:val="none" w:sz="0" w:space="0" w:color="auto"/>
                        <w:bottom w:val="none" w:sz="0" w:space="0" w:color="auto"/>
                        <w:right w:val="none" w:sz="0" w:space="0" w:color="auto"/>
                      </w:divBdr>
                      <w:divsChild>
                        <w:div w:id="169179939">
                          <w:marLeft w:val="0"/>
                          <w:marRight w:val="0"/>
                          <w:marTop w:val="0"/>
                          <w:marBottom w:val="0"/>
                          <w:divBdr>
                            <w:top w:val="none" w:sz="0" w:space="0" w:color="auto"/>
                            <w:left w:val="none" w:sz="0" w:space="0" w:color="auto"/>
                            <w:bottom w:val="none" w:sz="0" w:space="0" w:color="auto"/>
                            <w:right w:val="none" w:sz="0" w:space="0" w:color="auto"/>
                          </w:divBdr>
                          <w:divsChild>
                            <w:div w:id="1010525298">
                              <w:marLeft w:val="0"/>
                              <w:marRight w:val="0"/>
                              <w:marTop w:val="0"/>
                              <w:marBottom w:val="0"/>
                              <w:divBdr>
                                <w:top w:val="none" w:sz="0" w:space="0" w:color="auto"/>
                                <w:left w:val="none" w:sz="0" w:space="0" w:color="auto"/>
                                <w:bottom w:val="none" w:sz="0" w:space="0" w:color="auto"/>
                                <w:right w:val="none" w:sz="0" w:space="0" w:color="auto"/>
                              </w:divBdr>
                              <w:divsChild>
                                <w:div w:id="830609178">
                                  <w:marLeft w:val="0"/>
                                  <w:marRight w:val="0"/>
                                  <w:marTop w:val="0"/>
                                  <w:marBottom w:val="0"/>
                                  <w:divBdr>
                                    <w:top w:val="none" w:sz="0" w:space="0" w:color="auto"/>
                                    <w:left w:val="none" w:sz="0" w:space="0" w:color="auto"/>
                                    <w:bottom w:val="none" w:sz="0" w:space="0" w:color="auto"/>
                                    <w:right w:val="none" w:sz="0" w:space="0" w:color="auto"/>
                                  </w:divBdr>
                                  <w:divsChild>
                                    <w:div w:id="1469546082">
                                      <w:marLeft w:val="0"/>
                                      <w:marRight w:val="0"/>
                                      <w:marTop w:val="0"/>
                                      <w:marBottom w:val="0"/>
                                      <w:divBdr>
                                        <w:top w:val="none" w:sz="0" w:space="0" w:color="auto"/>
                                        <w:left w:val="none" w:sz="0" w:space="0" w:color="auto"/>
                                        <w:bottom w:val="none" w:sz="0" w:space="0" w:color="auto"/>
                                        <w:right w:val="none" w:sz="0" w:space="0" w:color="auto"/>
                                      </w:divBdr>
                                      <w:divsChild>
                                        <w:div w:id="1067534290">
                                          <w:marLeft w:val="0"/>
                                          <w:marRight w:val="0"/>
                                          <w:marTop w:val="0"/>
                                          <w:marBottom w:val="0"/>
                                          <w:divBdr>
                                            <w:top w:val="none" w:sz="0" w:space="0" w:color="auto"/>
                                            <w:left w:val="none" w:sz="0" w:space="0" w:color="auto"/>
                                            <w:bottom w:val="none" w:sz="0" w:space="0" w:color="auto"/>
                                            <w:right w:val="none" w:sz="0" w:space="0" w:color="auto"/>
                                          </w:divBdr>
                                          <w:divsChild>
                                            <w:div w:id="105670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5265992">
      <w:bodyDiv w:val="1"/>
      <w:marLeft w:val="0"/>
      <w:marRight w:val="0"/>
      <w:marTop w:val="0"/>
      <w:marBottom w:val="0"/>
      <w:divBdr>
        <w:top w:val="none" w:sz="0" w:space="0" w:color="auto"/>
        <w:left w:val="none" w:sz="0" w:space="0" w:color="auto"/>
        <w:bottom w:val="none" w:sz="0" w:space="0" w:color="auto"/>
        <w:right w:val="none" w:sz="0" w:space="0" w:color="auto"/>
      </w:divBdr>
    </w:div>
    <w:div w:id="1254556920">
      <w:bodyDiv w:val="1"/>
      <w:marLeft w:val="0"/>
      <w:marRight w:val="0"/>
      <w:marTop w:val="0"/>
      <w:marBottom w:val="0"/>
      <w:divBdr>
        <w:top w:val="none" w:sz="0" w:space="0" w:color="auto"/>
        <w:left w:val="none" w:sz="0" w:space="0" w:color="auto"/>
        <w:bottom w:val="none" w:sz="0" w:space="0" w:color="auto"/>
        <w:right w:val="none" w:sz="0" w:space="0" w:color="auto"/>
      </w:divBdr>
    </w:div>
    <w:div w:id="1556090192">
      <w:bodyDiv w:val="1"/>
      <w:marLeft w:val="0"/>
      <w:marRight w:val="0"/>
      <w:marTop w:val="0"/>
      <w:marBottom w:val="0"/>
      <w:divBdr>
        <w:top w:val="none" w:sz="0" w:space="0" w:color="auto"/>
        <w:left w:val="none" w:sz="0" w:space="0" w:color="auto"/>
        <w:bottom w:val="none" w:sz="0" w:space="0" w:color="auto"/>
        <w:right w:val="none" w:sz="0" w:space="0" w:color="auto"/>
      </w:divBdr>
    </w:div>
    <w:div w:id="1684892804">
      <w:bodyDiv w:val="1"/>
      <w:marLeft w:val="0"/>
      <w:marRight w:val="0"/>
      <w:marTop w:val="0"/>
      <w:marBottom w:val="0"/>
      <w:divBdr>
        <w:top w:val="none" w:sz="0" w:space="0" w:color="auto"/>
        <w:left w:val="none" w:sz="0" w:space="0" w:color="auto"/>
        <w:bottom w:val="none" w:sz="0" w:space="0" w:color="auto"/>
        <w:right w:val="none" w:sz="0" w:space="0" w:color="auto"/>
      </w:divBdr>
    </w:div>
    <w:div w:id="1824394001">
      <w:bodyDiv w:val="1"/>
      <w:marLeft w:val="0"/>
      <w:marRight w:val="0"/>
      <w:marTop w:val="0"/>
      <w:marBottom w:val="0"/>
      <w:divBdr>
        <w:top w:val="none" w:sz="0" w:space="0" w:color="auto"/>
        <w:left w:val="none" w:sz="0" w:space="0" w:color="auto"/>
        <w:bottom w:val="none" w:sz="0" w:space="0" w:color="auto"/>
        <w:right w:val="none" w:sz="0" w:space="0" w:color="auto"/>
      </w:divBdr>
      <w:divsChild>
        <w:div w:id="2096514366">
          <w:marLeft w:val="0"/>
          <w:marRight w:val="0"/>
          <w:marTop w:val="0"/>
          <w:marBottom w:val="0"/>
          <w:divBdr>
            <w:top w:val="none" w:sz="0" w:space="0" w:color="auto"/>
            <w:left w:val="none" w:sz="0" w:space="0" w:color="auto"/>
            <w:bottom w:val="none" w:sz="0" w:space="0" w:color="auto"/>
            <w:right w:val="none" w:sz="0" w:space="0" w:color="auto"/>
          </w:divBdr>
          <w:divsChild>
            <w:div w:id="73211672">
              <w:marLeft w:val="0"/>
              <w:marRight w:val="0"/>
              <w:marTop w:val="0"/>
              <w:marBottom w:val="0"/>
              <w:divBdr>
                <w:top w:val="none" w:sz="0" w:space="0" w:color="auto"/>
                <w:left w:val="none" w:sz="0" w:space="0" w:color="auto"/>
                <w:bottom w:val="none" w:sz="0" w:space="0" w:color="auto"/>
                <w:right w:val="none" w:sz="0" w:space="0" w:color="auto"/>
              </w:divBdr>
              <w:divsChild>
                <w:div w:id="2042315597">
                  <w:marLeft w:val="0"/>
                  <w:marRight w:val="0"/>
                  <w:marTop w:val="0"/>
                  <w:marBottom w:val="0"/>
                  <w:divBdr>
                    <w:top w:val="none" w:sz="0" w:space="0" w:color="auto"/>
                    <w:left w:val="none" w:sz="0" w:space="0" w:color="auto"/>
                    <w:bottom w:val="none" w:sz="0" w:space="0" w:color="auto"/>
                    <w:right w:val="none" w:sz="0" w:space="0" w:color="auto"/>
                  </w:divBdr>
                  <w:divsChild>
                    <w:div w:id="1530028949">
                      <w:marLeft w:val="0"/>
                      <w:marRight w:val="0"/>
                      <w:marTop w:val="0"/>
                      <w:marBottom w:val="0"/>
                      <w:divBdr>
                        <w:top w:val="none" w:sz="0" w:space="0" w:color="auto"/>
                        <w:left w:val="none" w:sz="0" w:space="0" w:color="auto"/>
                        <w:bottom w:val="none" w:sz="0" w:space="0" w:color="auto"/>
                        <w:right w:val="none" w:sz="0" w:space="0" w:color="auto"/>
                      </w:divBdr>
                      <w:divsChild>
                        <w:div w:id="1485775289">
                          <w:marLeft w:val="0"/>
                          <w:marRight w:val="0"/>
                          <w:marTop w:val="0"/>
                          <w:marBottom w:val="0"/>
                          <w:divBdr>
                            <w:top w:val="none" w:sz="0" w:space="0" w:color="auto"/>
                            <w:left w:val="none" w:sz="0" w:space="0" w:color="auto"/>
                            <w:bottom w:val="none" w:sz="0" w:space="0" w:color="auto"/>
                            <w:right w:val="none" w:sz="0" w:space="0" w:color="auto"/>
                          </w:divBdr>
                          <w:divsChild>
                            <w:div w:id="85616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footer" Target="footer3.xml"/><Relationship Id="rId10" Type="http://schemas.openxmlformats.org/officeDocument/2006/relationships/chart" Target="charts/chart3.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oleObject" Target="file:///\\plwar-fs01\public\BPdsPpMOOPC\private\STATYSTYKI%20I%20teksty%20orzecze&#324;%20ETPCz%20ws.%20Polski\Kwoty%20zas&#261;dze&#324;%20i%20statystyki%20ETPCz%20-%2094-2019.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plwar-fs01\public\BPdsPpMOOPC\private\STATYSTYKI%20I%20teksty%20orzecze&#324;%20ETPCz%20ws.%20Polski\Kwoty%20zas&#261;dze&#324;%20i%20statystyki%20ETPCz%20-%2094-2019.xlsx" TargetMode="External"/><Relationship Id="rId1" Type="http://schemas.openxmlformats.org/officeDocument/2006/relationships/themeOverride" Target="../theme/themeOverride10.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plwar-fs01\public\BPdsPpMOOPC\private\STATYSTYKI%20I%20teksty%20orzecze&#324;%20ETPCz%20ws.%20Polski\Kwoty%20zas&#261;dze&#324;%20i%20statystyki%20ETPCz%20-%2094-2019.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plwar-fs01\public\BPdsPpMOOPC\private\STATYSTYKI%20I%20teksty%20orzecze&#324;%20ETPCz%20ws.%20Polski\Kwoty%20zas&#261;dze&#324;%20i%20statystyki%20ETPCz%20-%2094-2019.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plwar-fs01\public\BPdsPpMOOPC\private\STATYSTYKI%20I%20teksty%20orzecze&#324;%20ETPCz%20ws.%20Polski\Kwoty%20zas&#261;dze&#324;%20i%20statystyki%20ETPCz%20-%2094-2019.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plwar-fs01\public\BPdsPpMOOPC\private\STATYSTYKI%20I%20teksty%20orzecze&#324;%20ETPCz%20ws.%20Polski\Kwoty%20zas&#261;dze&#324;%20i%20statystyki%20ETPCz%20-%2094-2019.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plwar-fs01\public\BPdsPpMOOPC\private\STATYSTYKI%20I%20teksty%20orzecze&#324;%20ETPCz%20ws.%20Polski\Kwoty%20zas&#261;dze&#324;%20i%20statystyki%20ETPCz%20-%2094-2019.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plwar-fs01\public\BPdsPpMOOPC\private\STATYSTYKI%20I%20teksty%20orzecze&#324;%20ETPCz%20ws.%20Polski\Kwoty%20zas&#261;dze&#324;%20i%20statystyki%20ETPCz%20-%2094-2019.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plwar-fs01\public\BPdsPpMOOPC\private\STATYSTYKI%20I%20teksty%20orzecze&#324;%20ETPCz%20ws.%20Polski\Kwoty%20zas&#261;dze&#324;%20i%20statystyki%20ETPCz%20-%2094-2019.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plwar-fs01\public\BPdsPpMOOPC\private\STATYSTYKI%20I%20teksty%20orzecze&#324;%20ETPCz%20ws.%20Polski\Kwoty%20zas&#261;dze&#324;%20i%20statystyki%20ETPCz%20-%2094-2019.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8"/>
    </mc:Choice>
    <mc:Fallback>
      <c:style val="8"/>
    </mc:Fallback>
  </mc:AlternateContent>
  <c:clrMapOvr bg1="lt1" tx1="dk1" bg2="lt2" tx2="dk2" accent1="accent1" accent2="accent2" accent3="accent3" accent4="accent4" accent5="accent5" accent6="accent6" hlink="hlink" folHlink="folHlink"/>
  <c:chart>
    <c:title>
      <c:tx>
        <c:rich>
          <a:bodyPr/>
          <a:lstStyle/>
          <a:p>
            <a:pPr>
              <a:defRPr sz="1000" kern="0" baseline="0">
                <a:latin typeface="+mn-lt"/>
              </a:defRPr>
            </a:pPr>
            <a:r>
              <a:rPr lang="en-US" sz="1000" b="1" i="0" baseline="0">
                <a:effectLst/>
                <a:latin typeface="+mn-lt"/>
              </a:rPr>
              <a:t>liczba </a:t>
            </a:r>
            <a:r>
              <a:rPr lang="pl-PL" sz="1000" b="1" i="0" baseline="0">
                <a:effectLst/>
                <a:latin typeface="+mn-lt"/>
              </a:rPr>
              <a:t>nowych </a:t>
            </a:r>
            <a:r>
              <a:rPr lang="en-US" sz="1000" b="1" i="0" baseline="0">
                <a:effectLst/>
                <a:latin typeface="+mn-lt"/>
              </a:rPr>
              <a:t>skarg </a:t>
            </a:r>
            <a:r>
              <a:rPr lang="pl-PL" sz="1000" b="1" i="0" baseline="0">
                <a:effectLst/>
                <a:latin typeface="+mn-lt"/>
              </a:rPr>
              <a:t>p. Polsce </a:t>
            </a:r>
            <a:r>
              <a:rPr lang="en-US" sz="1000" b="1" i="0" baseline="0">
                <a:effectLst/>
                <a:latin typeface="+mn-lt"/>
              </a:rPr>
              <a:t>przydzielonych do rozpoznania </a:t>
            </a:r>
            <a:r>
              <a:rPr lang="pl-PL" sz="1000" b="1" i="0" baseline="0">
                <a:effectLst/>
                <a:latin typeface="+mn-lt"/>
              </a:rPr>
              <a:t/>
            </a:r>
            <a:br>
              <a:rPr lang="pl-PL" sz="1000" b="1" i="0" baseline="0">
                <a:effectLst/>
                <a:latin typeface="+mn-lt"/>
              </a:rPr>
            </a:br>
            <a:r>
              <a:rPr lang="en-US" sz="1000" b="1" i="0" baseline="0">
                <a:effectLst/>
                <a:latin typeface="+mn-lt"/>
              </a:rPr>
              <a:t>skład</a:t>
            </a:r>
            <a:r>
              <a:rPr lang="pl-PL" sz="1000" b="1" i="0" baseline="0">
                <a:effectLst/>
                <a:latin typeface="+mn-lt"/>
              </a:rPr>
              <a:t>om</a:t>
            </a:r>
            <a:r>
              <a:rPr lang="en-US" sz="1000" b="1" i="0" baseline="0">
                <a:effectLst/>
                <a:latin typeface="+mn-lt"/>
              </a:rPr>
              <a:t> sędziowski</a:t>
            </a:r>
            <a:r>
              <a:rPr lang="pl-PL" sz="1000" b="1" i="0" baseline="0">
                <a:effectLst/>
                <a:latin typeface="+mn-lt"/>
              </a:rPr>
              <a:t>m  </a:t>
            </a:r>
            <a:r>
              <a:rPr lang="pl-PL" sz="1000" b="1" i="0" u="none" strike="noStrike" kern="0" baseline="0">
                <a:solidFill>
                  <a:sysClr val="windowText" lastClr="000000"/>
                </a:solidFill>
                <a:effectLst/>
                <a:latin typeface="+mn-lt"/>
                <a:ea typeface="+mn-ea"/>
                <a:cs typeface="+mn-cs"/>
              </a:rPr>
              <a:t>ETPC</a:t>
            </a:r>
            <a:r>
              <a:rPr lang="pl-PL" sz="1000" b="1" i="0" baseline="0">
                <a:effectLst/>
                <a:latin typeface="+mn-lt"/>
              </a:rPr>
              <a:t> w poszczególnych latach</a:t>
            </a:r>
            <a:endParaRPr lang="en-US" sz="1000" kern="0" baseline="0">
              <a:latin typeface="+mn-lt"/>
            </a:endParaRPr>
          </a:p>
        </c:rich>
      </c:tx>
      <c:layout>
        <c:manualLayout>
          <c:xMode val="edge"/>
          <c:yMode val="edge"/>
          <c:x val="0.20398849809835118"/>
          <c:y val="2.4980663394162921E-3"/>
        </c:manualLayout>
      </c:layout>
      <c:overlay val="1"/>
    </c:title>
    <c:autoTitleDeleted val="0"/>
    <c:plotArea>
      <c:layout>
        <c:manualLayout>
          <c:layoutTarget val="inner"/>
          <c:xMode val="edge"/>
          <c:yMode val="edge"/>
          <c:x val="5.7662363480882231E-2"/>
          <c:y val="0.21391134544197257"/>
          <c:w val="0.92557501058814295"/>
          <c:h val="0.75292799516088227"/>
        </c:manualLayout>
      </c:layout>
      <c:barChart>
        <c:barDir val="bar"/>
        <c:grouping val="clustered"/>
        <c:varyColors val="0"/>
        <c:ser>
          <c:idx val="1"/>
          <c:order val="0"/>
          <c:tx>
            <c:v>liczba skarg przydzielonych do rozpoznania przez skład sędziowski</c:v>
          </c:tx>
          <c:spPr>
            <a:solidFill>
              <a:schemeClr val="accent6"/>
            </a:solidFill>
          </c:spPr>
          <c:invertIfNegative val="0"/>
          <c:dLbls>
            <c:spPr>
              <a:noFill/>
              <a:ln>
                <a:noFill/>
              </a:ln>
              <a:effectLst/>
            </c:spPr>
            <c:txPr>
              <a:bodyPr/>
              <a:lstStyle/>
              <a:p>
                <a:pPr>
                  <a:defRPr baseline="0"/>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'statystyki raporty wykonywanie'!$D$19:$D$28</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'statystyki raporty wykonywanie'!$G$19:$G$28</c:f>
              <c:numCache>
                <c:formatCode>General</c:formatCode>
                <c:ptCount val="10"/>
                <c:pt idx="0">
                  <c:v>5022</c:v>
                </c:pt>
                <c:pt idx="1">
                  <c:v>4071</c:v>
                </c:pt>
                <c:pt idx="2">
                  <c:v>3968</c:v>
                </c:pt>
                <c:pt idx="3">
                  <c:v>2747</c:v>
                </c:pt>
                <c:pt idx="4">
                  <c:v>2182</c:v>
                </c:pt>
                <c:pt idx="5">
                  <c:v>2424</c:v>
                </c:pt>
                <c:pt idx="6">
                  <c:v>2066</c:v>
                </c:pt>
                <c:pt idx="7">
                  <c:v>1941</c:v>
                </c:pt>
                <c:pt idx="8">
                  <c:v>1834</c:v>
                </c:pt>
                <c:pt idx="9">
                  <c:v>1628</c:v>
                </c:pt>
              </c:numCache>
            </c:numRef>
          </c:val>
          <c:extLst>
            <c:ext xmlns:c16="http://schemas.microsoft.com/office/drawing/2014/chart" uri="{C3380CC4-5D6E-409C-BE32-E72D297353CC}">
              <c16:uniqueId val="{00000000-9005-49BD-8208-F95EF2BCA302}"/>
            </c:ext>
          </c:extLst>
        </c:ser>
        <c:dLbls>
          <c:showLegendKey val="0"/>
          <c:showVal val="0"/>
          <c:showCatName val="0"/>
          <c:showSerName val="0"/>
          <c:showPercent val="0"/>
          <c:showBubbleSize val="0"/>
        </c:dLbls>
        <c:gapWidth val="150"/>
        <c:axId val="105965440"/>
        <c:axId val="105966976"/>
      </c:barChart>
      <c:catAx>
        <c:axId val="105965440"/>
        <c:scaling>
          <c:orientation val="maxMin"/>
        </c:scaling>
        <c:delete val="0"/>
        <c:axPos val="l"/>
        <c:numFmt formatCode="General" sourceLinked="1"/>
        <c:majorTickMark val="none"/>
        <c:minorTickMark val="none"/>
        <c:tickLblPos val="nextTo"/>
        <c:txPr>
          <a:bodyPr/>
          <a:lstStyle/>
          <a:p>
            <a:pPr>
              <a:defRPr sz="1300" baseline="0"/>
            </a:pPr>
            <a:endParaRPr lang="pl-PL"/>
          </a:p>
        </c:txPr>
        <c:crossAx val="105966976"/>
        <c:crosses val="autoZero"/>
        <c:auto val="1"/>
        <c:lblAlgn val="ctr"/>
        <c:lblOffset val="100"/>
        <c:noMultiLvlLbl val="0"/>
      </c:catAx>
      <c:valAx>
        <c:axId val="105966976"/>
        <c:scaling>
          <c:orientation val="minMax"/>
        </c:scaling>
        <c:delete val="0"/>
        <c:axPos val="t"/>
        <c:majorGridlines/>
        <c:numFmt formatCode="General" sourceLinked="1"/>
        <c:majorTickMark val="none"/>
        <c:minorTickMark val="none"/>
        <c:tickLblPos val="nextTo"/>
        <c:crossAx val="105965440"/>
        <c:crosses val="autoZero"/>
        <c:crossBetween val="between"/>
      </c:valAx>
    </c:plotArea>
    <c:plotVisOnly val="1"/>
    <c:dispBlanksAs val="gap"/>
    <c:showDLblsOverMax val="0"/>
  </c:chart>
  <c:txPr>
    <a:bodyPr/>
    <a:lstStyle/>
    <a:p>
      <a:pPr>
        <a:defRPr sz="1200" baseline="0"/>
      </a:pPr>
      <a:endParaRPr lang="pl-PL"/>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21"/>
    </mc:Choice>
    <mc:Fallback>
      <c:style val="21"/>
    </mc:Fallback>
  </mc:AlternateContent>
  <c:clrMapOvr bg1="lt1" tx1="dk1" bg2="lt2" tx2="dk2" accent1="accent1" accent2="accent2" accent3="accent3" accent4="accent4" accent5="accent5" accent6="accent6" hlink="hlink" folHlink="folHlink"/>
  <c:chart>
    <c:title>
      <c:tx>
        <c:rich>
          <a:bodyPr/>
          <a:lstStyle/>
          <a:p>
            <a:pPr>
              <a:defRPr sz="1000"/>
            </a:pPr>
            <a:r>
              <a:rPr lang="en-GB" sz="1000"/>
              <a:t>liczba </a:t>
            </a:r>
            <a:r>
              <a:rPr lang="pl-PL" sz="1000"/>
              <a:t>orzeczeń </a:t>
            </a:r>
            <a:r>
              <a:rPr lang="pl-PL" sz="1000" b="1" i="0" u="none" strike="noStrike" kern="1200" baseline="0">
                <a:solidFill>
                  <a:sysClr val="windowText" lastClr="000000"/>
                </a:solidFill>
                <a:latin typeface="+mn-lt"/>
                <a:ea typeface="+mn-ea"/>
                <a:cs typeface="+mn-cs"/>
              </a:rPr>
              <a:t>ETPC</a:t>
            </a:r>
            <a:r>
              <a:rPr lang="pl-PL" sz="1000"/>
              <a:t> w sprawach polskich </a:t>
            </a:r>
            <a:r>
              <a:rPr lang="en-GB" sz="1000"/>
              <a:t>uznanych za wykonane </a:t>
            </a:r>
            <a:r>
              <a:rPr lang="pl-PL" sz="1000"/>
              <a:t/>
            </a:r>
            <a:br>
              <a:rPr lang="pl-PL" sz="1000"/>
            </a:br>
            <a:r>
              <a:rPr lang="pl-PL" sz="1000"/>
              <a:t>p</a:t>
            </a:r>
            <a:r>
              <a:rPr lang="en-GB" sz="1000"/>
              <a:t>rzez Komitet Ministrów Rady Europy</a:t>
            </a:r>
          </a:p>
        </c:rich>
      </c:tx>
      <c:overlay val="0"/>
    </c:title>
    <c:autoTitleDeleted val="0"/>
    <c:plotArea>
      <c:layout/>
      <c:lineChart>
        <c:grouping val="standard"/>
        <c:varyColors val="0"/>
        <c:ser>
          <c:idx val="0"/>
          <c:order val="0"/>
          <c:tx>
            <c:v>liczba spraw uznanych za wykonane przez Komitet Ministrów Rady Europy</c:v>
          </c:tx>
          <c:dLbls>
            <c:dLbl>
              <c:idx val="7"/>
              <c:layout>
                <c:manualLayout>
                  <c:x val="0"/>
                  <c:y val="-1.899335232668565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3F8-464B-A5F5-DB624CAC2727}"/>
                </c:ext>
              </c:extLst>
            </c:dLbl>
            <c:dLbl>
              <c:idx val="8"/>
              <c:layout>
                <c:manualLayout>
                  <c:x val="-1.3227513227513227E-2"/>
                  <c:y val="-2.3741690408357077E-2"/>
                </c:manualLayout>
              </c:layout>
              <c:spPr/>
              <c:txPr>
                <a:bodyPr/>
                <a:lstStyle/>
                <a:p>
                  <a:pPr>
                    <a:defRPr b="1">
                      <a:solidFill>
                        <a:sysClr val="windowText" lastClr="000000"/>
                      </a:solidFill>
                    </a:defRPr>
                  </a:pPr>
                  <a:endParaRPr lang="pl-PL"/>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3F8-464B-A5F5-DB624CAC2727}"/>
                </c:ext>
              </c:extLst>
            </c:dLbl>
            <c:spPr>
              <a:noFill/>
              <a:ln>
                <a:noFill/>
              </a:ln>
              <a:effectLst/>
            </c:spPr>
            <c:txPr>
              <a:bodyPr/>
              <a:lstStyle/>
              <a:p>
                <a:pPr>
                  <a:defRPr b="1"/>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'staystyki cd.'!$AA$19:$AA$28</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'staystyki cd.'!$AB$19:$AB$28</c:f>
              <c:numCache>
                <c:formatCode>General</c:formatCode>
                <c:ptCount val="10"/>
                <c:pt idx="0">
                  <c:v>58</c:v>
                </c:pt>
                <c:pt idx="1">
                  <c:v>164</c:v>
                </c:pt>
                <c:pt idx="2">
                  <c:v>278</c:v>
                </c:pt>
                <c:pt idx="3">
                  <c:v>357</c:v>
                </c:pt>
                <c:pt idx="4">
                  <c:v>289</c:v>
                </c:pt>
                <c:pt idx="5">
                  <c:v>170</c:v>
                </c:pt>
                <c:pt idx="6">
                  <c:v>133</c:v>
                </c:pt>
                <c:pt idx="7">
                  <c:v>69</c:v>
                </c:pt>
                <c:pt idx="8">
                  <c:v>41</c:v>
                </c:pt>
                <c:pt idx="9">
                  <c:v>31</c:v>
                </c:pt>
              </c:numCache>
            </c:numRef>
          </c:val>
          <c:smooth val="0"/>
          <c:extLst>
            <c:ext xmlns:c16="http://schemas.microsoft.com/office/drawing/2014/chart" uri="{C3380CC4-5D6E-409C-BE32-E72D297353CC}">
              <c16:uniqueId val="{00000002-B3F8-464B-A5F5-DB624CAC2727}"/>
            </c:ext>
          </c:extLst>
        </c:ser>
        <c:dLbls>
          <c:showLegendKey val="0"/>
          <c:showVal val="0"/>
          <c:showCatName val="0"/>
          <c:showSerName val="0"/>
          <c:showPercent val="0"/>
          <c:showBubbleSize val="0"/>
        </c:dLbls>
        <c:marker val="1"/>
        <c:smooth val="0"/>
        <c:axId val="108196608"/>
        <c:axId val="108198144"/>
      </c:lineChart>
      <c:catAx>
        <c:axId val="108196608"/>
        <c:scaling>
          <c:orientation val="minMax"/>
        </c:scaling>
        <c:delete val="0"/>
        <c:axPos val="b"/>
        <c:numFmt formatCode="General" sourceLinked="1"/>
        <c:majorTickMark val="out"/>
        <c:minorTickMark val="none"/>
        <c:tickLblPos val="nextTo"/>
        <c:txPr>
          <a:bodyPr/>
          <a:lstStyle/>
          <a:p>
            <a:pPr>
              <a:defRPr sz="1200" baseline="0"/>
            </a:pPr>
            <a:endParaRPr lang="pl-PL"/>
          </a:p>
        </c:txPr>
        <c:crossAx val="108198144"/>
        <c:crosses val="autoZero"/>
        <c:auto val="1"/>
        <c:lblAlgn val="ctr"/>
        <c:lblOffset val="100"/>
        <c:noMultiLvlLbl val="0"/>
      </c:catAx>
      <c:valAx>
        <c:axId val="108198144"/>
        <c:scaling>
          <c:orientation val="minMax"/>
        </c:scaling>
        <c:delete val="0"/>
        <c:axPos val="l"/>
        <c:majorGridlines/>
        <c:numFmt formatCode="General" sourceLinked="1"/>
        <c:majorTickMark val="out"/>
        <c:minorTickMark val="none"/>
        <c:tickLblPos val="nextTo"/>
        <c:txPr>
          <a:bodyPr/>
          <a:lstStyle/>
          <a:p>
            <a:pPr>
              <a:defRPr sz="1200" baseline="0"/>
            </a:pPr>
            <a:endParaRPr lang="pl-PL"/>
          </a:p>
        </c:txPr>
        <c:crossAx val="108196608"/>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a:pPr>
            <a:r>
              <a:rPr lang="en-US" sz="1000" b="1" i="0" u="none" strike="noStrike" baseline="0">
                <a:effectLst/>
              </a:rPr>
              <a:t>miejsce Polski </a:t>
            </a:r>
            <a:r>
              <a:rPr lang="pl-PL" sz="1000" b="1" i="0" u="none" strike="noStrike" baseline="0">
                <a:effectLst/>
              </a:rPr>
              <a:t>na liście państw Rady Europy </a:t>
            </a:r>
            <a:r>
              <a:rPr lang="en-US" sz="1000" b="1" i="0" u="none" strike="noStrike" baseline="0">
                <a:effectLst/>
              </a:rPr>
              <a:t>pod względem liczby zawisłych skarg</a:t>
            </a:r>
            <a:r>
              <a:rPr lang="pl-PL" sz="1000" b="1" i="0" u="none" strike="noStrike" baseline="0">
                <a:effectLst/>
              </a:rPr>
              <a:t> przed </a:t>
            </a:r>
            <a:r>
              <a:rPr lang="pl-PL" sz="1000" b="1" i="0" u="none" strike="noStrike" kern="1200" baseline="0">
                <a:solidFill>
                  <a:sysClr val="windowText" lastClr="000000"/>
                </a:solidFill>
                <a:effectLst/>
                <a:latin typeface="+mn-lt"/>
                <a:ea typeface="+mn-ea"/>
                <a:cs typeface="+mn-cs"/>
              </a:rPr>
              <a:t>ETPC</a:t>
            </a:r>
            <a:r>
              <a:rPr lang="pl-PL" sz="1000" b="1" i="0" u="none" strike="noStrike" baseline="0">
                <a:effectLst/>
              </a:rPr>
              <a:t> na koniec roku</a:t>
            </a:r>
            <a:endParaRPr lang="en-US" sz="1000">
              <a:latin typeface="Times New Roman" panose="02020603050405020304" pitchFamily="18" charset="0"/>
              <a:cs typeface="Times New Roman" panose="02020603050405020304" pitchFamily="18" charset="0"/>
            </a:endParaRPr>
          </a:p>
        </c:rich>
      </c:tx>
      <c:overlay val="0"/>
    </c:title>
    <c:autoTitleDeleted val="0"/>
    <c:plotArea>
      <c:layout/>
      <c:lineChart>
        <c:grouping val="stacked"/>
        <c:varyColors val="0"/>
        <c:ser>
          <c:idx val="0"/>
          <c:order val="0"/>
          <c:tx>
            <c:v>miejsce Polski pod względem liczby zawisłych skarg</c:v>
          </c:tx>
          <c:dLbls>
            <c:dLbl>
              <c:idx val="0"/>
              <c:layout>
                <c:manualLayout>
                  <c:x val="0"/>
                  <c:y val="-2.11111575168707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945-4E7F-8B7B-399BDACE2D33}"/>
                </c:ext>
              </c:extLst>
            </c:dLbl>
            <c:dLbl>
              <c:idx val="1"/>
              <c:layout>
                <c:manualLayout>
                  <c:x val="-7.2325249952077406E-3"/>
                  <c:y val="-2.90278415856972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945-4E7F-8B7B-399BDACE2D33}"/>
                </c:ext>
              </c:extLst>
            </c:dLbl>
            <c:dLbl>
              <c:idx val="2"/>
              <c:layout>
                <c:manualLayout>
                  <c:x val="-1.0125534993290837E-2"/>
                  <c:y val="-3.69445256545238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945-4E7F-8B7B-399BDACE2D33}"/>
                </c:ext>
              </c:extLst>
            </c:dLbl>
            <c:dLbl>
              <c:idx val="3"/>
              <c:layout>
                <c:manualLayout>
                  <c:x val="-1.446504999041548E-3"/>
                  <c:y val="-2.90278415856972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945-4E7F-8B7B-399BDACE2D33}"/>
                </c:ext>
              </c:extLst>
            </c:dLbl>
            <c:dLbl>
              <c:idx val="4"/>
              <c:layout>
                <c:manualLayout>
                  <c:x val="-1.446504999041548E-3"/>
                  <c:y val="-1.84722628272619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945-4E7F-8B7B-399BDACE2D33}"/>
                </c:ext>
              </c:extLst>
            </c:dLbl>
            <c:spPr>
              <a:noFill/>
              <a:ln>
                <a:noFill/>
              </a:ln>
              <a:effectLst/>
            </c:spPr>
            <c:txPr>
              <a:bodyPr/>
              <a:lstStyle/>
              <a:p>
                <a:pPr>
                  <a:defRPr sz="1200" b="1" i="0" baseline="0"/>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'staystyki cd.'!$A$19:$A$28</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'staystyki cd.'!$Y$19:$Y$28</c:f>
              <c:numCache>
                <c:formatCode>General</c:formatCode>
                <c:ptCount val="10"/>
                <c:pt idx="0">
                  <c:v>7</c:v>
                </c:pt>
                <c:pt idx="1">
                  <c:v>10</c:v>
                </c:pt>
                <c:pt idx="2">
                  <c:v>12</c:v>
                </c:pt>
                <c:pt idx="3">
                  <c:v>9</c:v>
                </c:pt>
                <c:pt idx="4">
                  <c:v>8</c:v>
                </c:pt>
                <c:pt idx="5">
                  <c:v>8</c:v>
                </c:pt>
                <c:pt idx="6">
                  <c:v>10</c:v>
                </c:pt>
                <c:pt idx="7">
                  <c:v>10</c:v>
                </c:pt>
                <c:pt idx="8">
                  <c:v>10</c:v>
                </c:pt>
                <c:pt idx="9">
                  <c:v>9</c:v>
                </c:pt>
              </c:numCache>
            </c:numRef>
          </c:val>
          <c:smooth val="0"/>
          <c:extLst>
            <c:ext xmlns:c16="http://schemas.microsoft.com/office/drawing/2014/chart" uri="{C3380CC4-5D6E-409C-BE32-E72D297353CC}">
              <c16:uniqueId val="{00000005-0945-4E7F-8B7B-399BDACE2D33}"/>
            </c:ext>
          </c:extLst>
        </c:ser>
        <c:dLbls>
          <c:showLegendKey val="0"/>
          <c:showVal val="0"/>
          <c:showCatName val="0"/>
          <c:showSerName val="0"/>
          <c:showPercent val="0"/>
          <c:showBubbleSize val="0"/>
        </c:dLbls>
        <c:marker val="1"/>
        <c:smooth val="0"/>
        <c:axId val="107032576"/>
        <c:axId val="107034112"/>
      </c:lineChart>
      <c:catAx>
        <c:axId val="107032576"/>
        <c:scaling>
          <c:orientation val="minMax"/>
        </c:scaling>
        <c:delete val="0"/>
        <c:axPos val="t"/>
        <c:numFmt formatCode="General" sourceLinked="1"/>
        <c:majorTickMark val="out"/>
        <c:minorTickMark val="none"/>
        <c:tickLblPos val="nextTo"/>
        <c:txPr>
          <a:bodyPr/>
          <a:lstStyle/>
          <a:p>
            <a:pPr>
              <a:defRPr sz="1200" baseline="0"/>
            </a:pPr>
            <a:endParaRPr lang="pl-PL"/>
          </a:p>
        </c:txPr>
        <c:crossAx val="107034112"/>
        <c:crossesAt val="0"/>
        <c:auto val="1"/>
        <c:lblAlgn val="ctr"/>
        <c:lblOffset val="100"/>
        <c:noMultiLvlLbl val="0"/>
      </c:catAx>
      <c:valAx>
        <c:axId val="107034112"/>
        <c:scaling>
          <c:orientation val="maxMin"/>
          <c:max val="46"/>
        </c:scaling>
        <c:delete val="0"/>
        <c:axPos val="l"/>
        <c:majorGridlines/>
        <c:numFmt formatCode="General" sourceLinked="1"/>
        <c:majorTickMark val="out"/>
        <c:minorTickMark val="none"/>
        <c:tickLblPos val="nextTo"/>
        <c:txPr>
          <a:bodyPr/>
          <a:lstStyle/>
          <a:p>
            <a:pPr>
              <a:defRPr sz="1200" baseline="0"/>
            </a:pPr>
            <a:endParaRPr lang="pl-PL"/>
          </a:p>
        </c:txPr>
        <c:crossAx val="107032576"/>
        <c:crosses val="autoZero"/>
        <c:crossBetween val="between"/>
      </c:valAx>
    </c:plotArea>
    <c:plotVisOnly val="1"/>
    <c:dispBlanksAs val="gap"/>
    <c:showDLblsOverMax val="0"/>
  </c:chart>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9"/>
    </mc:Choice>
    <mc:Fallback>
      <c:style val="19"/>
    </mc:Fallback>
  </mc:AlternateContent>
  <c:clrMapOvr bg1="lt1" tx1="dk1" bg2="lt2" tx2="dk2" accent1="accent1" accent2="accent2" accent3="accent3" accent4="accent4" accent5="accent5" accent6="accent6" hlink="hlink" folHlink="folHlink"/>
  <c:chart>
    <c:title>
      <c:tx>
        <c:rich>
          <a:bodyPr/>
          <a:lstStyle/>
          <a:p>
            <a:pPr>
              <a:defRPr sz="1000"/>
            </a:pPr>
            <a:r>
              <a:rPr lang="pl-PL" sz="1000" b="1" i="0" baseline="0">
                <a:effectLst/>
              </a:rPr>
              <a:t>liczba skarg zakomunikowanych rządowi RP </a:t>
            </a:r>
            <a:br>
              <a:rPr lang="pl-PL" sz="1000" b="1" i="0" baseline="0">
                <a:effectLst/>
              </a:rPr>
            </a:br>
            <a:r>
              <a:rPr lang="pl-PL" sz="1000" b="1" i="0" baseline="0">
                <a:effectLst/>
              </a:rPr>
              <a:t>przez </a:t>
            </a:r>
            <a:r>
              <a:rPr lang="pl-PL" sz="1000" b="1" i="0" u="none" strike="noStrike" kern="1200" baseline="0">
                <a:solidFill>
                  <a:sysClr val="windowText" lastClr="000000"/>
                </a:solidFill>
                <a:effectLst/>
                <a:latin typeface="+mn-lt"/>
                <a:ea typeface="+mn-ea"/>
                <a:cs typeface="+mn-cs"/>
              </a:rPr>
              <a:t>ETPC</a:t>
            </a:r>
            <a:r>
              <a:rPr lang="pl-PL" sz="1000" b="1" i="0" baseline="0">
                <a:effectLst/>
              </a:rPr>
              <a:t> w danym roku</a:t>
            </a:r>
            <a:endParaRPr lang="pl-PL" sz="1000">
              <a:effectLst/>
            </a:endParaRPr>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6.0661828591069104E-2"/>
          <c:y val="0.18209336145793756"/>
          <c:w val="0.92505876524470587"/>
          <c:h val="0.58992265224141416"/>
        </c:manualLayout>
      </c:layout>
      <c:bar3DChart>
        <c:barDir val="col"/>
        <c:grouping val="clustered"/>
        <c:varyColors val="0"/>
        <c:ser>
          <c:idx val="1"/>
          <c:order val="0"/>
          <c:tx>
            <c:v>liczba zakomunikowanych skarg</c:v>
          </c:tx>
          <c:spPr>
            <a:solidFill>
              <a:srgbClr val="0070C0"/>
            </a:solidFill>
          </c:spPr>
          <c:invertIfNegative val="0"/>
          <c:dPt>
            <c:idx val="5"/>
            <c:invertIfNegative val="0"/>
            <c:bubble3D val="0"/>
            <c:extLst>
              <c:ext xmlns:c16="http://schemas.microsoft.com/office/drawing/2014/chart" uri="{C3380CC4-5D6E-409C-BE32-E72D297353CC}">
                <c16:uniqueId val="{00000000-44EA-41F9-9F55-4CB230A5B145}"/>
              </c:ext>
            </c:extLst>
          </c:dPt>
          <c:dPt>
            <c:idx val="6"/>
            <c:invertIfNegative val="0"/>
            <c:bubble3D val="0"/>
            <c:spPr>
              <a:solidFill>
                <a:schemeClr val="tx2">
                  <a:lumMod val="40000"/>
                  <a:lumOff val="60000"/>
                </a:schemeClr>
              </a:solidFill>
            </c:spPr>
            <c:extLst>
              <c:ext xmlns:c16="http://schemas.microsoft.com/office/drawing/2014/chart" uri="{C3380CC4-5D6E-409C-BE32-E72D297353CC}">
                <c16:uniqueId val="{00000002-44EA-41F9-9F55-4CB230A5B145}"/>
              </c:ext>
            </c:extLst>
          </c:dPt>
          <c:dPt>
            <c:idx val="8"/>
            <c:invertIfNegative val="0"/>
            <c:bubble3D val="0"/>
            <c:spPr>
              <a:solidFill>
                <a:schemeClr val="tx2">
                  <a:lumMod val="40000"/>
                  <a:lumOff val="60000"/>
                </a:schemeClr>
              </a:solidFill>
            </c:spPr>
            <c:extLst>
              <c:ext xmlns:c16="http://schemas.microsoft.com/office/drawing/2014/chart" uri="{C3380CC4-5D6E-409C-BE32-E72D297353CC}">
                <c16:uniqueId val="{00000004-44EA-41F9-9F55-4CB230A5B145}"/>
              </c:ext>
            </c:extLst>
          </c:dPt>
          <c:dPt>
            <c:idx val="11"/>
            <c:invertIfNegative val="0"/>
            <c:bubble3D val="0"/>
            <c:spPr>
              <a:solidFill>
                <a:schemeClr val="tx2">
                  <a:lumMod val="40000"/>
                  <a:lumOff val="60000"/>
                </a:schemeClr>
              </a:solidFill>
            </c:spPr>
            <c:extLst>
              <c:ext xmlns:c16="http://schemas.microsoft.com/office/drawing/2014/chart" uri="{C3380CC4-5D6E-409C-BE32-E72D297353CC}">
                <c16:uniqueId val="{00000006-44EA-41F9-9F55-4CB230A5B145}"/>
              </c:ext>
            </c:extLst>
          </c:dPt>
          <c:dLbls>
            <c:dLbl>
              <c:idx val="0"/>
              <c:layout>
                <c:manualLayout>
                  <c:x val="0"/>
                  <c:y val="7.12643678160919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4EA-41F9-9F55-4CB230A5B145}"/>
                </c:ext>
              </c:extLst>
            </c:dLbl>
            <c:dLbl>
              <c:idx val="1"/>
              <c:layout>
                <c:manualLayout>
                  <c:x val="0"/>
                  <c:y val="6.89655172413793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4EA-41F9-9F55-4CB230A5B145}"/>
                </c:ext>
              </c:extLst>
            </c:dLbl>
            <c:dLbl>
              <c:idx val="2"/>
              <c:layout>
                <c:manualLayout>
                  <c:x val="0"/>
                  <c:y val="6.43678160919540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4EA-41F9-9F55-4CB230A5B145}"/>
                </c:ext>
              </c:extLst>
            </c:dLbl>
            <c:dLbl>
              <c:idx val="3"/>
              <c:layout>
                <c:manualLayout>
                  <c:x val="8.4290214011718579E-17"/>
                  <c:y val="6.89655172413793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4EA-41F9-9F55-4CB230A5B145}"/>
                </c:ext>
              </c:extLst>
            </c:dLbl>
            <c:dLbl>
              <c:idx val="4"/>
              <c:layout>
                <c:manualLayout>
                  <c:x val="0"/>
                  <c:y val="7.35632183908045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4EA-41F9-9F55-4CB230A5B145}"/>
                </c:ext>
              </c:extLst>
            </c:dLbl>
            <c:dLbl>
              <c:idx val="5"/>
              <c:layout>
                <c:manualLayout>
                  <c:x val="2.0255672234225051E-3"/>
                  <c:y val="0.125749286425666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4EA-41F9-9F55-4CB230A5B145}"/>
                </c:ext>
              </c:extLst>
            </c:dLbl>
            <c:dLbl>
              <c:idx val="6"/>
              <c:layout>
                <c:manualLayout>
                  <c:x val="1.1549011641039987E-3"/>
                  <c:y val="7.35632183908045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4EA-41F9-9F55-4CB230A5B145}"/>
                </c:ext>
              </c:extLst>
            </c:dLbl>
            <c:dLbl>
              <c:idx val="7"/>
              <c:layout>
                <c:manualLayout>
                  <c:x val="2.0257488670823698E-3"/>
                  <c:y val="7.47279468602198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44EA-41F9-9F55-4CB230A5B145}"/>
                </c:ext>
              </c:extLst>
            </c:dLbl>
            <c:dLbl>
              <c:idx val="8"/>
              <c:layout>
                <c:manualLayout>
                  <c:x val="2.0257267294641955E-3"/>
                  <c:y val="8.13835198372329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4EA-41F9-9F55-4CB230A5B145}"/>
                </c:ext>
              </c:extLst>
            </c:dLbl>
            <c:dLbl>
              <c:idx val="9"/>
              <c:layout>
                <c:manualLayout>
                  <c:x val="0"/>
                  <c:y val="8.13835198372329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4EA-41F9-9F55-4CB230A5B145}"/>
                </c:ext>
              </c:extLst>
            </c:dLbl>
            <c:dLbl>
              <c:idx val="10"/>
              <c:layout>
                <c:manualLayout>
                  <c:x val="4.0492658553468322E-3"/>
                  <c:y val="8.65224625623960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44EA-41F9-9F55-4CB230A5B145}"/>
                </c:ext>
              </c:extLst>
            </c:dLbl>
            <c:dLbl>
              <c:idx val="11"/>
              <c:layout>
                <c:manualLayout>
                  <c:x val="2.0246329276734161E-3"/>
                  <c:y val="7.98668885191347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4EA-41F9-9F55-4CB230A5B145}"/>
                </c:ext>
              </c:extLst>
            </c:dLbl>
            <c:dLbl>
              <c:idx val="12"/>
              <c:layout>
                <c:manualLayout>
                  <c:x val="2.0246329276734161E-3"/>
                  <c:y val="6.98835274542429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44EA-41F9-9F55-4CB230A5B145}"/>
                </c:ext>
              </c:extLst>
            </c:dLbl>
            <c:dLbl>
              <c:idx val="13"/>
              <c:layout>
                <c:manualLayout>
                  <c:x val="2.0246329276734161E-3"/>
                  <c:y val="9.98336106489184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44EA-41F9-9F55-4CB230A5B145}"/>
                </c:ext>
              </c:extLst>
            </c:dLbl>
            <c:spPr>
              <a:noFill/>
              <a:ln>
                <a:noFill/>
              </a:ln>
              <a:effectLst/>
            </c:spPr>
            <c:txPr>
              <a:bodyPr/>
              <a:lstStyle/>
              <a:p>
                <a:pPr>
                  <a:defRPr sz="1300" b="1" i="0" baseline="0">
                    <a:solidFill>
                      <a:schemeClr val="bg1"/>
                    </a:solidFill>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'statystyki raporty wykonywanie'!$A$18:$A$31</c:f>
              <c:strCache>
                <c:ptCount val="14"/>
                <c:pt idx="0">
                  <c:v>2010</c:v>
                </c:pt>
                <c:pt idx="1">
                  <c:v>2011</c:v>
                </c:pt>
                <c:pt idx="2">
                  <c:v>2012</c:v>
                </c:pt>
                <c:pt idx="3">
                  <c:v>2013</c:v>
                </c:pt>
                <c:pt idx="4">
                  <c:v>2014</c:v>
                </c:pt>
                <c:pt idx="5">
                  <c:v>2015</c:v>
                </c:pt>
                <c:pt idx="6">
                  <c:v>2015 - pilotaż przewlekłość</c:v>
                </c:pt>
                <c:pt idx="7">
                  <c:v>2016</c:v>
                </c:pt>
                <c:pt idx="8">
                  <c:v>2017 - pilotaż przewlekłość</c:v>
                </c:pt>
                <c:pt idx="9">
                  <c:v>2017</c:v>
                </c:pt>
                <c:pt idx="10">
                  <c:v>2018</c:v>
                </c:pt>
                <c:pt idx="11">
                  <c:v>2019 - pilotaż przewlekłość</c:v>
                </c:pt>
                <c:pt idx="12">
                  <c:v>2019</c:v>
                </c:pt>
                <c:pt idx="13">
                  <c:v>2020</c:v>
                </c:pt>
              </c:strCache>
            </c:strRef>
          </c:cat>
          <c:val>
            <c:numRef>
              <c:f>'statystyki raporty wykonywanie'!$B$18:$B$31</c:f>
              <c:numCache>
                <c:formatCode>General</c:formatCode>
                <c:ptCount val="14"/>
                <c:pt idx="0">
                  <c:v>316</c:v>
                </c:pt>
                <c:pt idx="1">
                  <c:v>246</c:v>
                </c:pt>
                <c:pt idx="2">
                  <c:v>193</c:v>
                </c:pt>
                <c:pt idx="3">
                  <c:v>154</c:v>
                </c:pt>
                <c:pt idx="4">
                  <c:v>191</c:v>
                </c:pt>
                <c:pt idx="5">
                  <c:v>170</c:v>
                </c:pt>
                <c:pt idx="6">
                  <c:v>591</c:v>
                </c:pt>
                <c:pt idx="7">
                  <c:v>69</c:v>
                </c:pt>
                <c:pt idx="8">
                  <c:v>309</c:v>
                </c:pt>
                <c:pt idx="9">
                  <c:v>87</c:v>
                </c:pt>
                <c:pt idx="10">
                  <c:v>117</c:v>
                </c:pt>
                <c:pt idx="11">
                  <c:v>166</c:v>
                </c:pt>
                <c:pt idx="12">
                  <c:v>85</c:v>
                </c:pt>
                <c:pt idx="13">
                  <c:v>126</c:v>
                </c:pt>
              </c:numCache>
            </c:numRef>
          </c:val>
          <c:extLst>
            <c:ext xmlns:c16="http://schemas.microsoft.com/office/drawing/2014/chart" uri="{C3380CC4-5D6E-409C-BE32-E72D297353CC}">
              <c16:uniqueId val="{00000011-44EA-41F9-9F55-4CB230A5B145}"/>
            </c:ext>
          </c:extLst>
        </c:ser>
        <c:dLbls>
          <c:showLegendKey val="0"/>
          <c:showVal val="0"/>
          <c:showCatName val="0"/>
          <c:showSerName val="0"/>
          <c:showPercent val="0"/>
          <c:showBubbleSize val="0"/>
        </c:dLbls>
        <c:gapWidth val="55"/>
        <c:gapDepth val="55"/>
        <c:shape val="box"/>
        <c:axId val="107081728"/>
        <c:axId val="107083264"/>
        <c:axId val="0"/>
      </c:bar3DChart>
      <c:catAx>
        <c:axId val="107081728"/>
        <c:scaling>
          <c:orientation val="minMax"/>
        </c:scaling>
        <c:delete val="0"/>
        <c:axPos val="b"/>
        <c:numFmt formatCode="General" sourceLinked="1"/>
        <c:majorTickMark val="none"/>
        <c:minorTickMark val="none"/>
        <c:tickLblPos val="nextTo"/>
        <c:txPr>
          <a:bodyPr/>
          <a:lstStyle/>
          <a:p>
            <a:pPr>
              <a:defRPr sz="670" kern="1000" normalizeH="0" baseline="0"/>
            </a:pPr>
            <a:endParaRPr lang="pl-PL"/>
          </a:p>
        </c:txPr>
        <c:crossAx val="107083264"/>
        <c:crosses val="autoZero"/>
        <c:auto val="1"/>
        <c:lblAlgn val="ctr"/>
        <c:lblOffset val="100"/>
        <c:noMultiLvlLbl val="0"/>
      </c:catAx>
      <c:valAx>
        <c:axId val="107083264"/>
        <c:scaling>
          <c:orientation val="minMax"/>
        </c:scaling>
        <c:delete val="0"/>
        <c:axPos val="l"/>
        <c:majorGridlines/>
        <c:numFmt formatCode="General" sourceLinked="1"/>
        <c:majorTickMark val="none"/>
        <c:minorTickMark val="none"/>
        <c:tickLblPos val="nextTo"/>
        <c:crossAx val="107081728"/>
        <c:crosses val="autoZero"/>
        <c:crossBetween val="between"/>
      </c:valAx>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title>
      <c:tx>
        <c:rich>
          <a:bodyPr/>
          <a:lstStyle/>
          <a:p>
            <a:pPr>
              <a:defRPr sz="1000"/>
            </a:pPr>
            <a:r>
              <a:rPr lang="en-US" sz="1000" b="1" i="0" baseline="0">
                <a:effectLst/>
              </a:rPr>
              <a:t>liczba wyroków </a:t>
            </a:r>
            <a:r>
              <a:rPr lang="pl-PL" sz="1000" b="1" i="0" u="none" strike="noStrike" kern="1200" baseline="0">
                <a:solidFill>
                  <a:sysClr val="windowText" lastClr="000000"/>
                </a:solidFill>
                <a:effectLst/>
                <a:latin typeface="+mn-lt"/>
                <a:ea typeface="+mn-ea"/>
                <a:cs typeface="+mn-cs"/>
              </a:rPr>
              <a:t>ETPC</a:t>
            </a:r>
            <a:r>
              <a:rPr lang="pl-PL" sz="1000" b="1" i="0" baseline="0">
                <a:effectLst/>
              </a:rPr>
              <a:t> wobec Polski w poszczególnych latach</a:t>
            </a:r>
            <a:endParaRPr lang="pl-PL" sz="1000">
              <a:effectLst/>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1"/>
          <c:order val="0"/>
          <c:tx>
            <c:v>liczba wyroków wydanych w roku</c:v>
          </c:tx>
          <c:spPr>
            <a:solidFill>
              <a:srgbClr val="3FC1D3"/>
            </a:solidFill>
          </c:spPr>
          <c:invertIfNegative val="0"/>
          <c:dLbls>
            <c:dLbl>
              <c:idx val="0"/>
              <c:layout>
                <c:manualLayout>
                  <c:x val="0"/>
                  <c:y val="0.1030319030445454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A41-4904-8934-4A65DDF0FF72}"/>
                </c:ext>
              </c:extLst>
            </c:dLbl>
            <c:dLbl>
              <c:idx val="1"/>
              <c:layout>
                <c:manualLayout>
                  <c:x val="0"/>
                  <c:y val="0.1159108909251135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A41-4904-8934-4A65DDF0FF72}"/>
                </c:ext>
              </c:extLst>
            </c:dLbl>
            <c:dLbl>
              <c:idx val="2"/>
              <c:layout>
                <c:manualLayout>
                  <c:x val="0"/>
                  <c:y val="0.1008854050644507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A41-4904-8934-4A65DDF0FF72}"/>
                </c:ext>
              </c:extLst>
            </c:dLbl>
            <c:dLbl>
              <c:idx val="3"/>
              <c:layout>
                <c:manualLayout>
                  <c:x val="-1.3008130081300813E-3"/>
                  <c:y val="0.1116178949649241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A41-4904-8934-4A65DDF0FF72}"/>
                </c:ext>
              </c:extLst>
            </c:dLbl>
            <c:dLbl>
              <c:idx val="4"/>
              <c:layout>
                <c:manualLayout>
                  <c:x val="0"/>
                  <c:y val="0.1159108909251135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A41-4904-8934-4A65DDF0FF72}"/>
                </c:ext>
              </c:extLst>
            </c:dLbl>
            <c:dLbl>
              <c:idx val="5"/>
              <c:layout>
                <c:manualLayout>
                  <c:x val="-1.1777695715163012E-3"/>
                  <c:y val="0.1159108909251135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A41-4904-8934-4A65DDF0FF72}"/>
                </c:ext>
              </c:extLst>
            </c:dLbl>
            <c:dLbl>
              <c:idx val="6"/>
              <c:layout>
                <c:manualLayout>
                  <c:x val="1.4312294260770001E-3"/>
                  <c:y val="0.1123799166213521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A41-4904-8934-4A65DDF0FF72}"/>
                </c:ext>
              </c:extLst>
            </c:dLbl>
            <c:dLbl>
              <c:idx val="7"/>
              <c:layout>
                <c:manualLayout>
                  <c:x val="0"/>
                  <c:y val="0.1067932264504117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A41-4904-8934-4A65DDF0FF72}"/>
                </c:ext>
              </c:extLst>
            </c:dLbl>
            <c:dLbl>
              <c:idx val="8"/>
              <c:layout>
                <c:manualLayout>
                  <c:x val="-2.8578233984402211E-3"/>
                  <c:y val="9.61139038053706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A41-4904-8934-4A65DDF0FF72}"/>
                </c:ext>
              </c:extLst>
            </c:dLbl>
            <c:dLbl>
              <c:idx val="9"/>
              <c:layout>
                <c:manualLayout>
                  <c:x val="1.4289116992200583E-3"/>
                  <c:y val="0.1281518717404941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A41-4904-8934-4A65DDF0FF72}"/>
                </c:ext>
              </c:extLst>
            </c:dLbl>
            <c:spPr>
              <a:noFill/>
              <a:ln>
                <a:noFill/>
              </a:ln>
              <a:effectLst/>
            </c:spPr>
            <c:txPr>
              <a:bodyPr/>
              <a:lstStyle/>
              <a:p>
                <a:pPr>
                  <a:defRPr sz="1300" b="1" i="0" baseline="0">
                    <a:solidFill>
                      <a:schemeClr val="bg1"/>
                    </a:solidFill>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'staystyki cd.'!$A$19:$A$28</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'staystyki cd.'!$B$19:$B$28</c:f>
              <c:numCache>
                <c:formatCode>General</c:formatCode>
                <c:ptCount val="10"/>
                <c:pt idx="0">
                  <c:v>71</c:v>
                </c:pt>
                <c:pt idx="1">
                  <c:v>74</c:v>
                </c:pt>
                <c:pt idx="2">
                  <c:v>23</c:v>
                </c:pt>
                <c:pt idx="3">
                  <c:v>28</c:v>
                </c:pt>
                <c:pt idx="4">
                  <c:v>29</c:v>
                </c:pt>
                <c:pt idx="5">
                  <c:v>26</c:v>
                </c:pt>
                <c:pt idx="6">
                  <c:v>20</c:v>
                </c:pt>
                <c:pt idx="7">
                  <c:v>21</c:v>
                </c:pt>
                <c:pt idx="8">
                  <c:v>12</c:v>
                </c:pt>
                <c:pt idx="9">
                  <c:v>19</c:v>
                </c:pt>
              </c:numCache>
            </c:numRef>
          </c:val>
          <c:extLst>
            <c:ext xmlns:c16="http://schemas.microsoft.com/office/drawing/2014/chart" uri="{C3380CC4-5D6E-409C-BE32-E72D297353CC}">
              <c16:uniqueId val="{0000000A-9A41-4904-8934-4A65DDF0FF72}"/>
            </c:ext>
          </c:extLst>
        </c:ser>
        <c:dLbls>
          <c:showLegendKey val="0"/>
          <c:showVal val="0"/>
          <c:showCatName val="0"/>
          <c:showSerName val="0"/>
          <c:showPercent val="0"/>
          <c:showBubbleSize val="0"/>
        </c:dLbls>
        <c:gapWidth val="55"/>
        <c:gapDepth val="55"/>
        <c:shape val="box"/>
        <c:axId val="107116416"/>
        <c:axId val="107117952"/>
        <c:axId val="0"/>
      </c:bar3DChart>
      <c:catAx>
        <c:axId val="107116416"/>
        <c:scaling>
          <c:orientation val="minMax"/>
        </c:scaling>
        <c:delete val="0"/>
        <c:axPos val="b"/>
        <c:numFmt formatCode="General" sourceLinked="1"/>
        <c:majorTickMark val="none"/>
        <c:minorTickMark val="none"/>
        <c:tickLblPos val="nextTo"/>
        <c:txPr>
          <a:bodyPr/>
          <a:lstStyle/>
          <a:p>
            <a:pPr>
              <a:defRPr sz="1200" baseline="0"/>
            </a:pPr>
            <a:endParaRPr lang="pl-PL"/>
          </a:p>
        </c:txPr>
        <c:crossAx val="107117952"/>
        <c:crosses val="autoZero"/>
        <c:auto val="1"/>
        <c:lblAlgn val="ctr"/>
        <c:lblOffset val="100"/>
        <c:noMultiLvlLbl val="0"/>
      </c:catAx>
      <c:valAx>
        <c:axId val="107117952"/>
        <c:scaling>
          <c:orientation val="minMax"/>
        </c:scaling>
        <c:delete val="0"/>
        <c:axPos val="l"/>
        <c:majorGridlines/>
        <c:numFmt formatCode="General" sourceLinked="1"/>
        <c:majorTickMark val="none"/>
        <c:minorTickMark val="none"/>
        <c:tickLblPos val="nextTo"/>
        <c:txPr>
          <a:bodyPr/>
          <a:lstStyle/>
          <a:p>
            <a:pPr>
              <a:defRPr sz="1200" baseline="0"/>
            </a:pPr>
            <a:endParaRPr lang="pl-PL"/>
          </a:p>
        </c:txPr>
        <c:crossAx val="107116416"/>
        <c:crosses val="autoZero"/>
        <c:crossBetween val="between"/>
      </c:valAx>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title>
      <c:tx>
        <c:rich>
          <a:bodyPr/>
          <a:lstStyle/>
          <a:p>
            <a:pPr algn="ctr">
              <a:defRPr/>
            </a:pPr>
            <a:r>
              <a:rPr lang="pl-PL" sz="1000" b="1" i="0" baseline="0">
                <a:effectLst/>
              </a:rPr>
              <a:t>liczba decyzji </a:t>
            </a:r>
            <a:r>
              <a:rPr lang="pl-PL" sz="1000" b="1" i="0" u="none" strike="noStrike" kern="1200" baseline="0">
                <a:solidFill>
                  <a:sysClr val="windowText" lastClr="000000"/>
                </a:solidFill>
                <a:effectLst/>
                <a:latin typeface="+mn-lt"/>
                <a:ea typeface="+mn-ea"/>
                <a:cs typeface="+mn-cs"/>
              </a:rPr>
              <a:t>ETPC</a:t>
            </a:r>
            <a:r>
              <a:rPr lang="pl-PL" sz="1000" b="1" i="0" baseline="0">
                <a:effectLst/>
              </a:rPr>
              <a:t> zatwierdzających ugody i deklaracje jednostronne </a:t>
            </a:r>
            <a:br>
              <a:rPr lang="pl-PL" sz="1000" b="1" i="0" baseline="0">
                <a:effectLst/>
              </a:rPr>
            </a:br>
            <a:r>
              <a:rPr lang="pl-PL" sz="1000" b="1" i="0" baseline="0">
                <a:effectLst/>
              </a:rPr>
              <a:t>w sprawach polskich w danym roku *</a:t>
            </a:r>
            <a:endParaRPr lang="pl-PL" sz="1000">
              <a:effectLst/>
            </a:endParaRPr>
          </a:p>
        </c:rich>
      </c:tx>
      <c:layout>
        <c:manualLayout>
          <c:xMode val="edge"/>
          <c:yMode val="edge"/>
          <c:x val="0.20406841505922871"/>
          <c:y val="2.0846651594293289E-2"/>
        </c:manualLayout>
      </c:layout>
      <c:overlay val="0"/>
    </c:title>
    <c:autoTitleDeleted val="0"/>
    <c:view3D>
      <c:rotX val="0"/>
      <c:rotY val="0"/>
      <c:rAngAx val="0"/>
      <c:perspective val="0"/>
    </c:view3D>
    <c:floor>
      <c:thickness val="0"/>
    </c:floor>
    <c:sideWall>
      <c:thickness val="0"/>
    </c:sideWall>
    <c:backWall>
      <c:thickness val="0"/>
    </c:backWall>
    <c:plotArea>
      <c:layout>
        <c:manualLayout>
          <c:layoutTarget val="inner"/>
          <c:xMode val="edge"/>
          <c:yMode val="edge"/>
          <c:x val="7.9085947589884603E-2"/>
          <c:y val="0.12173725297205497"/>
          <c:w val="0.89666361149300777"/>
          <c:h val="0.77174690250115796"/>
        </c:manualLayout>
      </c:layout>
      <c:bar3DChart>
        <c:barDir val="col"/>
        <c:grouping val="stacked"/>
        <c:varyColors val="0"/>
        <c:ser>
          <c:idx val="0"/>
          <c:order val="0"/>
          <c:tx>
            <c:strRef>
              <c:f>'statystyki raporty wykonywanie'!$E$1</c:f>
              <c:strCache>
                <c:ptCount val="1"/>
                <c:pt idx="0">
                  <c:v>liczba decyzji w sprawie ugód</c:v>
                </c:pt>
              </c:strCache>
            </c:strRef>
          </c:tx>
          <c:invertIfNegative val="0"/>
          <c:dLbls>
            <c:spPr>
              <a:noFill/>
              <a:ln>
                <a:noFill/>
              </a:ln>
              <a:effectLst/>
            </c:spPr>
            <c:txPr>
              <a:bodyPr/>
              <a:lstStyle/>
              <a:p>
                <a:pPr>
                  <a:defRPr sz="1200" b="1" i="0" baseline="0">
                    <a:solidFill>
                      <a:schemeClr val="bg1"/>
                    </a:solidFill>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'statystyki raporty wykonywanie'!$D$19:$D$28</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'statystyki raporty wykonywanie'!$E$19:$E$28</c:f>
              <c:numCache>
                <c:formatCode>General</c:formatCode>
                <c:ptCount val="10"/>
                <c:pt idx="0">
                  <c:v>153</c:v>
                </c:pt>
                <c:pt idx="1">
                  <c:v>108</c:v>
                </c:pt>
                <c:pt idx="2">
                  <c:v>93</c:v>
                </c:pt>
                <c:pt idx="3">
                  <c:v>81</c:v>
                </c:pt>
                <c:pt idx="4">
                  <c:v>110</c:v>
                </c:pt>
                <c:pt idx="5">
                  <c:v>27</c:v>
                </c:pt>
                <c:pt idx="6">
                  <c:v>19</c:v>
                </c:pt>
                <c:pt idx="7">
                  <c:v>28</c:v>
                </c:pt>
                <c:pt idx="8">
                  <c:v>22</c:v>
                </c:pt>
                <c:pt idx="9">
                  <c:v>8</c:v>
                </c:pt>
              </c:numCache>
            </c:numRef>
          </c:val>
          <c:extLst>
            <c:ext xmlns:c16="http://schemas.microsoft.com/office/drawing/2014/chart" uri="{C3380CC4-5D6E-409C-BE32-E72D297353CC}">
              <c16:uniqueId val="{00000000-E875-4E8F-9DB6-06E103EBBE53}"/>
            </c:ext>
          </c:extLst>
        </c:ser>
        <c:ser>
          <c:idx val="1"/>
          <c:order val="1"/>
          <c:tx>
            <c:strRef>
              <c:f>'statystyki raporty wykonywanie'!$F$1</c:f>
              <c:strCache>
                <c:ptCount val="1"/>
                <c:pt idx="0">
                  <c:v>liczba decyzji ws. deklaracji jednostronnych</c:v>
                </c:pt>
              </c:strCache>
            </c:strRef>
          </c:tx>
          <c:invertIfNegative val="0"/>
          <c:dLbls>
            <c:spPr>
              <a:noFill/>
              <a:ln>
                <a:noFill/>
              </a:ln>
              <a:effectLst/>
            </c:spPr>
            <c:txPr>
              <a:bodyPr/>
              <a:lstStyle/>
              <a:p>
                <a:pPr>
                  <a:defRPr sz="1200" b="1" i="0" baseline="0">
                    <a:solidFill>
                      <a:schemeClr val="bg1"/>
                    </a:solidFill>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'statystyki raporty wykonywanie'!$D$19:$D$28</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'statystyki raporty wykonywanie'!$F$19:$F$28</c:f>
              <c:numCache>
                <c:formatCode>General</c:formatCode>
                <c:ptCount val="10"/>
                <c:pt idx="0">
                  <c:v>30</c:v>
                </c:pt>
                <c:pt idx="1">
                  <c:v>38</c:v>
                </c:pt>
                <c:pt idx="2">
                  <c:v>38</c:v>
                </c:pt>
                <c:pt idx="3">
                  <c:v>23</c:v>
                </c:pt>
                <c:pt idx="4">
                  <c:v>32</c:v>
                </c:pt>
                <c:pt idx="5">
                  <c:v>12</c:v>
                </c:pt>
                <c:pt idx="6">
                  <c:v>10</c:v>
                </c:pt>
                <c:pt idx="7">
                  <c:v>17</c:v>
                </c:pt>
                <c:pt idx="8">
                  <c:v>13</c:v>
                </c:pt>
                <c:pt idx="9">
                  <c:v>10</c:v>
                </c:pt>
              </c:numCache>
            </c:numRef>
          </c:val>
          <c:extLst>
            <c:ext xmlns:c16="http://schemas.microsoft.com/office/drawing/2014/chart" uri="{C3380CC4-5D6E-409C-BE32-E72D297353CC}">
              <c16:uniqueId val="{00000001-E875-4E8F-9DB6-06E103EBBE53}"/>
            </c:ext>
          </c:extLst>
        </c:ser>
        <c:dLbls>
          <c:showLegendKey val="0"/>
          <c:showVal val="0"/>
          <c:showCatName val="0"/>
          <c:showSerName val="0"/>
          <c:showPercent val="0"/>
          <c:showBubbleSize val="0"/>
        </c:dLbls>
        <c:gapWidth val="75"/>
        <c:shape val="box"/>
        <c:axId val="107451520"/>
        <c:axId val="107453056"/>
        <c:axId val="0"/>
      </c:bar3DChart>
      <c:catAx>
        <c:axId val="107451520"/>
        <c:scaling>
          <c:orientation val="minMax"/>
        </c:scaling>
        <c:delete val="0"/>
        <c:axPos val="b"/>
        <c:numFmt formatCode="General" sourceLinked="1"/>
        <c:majorTickMark val="none"/>
        <c:minorTickMark val="none"/>
        <c:tickLblPos val="nextTo"/>
        <c:txPr>
          <a:bodyPr/>
          <a:lstStyle/>
          <a:p>
            <a:pPr>
              <a:defRPr sz="1200" baseline="0"/>
            </a:pPr>
            <a:endParaRPr lang="pl-PL"/>
          </a:p>
        </c:txPr>
        <c:crossAx val="107453056"/>
        <c:crosses val="autoZero"/>
        <c:auto val="1"/>
        <c:lblAlgn val="ctr"/>
        <c:lblOffset val="100"/>
        <c:noMultiLvlLbl val="0"/>
      </c:catAx>
      <c:valAx>
        <c:axId val="107453056"/>
        <c:scaling>
          <c:orientation val="minMax"/>
        </c:scaling>
        <c:delete val="0"/>
        <c:axPos val="l"/>
        <c:majorGridlines/>
        <c:numFmt formatCode="General" sourceLinked="1"/>
        <c:majorTickMark val="none"/>
        <c:minorTickMark val="none"/>
        <c:tickLblPos val="nextTo"/>
        <c:txPr>
          <a:bodyPr/>
          <a:lstStyle/>
          <a:p>
            <a:pPr>
              <a:defRPr sz="1200" baseline="0"/>
            </a:pPr>
            <a:endParaRPr lang="pl-PL"/>
          </a:p>
        </c:txPr>
        <c:crossAx val="107451520"/>
        <c:crosses val="autoZero"/>
        <c:crossBetween val="between"/>
      </c:valAx>
      <c:spPr>
        <a:noFill/>
        <a:ln w="25400">
          <a:noFill/>
        </a:ln>
      </c:spPr>
    </c:plotArea>
    <c:legend>
      <c:legendPos val="b"/>
      <c:layout>
        <c:manualLayout>
          <c:xMode val="edge"/>
          <c:yMode val="edge"/>
          <c:x val="8.0997861378438812E-2"/>
          <c:y val="0.94459891732283452"/>
          <c:w val="0.83800427724312243"/>
          <c:h val="5.5401082677165356E-2"/>
        </c:manualLayout>
      </c:layout>
      <c:overlay val="1"/>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9"/>
    </mc:Choice>
    <mc:Fallback>
      <c:style val="19"/>
    </mc:Fallback>
  </mc:AlternateContent>
  <c:clrMapOvr bg1="lt1" tx1="dk1" bg2="lt2" tx2="dk2" accent1="accent1" accent2="accent2" accent3="accent3" accent4="accent4" accent5="accent5" accent6="accent6" hlink="hlink" folHlink="folHlink"/>
  <c:chart>
    <c:title>
      <c:tx>
        <c:rich>
          <a:bodyPr/>
          <a:lstStyle/>
          <a:p>
            <a:pPr algn="ctr">
              <a:defRPr sz="1000"/>
            </a:pPr>
            <a:r>
              <a:rPr lang="pl-PL" sz="1000"/>
              <a:t>liczba decyzji </a:t>
            </a:r>
            <a:r>
              <a:rPr lang="pl-PL" sz="1000" b="1" i="0" u="none" strike="noStrike" kern="1200" baseline="0">
                <a:solidFill>
                  <a:sysClr val="windowText" lastClr="000000"/>
                </a:solidFill>
                <a:latin typeface="+mn-lt"/>
                <a:ea typeface="+mn-ea"/>
                <a:cs typeface="+mn-cs"/>
              </a:rPr>
              <a:t>ETPC</a:t>
            </a:r>
            <a:r>
              <a:rPr lang="pl-PL" sz="1000"/>
              <a:t> o niedopuszczalności w sprawach polskich</a:t>
            </a:r>
          </a:p>
        </c:rich>
      </c:tx>
      <c:overlay val="0"/>
      <c:spPr>
        <a:solidFill>
          <a:schemeClr val="bg1"/>
        </a:solidFill>
      </c:spPr>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1"/>
          <c:order val="0"/>
          <c:tx>
            <c:strRef>
              <c:f>'statystyki raporty wykonywanie'!$H$1</c:f>
              <c:strCache>
                <c:ptCount val="1"/>
                <c:pt idx="0">
                  <c:v>liczba decyzji o niedopuszczalności</c:v>
                </c:pt>
              </c:strCache>
            </c:strRef>
          </c:tx>
          <c:spPr>
            <a:solidFill>
              <a:srgbClr val="0070C0"/>
            </a:solidFill>
          </c:spPr>
          <c:invertIfNegative val="0"/>
          <c:dLbls>
            <c:dLbl>
              <c:idx val="0"/>
              <c:layout>
                <c:manualLayout>
                  <c:x val="0"/>
                  <c:y val="0.1126436781609195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4F5-4B02-91C9-8AB312297949}"/>
                </c:ext>
              </c:extLst>
            </c:dLbl>
            <c:dLbl>
              <c:idx val="1"/>
              <c:layout>
                <c:manualLayout>
                  <c:x val="0"/>
                  <c:y val="0.1218390804597701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4F5-4B02-91C9-8AB312297949}"/>
                </c:ext>
              </c:extLst>
            </c:dLbl>
            <c:dLbl>
              <c:idx val="2"/>
              <c:layout>
                <c:manualLayout>
                  <c:x val="0"/>
                  <c:y val="0.108045795999637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4F5-4B02-91C9-8AB312297949}"/>
                </c:ext>
              </c:extLst>
            </c:dLbl>
            <c:dLbl>
              <c:idx val="3"/>
              <c:layout>
                <c:manualLayout>
                  <c:x val="0"/>
                  <c:y val="0.1172413793103448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4F5-4B02-91C9-8AB312297949}"/>
                </c:ext>
              </c:extLst>
            </c:dLbl>
            <c:dLbl>
              <c:idx val="4"/>
              <c:layout>
                <c:manualLayout>
                  <c:x val="0"/>
                  <c:y val="0.1218390804597701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4F5-4B02-91C9-8AB312297949}"/>
                </c:ext>
              </c:extLst>
            </c:dLbl>
            <c:dLbl>
              <c:idx val="5"/>
              <c:layout>
                <c:manualLayout>
                  <c:x val="1.2318115029661923E-3"/>
                  <c:y val="0.10395480225988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4F5-4B02-91C9-8AB312297949}"/>
                </c:ext>
              </c:extLst>
            </c:dLbl>
            <c:dLbl>
              <c:idx val="6"/>
              <c:layout>
                <c:manualLayout>
                  <c:x val="2.9252596167909902E-3"/>
                  <c:y val="0.1352339181286549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4F5-4B02-91C9-8AB312297949}"/>
                </c:ext>
              </c:extLst>
            </c:dLbl>
            <c:dLbl>
              <c:idx val="7"/>
              <c:layout>
                <c:manualLayout>
                  <c:x val="1.4626238720313915E-3"/>
                  <c:y val="0.1102471357564013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4F5-4B02-91C9-8AB312297949}"/>
                </c:ext>
              </c:extLst>
            </c:dLbl>
            <c:dLbl>
              <c:idx val="8"/>
              <c:layout>
                <c:manualLayout>
                  <c:x val="1.4600943755151328E-3"/>
                  <c:y val="0.114832525069460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4F5-4B02-91C9-8AB312297949}"/>
                </c:ext>
              </c:extLst>
            </c:dLbl>
            <c:dLbl>
              <c:idx val="9"/>
              <c:layout>
                <c:manualLayout>
                  <c:x val="1.4602093526294058E-3"/>
                  <c:y val="0.114832525069460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4F5-4B02-91C9-8AB312297949}"/>
                </c:ext>
              </c:extLst>
            </c:dLbl>
            <c:spPr>
              <a:noFill/>
              <a:ln>
                <a:noFill/>
              </a:ln>
              <a:effectLst/>
            </c:spPr>
            <c:txPr>
              <a:bodyPr/>
              <a:lstStyle/>
              <a:p>
                <a:pPr>
                  <a:defRPr sz="1300" b="1" i="0" baseline="0">
                    <a:solidFill>
                      <a:schemeClr val="bg1"/>
                    </a:solidFill>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'statystyki raporty wykonywanie'!$D$19:$D$28</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'statystyki raporty wykonywanie'!$H$19:$H$28</c:f>
              <c:numCache>
                <c:formatCode>General</c:formatCode>
                <c:ptCount val="10"/>
                <c:pt idx="0">
                  <c:v>16</c:v>
                </c:pt>
                <c:pt idx="1">
                  <c:v>26</c:v>
                </c:pt>
                <c:pt idx="2">
                  <c:v>36</c:v>
                </c:pt>
                <c:pt idx="3">
                  <c:v>31</c:v>
                </c:pt>
                <c:pt idx="4">
                  <c:v>32</c:v>
                </c:pt>
                <c:pt idx="5">
                  <c:v>25</c:v>
                </c:pt>
                <c:pt idx="6">
                  <c:v>24</c:v>
                </c:pt>
                <c:pt idx="7">
                  <c:v>35</c:v>
                </c:pt>
                <c:pt idx="8">
                  <c:v>31</c:v>
                </c:pt>
                <c:pt idx="9">
                  <c:v>25</c:v>
                </c:pt>
              </c:numCache>
            </c:numRef>
          </c:val>
          <c:extLst>
            <c:ext xmlns:c16="http://schemas.microsoft.com/office/drawing/2014/chart" uri="{C3380CC4-5D6E-409C-BE32-E72D297353CC}">
              <c16:uniqueId val="{0000000A-A4F5-4B02-91C9-8AB312297949}"/>
            </c:ext>
          </c:extLst>
        </c:ser>
        <c:dLbls>
          <c:showLegendKey val="0"/>
          <c:showVal val="0"/>
          <c:showCatName val="0"/>
          <c:showSerName val="0"/>
          <c:showPercent val="0"/>
          <c:showBubbleSize val="0"/>
        </c:dLbls>
        <c:gapWidth val="55"/>
        <c:gapDepth val="55"/>
        <c:shape val="box"/>
        <c:axId val="107479040"/>
        <c:axId val="107480576"/>
        <c:axId val="0"/>
      </c:bar3DChart>
      <c:catAx>
        <c:axId val="107479040"/>
        <c:scaling>
          <c:orientation val="minMax"/>
        </c:scaling>
        <c:delete val="0"/>
        <c:axPos val="b"/>
        <c:numFmt formatCode="General" sourceLinked="1"/>
        <c:majorTickMark val="none"/>
        <c:minorTickMark val="none"/>
        <c:tickLblPos val="nextTo"/>
        <c:crossAx val="107480576"/>
        <c:crosses val="autoZero"/>
        <c:auto val="1"/>
        <c:lblAlgn val="ctr"/>
        <c:lblOffset val="100"/>
        <c:noMultiLvlLbl val="0"/>
      </c:catAx>
      <c:valAx>
        <c:axId val="107480576"/>
        <c:scaling>
          <c:orientation val="minMax"/>
        </c:scaling>
        <c:delete val="0"/>
        <c:axPos val="l"/>
        <c:majorGridlines/>
        <c:numFmt formatCode="General" sourceLinked="1"/>
        <c:majorTickMark val="none"/>
        <c:minorTickMark val="none"/>
        <c:tickLblPos val="nextTo"/>
        <c:crossAx val="107479040"/>
        <c:crosses val="autoZero"/>
        <c:crossBetween val="between"/>
      </c:valAx>
    </c:plotArea>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9"/>
    </mc:Choice>
    <mc:Fallback>
      <c:style val="19"/>
    </mc:Fallback>
  </mc:AlternateContent>
  <c:clrMapOvr bg1="lt1" tx1="dk1" bg2="lt2" tx2="dk2" accent1="accent1" accent2="accent2" accent3="accent3" accent4="accent4" accent5="accent5" accent6="accent6" hlink="hlink" folHlink="folHlink"/>
  <c:chart>
    <c:title>
      <c:tx>
        <c:rich>
          <a:bodyPr/>
          <a:lstStyle/>
          <a:p>
            <a:pPr algn="ctr">
              <a:defRPr sz="1000"/>
            </a:pPr>
            <a:r>
              <a:rPr lang="pl-PL" sz="1000"/>
              <a:t>liczba całkowicie wygranych spraw  - </a:t>
            </a:r>
            <a:r>
              <a:rPr lang="pl-PL" sz="1000" baseline="0"/>
              <a:t> orzeczenia </a:t>
            </a:r>
            <a:r>
              <a:rPr lang="pl-PL" sz="1000"/>
              <a:t>merytoryczne ETPC</a:t>
            </a:r>
          </a:p>
          <a:p>
            <a:pPr algn="ctr">
              <a:defRPr sz="1000"/>
            </a:pPr>
            <a:r>
              <a:rPr lang="pl-PL" sz="1000"/>
              <a:t>(wyroki i decyzje o niedopuszczalności)</a:t>
            </a:r>
          </a:p>
          <a:p>
            <a:pPr algn="ctr">
              <a:defRPr sz="1000"/>
            </a:pPr>
            <a:endParaRPr lang="pl-PL" sz="1000"/>
          </a:p>
        </c:rich>
      </c:tx>
      <c:layout>
        <c:manualLayout>
          <c:xMode val="edge"/>
          <c:yMode val="edge"/>
          <c:x val="0.22119995417239513"/>
          <c:y val="3.6561327485071071E-2"/>
        </c:manualLayout>
      </c:layout>
      <c:overlay val="0"/>
      <c:spPr>
        <a:noFill/>
      </c:spPr>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1"/>
          <c:order val="0"/>
          <c:tx>
            <c:strRef>
              <c:f>'statystyki raporty wykonywanie'!$I$1</c:f>
              <c:strCache>
                <c:ptCount val="1"/>
                <c:pt idx="0">
                  <c:v>liczba całkowicie wygranych spraw (wyroki i decyzje o niedopuszczalności)</c:v>
                </c:pt>
              </c:strCache>
            </c:strRef>
          </c:tx>
          <c:spPr>
            <a:solidFill>
              <a:srgbClr val="A50021"/>
            </a:solidFill>
          </c:spPr>
          <c:invertIfNegative val="0"/>
          <c:dPt>
            <c:idx val="0"/>
            <c:invertIfNegative val="0"/>
            <c:bubble3D val="0"/>
            <c:spPr>
              <a:solidFill>
                <a:srgbClr val="FE6A6A"/>
              </a:solidFill>
            </c:spPr>
            <c:extLst>
              <c:ext xmlns:c16="http://schemas.microsoft.com/office/drawing/2014/chart" uri="{C3380CC4-5D6E-409C-BE32-E72D297353CC}">
                <c16:uniqueId val="{00000001-F149-4C1C-A029-7D405C1FEC4A}"/>
              </c:ext>
            </c:extLst>
          </c:dPt>
          <c:dPt>
            <c:idx val="1"/>
            <c:invertIfNegative val="0"/>
            <c:bubble3D val="0"/>
            <c:spPr>
              <a:solidFill>
                <a:srgbClr val="FE6A6A"/>
              </a:solidFill>
            </c:spPr>
            <c:extLst>
              <c:ext xmlns:c16="http://schemas.microsoft.com/office/drawing/2014/chart" uri="{C3380CC4-5D6E-409C-BE32-E72D297353CC}">
                <c16:uniqueId val="{00000003-F149-4C1C-A029-7D405C1FEC4A}"/>
              </c:ext>
            </c:extLst>
          </c:dPt>
          <c:dPt>
            <c:idx val="2"/>
            <c:invertIfNegative val="0"/>
            <c:bubble3D val="0"/>
            <c:spPr>
              <a:solidFill>
                <a:srgbClr val="FE6A6A"/>
              </a:solidFill>
            </c:spPr>
            <c:extLst>
              <c:ext xmlns:c16="http://schemas.microsoft.com/office/drawing/2014/chart" uri="{C3380CC4-5D6E-409C-BE32-E72D297353CC}">
                <c16:uniqueId val="{00000005-F149-4C1C-A029-7D405C1FEC4A}"/>
              </c:ext>
            </c:extLst>
          </c:dPt>
          <c:dPt>
            <c:idx val="3"/>
            <c:invertIfNegative val="0"/>
            <c:bubble3D val="0"/>
            <c:spPr>
              <a:solidFill>
                <a:srgbClr val="FE6A6A"/>
              </a:solidFill>
            </c:spPr>
            <c:extLst>
              <c:ext xmlns:c16="http://schemas.microsoft.com/office/drawing/2014/chart" uri="{C3380CC4-5D6E-409C-BE32-E72D297353CC}">
                <c16:uniqueId val="{00000007-F149-4C1C-A029-7D405C1FEC4A}"/>
              </c:ext>
            </c:extLst>
          </c:dPt>
          <c:dPt>
            <c:idx val="4"/>
            <c:invertIfNegative val="0"/>
            <c:bubble3D val="0"/>
            <c:spPr>
              <a:solidFill>
                <a:srgbClr val="FE6A6A"/>
              </a:solidFill>
            </c:spPr>
            <c:extLst>
              <c:ext xmlns:c16="http://schemas.microsoft.com/office/drawing/2014/chart" uri="{C3380CC4-5D6E-409C-BE32-E72D297353CC}">
                <c16:uniqueId val="{00000009-F149-4C1C-A029-7D405C1FEC4A}"/>
              </c:ext>
            </c:extLst>
          </c:dPt>
          <c:dPt>
            <c:idx val="5"/>
            <c:invertIfNegative val="0"/>
            <c:bubble3D val="0"/>
            <c:spPr>
              <a:solidFill>
                <a:srgbClr val="FE6A6A"/>
              </a:solidFill>
            </c:spPr>
            <c:extLst>
              <c:ext xmlns:c16="http://schemas.microsoft.com/office/drawing/2014/chart" uri="{C3380CC4-5D6E-409C-BE32-E72D297353CC}">
                <c16:uniqueId val="{0000000B-F149-4C1C-A029-7D405C1FEC4A}"/>
              </c:ext>
            </c:extLst>
          </c:dPt>
          <c:dPt>
            <c:idx val="6"/>
            <c:invertIfNegative val="0"/>
            <c:bubble3D val="0"/>
            <c:spPr>
              <a:solidFill>
                <a:srgbClr val="FE6A6A"/>
              </a:solidFill>
            </c:spPr>
            <c:extLst>
              <c:ext xmlns:c16="http://schemas.microsoft.com/office/drawing/2014/chart" uri="{C3380CC4-5D6E-409C-BE32-E72D297353CC}">
                <c16:uniqueId val="{0000000D-F149-4C1C-A029-7D405C1FEC4A}"/>
              </c:ext>
            </c:extLst>
          </c:dPt>
          <c:dPt>
            <c:idx val="7"/>
            <c:invertIfNegative val="0"/>
            <c:bubble3D val="0"/>
            <c:spPr>
              <a:solidFill>
                <a:srgbClr val="FE6A6A"/>
              </a:solidFill>
            </c:spPr>
            <c:extLst>
              <c:ext xmlns:c16="http://schemas.microsoft.com/office/drawing/2014/chart" uri="{C3380CC4-5D6E-409C-BE32-E72D297353CC}">
                <c16:uniqueId val="{0000000F-F149-4C1C-A029-7D405C1FEC4A}"/>
              </c:ext>
            </c:extLst>
          </c:dPt>
          <c:dPt>
            <c:idx val="8"/>
            <c:invertIfNegative val="0"/>
            <c:bubble3D val="0"/>
            <c:spPr>
              <a:solidFill>
                <a:srgbClr val="FE6A6A"/>
              </a:solidFill>
            </c:spPr>
            <c:extLst>
              <c:ext xmlns:c16="http://schemas.microsoft.com/office/drawing/2014/chart" uri="{C3380CC4-5D6E-409C-BE32-E72D297353CC}">
                <c16:uniqueId val="{00000011-F149-4C1C-A029-7D405C1FEC4A}"/>
              </c:ext>
            </c:extLst>
          </c:dPt>
          <c:dPt>
            <c:idx val="9"/>
            <c:invertIfNegative val="0"/>
            <c:bubble3D val="0"/>
            <c:spPr>
              <a:solidFill>
                <a:srgbClr val="FE6A6A"/>
              </a:solidFill>
            </c:spPr>
            <c:extLst>
              <c:ext xmlns:c16="http://schemas.microsoft.com/office/drawing/2014/chart" uri="{C3380CC4-5D6E-409C-BE32-E72D297353CC}">
                <c16:uniqueId val="{00000013-F149-4C1C-A029-7D405C1FEC4A}"/>
              </c:ext>
            </c:extLst>
          </c:dPt>
          <c:dLbls>
            <c:dLbl>
              <c:idx val="0"/>
              <c:layout>
                <c:manualLayout>
                  <c:x val="0"/>
                  <c:y val="0.1126436781609195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149-4C1C-A029-7D405C1FEC4A}"/>
                </c:ext>
              </c:extLst>
            </c:dLbl>
            <c:dLbl>
              <c:idx val="1"/>
              <c:layout>
                <c:manualLayout>
                  <c:x val="0"/>
                  <c:y val="0.1218390804597701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149-4C1C-A029-7D405C1FEC4A}"/>
                </c:ext>
              </c:extLst>
            </c:dLbl>
            <c:dLbl>
              <c:idx val="2"/>
              <c:layout>
                <c:manualLayout>
                  <c:x val="0"/>
                  <c:y val="0.108045795999637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149-4C1C-A029-7D405C1FEC4A}"/>
                </c:ext>
              </c:extLst>
            </c:dLbl>
            <c:dLbl>
              <c:idx val="3"/>
              <c:layout>
                <c:manualLayout>
                  <c:x val="0"/>
                  <c:y val="0.1172413793103448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149-4C1C-A029-7D405C1FEC4A}"/>
                </c:ext>
              </c:extLst>
            </c:dLbl>
            <c:dLbl>
              <c:idx val="4"/>
              <c:layout>
                <c:manualLayout>
                  <c:x val="0"/>
                  <c:y val="0.1218390804597701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149-4C1C-A029-7D405C1FEC4A}"/>
                </c:ext>
              </c:extLst>
            </c:dLbl>
            <c:dLbl>
              <c:idx val="5"/>
              <c:layout>
                <c:manualLayout>
                  <c:x val="0"/>
                  <c:y val="9.46626384692849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149-4C1C-A029-7D405C1FEC4A}"/>
                </c:ext>
              </c:extLst>
            </c:dLbl>
            <c:dLbl>
              <c:idx val="6"/>
              <c:layout>
                <c:manualLayout>
                  <c:x val="0"/>
                  <c:y val="0.1046622003136120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F149-4C1C-A029-7D405C1FEC4A}"/>
                </c:ext>
              </c:extLst>
            </c:dLbl>
            <c:dLbl>
              <c:idx val="7"/>
              <c:layout>
                <c:manualLayout>
                  <c:x val="2.9397358774625494E-3"/>
                  <c:y val="0.1556823951650686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F149-4C1C-A029-7D405C1FEC4A}"/>
                </c:ext>
              </c:extLst>
            </c:dLbl>
            <c:dLbl>
              <c:idx val="8"/>
              <c:layout>
                <c:manualLayout>
                  <c:x val="1.4698679387312747E-3"/>
                  <c:y val="0.1743642825848769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F149-4C1C-A029-7D405C1FEC4A}"/>
                </c:ext>
              </c:extLst>
            </c:dLbl>
            <c:dLbl>
              <c:idx val="9"/>
              <c:layout>
                <c:manualLayout>
                  <c:x val="1.0778907031842184E-16"/>
                  <c:y val="0.1370004741569739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F149-4C1C-A029-7D405C1FEC4A}"/>
                </c:ext>
              </c:extLst>
            </c:dLbl>
            <c:spPr>
              <a:noFill/>
              <a:ln>
                <a:noFill/>
              </a:ln>
              <a:effectLst/>
            </c:spPr>
            <c:txPr>
              <a:bodyPr/>
              <a:lstStyle/>
              <a:p>
                <a:pPr>
                  <a:defRPr sz="1300" b="1" i="0" baseline="0">
                    <a:solidFill>
                      <a:schemeClr val="bg1"/>
                    </a:solidFill>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'statystyki raporty wykonywanie'!$D$19:$D$28</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'statystyki raporty wykonywanie'!$I$19:$I$28</c:f>
              <c:numCache>
                <c:formatCode>General</c:formatCode>
                <c:ptCount val="10"/>
                <c:pt idx="0">
                  <c:v>32</c:v>
                </c:pt>
                <c:pt idx="1">
                  <c:v>42</c:v>
                </c:pt>
                <c:pt idx="2">
                  <c:v>44</c:v>
                </c:pt>
                <c:pt idx="3">
                  <c:v>37</c:v>
                </c:pt>
                <c:pt idx="4">
                  <c:v>41</c:v>
                </c:pt>
                <c:pt idx="5">
                  <c:v>32</c:v>
                </c:pt>
                <c:pt idx="6">
                  <c:v>29</c:v>
                </c:pt>
                <c:pt idx="7">
                  <c:v>36</c:v>
                </c:pt>
                <c:pt idx="8">
                  <c:v>32</c:v>
                </c:pt>
                <c:pt idx="9">
                  <c:v>25</c:v>
                </c:pt>
              </c:numCache>
            </c:numRef>
          </c:val>
          <c:extLst>
            <c:ext xmlns:c16="http://schemas.microsoft.com/office/drawing/2014/chart" uri="{C3380CC4-5D6E-409C-BE32-E72D297353CC}">
              <c16:uniqueId val="{00000014-F149-4C1C-A029-7D405C1FEC4A}"/>
            </c:ext>
          </c:extLst>
        </c:ser>
        <c:dLbls>
          <c:showLegendKey val="0"/>
          <c:showVal val="0"/>
          <c:showCatName val="0"/>
          <c:showSerName val="0"/>
          <c:showPercent val="0"/>
          <c:showBubbleSize val="0"/>
        </c:dLbls>
        <c:gapWidth val="55"/>
        <c:gapDepth val="55"/>
        <c:shape val="box"/>
        <c:axId val="108070784"/>
        <c:axId val="108072320"/>
        <c:axId val="0"/>
      </c:bar3DChart>
      <c:catAx>
        <c:axId val="108070784"/>
        <c:scaling>
          <c:orientation val="minMax"/>
        </c:scaling>
        <c:delete val="0"/>
        <c:axPos val="b"/>
        <c:numFmt formatCode="General" sourceLinked="1"/>
        <c:majorTickMark val="none"/>
        <c:minorTickMark val="none"/>
        <c:tickLblPos val="nextTo"/>
        <c:txPr>
          <a:bodyPr/>
          <a:lstStyle/>
          <a:p>
            <a:pPr>
              <a:defRPr sz="1200" baseline="0"/>
            </a:pPr>
            <a:endParaRPr lang="pl-PL"/>
          </a:p>
        </c:txPr>
        <c:crossAx val="108072320"/>
        <c:crosses val="autoZero"/>
        <c:auto val="1"/>
        <c:lblAlgn val="ctr"/>
        <c:lblOffset val="100"/>
        <c:noMultiLvlLbl val="0"/>
      </c:catAx>
      <c:valAx>
        <c:axId val="108072320"/>
        <c:scaling>
          <c:orientation val="minMax"/>
        </c:scaling>
        <c:delete val="0"/>
        <c:axPos val="l"/>
        <c:majorGridlines/>
        <c:numFmt formatCode="General" sourceLinked="1"/>
        <c:majorTickMark val="none"/>
        <c:minorTickMark val="none"/>
        <c:tickLblPos val="nextTo"/>
        <c:txPr>
          <a:bodyPr/>
          <a:lstStyle/>
          <a:p>
            <a:pPr>
              <a:defRPr sz="1200" baseline="0"/>
            </a:pPr>
            <a:endParaRPr lang="pl-PL"/>
          </a:p>
        </c:txPr>
        <c:crossAx val="108070784"/>
        <c:crosses val="autoZero"/>
        <c:crossBetween val="between"/>
      </c:valAx>
    </c:plotArea>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a:lstStyle/>
          <a:p>
            <a:pPr>
              <a:defRPr sz="1000"/>
            </a:pPr>
            <a:r>
              <a:rPr lang="pl-PL" sz="1000"/>
              <a:t>liczba orzeczeń ETPC negatywnych i pozytywnych dla rządu</a:t>
            </a:r>
          </a:p>
          <a:p>
            <a:pPr>
              <a:defRPr sz="1000"/>
            </a:pPr>
            <a:r>
              <a:rPr lang="pl-PL" sz="1000"/>
              <a:t>w danym roku</a:t>
            </a:r>
          </a:p>
          <a:p>
            <a:pPr>
              <a:defRPr sz="1000"/>
            </a:pPr>
            <a:endParaRPr lang="pl-PL" sz="1000"/>
          </a:p>
        </c:rich>
      </c:tx>
      <c:layout>
        <c:manualLayout>
          <c:xMode val="edge"/>
          <c:yMode val="edge"/>
          <c:x val="0.27055645822050023"/>
          <c:y val="1.3064580896345828E-2"/>
        </c:manualLayout>
      </c:layout>
      <c:overlay val="0"/>
    </c:title>
    <c:autoTitleDeleted val="0"/>
    <c:plotArea>
      <c:layout>
        <c:manualLayout>
          <c:layoutTarget val="inner"/>
          <c:xMode val="edge"/>
          <c:yMode val="edge"/>
          <c:x val="5.7287977891652429E-2"/>
          <c:y val="0.11563600281672108"/>
          <c:w val="0.93076783776739225"/>
          <c:h val="0.74966552333253977"/>
        </c:manualLayout>
      </c:layout>
      <c:lineChart>
        <c:grouping val="standard"/>
        <c:varyColors val="0"/>
        <c:ser>
          <c:idx val="0"/>
          <c:order val="0"/>
          <c:tx>
            <c:v>liczba orzeczeń negatywnych dla rządu</c:v>
          </c:tx>
          <c:spPr>
            <a:ln w="25400" cap="flat" cmpd="sng" algn="ctr">
              <a:solidFill>
                <a:schemeClr val="accent2"/>
              </a:solidFill>
              <a:prstDash val="solid"/>
            </a:ln>
            <a:effectLst/>
          </c:spPr>
          <c:marker>
            <c:spPr>
              <a:solidFill>
                <a:schemeClr val="lt1"/>
              </a:solidFill>
              <a:ln w="25400" cap="flat" cmpd="sng" algn="ctr">
                <a:solidFill>
                  <a:schemeClr val="accent2"/>
                </a:solidFill>
                <a:prstDash val="solid"/>
              </a:ln>
              <a:effectLst/>
            </c:spPr>
          </c:marker>
          <c:dLbls>
            <c:dLbl>
              <c:idx val="5"/>
              <c:layout>
                <c:manualLayout>
                  <c:x val="9.5785440613026815E-4"/>
                  <c:y val="-3.73273609555804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C33-452D-AB74-992A7A754334}"/>
                </c:ext>
              </c:extLst>
            </c:dLbl>
            <c:dLbl>
              <c:idx val="6"/>
              <c:layout>
                <c:manualLayout>
                  <c:x val="0"/>
                  <c:y val="1.86636804777902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C33-452D-AB74-992A7A754334}"/>
                </c:ext>
              </c:extLst>
            </c:dLbl>
            <c:dLbl>
              <c:idx val="7"/>
              <c:layout>
                <c:manualLayout>
                  <c:x val="-9.5785440613026815E-4"/>
                  <c:y val="-1.67973124300111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C33-452D-AB74-992A7A754334}"/>
                </c:ext>
              </c:extLst>
            </c:dLbl>
            <c:dLbl>
              <c:idx val="8"/>
              <c:layout>
                <c:manualLayout>
                  <c:x val="-1.1691941285117137E-2"/>
                  <c:y val="4.83766025920817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C33-452D-AB74-992A7A754334}"/>
                </c:ext>
              </c:extLst>
            </c:dLbl>
            <c:dLbl>
              <c:idx val="9"/>
              <c:layout>
                <c:manualLayout>
                  <c:x val="-6.6137566137566134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C33-452D-AB74-992A7A754334}"/>
                </c:ext>
              </c:extLst>
            </c:dLbl>
            <c:spPr>
              <a:noFill/>
              <a:ln>
                <a:noFill/>
              </a:ln>
              <a:effectLst/>
            </c:spPr>
            <c:txPr>
              <a:bodyPr/>
              <a:lstStyle/>
              <a:p>
                <a:pPr>
                  <a:defRPr sz="1100" b="1">
                    <a:solidFill>
                      <a:srgbClr val="A50021"/>
                    </a:solidFill>
                    <a:latin typeface="Arial" panose="020B0604020202020204" pitchFamily="34" charset="0"/>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'staystyki cd.'!$A$18:$A$28</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'staystyki cd.'!$M$19:$M$28</c:f>
              <c:numCache>
                <c:formatCode>General</c:formatCode>
                <c:ptCount val="10"/>
                <c:pt idx="0">
                  <c:v>238</c:v>
                </c:pt>
                <c:pt idx="1">
                  <c:v>201</c:v>
                </c:pt>
                <c:pt idx="2">
                  <c:v>144</c:v>
                </c:pt>
                <c:pt idx="3">
                  <c:v>124</c:v>
                </c:pt>
                <c:pt idx="4">
                  <c:v>162</c:v>
                </c:pt>
                <c:pt idx="5">
                  <c:v>58</c:v>
                </c:pt>
                <c:pt idx="6">
                  <c:v>43</c:v>
                </c:pt>
                <c:pt idx="7">
                  <c:v>65</c:v>
                </c:pt>
                <c:pt idx="8">
                  <c:v>46</c:v>
                </c:pt>
                <c:pt idx="9">
                  <c:v>36</c:v>
                </c:pt>
              </c:numCache>
            </c:numRef>
          </c:val>
          <c:smooth val="0"/>
          <c:extLst>
            <c:ext xmlns:c16="http://schemas.microsoft.com/office/drawing/2014/chart" uri="{C3380CC4-5D6E-409C-BE32-E72D297353CC}">
              <c16:uniqueId val="{00000005-FC33-452D-AB74-992A7A754334}"/>
            </c:ext>
          </c:extLst>
        </c:ser>
        <c:ser>
          <c:idx val="1"/>
          <c:order val="1"/>
          <c:tx>
            <c:v>liczba orzeczeń pozytywnych dla rządu</c:v>
          </c:tx>
          <c:dLbls>
            <c:dLbl>
              <c:idx val="5"/>
              <c:layout>
                <c:manualLayout>
                  <c:x val="-3.8314176245210726E-3"/>
                  <c:y val="3.91937290033594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C33-452D-AB74-992A7A754334}"/>
                </c:ext>
              </c:extLst>
            </c:dLbl>
            <c:dLbl>
              <c:idx val="7"/>
              <c:layout>
                <c:manualLayout>
                  <c:x val="-2.2045855379188711E-3"/>
                  <c:y val="5.02429712915597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C33-452D-AB74-992A7A754334}"/>
                </c:ext>
              </c:extLst>
            </c:dLbl>
            <c:dLbl>
              <c:idx val="8"/>
              <c:layout>
                <c:manualLayout>
                  <c:x val="-6.6137566137566134E-3"/>
                  <c:y val="-2.60174240969324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C33-452D-AB74-992A7A754334}"/>
                </c:ext>
              </c:extLst>
            </c:dLbl>
            <c:dLbl>
              <c:idx val="9"/>
              <c:layout>
                <c:manualLayout>
                  <c:x val="-4.4091710758377423E-3"/>
                  <c:y val="2.21729490022172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C33-452D-AB74-992A7A754334}"/>
                </c:ext>
              </c:extLst>
            </c:dLbl>
            <c:spPr>
              <a:noFill/>
              <a:ln>
                <a:noFill/>
              </a:ln>
              <a:effectLst/>
            </c:spPr>
            <c:txPr>
              <a:bodyPr/>
              <a:lstStyle/>
              <a:p>
                <a:pPr>
                  <a:defRPr sz="1100" b="1">
                    <a:solidFill>
                      <a:schemeClr val="tx2"/>
                    </a:solidFill>
                    <a:latin typeface="Arial" panose="020B0604020202020204" pitchFamily="34" charset="0"/>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'staystyki cd.'!$A$18:$A$28</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'staystyki cd.'!$N$19:$N$28</c:f>
              <c:numCache>
                <c:formatCode>#,##0</c:formatCode>
                <c:ptCount val="10"/>
                <c:pt idx="0">
                  <c:v>85</c:v>
                </c:pt>
                <c:pt idx="1">
                  <c:v>50</c:v>
                </c:pt>
                <c:pt idx="2">
                  <c:v>60</c:v>
                </c:pt>
                <c:pt idx="3">
                  <c:v>54</c:v>
                </c:pt>
                <c:pt idx="4">
                  <c:v>58</c:v>
                </c:pt>
                <c:pt idx="5">
                  <c:v>57</c:v>
                </c:pt>
                <c:pt idx="6">
                  <c:v>63</c:v>
                </c:pt>
                <c:pt idx="7">
                  <c:v>62</c:v>
                </c:pt>
                <c:pt idx="8">
                  <c:v>51</c:v>
                </c:pt>
                <c:pt idx="9">
                  <c:v>25</c:v>
                </c:pt>
              </c:numCache>
            </c:numRef>
          </c:val>
          <c:smooth val="0"/>
          <c:extLst>
            <c:ext xmlns:c16="http://schemas.microsoft.com/office/drawing/2014/chart" uri="{C3380CC4-5D6E-409C-BE32-E72D297353CC}">
              <c16:uniqueId val="{0000000A-FC33-452D-AB74-992A7A754334}"/>
            </c:ext>
          </c:extLst>
        </c:ser>
        <c:dLbls>
          <c:showLegendKey val="0"/>
          <c:showVal val="0"/>
          <c:showCatName val="0"/>
          <c:showSerName val="0"/>
          <c:showPercent val="0"/>
          <c:showBubbleSize val="0"/>
        </c:dLbls>
        <c:marker val="1"/>
        <c:smooth val="0"/>
        <c:axId val="108106112"/>
        <c:axId val="108107648"/>
      </c:lineChart>
      <c:catAx>
        <c:axId val="108106112"/>
        <c:scaling>
          <c:orientation val="minMax"/>
        </c:scaling>
        <c:delete val="0"/>
        <c:axPos val="b"/>
        <c:numFmt formatCode="General" sourceLinked="1"/>
        <c:majorTickMark val="out"/>
        <c:minorTickMark val="none"/>
        <c:tickLblPos val="nextTo"/>
        <c:crossAx val="108107648"/>
        <c:crosses val="autoZero"/>
        <c:auto val="1"/>
        <c:lblAlgn val="ctr"/>
        <c:lblOffset val="100"/>
        <c:noMultiLvlLbl val="0"/>
      </c:catAx>
      <c:valAx>
        <c:axId val="108107648"/>
        <c:scaling>
          <c:orientation val="minMax"/>
        </c:scaling>
        <c:delete val="0"/>
        <c:axPos val="l"/>
        <c:majorGridlines/>
        <c:numFmt formatCode="General" sourceLinked="1"/>
        <c:majorTickMark val="out"/>
        <c:minorTickMark val="none"/>
        <c:tickLblPos val="nextTo"/>
        <c:crossAx val="108106112"/>
        <c:crosses val="autoZero"/>
        <c:crossBetween val="between"/>
      </c:valAx>
    </c:plotArea>
    <c:legend>
      <c:legendPos val="b"/>
      <c:layout>
        <c:manualLayout>
          <c:xMode val="edge"/>
          <c:yMode val="edge"/>
          <c:x val="4.9819640600480462E-2"/>
          <c:y val="0.9305537737866153"/>
          <c:w val="0.9485817745004097"/>
          <c:h val="4.494758004073679E-2"/>
        </c:manualLayout>
      </c:layout>
      <c:overlay val="0"/>
      <c:txPr>
        <a:bodyPr/>
        <a:lstStyle/>
        <a:p>
          <a:pPr>
            <a:defRPr sz="1100"/>
          </a:pPr>
          <a:endParaRPr lang="pl-PL"/>
        </a:p>
      </c:txPr>
    </c:legend>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ctr">
              <a:defRPr sz="1000"/>
            </a:pPr>
            <a:r>
              <a:rPr lang="pl-PL" sz="1000" b="1" i="0" baseline="0">
                <a:effectLst/>
              </a:rPr>
              <a:t>liczba orzeczeń </a:t>
            </a:r>
            <a:r>
              <a:rPr lang="pl-PL" sz="1000" b="1" i="0" u="none" strike="noStrike" kern="1200" baseline="0">
                <a:solidFill>
                  <a:sysClr val="windowText" lastClr="000000"/>
                </a:solidFill>
                <a:effectLst/>
                <a:latin typeface="+mn-lt"/>
                <a:ea typeface="+mn-ea"/>
                <a:cs typeface="+mn-cs"/>
              </a:rPr>
              <a:t>ETPC</a:t>
            </a:r>
            <a:r>
              <a:rPr lang="pl-PL" sz="1000" b="1" i="0" baseline="0">
                <a:effectLst/>
              </a:rPr>
              <a:t> w sprawach polskich </a:t>
            </a:r>
            <a:br>
              <a:rPr lang="pl-PL" sz="1000" b="1" i="0" baseline="0">
                <a:effectLst/>
              </a:rPr>
            </a:br>
            <a:r>
              <a:rPr lang="pl-PL" sz="1000" b="1" i="0" baseline="0">
                <a:effectLst/>
              </a:rPr>
              <a:t>w nadzorze Komitetu Ministrów Rady Europy na koniec roku </a:t>
            </a:r>
            <a:endParaRPr lang="pl-PL" sz="1000">
              <a:effectLst/>
            </a:endParaRPr>
          </a:p>
        </c:rich>
      </c:tx>
      <c:overlay val="0"/>
    </c:title>
    <c:autoTitleDeleted val="0"/>
    <c:plotArea>
      <c:layout/>
      <c:lineChart>
        <c:grouping val="standard"/>
        <c:varyColors val="0"/>
        <c:ser>
          <c:idx val="1"/>
          <c:order val="0"/>
          <c:tx>
            <c:strRef>
              <c:f>'staystyki cd.'!$AC$1</c:f>
              <c:strCache>
                <c:ptCount val="1"/>
                <c:pt idx="0">
                  <c:v>liczba spraw w egzekucji na koniec roku</c:v>
                </c:pt>
              </c:strCache>
            </c:strRef>
          </c:tx>
          <c:dLbls>
            <c:dLbl>
              <c:idx val="0"/>
              <c:layout>
                <c:manualLayout>
                  <c:x val="1.6789587600136008E-3"/>
                  <c:y val="-2.09973753280839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79B-41F1-B08F-DCB31E13A887}"/>
                </c:ext>
              </c:extLst>
            </c:dLbl>
            <c:dLbl>
              <c:idx val="1"/>
              <c:layout>
                <c:manualLayout>
                  <c:x val="1.6789587600136008E-3"/>
                  <c:y val="-2.09973753280839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79B-41F1-B08F-DCB31E13A887}"/>
                </c:ext>
              </c:extLst>
            </c:dLbl>
            <c:dLbl>
              <c:idx val="2"/>
              <c:layout>
                <c:manualLayout>
                  <c:x val="-6.1561110041302285E-17"/>
                  <c:y val="-2.62467191601049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79B-41F1-B08F-DCB31E13A887}"/>
                </c:ext>
              </c:extLst>
            </c:dLbl>
            <c:dLbl>
              <c:idx val="3"/>
              <c:layout>
                <c:manualLayout>
                  <c:x val="0"/>
                  <c:y val="-2.09973753280839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79B-41F1-B08F-DCB31E13A887}"/>
                </c:ext>
              </c:extLst>
            </c:dLbl>
            <c:spPr>
              <a:noFill/>
              <a:ln>
                <a:noFill/>
              </a:ln>
              <a:effectLst/>
            </c:spPr>
            <c:txPr>
              <a:bodyPr/>
              <a:lstStyle/>
              <a:p>
                <a:pPr>
                  <a:defRPr sz="1300" b="1" i="0" baseline="0">
                    <a:solidFill>
                      <a:sysClr val="windowText" lastClr="000000"/>
                    </a:solidFill>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'staystyki cd.'!$AA$19:$AA$28</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'staystyki cd.'!$AC$19:$AC$28</c:f>
              <c:numCache>
                <c:formatCode>General</c:formatCode>
                <c:ptCount val="10"/>
                <c:pt idx="0">
                  <c:v>924</c:v>
                </c:pt>
                <c:pt idx="1">
                  <c:v>872</c:v>
                </c:pt>
                <c:pt idx="2">
                  <c:v>705</c:v>
                </c:pt>
                <c:pt idx="3">
                  <c:v>498</c:v>
                </c:pt>
                <c:pt idx="4">
                  <c:v>313</c:v>
                </c:pt>
                <c:pt idx="5">
                  <c:v>223</c:v>
                </c:pt>
                <c:pt idx="6">
                  <c:v>124</c:v>
                </c:pt>
                <c:pt idx="7">
                  <c:v>100</c:v>
                </c:pt>
                <c:pt idx="8">
                  <c:v>98</c:v>
                </c:pt>
                <c:pt idx="9">
                  <c:v>89</c:v>
                </c:pt>
              </c:numCache>
            </c:numRef>
          </c:val>
          <c:smooth val="0"/>
          <c:extLst>
            <c:ext xmlns:c16="http://schemas.microsoft.com/office/drawing/2014/chart" uri="{C3380CC4-5D6E-409C-BE32-E72D297353CC}">
              <c16:uniqueId val="{00000004-A79B-41F1-B08F-DCB31E13A887}"/>
            </c:ext>
          </c:extLst>
        </c:ser>
        <c:dLbls>
          <c:showLegendKey val="0"/>
          <c:showVal val="0"/>
          <c:showCatName val="0"/>
          <c:showSerName val="0"/>
          <c:showPercent val="0"/>
          <c:showBubbleSize val="0"/>
        </c:dLbls>
        <c:marker val="1"/>
        <c:smooth val="0"/>
        <c:axId val="108144896"/>
        <c:axId val="108154880"/>
      </c:lineChart>
      <c:catAx>
        <c:axId val="108144896"/>
        <c:scaling>
          <c:orientation val="minMax"/>
        </c:scaling>
        <c:delete val="0"/>
        <c:axPos val="b"/>
        <c:numFmt formatCode="General" sourceLinked="1"/>
        <c:majorTickMark val="out"/>
        <c:minorTickMark val="none"/>
        <c:tickLblPos val="nextTo"/>
        <c:txPr>
          <a:bodyPr/>
          <a:lstStyle/>
          <a:p>
            <a:pPr>
              <a:defRPr sz="1200" baseline="0"/>
            </a:pPr>
            <a:endParaRPr lang="pl-PL"/>
          </a:p>
        </c:txPr>
        <c:crossAx val="108154880"/>
        <c:crosses val="autoZero"/>
        <c:auto val="1"/>
        <c:lblAlgn val="ctr"/>
        <c:lblOffset val="100"/>
        <c:noMultiLvlLbl val="0"/>
      </c:catAx>
      <c:valAx>
        <c:axId val="108154880"/>
        <c:scaling>
          <c:orientation val="minMax"/>
        </c:scaling>
        <c:delete val="0"/>
        <c:axPos val="l"/>
        <c:majorGridlines/>
        <c:numFmt formatCode="General" sourceLinked="1"/>
        <c:majorTickMark val="out"/>
        <c:minorTickMark val="none"/>
        <c:tickLblPos val="nextTo"/>
        <c:txPr>
          <a:bodyPr/>
          <a:lstStyle/>
          <a:p>
            <a:pPr>
              <a:defRPr sz="1200" baseline="0"/>
            </a:pPr>
            <a:endParaRPr lang="pl-PL"/>
          </a:p>
        </c:txPr>
        <c:crossAx val="108144896"/>
        <c:crosses val="autoZero"/>
        <c:crossBetween val="between"/>
      </c:valAx>
    </c:plotArea>
    <c:plotVisOnly val="1"/>
    <c:dispBlanksAs val="gap"/>
    <c:showDLblsOverMax val="0"/>
  </c:chart>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0.00777</cdr:x>
      <cdr:y>0.12205</cdr:y>
    </cdr:from>
    <cdr:to>
      <cdr:x>0.0367</cdr:x>
      <cdr:y>0.17219</cdr:y>
    </cdr:to>
    <cdr:sp macro="" textlink="">
      <cdr:nvSpPr>
        <cdr:cNvPr id="2" name="Prostokąt 1"/>
        <cdr:cNvSpPr/>
      </cdr:nvSpPr>
      <cdr:spPr>
        <a:xfrm xmlns:a="http://schemas.openxmlformats.org/drawingml/2006/main">
          <a:off x="68260" y="587373"/>
          <a:ext cx="254000" cy="241300"/>
        </a:xfrm>
        <a:prstGeom xmlns:a="http://schemas.openxmlformats.org/drawingml/2006/main" prst="rect">
          <a:avLst/>
        </a:prstGeom>
        <a:ln xmlns:a="http://schemas.openxmlformats.org/drawingml/2006/main">
          <a:solidFill>
            <a:schemeClr val="bg1"/>
          </a:solidFill>
        </a:ln>
      </cdr:spPr>
      <cdr:style>
        <a:lnRef xmlns:a="http://schemas.openxmlformats.org/drawingml/2006/main" idx="2">
          <a:schemeClr val="accent2"/>
        </a:lnRef>
        <a:fillRef xmlns:a="http://schemas.openxmlformats.org/drawingml/2006/main" idx="1">
          <a:schemeClr val="lt1"/>
        </a:fillRef>
        <a:effectRef xmlns:a="http://schemas.openxmlformats.org/drawingml/2006/main" idx="0">
          <a:schemeClr val="accent2"/>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endParaRPr lang="pl-PL">
            <a:ln>
              <a:noFill/>
            </a:ln>
          </a:endParaRPr>
        </a:p>
      </cdr:txBody>
    </cdr:sp>
  </cdr:relSizeAnchor>
</c:userShape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A992D-6E1A-4AE1-B0D8-717963141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18180</Words>
  <Characters>109086</Characters>
  <Application>Microsoft Office Word</Application>
  <DocSecurity>0</DocSecurity>
  <Lines>909</Lines>
  <Paragraphs>254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2021-05-13T21:38:00Z</dcterms:created>
  <dcterms:modified xsi:type="dcterms:W3CDTF">2021-05-14T09:05:00Z</dcterms:modified>
</cp:coreProperties>
</file>