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F8C90" w14:textId="55228A1A" w:rsidR="00D375E1" w:rsidRDefault="00823FEF">
      <w:r w:rsidRPr="00FF4C34">
        <w:rPr>
          <w:b/>
        </w:rPr>
        <w:t>Karta konkursu</w:t>
      </w:r>
    </w:p>
    <w:p w14:paraId="03EA326C" w14:textId="77777777" w:rsidR="004A7403" w:rsidRDefault="00C60FFF" w:rsidP="00285301">
      <w:pPr>
        <w:jc w:val="both"/>
      </w:pPr>
      <w:r>
        <w:t>Nazwa</w:t>
      </w:r>
      <w:r w:rsidR="00DB3472">
        <w:t>:</w:t>
      </w:r>
    </w:p>
    <w:p w14:paraId="1503BFB3" w14:textId="4A9D1793" w:rsidR="00542B1D" w:rsidRDefault="00542B1D" w:rsidP="00285301">
      <w:pPr>
        <w:jc w:val="both"/>
      </w:pPr>
      <w:r>
        <w:t>Konkurs nr 11/20</w:t>
      </w:r>
      <w:r w:rsidR="00EB3047">
        <w:t>20</w:t>
      </w:r>
      <w:r>
        <w:t xml:space="preserve"> na wykonanie i finansowanie projektów w zakresie badań naukowych </w:t>
      </w:r>
      <w:r w:rsidR="00240274">
        <w:br/>
      </w:r>
      <w:r>
        <w:t>lub prac rozwojowych na rzecz obronności i bezpieczeństwa państwa</w:t>
      </w:r>
    </w:p>
    <w:p w14:paraId="079E410A" w14:textId="77777777" w:rsidR="004A7403" w:rsidRDefault="004A7403" w:rsidP="00285301">
      <w:pPr>
        <w:jc w:val="both"/>
      </w:pPr>
    </w:p>
    <w:p w14:paraId="21B646EF" w14:textId="77777777" w:rsidR="004A7403" w:rsidRDefault="00285301">
      <w:r>
        <w:t>N</w:t>
      </w:r>
      <w:r w:rsidR="00475F7E">
        <w:t>azwa zwyczajowa</w:t>
      </w:r>
      <w:r w:rsidR="00542B1D">
        <w:t>:</w:t>
      </w:r>
    </w:p>
    <w:p w14:paraId="0486C9E9" w14:textId="68CBFC7D" w:rsidR="00542B1D" w:rsidRDefault="00542B1D">
      <w:r>
        <w:t>B</w:t>
      </w:r>
      <w:r w:rsidR="00240274">
        <w:t>I</w:t>
      </w:r>
      <w:r>
        <w:t>O11</w:t>
      </w:r>
    </w:p>
    <w:p w14:paraId="74A2340E" w14:textId="77777777" w:rsidR="004A7403" w:rsidRDefault="004A7403"/>
    <w:p w14:paraId="6FF18216" w14:textId="4C55BD46" w:rsidR="003E6536" w:rsidRDefault="00240274" w:rsidP="003E6536">
      <w:r>
        <w:t>P</w:t>
      </w:r>
      <w:r w:rsidR="003E6536">
        <w:t>asek logotypów:</w:t>
      </w:r>
    </w:p>
    <w:p w14:paraId="160C464C" w14:textId="77777777" w:rsidR="003E6536" w:rsidRDefault="003E6536"/>
    <w:p w14:paraId="1922D81F" w14:textId="30BC884D" w:rsidR="00542B1D" w:rsidRDefault="00285301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7F077EFF" wp14:editId="5D9FFE09">
            <wp:extent cx="1030682" cy="34378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barw_rp_poziom_szara_ramka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94" cy="36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drawing>
          <wp:inline distT="0" distB="0" distL="0" distR="0" wp14:anchorId="7D4109F6" wp14:editId="43282C3C">
            <wp:extent cx="692407" cy="243396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CBR logo z czerwonym napisem_q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83" cy="25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90EF" w14:textId="77777777" w:rsidR="00285301" w:rsidRDefault="00285301"/>
    <w:p w14:paraId="159FBD8F" w14:textId="606FC03B" w:rsidR="0046776B" w:rsidRDefault="0046776B" w:rsidP="0046776B">
      <w:pPr>
        <w:pStyle w:val="Akapitzlist"/>
        <w:numPr>
          <w:ilvl w:val="0"/>
          <w:numId w:val="5"/>
        </w:numPr>
      </w:pPr>
      <w:r>
        <w:t>Krótki opis</w:t>
      </w:r>
      <w:r w:rsidR="00240274">
        <w:t>:</w:t>
      </w:r>
    </w:p>
    <w:p w14:paraId="3A2E8982" w14:textId="77777777" w:rsidR="004A7403" w:rsidRDefault="004A7403" w:rsidP="00BF3545">
      <w:pPr>
        <w:pStyle w:val="Akapitzlist"/>
        <w:ind w:left="360"/>
      </w:pPr>
    </w:p>
    <w:p w14:paraId="3603DD25" w14:textId="128777DD" w:rsidR="00EB3047" w:rsidRDefault="00EB3047" w:rsidP="00285301">
      <w:pPr>
        <w:ind w:left="360"/>
        <w:jc w:val="both"/>
      </w:pPr>
      <w:r>
        <w:t xml:space="preserve">Konkurs obejmuje konkretnie sprecyzowane tematy z zakresu obronności i </w:t>
      </w:r>
      <w:r w:rsidRPr="00EB3047">
        <w:t xml:space="preserve">bezpieczeństwa </w:t>
      </w:r>
      <w:r w:rsidR="00285301">
        <w:t>państwa</w:t>
      </w:r>
      <w:r>
        <w:t>.</w:t>
      </w:r>
      <w:r w:rsidRPr="00EB3047">
        <w:t xml:space="preserve"> </w:t>
      </w:r>
      <w:r>
        <w:t>Finansowanie otrzymają te przedsięwzięcia, które w największym stopniu rokują na wytworzenie technologii</w:t>
      </w:r>
      <w:r w:rsidR="00285301">
        <w:t>,</w:t>
      </w:r>
      <w:r>
        <w:t xml:space="preserve"> dzięki której nastąpi wzrost potencjału</w:t>
      </w:r>
      <w:r w:rsidR="0028141A">
        <w:t xml:space="preserve"> naukowego i</w:t>
      </w:r>
      <w:r w:rsidR="009C12FE">
        <w:t xml:space="preserve"> </w:t>
      </w:r>
      <w:r>
        <w:t xml:space="preserve">rzeczywiste </w:t>
      </w:r>
      <w:r w:rsidR="00240274">
        <w:t xml:space="preserve">jego </w:t>
      </w:r>
      <w:r>
        <w:t xml:space="preserve">zwiększenie </w:t>
      </w:r>
      <w:r w:rsidR="0028141A" w:rsidRPr="0028141A">
        <w:t>w zakresie obronności i bezpieczeństwa państwa</w:t>
      </w:r>
      <w:r w:rsidR="0028141A">
        <w:t>.</w:t>
      </w:r>
    </w:p>
    <w:p w14:paraId="633542A9" w14:textId="0DB3E577" w:rsidR="00DB3472" w:rsidRDefault="00EB3047" w:rsidP="00285301">
      <w:pPr>
        <w:ind w:left="360"/>
        <w:jc w:val="both"/>
      </w:pPr>
      <w:r>
        <w:t xml:space="preserve">Realizowane projekty mają za zadanie dążenie do niezależności technologicznej, poprzez tworzenie polskiego know-how, w odniesieniu do krytycznych technologii </w:t>
      </w:r>
      <w:r w:rsidR="0028141A">
        <w:t>na bazie zapotrzebowania zgłaszanego przez podmioty ustawowo odpowiedzialne za obszar bezpieczeństwa i obronności.</w:t>
      </w:r>
    </w:p>
    <w:p w14:paraId="4976BAC1" w14:textId="77777777" w:rsidR="004A7403" w:rsidRDefault="004A7403" w:rsidP="00285301">
      <w:pPr>
        <w:ind w:left="360"/>
        <w:jc w:val="both"/>
      </w:pPr>
    </w:p>
    <w:p w14:paraId="2C37E57A" w14:textId="5A59E5D3" w:rsidR="00C60FFF" w:rsidRDefault="00C60FFF" w:rsidP="0046776B">
      <w:pPr>
        <w:pStyle w:val="Akapitzlist"/>
        <w:numPr>
          <w:ilvl w:val="0"/>
          <w:numId w:val="5"/>
        </w:numPr>
      </w:pPr>
      <w:r>
        <w:t>Dla kogo?</w:t>
      </w:r>
      <w:r w:rsidR="00DB3472">
        <w:t>:</w:t>
      </w:r>
      <w:r w:rsidR="00C653DD">
        <w:t xml:space="preserve"> </w:t>
      </w:r>
    </w:p>
    <w:p w14:paraId="39FDA468" w14:textId="77777777" w:rsidR="00020D29" w:rsidRPr="002D58AD" w:rsidRDefault="00020D29" w:rsidP="00020D29">
      <w:pPr>
        <w:pStyle w:val="Style5"/>
        <w:widowControl/>
        <w:tabs>
          <w:tab w:val="left" w:pos="426"/>
        </w:tabs>
        <w:spacing w:before="120" w:after="120" w:line="240" w:lineRule="auto"/>
        <w:ind w:left="426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58AD">
        <w:rPr>
          <w:rFonts w:asciiTheme="minorHAnsi" w:eastAsia="Calibri" w:hAnsiTheme="minorHAnsi" w:cstheme="minorHAnsi"/>
          <w:sz w:val="22"/>
          <w:szCs w:val="22"/>
          <w:lang w:eastAsia="en-US"/>
        </w:rPr>
        <w:t>Wnioskodawcą – uczestnikiem konkursu może być:</w:t>
      </w:r>
    </w:p>
    <w:p w14:paraId="5298EFD7" w14:textId="07348F5B" w:rsidR="00020D29" w:rsidRDefault="003E6536" w:rsidP="00020D29">
      <w:pPr>
        <w:pStyle w:val="Style5"/>
        <w:widowControl/>
        <w:numPr>
          <w:ilvl w:val="0"/>
          <w:numId w:val="10"/>
        </w:numPr>
        <w:spacing w:before="120" w:after="120" w:line="240" w:lineRule="auto"/>
        <w:ind w:left="1134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odmiot, o którym mowa w </w:t>
      </w:r>
      <w:r w:rsidR="00020D29"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art. 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020D29"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>7 ust. 1 pkt 1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Ustawy</w:t>
      </w:r>
      <w:r w:rsidR="00BF35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 Narodowym Centrum Badań i Rozwoju, (dalej: ustawy)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035DE93" w14:textId="526F7AA5" w:rsidR="00020D29" w:rsidRPr="00464ABE" w:rsidRDefault="003E6536" w:rsidP="00020D29">
      <w:pPr>
        <w:pStyle w:val="Style5"/>
        <w:widowControl/>
        <w:numPr>
          <w:ilvl w:val="0"/>
          <w:numId w:val="10"/>
        </w:numPr>
        <w:spacing w:before="120" w:after="120" w:line="240" w:lineRule="auto"/>
        <w:ind w:left="1134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k</w:t>
      </w:r>
      <w:r w:rsidRPr="00E46FC8">
        <w:rPr>
          <w:rFonts w:asciiTheme="minorHAnsi" w:eastAsia="Calibri" w:hAnsiTheme="minorHAnsi" w:cstheme="minorHAnsi"/>
          <w:sz w:val="22"/>
          <w:szCs w:val="22"/>
          <w:lang w:eastAsia="en-US"/>
        </w:rPr>
        <w:t>onsorcjum</w:t>
      </w:r>
      <w:r w:rsidR="00020D29" w:rsidRPr="00E46FC8">
        <w:rPr>
          <w:rFonts w:asciiTheme="minorHAnsi" w:eastAsia="Calibri" w:hAnsiTheme="minorHAnsi" w:cstheme="minorHAnsi"/>
          <w:sz w:val="22"/>
          <w:szCs w:val="22"/>
          <w:lang w:eastAsia="en-US"/>
        </w:rPr>
        <w:t>, tj. grupa podmiotów w rozumieniu art. 37 ust. 1 pkt 1a Ustawy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020D29" w:rsidRPr="00464A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902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</w:t>
      </w:r>
      <w:r w:rsidR="00020D29" w:rsidRPr="00464A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zastrzeżeniem, że </w:t>
      </w:r>
      <w:r w:rsidR="00020D29" w:rsidRPr="00131A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020D29" w:rsidRPr="00131AC8">
        <w:rPr>
          <w:rFonts w:asciiTheme="minorHAnsi" w:eastAsia="Calibri" w:hAnsiTheme="minorHAnsi" w:cstheme="minorHAnsi"/>
          <w:sz w:val="22"/>
          <w:szCs w:val="22"/>
          <w:lang w:eastAsia="en-US"/>
        </w:rPr>
        <w:t>rojektu o</w:t>
      </w:r>
      <w:r w:rsidR="00020D29" w:rsidRPr="00D11CEB">
        <w:rPr>
          <w:rFonts w:asciiTheme="minorHAnsi" w:eastAsia="Calibri" w:hAnsiTheme="minorHAnsi" w:cstheme="minorHAnsi"/>
          <w:sz w:val="22"/>
          <w:szCs w:val="22"/>
          <w:lang w:eastAsia="en-US"/>
        </w:rPr>
        <w:t>bejmującego prace</w:t>
      </w:r>
      <w:r w:rsidR="00020D29" w:rsidRPr="00C3566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rozwojowe</w:t>
      </w:r>
      <w:r w:rsidR="00020D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skład konsorcjum musi wchodzić</w:t>
      </w:r>
      <w:r w:rsidR="00020D29" w:rsidRPr="00464AB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co najmniej </w:t>
      </w:r>
      <w:r w:rsidR="00020D29" w:rsidRPr="00131AC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jeden 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020D29" w:rsidRPr="00131AC8">
        <w:rPr>
          <w:rFonts w:asciiTheme="minorHAnsi" w:eastAsia="Calibri" w:hAnsiTheme="minorHAnsi" w:cstheme="minorHAnsi"/>
          <w:sz w:val="22"/>
          <w:szCs w:val="22"/>
          <w:lang w:eastAsia="en-US"/>
        </w:rPr>
        <w:t>rzedsiębiorca.</w:t>
      </w:r>
      <w:r w:rsidR="00020D29" w:rsidRPr="00D11C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DA89494" w14:textId="178F917A" w:rsidR="00020D29" w:rsidRDefault="00020D29" w:rsidP="00020D29">
      <w:pPr>
        <w:pStyle w:val="Style5"/>
        <w:widowControl/>
        <w:tabs>
          <w:tab w:val="left" w:pos="1134"/>
        </w:tabs>
        <w:spacing w:before="120" w:after="120" w:line="240" w:lineRule="auto"/>
        <w:ind w:left="1134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Konsorcjum stanowi grupa podmiotów </w:t>
      </w:r>
      <w:r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>podejmująca wspólne przedsięwzięcie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>, które</w:t>
      </w:r>
      <w:r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obejmuj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badania naukowe, prace rozwojowe lub inwestycje służące potrzebom badań naukowych lub prac rozwojowych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Grupa ta </w:t>
      </w:r>
      <w:r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 na podstawie Umowy konsorcjum i 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jest </w:t>
      </w:r>
      <w:r w:rsidRPr="005A04F1">
        <w:rPr>
          <w:rFonts w:asciiTheme="minorHAnsi" w:eastAsia="Calibri" w:hAnsiTheme="minorHAnsi" w:cstheme="minorHAnsi"/>
          <w:sz w:val="22"/>
          <w:szCs w:val="22"/>
          <w:lang w:eastAsia="en-US"/>
        </w:rPr>
        <w:t>reprezentowana przez Lidera;</w:t>
      </w:r>
    </w:p>
    <w:p w14:paraId="0758D02E" w14:textId="2BFA628D" w:rsidR="00020D29" w:rsidRPr="00020D29" w:rsidRDefault="00020D29" w:rsidP="00020D29">
      <w:pPr>
        <w:pStyle w:val="Style5"/>
        <w:widowControl/>
        <w:numPr>
          <w:ilvl w:val="0"/>
          <w:numId w:val="10"/>
        </w:numPr>
        <w:tabs>
          <w:tab w:val="left" w:pos="426"/>
        </w:tabs>
        <w:spacing w:before="120" w:after="120" w:line="240" w:lineRule="auto"/>
        <w:ind w:left="1134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0D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centrum naukowo-przemysłowe w rozumieniu art. 38 </w:t>
      </w:r>
      <w:r w:rsidR="004A7403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Pr="00020D29">
        <w:rPr>
          <w:rFonts w:asciiTheme="minorHAnsi" w:eastAsia="Calibri" w:hAnsiTheme="minorHAnsi" w:cstheme="minorHAnsi"/>
          <w:sz w:val="22"/>
          <w:szCs w:val="22"/>
          <w:lang w:eastAsia="en-US"/>
        </w:rPr>
        <w:t>stawy z dnia 30 kwietnia 2010 r. o instytutach badawczych, działające na podstawie Umowy o utworzeniu centrum i reprezentowane przez Lidera;</w:t>
      </w:r>
    </w:p>
    <w:p w14:paraId="2DFACA95" w14:textId="3FA391B1" w:rsidR="00DB3472" w:rsidRDefault="004A7403" w:rsidP="003E6536">
      <w:pPr>
        <w:pStyle w:val="Style5"/>
        <w:widowControl/>
        <w:numPr>
          <w:ilvl w:val="0"/>
          <w:numId w:val="10"/>
        </w:numPr>
        <w:tabs>
          <w:tab w:val="left" w:pos="426"/>
        </w:tabs>
        <w:spacing w:before="120" w:after="120" w:line="240" w:lineRule="auto"/>
        <w:ind w:left="1134" w:hanging="42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p</w:t>
      </w:r>
      <w:r w:rsidR="00020D29" w:rsidRPr="00464ABE">
        <w:rPr>
          <w:rFonts w:asciiTheme="minorHAnsi" w:eastAsia="Calibri" w:hAnsiTheme="minorHAnsi" w:cstheme="minorHAnsi"/>
          <w:sz w:val="22"/>
          <w:szCs w:val="22"/>
          <w:lang w:eastAsia="en-US"/>
        </w:rPr>
        <w:t>rzedsiębiorca spełniający kryterium podmiotowe, o którym mowa w art. 37 ust. 1 pkt 7, pkt</w:t>
      </w:r>
      <w:r w:rsidR="00020D29" w:rsidRPr="00D11CE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020D29" w:rsidRPr="00C35662">
        <w:rPr>
          <w:rFonts w:asciiTheme="minorHAnsi" w:eastAsia="Calibri" w:hAnsiTheme="minorHAnsi" w:cstheme="minorHAnsi"/>
          <w:sz w:val="22"/>
          <w:szCs w:val="22"/>
          <w:lang w:eastAsia="en-US"/>
        </w:rPr>
        <w:t>8 lub pkt 10 Ustawy, prowadzący działalność gospodarczą lub badawczo-rozwojową na terytorium Rzeczypospolitej Polskiej, potwierdzoną wpisem do odpowi</w:t>
      </w:r>
      <w:r w:rsidR="00020D29" w:rsidRPr="00677C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edniego rejestru. </w:t>
      </w:r>
    </w:p>
    <w:p w14:paraId="4A0BC775" w14:textId="77777777" w:rsidR="004A7403" w:rsidRPr="00240274" w:rsidRDefault="004A7403" w:rsidP="006D2EED">
      <w:pPr>
        <w:pStyle w:val="Style5"/>
        <w:widowControl/>
        <w:tabs>
          <w:tab w:val="left" w:pos="426"/>
        </w:tabs>
        <w:spacing w:before="120" w:after="120" w:line="240" w:lineRule="auto"/>
        <w:ind w:left="1134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6B3A94" w14:textId="3DCA788A" w:rsidR="00C60FFF" w:rsidRDefault="00C60FFF" w:rsidP="0046776B">
      <w:pPr>
        <w:pStyle w:val="Akapitzlist"/>
        <w:numPr>
          <w:ilvl w:val="0"/>
          <w:numId w:val="5"/>
        </w:numPr>
      </w:pPr>
      <w:r>
        <w:t>Na co?</w:t>
      </w:r>
      <w:r w:rsidR="00C653DD">
        <w:t xml:space="preserve"> (rodzaj badań)</w:t>
      </w:r>
      <w:r w:rsidR="00DB3472">
        <w:t>:</w:t>
      </w:r>
    </w:p>
    <w:p w14:paraId="1B7F2BAA" w14:textId="77743C9B" w:rsidR="004A7403" w:rsidRDefault="004A7403" w:rsidP="00B67D82">
      <w:pPr>
        <w:pStyle w:val="Akapitzlist"/>
        <w:ind w:left="360"/>
      </w:pPr>
      <w:r>
        <w:t>Dofinansowanie można przeznaczyć na:</w:t>
      </w:r>
    </w:p>
    <w:p w14:paraId="16769D37" w14:textId="069A8FB4" w:rsidR="00DB3472" w:rsidRDefault="00DB3472" w:rsidP="00B67D82">
      <w:pPr>
        <w:pStyle w:val="Akapitzlist"/>
        <w:numPr>
          <w:ilvl w:val="0"/>
          <w:numId w:val="19"/>
        </w:numPr>
      </w:pPr>
      <w:r>
        <w:t>badania naukowe</w:t>
      </w:r>
      <w:r w:rsidR="0028141A">
        <w:t xml:space="preserve"> </w:t>
      </w:r>
      <w:r w:rsidR="00ED2D77">
        <w:t>(</w:t>
      </w:r>
      <w:r w:rsidR="0028141A">
        <w:t>do VI poziomu gotowości technologicznej</w:t>
      </w:r>
      <w:r w:rsidR="00ED2D77">
        <w:t>);</w:t>
      </w:r>
    </w:p>
    <w:p w14:paraId="4C96A2C4" w14:textId="682E5EB4" w:rsidR="00DB3472" w:rsidRDefault="00ED2D77" w:rsidP="00B67D82">
      <w:pPr>
        <w:pStyle w:val="Akapitzlist"/>
        <w:numPr>
          <w:ilvl w:val="0"/>
          <w:numId w:val="19"/>
        </w:numPr>
      </w:pPr>
      <w:r>
        <w:t xml:space="preserve">badania naukowe i </w:t>
      </w:r>
      <w:r w:rsidR="00DB3472">
        <w:t>prace rozwojowe</w:t>
      </w:r>
      <w:r w:rsidR="0028141A">
        <w:t xml:space="preserve"> </w:t>
      </w:r>
      <w:r>
        <w:t>(</w:t>
      </w:r>
      <w:r w:rsidR="0028141A">
        <w:t>do IX poziomu gotowości technologicznej</w:t>
      </w:r>
      <w:r>
        <w:t>).</w:t>
      </w:r>
    </w:p>
    <w:p w14:paraId="589BCFF7" w14:textId="45D26FEC" w:rsidR="00542B1D" w:rsidRDefault="00542B1D" w:rsidP="00542B1D">
      <w:pPr>
        <w:pStyle w:val="Akapitzlist"/>
      </w:pPr>
    </w:p>
    <w:p w14:paraId="306FA324" w14:textId="77777777" w:rsidR="003E6536" w:rsidRDefault="003E6536" w:rsidP="00B67D82"/>
    <w:p w14:paraId="6A64D06A" w14:textId="77777777" w:rsidR="00602BF0" w:rsidRDefault="00A41C6A" w:rsidP="00602BF0">
      <w:pPr>
        <w:pStyle w:val="Akapitzlist"/>
        <w:numPr>
          <w:ilvl w:val="0"/>
          <w:numId w:val="5"/>
        </w:numPr>
      </w:pPr>
      <w:r>
        <w:t>Zakres tematyczny</w:t>
      </w:r>
      <w:r w:rsidR="00DB3472">
        <w:t>:</w:t>
      </w:r>
    </w:p>
    <w:p w14:paraId="64038C22" w14:textId="77777777" w:rsidR="00602BF0" w:rsidRDefault="00602BF0" w:rsidP="00602BF0">
      <w:pPr>
        <w:pStyle w:val="Akapitzlist"/>
      </w:pPr>
    </w:p>
    <w:p w14:paraId="18D03F19" w14:textId="7D8CB62A" w:rsidR="00602BF0" w:rsidRDefault="00602BF0" w:rsidP="00602BF0">
      <w:pPr>
        <w:pStyle w:val="Akapitzlist"/>
      </w:pPr>
      <w:r>
        <w:t>Runda nr 1</w:t>
      </w:r>
      <w:r w:rsidR="004A7403">
        <w:t xml:space="preserve"> obejmuje trzy tematy:</w:t>
      </w:r>
    </w:p>
    <w:p w14:paraId="1A35656B" w14:textId="77777777" w:rsidR="004A7403" w:rsidRDefault="004A7403" w:rsidP="00602BF0">
      <w:pPr>
        <w:pStyle w:val="Akapitzlist"/>
      </w:pPr>
    </w:p>
    <w:p w14:paraId="156923BD" w14:textId="5AAE0E9E" w:rsidR="004A7403" w:rsidRPr="00703C38" w:rsidRDefault="004A7403" w:rsidP="00602BF0">
      <w:pPr>
        <w:pStyle w:val="Akapitzlist"/>
      </w:pPr>
      <w:r w:rsidRPr="00703C38">
        <w:t>1.</w:t>
      </w:r>
      <w:r w:rsidRPr="00703C38">
        <w:rPr>
          <w:rFonts w:eastAsia="Calibri" w:cstheme="minorHAnsi"/>
        </w:rPr>
        <w:t xml:space="preserve"> Opracowanie Prototypu Systemu do Analizy Obrazów</w:t>
      </w:r>
    </w:p>
    <w:p w14:paraId="4CED77B0" w14:textId="2166BBD8" w:rsidR="004A7403" w:rsidRPr="00703C38" w:rsidRDefault="004A7403" w:rsidP="00602BF0">
      <w:pPr>
        <w:pStyle w:val="Akapitzlist"/>
      </w:pPr>
      <w:r w:rsidRPr="00703C38">
        <w:t xml:space="preserve">2. </w:t>
      </w:r>
      <w:r w:rsidRPr="00703C38">
        <w:rPr>
          <w:rFonts w:eastAsia="Calibri" w:cstheme="minorHAnsi"/>
        </w:rPr>
        <w:t>Opracowanie prototypu zaawansowanego technologicznie systemu informatycznego umożliwiającego zautomatyzowanie procesu analizy obrazów uzyskanych z ukrytych urządzeń optoelektronicznych</w:t>
      </w:r>
    </w:p>
    <w:p w14:paraId="6625A17A" w14:textId="085945AD" w:rsidR="004A7403" w:rsidRPr="00703C38" w:rsidRDefault="004A7403" w:rsidP="00602BF0">
      <w:pPr>
        <w:pStyle w:val="Akapitzlist"/>
      </w:pPr>
      <w:r w:rsidRPr="00703C38">
        <w:t xml:space="preserve">3. </w:t>
      </w:r>
      <w:r w:rsidRPr="00703C38">
        <w:rPr>
          <w:rFonts w:eastAsia="Calibri" w:cstheme="minorHAnsi"/>
        </w:rPr>
        <w:t>Prototyp mobilnego wieloczujnikowego systemu obserwacyjnego przeznaczonego do zabezpieczenia strefy nadgranicznej</w:t>
      </w:r>
    </w:p>
    <w:p w14:paraId="2B191A95" w14:textId="5DFC7AF8" w:rsidR="00DB3472" w:rsidRDefault="00DB3472" w:rsidP="00DB3472">
      <w:pPr>
        <w:pStyle w:val="Akapitzlist"/>
      </w:pPr>
    </w:p>
    <w:p w14:paraId="3A0660DF" w14:textId="77777777" w:rsidR="00DB5ED1" w:rsidRDefault="00DB5ED1" w:rsidP="00DB3472">
      <w:pPr>
        <w:pStyle w:val="Akapitzlist"/>
      </w:pPr>
    </w:p>
    <w:p w14:paraId="1728F333" w14:textId="77777777" w:rsidR="00DB5ED1" w:rsidRDefault="001B5167" w:rsidP="00240274">
      <w:pPr>
        <w:pStyle w:val="Akapitzlist"/>
        <w:numPr>
          <w:ilvl w:val="0"/>
          <w:numId w:val="5"/>
        </w:numPr>
      </w:pPr>
      <w:r>
        <w:t>Organizator konkursu</w:t>
      </w:r>
      <w:r w:rsidR="00DB3472">
        <w:t>:</w:t>
      </w:r>
    </w:p>
    <w:p w14:paraId="6B5A6F8A" w14:textId="0118FE4F" w:rsidR="005A00AE" w:rsidRDefault="00DB3472" w:rsidP="00B67D82">
      <w:pPr>
        <w:pStyle w:val="Akapitzlist"/>
        <w:ind w:left="360"/>
      </w:pPr>
      <w:r>
        <w:t>Narodowe Centrum Badań i Rozwoju</w:t>
      </w:r>
    </w:p>
    <w:p w14:paraId="0F5230A7" w14:textId="21BF309E" w:rsidR="00240274" w:rsidRDefault="00240274" w:rsidP="00240274">
      <w:pPr>
        <w:pStyle w:val="Akapitzlist"/>
        <w:ind w:left="360"/>
      </w:pPr>
    </w:p>
    <w:p w14:paraId="3EB8DC90" w14:textId="77777777" w:rsidR="00DB5ED1" w:rsidRDefault="00DB5ED1" w:rsidP="00240274">
      <w:pPr>
        <w:pStyle w:val="Akapitzlist"/>
        <w:ind w:left="360"/>
      </w:pPr>
    </w:p>
    <w:p w14:paraId="6F3AF50D" w14:textId="78082403" w:rsidR="00C60FFF" w:rsidRDefault="00DB3472" w:rsidP="0046776B">
      <w:pPr>
        <w:pStyle w:val="Akapitzlist"/>
        <w:numPr>
          <w:ilvl w:val="0"/>
          <w:numId w:val="5"/>
        </w:numPr>
      </w:pPr>
      <w:r>
        <w:t>F</w:t>
      </w:r>
      <w:r w:rsidR="00C60FFF">
        <w:t>inansowanie</w:t>
      </w:r>
      <w:r>
        <w:t xml:space="preserve"> ze środków NCBR:</w:t>
      </w:r>
    </w:p>
    <w:p w14:paraId="638883D6" w14:textId="67D94980" w:rsidR="00DB3472" w:rsidRDefault="00DB3472" w:rsidP="00240274">
      <w:pPr>
        <w:spacing w:beforeLines="50" w:before="120" w:afterLines="50" w:after="120" w:line="240" w:lineRule="auto"/>
        <w:ind w:left="360"/>
        <w:jc w:val="both"/>
        <w:rPr>
          <w:rFonts w:cstheme="minorHAnsi"/>
        </w:rPr>
      </w:pPr>
      <w:r w:rsidRPr="00DB3472">
        <w:rPr>
          <w:rFonts w:cstheme="minorHAnsi"/>
        </w:rPr>
        <w:t xml:space="preserve">Projekty mogą być finansowane do 100% kosztów kwalifikowanych </w:t>
      </w:r>
      <w:r>
        <w:rPr>
          <w:rFonts w:cstheme="minorHAnsi"/>
        </w:rPr>
        <w:t>p</w:t>
      </w:r>
      <w:r w:rsidRPr="00DB3472">
        <w:rPr>
          <w:rFonts w:cstheme="minorHAnsi"/>
        </w:rPr>
        <w:t xml:space="preserve">rojektu. Zasadność planowanych kosztów realizacji </w:t>
      </w:r>
      <w:r>
        <w:rPr>
          <w:rFonts w:cstheme="minorHAnsi"/>
        </w:rPr>
        <w:t>p</w:t>
      </w:r>
      <w:r w:rsidRPr="00DB3472">
        <w:rPr>
          <w:rFonts w:cstheme="minorHAnsi"/>
        </w:rPr>
        <w:t xml:space="preserve">rojektu w stosunku do zakresu zadań objętych </w:t>
      </w:r>
      <w:r>
        <w:rPr>
          <w:rFonts w:cstheme="minorHAnsi"/>
        </w:rPr>
        <w:t>p</w:t>
      </w:r>
      <w:r w:rsidRPr="00DB3472">
        <w:rPr>
          <w:rFonts w:cstheme="minorHAnsi"/>
        </w:rPr>
        <w:t xml:space="preserve">rojektem oraz w stosunku do oczekiwanych wyników jest jednym z kryteriów oceny merytorycznej </w:t>
      </w:r>
      <w:r>
        <w:rPr>
          <w:rFonts w:cstheme="minorHAnsi"/>
        </w:rPr>
        <w:t>w</w:t>
      </w:r>
      <w:r w:rsidRPr="00DB3472">
        <w:rPr>
          <w:rFonts w:cstheme="minorHAnsi"/>
        </w:rPr>
        <w:t>niosków. Wnioskodawcy</w:t>
      </w:r>
      <w:r w:rsidR="00743E04">
        <w:rPr>
          <w:rFonts w:cstheme="minorHAnsi"/>
        </w:rPr>
        <w:t>,</w:t>
      </w:r>
      <w:r w:rsidRPr="00DB3472">
        <w:rPr>
          <w:rFonts w:cstheme="minorHAnsi"/>
        </w:rPr>
        <w:t xml:space="preserve"> </w:t>
      </w:r>
      <w:r w:rsidR="00743E04" w:rsidRPr="00DB3472">
        <w:rPr>
          <w:rFonts w:cstheme="minorHAnsi"/>
        </w:rPr>
        <w:t xml:space="preserve">zgodnie </w:t>
      </w:r>
      <w:r w:rsidR="00743E04">
        <w:rPr>
          <w:rFonts w:cstheme="minorHAnsi"/>
        </w:rPr>
        <w:t xml:space="preserve">zapisami regulaminu konkursu, </w:t>
      </w:r>
      <w:r>
        <w:rPr>
          <w:rFonts w:cstheme="minorHAnsi"/>
        </w:rPr>
        <w:t>może zostać przyzna</w:t>
      </w:r>
      <w:r w:rsidRPr="00DB3472">
        <w:rPr>
          <w:rFonts w:cstheme="minorHAnsi"/>
        </w:rPr>
        <w:t xml:space="preserve">na premia za </w:t>
      </w:r>
      <w:r w:rsidR="00743E04">
        <w:rPr>
          <w:rFonts w:cstheme="minorHAnsi"/>
        </w:rPr>
        <w:t xml:space="preserve">wniesienie </w:t>
      </w:r>
      <w:r w:rsidRPr="00DB3472">
        <w:rPr>
          <w:rFonts w:cstheme="minorHAnsi"/>
        </w:rPr>
        <w:t>wkład</w:t>
      </w:r>
      <w:r w:rsidR="00743E04">
        <w:rPr>
          <w:rFonts w:cstheme="minorHAnsi"/>
        </w:rPr>
        <w:t>u własnego</w:t>
      </w:r>
      <w:r>
        <w:rPr>
          <w:rFonts w:cstheme="minorHAnsi"/>
        </w:rPr>
        <w:t>.</w:t>
      </w:r>
    </w:p>
    <w:p w14:paraId="15E59FD9" w14:textId="54F25EDF" w:rsidR="006050E7" w:rsidRDefault="006050E7" w:rsidP="00240274">
      <w:pPr>
        <w:spacing w:beforeLines="50" w:before="120" w:afterLines="50"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W konkursie nie ma określonych limitów w zakresie minimalnej i maksymalnej kwoty środków kwalifikowalnych</w:t>
      </w:r>
      <w:r w:rsidR="00307C42">
        <w:rPr>
          <w:rFonts w:cstheme="minorHAnsi"/>
        </w:rPr>
        <w:t xml:space="preserve"> na jeden projekt</w:t>
      </w:r>
      <w:r>
        <w:rPr>
          <w:rFonts w:cstheme="minorHAnsi"/>
        </w:rPr>
        <w:t xml:space="preserve">. </w:t>
      </w:r>
    </w:p>
    <w:p w14:paraId="712E73B1" w14:textId="77777777" w:rsidR="00DB5ED1" w:rsidRPr="00743E04" w:rsidRDefault="00DB5ED1" w:rsidP="00240274">
      <w:pPr>
        <w:spacing w:beforeLines="50" w:before="120" w:afterLines="50" w:after="120" w:line="240" w:lineRule="auto"/>
        <w:ind w:left="360"/>
        <w:jc w:val="both"/>
        <w:rPr>
          <w:rFonts w:cstheme="minorHAnsi"/>
        </w:rPr>
      </w:pPr>
    </w:p>
    <w:p w14:paraId="361B9BB4" w14:textId="194852BD" w:rsidR="001B5167" w:rsidRDefault="001B5167" w:rsidP="001B5167">
      <w:pPr>
        <w:pStyle w:val="Akapitzlist"/>
        <w:numPr>
          <w:ilvl w:val="0"/>
          <w:numId w:val="5"/>
        </w:numPr>
      </w:pPr>
      <w:r>
        <w:t>Harmonogram konkursu (oś czasu)</w:t>
      </w:r>
      <w:r w:rsidR="006050E7">
        <w:t>:</w:t>
      </w:r>
    </w:p>
    <w:p w14:paraId="5C310F7F" w14:textId="0367E5D9" w:rsidR="001B5167" w:rsidRPr="00743E04" w:rsidRDefault="001B5167" w:rsidP="00240274">
      <w:pPr>
        <w:pStyle w:val="Akapitzlist"/>
        <w:numPr>
          <w:ilvl w:val="0"/>
          <w:numId w:val="18"/>
        </w:numPr>
      </w:pPr>
      <w:r w:rsidRPr="00743E04">
        <w:t>Data ogłoszenia</w:t>
      </w:r>
      <w:r w:rsidR="00743E04">
        <w:t xml:space="preserve">: </w:t>
      </w:r>
      <w:r w:rsidR="00240274">
        <w:t>7 września</w:t>
      </w:r>
      <w:r w:rsidR="00743E04">
        <w:t xml:space="preserve"> 2020 r.</w:t>
      </w:r>
    </w:p>
    <w:p w14:paraId="612C636F" w14:textId="0D36A370" w:rsidR="001B5167" w:rsidRPr="00743E04" w:rsidRDefault="00177AAD" w:rsidP="00240274">
      <w:pPr>
        <w:pStyle w:val="Akapitzlist"/>
        <w:numPr>
          <w:ilvl w:val="0"/>
          <w:numId w:val="18"/>
        </w:numPr>
        <w:shd w:val="clear" w:color="auto" w:fill="FFFFFF"/>
      </w:pPr>
      <w:r w:rsidRPr="00743E04">
        <w:t>Rozpoczęcie naboru wniosków</w:t>
      </w:r>
      <w:r w:rsidR="00743E04">
        <w:t>:</w:t>
      </w:r>
      <w:r w:rsidR="00602BF0">
        <w:t xml:space="preserve"> 26</w:t>
      </w:r>
      <w:r w:rsidR="00240274">
        <w:t xml:space="preserve"> października </w:t>
      </w:r>
      <w:r w:rsidR="00602BF0">
        <w:t>2020 r.</w:t>
      </w:r>
    </w:p>
    <w:p w14:paraId="30FE1FBA" w14:textId="3D3A9759" w:rsidR="00177AAD" w:rsidRPr="00743E04" w:rsidRDefault="00177AAD" w:rsidP="00240274">
      <w:pPr>
        <w:pStyle w:val="Akapitzlist"/>
        <w:numPr>
          <w:ilvl w:val="0"/>
          <w:numId w:val="18"/>
        </w:numPr>
        <w:shd w:val="clear" w:color="auto" w:fill="FFFFFF"/>
      </w:pPr>
      <w:r w:rsidRPr="00743E04">
        <w:t>Zakończenie naboru wniosków</w:t>
      </w:r>
      <w:r w:rsidR="00743E04">
        <w:t>:</w:t>
      </w:r>
      <w:r w:rsidRPr="00743E04">
        <w:t xml:space="preserve"> </w:t>
      </w:r>
      <w:bookmarkStart w:id="0" w:name="_GoBack"/>
      <w:bookmarkEnd w:id="0"/>
      <w:r w:rsidR="00602BF0">
        <w:t>30</w:t>
      </w:r>
      <w:r w:rsidR="00240274">
        <w:t xml:space="preserve"> listopada </w:t>
      </w:r>
      <w:r w:rsidR="00602BF0">
        <w:t>2020 r.</w:t>
      </w:r>
    </w:p>
    <w:p w14:paraId="7EEF9387" w14:textId="36E0C95B" w:rsidR="001B5167" w:rsidRPr="00DE325B" w:rsidRDefault="001B5167" w:rsidP="0024027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743E04">
        <w:t>Wyniki konkursu</w:t>
      </w:r>
      <w:r w:rsidR="00DB5ED1">
        <w:t>: P</w:t>
      </w:r>
      <w:r w:rsidR="007854D2" w:rsidRPr="00743E04">
        <w:t>ublikacja listy rankingowej</w:t>
      </w:r>
      <w:r w:rsidR="00DE325B">
        <w:t xml:space="preserve"> </w:t>
      </w:r>
      <w:r w:rsidR="00DE325B" w:rsidRPr="000D590D">
        <w:rPr>
          <w:rFonts w:ascii="Calibri" w:hAnsi="Calibri" w:cs="Calibri"/>
        </w:rPr>
        <w:t>poz</w:t>
      </w:r>
      <w:r w:rsidR="00DE325B">
        <w:rPr>
          <w:rFonts w:ascii="Calibri" w:hAnsi="Calibri" w:cs="Calibri"/>
        </w:rPr>
        <w:t xml:space="preserve">ytywnie </w:t>
      </w:r>
      <w:r w:rsidR="006E22A9">
        <w:rPr>
          <w:rFonts w:ascii="Calibri" w:hAnsi="Calibri" w:cs="Calibri"/>
        </w:rPr>
        <w:t xml:space="preserve">ocenionych </w:t>
      </w:r>
      <w:r w:rsidR="00DE325B">
        <w:rPr>
          <w:rFonts w:ascii="Calibri" w:hAnsi="Calibri" w:cs="Calibri"/>
        </w:rPr>
        <w:t>wniosków i listy</w:t>
      </w:r>
      <w:r w:rsidR="00DE325B" w:rsidRPr="00DE325B">
        <w:rPr>
          <w:rFonts w:ascii="Calibri" w:hAnsi="Calibri" w:cs="Calibri"/>
        </w:rPr>
        <w:t xml:space="preserve"> negatywnie ocenionych wniosków</w:t>
      </w:r>
      <w:r w:rsidR="006050E7">
        <w:rPr>
          <w:rFonts w:ascii="Calibri" w:hAnsi="Calibri" w:cs="Calibri"/>
        </w:rPr>
        <w:t xml:space="preserve"> </w:t>
      </w:r>
      <w:r w:rsidR="006050E7" w:rsidRPr="006050E7">
        <w:rPr>
          <w:rFonts w:ascii="Calibri" w:hAnsi="Calibri" w:cs="Calibri"/>
        </w:rPr>
        <w:t xml:space="preserve">w terminie 6 miesięcy od daty upływu terminu składania </w:t>
      </w:r>
      <w:r w:rsidR="006050E7">
        <w:rPr>
          <w:rFonts w:ascii="Calibri" w:hAnsi="Calibri" w:cs="Calibri"/>
        </w:rPr>
        <w:t>w</w:t>
      </w:r>
      <w:r w:rsidR="006050E7" w:rsidRPr="006050E7">
        <w:rPr>
          <w:rFonts w:ascii="Calibri" w:hAnsi="Calibri" w:cs="Calibri"/>
        </w:rPr>
        <w:t>niosków</w:t>
      </w:r>
    </w:p>
    <w:p w14:paraId="14F5EF25" w14:textId="4E19588E" w:rsidR="00743E04" w:rsidRPr="00B67D82" w:rsidRDefault="00177AAD" w:rsidP="00743E04">
      <w:pPr>
        <w:shd w:val="clear" w:color="auto" w:fill="FFFFFF"/>
        <w:ind w:left="720"/>
        <w:rPr>
          <w:color w:val="FF0000"/>
          <w:lang w:val="en-GB"/>
        </w:rPr>
      </w:pPr>
      <w:r w:rsidRPr="00B67D82">
        <w:rPr>
          <w:lang w:val="en-GB"/>
        </w:rPr>
        <w:lastRenderedPageBreak/>
        <w:t>[link]</w:t>
      </w:r>
      <w:r w:rsidR="00743E04" w:rsidRPr="00B67D82">
        <w:rPr>
          <w:color w:val="FF0000"/>
          <w:lang w:val="en-GB"/>
        </w:rPr>
        <w:t xml:space="preserve"> </w:t>
      </w:r>
      <w:hyperlink r:id="rId8" w:history="1">
        <w:r w:rsidR="00743E04" w:rsidRPr="00B67D82">
          <w:rPr>
            <w:rStyle w:val="Hipercze"/>
            <w:lang w:val="en-GB"/>
          </w:rPr>
          <w:t>https://www.ncbr.gov.pl/programy/programy-i-projekty-obronnosc-bezpieczenstwo/aktualn</w:t>
        </w:r>
        <w:r w:rsidR="00743E04" w:rsidRPr="00B67D82">
          <w:rPr>
            <w:rStyle w:val="Hipercze"/>
            <w:lang w:val="en-GB"/>
          </w:rPr>
          <w:t>osci/</w:t>
        </w:r>
      </w:hyperlink>
    </w:p>
    <w:p w14:paraId="408AD2D2" w14:textId="3413CAE9" w:rsidR="00EA066D" w:rsidRDefault="00C60FFF" w:rsidP="00790C98">
      <w:pPr>
        <w:pStyle w:val="Akapitzlist"/>
        <w:numPr>
          <w:ilvl w:val="0"/>
          <w:numId w:val="5"/>
        </w:numPr>
      </w:pPr>
      <w:r>
        <w:t>Sposób składania wniosków</w:t>
      </w:r>
      <w:r w:rsidR="001373D5">
        <w:t>/aplikowania</w:t>
      </w:r>
      <w:r w:rsidR="00EA066D">
        <w:t>:</w:t>
      </w:r>
    </w:p>
    <w:p w14:paraId="47FBAC10" w14:textId="5AA79D12" w:rsidR="00C60FFF" w:rsidRPr="00743E04" w:rsidRDefault="00EA066D" w:rsidP="00240274">
      <w:pPr>
        <w:ind w:left="360"/>
      </w:pPr>
      <w:r w:rsidRPr="00240274">
        <w:rPr>
          <w:rFonts w:cstheme="minorHAnsi"/>
        </w:rPr>
        <w:t xml:space="preserve">Wniosek należy sporządzić i przesłać wyłącznie </w:t>
      </w:r>
      <w:r w:rsidR="00743E04" w:rsidRPr="00240274">
        <w:rPr>
          <w:rFonts w:cstheme="minorHAnsi"/>
        </w:rPr>
        <w:t xml:space="preserve">za pośrednictwem elektronicznego systemu ZSUN-OSF dostępnego na stronie internetowej </w:t>
      </w:r>
      <w:hyperlink r:id="rId9" w:history="1">
        <w:r w:rsidR="00743E04" w:rsidRPr="00240274">
          <w:rPr>
            <w:rFonts w:cstheme="minorHAnsi"/>
          </w:rPr>
          <w:t>https://osf.opi.org.pl</w:t>
        </w:r>
      </w:hyperlink>
      <w:r w:rsidR="00DB5ED1">
        <w:rPr>
          <w:rFonts w:cstheme="minorHAnsi"/>
        </w:rPr>
        <w:t>.</w:t>
      </w:r>
    </w:p>
    <w:p w14:paraId="70825E1E" w14:textId="77777777" w:rsidR="00743E04" w:rsidRDefault="00743E04" w:rsidP="00743E04">
      <w:pPr>
        <w:pStyle w:val="Akapitzlist"/>
      </w:pPr>
    </w:p>
    <w:p w14:paraId="794E25B9" w14:textId="4885117C" w:rsidR="00E9286F" w:rsidRDefault="00D14920" w:rsidP="00D14920">
      <w:pPr>
        <w:pStyle w:val="Akapitzlist"/>
        <w:numPr>
          <w:ilvl w:val="0"/>
          <w:numId w:val="5"/>
        </w:numPr>
      </w:pPr>
      <w:r>
        <w:t>Sposób oceny wniosków</w:t>
      </w:r>
      <w:r w:rsidR="00EA066D">
        <w:t>:</w:t>
      </w:r>
    </w:p>
    <w:p w14:paraId="1D04ABC5" w14:textId="67998671" w:rsidR="00D14920" w:rsidRDefault="00E9286F" w:rsidP="00240274">
      <w:pPr>
        <w:ind w:left="360"/>
        <w:jc w:val="both"/>
      </w:pPr>
      <w:r>
        <w:t xml:space="preserve">Wnioski będą podlegać </w:t>
      </w:r>
      <w:r w:rsidR="00743E04">
        <w:t>ocen</w:t>
      </w:r>
      <w:r>
        <w:t>ie</w:t>
      </w:r>
      <w:r w:rsidR="00743E04">
        <w:t xml:space="preserve"> formaln</w:t>
      </w:r>
      <w:r>
        <w:t>ej</w:t>
      </w:r>
      <w:r w:rsidR="00240274">
        <w:t>.</w:t>
      </w:r>
      <w:r>
        <w:t xml:space="preserve"> Po zatwierdzeniu listy wniosków spełniających wymogi formalne rozpocznie się</w:t>
      </w:r>
      <w:r w:rsidR="00743E04">
        <w:t xml:space="preserve"> i</w:t>
      </w:r>
      <w:r>
        <w:t>ch</w:t>
      </w:r>
      <w:r w:rsidR="00743E04">
        <w:t xml:space="preserve"> </w:t>
      </w:r>
      <w:r>
        <w:t xml:space="preserve">ocena </w:t>
      </w:r>
      <w:r w:rsidR="00743E04">
        <w:t>merytoryczna</w:t>
      </w:r>
      <w:r>
        <w:t xml:space="preserve"> celem wyłonienia najlepszego wniosku w danym temacie.</w:t>
      </w:r>
    </w:p>
    <w:p w14:paraId="7A5D44CC" w14:textId="77777777" w:rsidR="00240274" w:rsidRDefault="00240274" w:rsidP="00743E04">
      <w:pPr>
        <w:pStyle w:val="Akapitzlist"/>
      </w:pPr>
    </w:p>
    <w:p w14:paraId="5D51F2E0" w14:textId="1BE59541" w:rsidR="00790C98" w:rsidRDefault="000F50BB" w:rsidP="00790C98">
      <w:pPr>
        <w:pStyle w:val="Akapitzlist"/>
        <w:numPr>
          <w:ilvl w:val="0"/>
          <w:numId w:val="5"/>
        </w:numPr>
      </w:pPr>
      <w:r>
        <w:t>Ważne dokumenty</w:t>
      </w:r>
      <w:r w:rsidR="006E22A9">
        <w:t>:</w:t>
      </w:r>
    </w:p>
    <w:p w14:paraId="2BDF58D0" w14:textId="2C687243" w:rsidR="00C60FFF" w:rsidRPr="00B67D82" w:rsidRDefault="00790C98" w:rsidP="00743E04">
      <w:pPr>
        <w:pStyle w:val="Akapitzlist"/>
        <w:numPr>
          <w:ilvl w:val="0"/>
          <w:numId w:val="7"/>
        </w:numPr>
        <w:rPr>
          <w:rStyle w:val="Hipercze"/>
          <w:color w:val="auto"/>
          <w:u w:val="none"/>
        </w:rPr>
      </w:pPr>
      <w:r w:rsidRPr="00743E04">
        <w:t>PDF do pobrania</w:t>
      </w:r>
      <w:r w:rsidR="00743E04">
        <w:t xml:space="preserve">: </w:t>
      </w:r>
      <w:hyperlink r:id="rId10" w:history="1">
        <w:r w:rsidR="00743E04" w:rsidRPr="00F90534">
          <w:rPr>
            <w:rStyle w:val="Hipercze"/>
          </w:rPr>
          <w:t>https://www.ncbr.gov.pl/programy/programy-i-projekty-obronnosc-bezpieczenstwo/aktualnosci/</w:t>
        </w:r>
      </w:hyperlink>
    </w:p>
    <w:p w14:paraId="3DF4427E" w14:textId="2AF90311" w:rsidR="000E1411" w:rsidRPr="00B67D82" w:rsidRDefault="00190263" w:rsidP="00743E04">
      <w:pPr>
        <w:pStyle w:val="Akapitzlist"/>
        <w:numPr>
          <w:ilvl w:val="0"/>
          <w:numId w:val="7"/>
        </w:numPr>
        <w:rPr>
          <w:rStyle w:val="Hipercze"/>
          <w:color w:val="auto"/>
          <w:u w:val="none"/>
        </w:rPr>
      </w:pPr>
      <w:hyperlink r:id="rId11" w:history="1">
        <w:r w:rsidR="000E1411" w:rsidRPr="004D2B20">
          <w:rPr>
            <w:rStyle w:val="Hipercze"/>
          </w:rPr>
          <w:t>Regulamin Konkursu nr 11</w:t>
        </w:r>
      </w:hyperlink>
      <w:r w:rsidR="000E1411">
        <w:t xml:space="preserve"> </w:t>
      </w:r>
    </w:p>
    <w:p w14:paraId="43F2D80F" w14:textId="3C845220" w:rsidR="000E1411" w:rsidRDefault="00190263" w:rsidP="00743E04">
      <w:pPr>
        <w:pStyle w:val="Akapitzlist"/>
        <w:numPr>
          <w:ilvl w:val="0"/>
          <w:numId w:val="7"/>
        </w:numPr>
      </w:pPr>
      <w:hyperlink r:id="rId12" w:history="1">
        <w:r w:rsidR="000E1411" w:rsidRPr="004D2B20">
          <w:rPr>
            <w:rStyle w:val="Hipercze"/>
          </w:rPr>
          <w:t>Założenia do projektu nr 1</w:t>
        </w:r>
      </w:hyperlink>
    </w:p>
    <w:p w14:paraId="46B38D61" w14:textId="2ABFEE57" w:rsidR="000E1411" w:rsidRDefault="00190263" w:rsidP="00743E04">
      <w:pPr>
        <w:pStyle w:val="Akapitzlist"/>
        <w:numPr>
          <w:ilvl w:val="0"/>
          <w:numId w:val="7"/>
        </w:numPr>
      </w:pPr>
      <w:hyperlink r:id="rId13" w:history="1">
        <w:r w:rsidR="000E1411" w:rsidRPr="003472D7">
          <w:rPr>
            <w:rStyle w:val="Hipercze"/>
          </w:rPr>
          <w:t>Założenia do projektu nr 2</w:t>
        </w:r>
      </w:hyperlink>
    </w:p>
    <w:p w14:paraId="33E62E70" w14:textId="39F860F0" w:rsidR="000E1411" w:rsidRDefault="00190263" w:rsidP="00743E04">
      <w:pPr>
        <w:pStyle w:val="Akapitzlist"/>
        <w:numPr>
          <w:ilvl w:val="0"/>
          <w:numId w:val="7"/>
        </w:numPr>
      </w:pPr>
      <w:hyperlink r:id="rId14" w:history="1">
        <w:r w:rsidR="000E1411" w:rsidRPr="003472D7">
          <w:rPr>
            <w:rStyle w:val="Hipercze"/>
          </w:rPr>
          <w:t>Założenia do projektu nr 3</w:t>
        </w:r>
      </w:hyperlink>
    </w:p>
    <w:p w14:paraId="55B7F76F" w14:textId="1E2F9FD8" w:rsidR="000E1411" w:rsidRDefault="00190263" w:rsidP="00743E04">
      <w:pPr>
        <w:pStyle w:val="Akapitzlist"/>
        <w:numPr>
          <w:ilvl w:val="0"/>
          <w:numId w:val="7"/>
        </w:numPr>
      </w:pPr>
      <w:hyperlink r:id="rId15" w:history="1">
        <w:r w:rsidR="000E1411" w:rsidRPr="003472D7">
          <w:rPr>
            <w:rStyle w:val="Hipercze"/>
          </w:rPr>
          <w:t>Przewodnik kwalifikowalności do konkursu nr 11</w:t>
        </w:r>
      </w:hyperlink>
    </w:p>
    <w:p w14:paraId="74EAE96F" w14:textId="615F084B" w:rsidR="000E1411" w:rsidRDefault="00190263" w:rsidP="00743E04">
      <w:pPr>
        <w:pStyle w:val="Akapitzlist"/>
        <w:numPr>
          <w:ilvl w:val="0"/>
          <w:numId w:val="7"/>
        </w:numPr>
      </w:pPr>
      <w:hyperlink r:id="rId16" w:history="1">
        <w:r w:rsidR="000E1411" w:rsidRPr="003472D7">
          <w:rPr>
            <w:rStyle w:val="Hipercze"/>
          </w:rPr>
          <w:t>Wersja A – wzór umowy dla Wnioskodawcy wielopodmiotowego</w:t>
        </w:r>
      </w:hyperlink>
    </w:p>
    <w:p w14:paraId="57A864C3" w14:textId="10E699ED" w:rsidR="000E1411" w:rsidRDefault="00190263" w:rsidP="00743E04">
      <w:pPr>
        <w:pStyle w:val="Akapitzlist"/>
        <w:numPr>
          <w:ilvl w:val="0"/>
          <w:numId w:val="7"/>
        </w:numPr>
      </w:pPr>
      <w:hyperlink r:id="rId17" w:history="1">
        <w:r w:rsidR="000E1411" w:rsidRPr="003472D7">
          <w:rPr>
            <w:rStyle w:val="Hipercze"/>
          </w:rPr>
          <w:t>Wersja B – wzór umowy dla Wnioskodawcy jednopodmiotowego</w:t>
        </w:r>
      </w:hyperlink>
    </w:p>
    <w:p w14:paraId="6F22FD9D" w14:textId="1284DDF5" w:rsidR="000E1411" w:rsidRDefault="00190263" w:rsidP="00743E04">
      <w:pPr>
        <w:pStyle w:val="Akapitzlist"/>
        <w:numPr>
          <w:ilvl w:val="0"/>
          <w:numId w:val="7"/>
        </w:numPr>
        <w:rPr>
          <w:rStyle w:val="Hipercze"/>
          <w:color w:val="auto"/>
          <w:u w:val="none"/>
        </w:rPr>
      </w:pPr>
      <w:hyperlink r:id="rId18" w:history="1">
        <w:r w:rsidR="000E1411" w:rsidRPr="003472D7">
          <w:rPr>
            <w:rStyle w:val="Hipercze"/>
          </w:rPr>
          <w:t>Informacja o sytuacji finansowej – konkurs nr 11 – aktualna</w:t>
        </w:r>
      </w:hyperlink>
    </w:p>
    <w:p w14:paraId="036FB15E" w14:textId="2F43E02B" w:rsidR="0015057C" w:rsidRPr="00B67D82" w:rsidRDefault="003472D7" w:rsidP="00743E04">
      <w:pPr>
        <w:pStyle w:val="Akapitzlist"/>
        <w:numPr>
          <w:ilvl w:val="0"/>
          <w:numId w:val="7"/>
        </w:numPr>
        <w:rPr>
          <w:rStyle w:val="Hipercze"/>
          <w:color w:val="auto"/>
          <w:u w:val="none"/>
        </w:rPr>
      </w:pPr>
      <w:hyperlink r:id="rId19" w:history="1">
        <w:r w:rsidR="0015057C" w:rsidRPr="003472D7">
          <w:rPr>
            <w:rStyle w:val="Hipercze"/>
          </w:rPr>
          <w:t>Karta konkursu</w:t>
        </w:r>
      </w:hyperlink>
    </w:p>
    <w:p w14:paraId="76DF131A" w14:textId="77777777" w:rsidR="00184DDD" w:rsidRDefault="00184DDD" w:rsidP="00B67D82">
      <w:pPr>
        <w:pStyle w:val="Akapitzlist"/>
        <w:ind w:left="360"/>
      </w:pPr>
    </w:p>
    <w:p w14:paraId="0DF32A7D" w14:textId="1F03FBC9" w:rsidR="00184DDD" w:rsidRPr="00785849" w:rsidRDefault="00184DDD" w:rsidP="006D2EED">
      <w:pPr>
        <w:pStyle w:val="Akapitzlist"/>
        <w:numPr>
          <w:ilvl w:val="0"/>
          <w:numId w:val="5"/>
        </w:numPr>
      </w:pPr>
      <w:r w:rsidRPr="00785849">
        <w:t>Aktualności konkursu</w:t>
      </w:r>
    </w:p>
    <w:p w14:paraId="44B1A7BF" w14:textId="77777777" w:rsidR="00184DDD" w:rsidRPr="00785849" w:rsidRDefault="00184DDD" w:rsidP="006D2EED">
      <w:pPr>
        <w:pStyle w:val="Akapitzlist"/>
        <w:ind w:left="360"/>
        <w:rPr>
          <w:color w:val="FF0000"/>
        </w:rPr>
      </w:pPr>
      <w:r w:rsidRPr="00785849">
        <w:rPr>
          <w:color w:val="FF0000"/>
        </w:rPr>
        <w:t xml:space="preserve">Funkcja </w:t>
      </w:r>
      <w:r w:rsidRPr="00785849">
        <w:rPr>
          <w:rFonts w:ascii="Calibri" w:hAnsi="Calibri" w:cs="Calibri"/>
          <w:color w:val="FF0000"/>
        </w:rPr>
        <w:t xml:space="preserve">Obserwuj konkurs </w:t>
      </w:r>
      <w:r w:rsidRPr="00785849">
        <w:rPr>
          <w:rFonts w:ascii="Calibri" w:hAnsi="Calibri" w:cs="Calibri"/>
          <w:color w:val="FF0000"/>
          <w:shd w:val="clear" w:color="auto" w:fill="FFFFFF"/>
        </w:rPr>
        <w:t>Otrzymasz powiadomienia o zmianach i upływających terminach</w:t>
      </w:r>
    </w:p>
    <w:p w14:paraId="536E1B92" w14:textId="77777777" w:rsidR="00743E04" w:rsidRPr="00743E04" w:rsidRDefault="00743E04" w:rsidP="006D2EED"/>
    <w:p w14:paraId="1AC0E769" w14:textId="68998BCA" w:rsidR="0046776B" w:rsidRPr="00790C98" w:rsidRDefault="00184DDD" w:rsidP="00445E25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>
        <w:t>Listy rankingowe</w:t>
      </w:r>
      <w:r w:rsidR="00445E25">
        <w:t>:</w:t>
      </w:r>
    </w:p>
    <w:p w14:paraId="757A634F" w14:textId="77777777" w:rsidR="0046776B" w:rsidRPr="00743E04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743E04">
        <w:rPr>
          <w:rFonts w:ascii="Calibri" w:hAnsi="Calibri" w:cs="Calibri"/>
        </w:rPr>
        <w:t>Lista projektów spełniających wymogi formalne</w:t>
      </w:r>
    </w:p>
    <w:p w14:paraId="7340C86E" w14:textId="77777777" w:rsidR="0046776B" w:rsidRPr="00743E04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743E04">
        <w:rPr>
          <w:rFonts w:ascii="Calibri" w:hAnsi="Calibri" w:cs="Calibri"/>
        </w:rPr>
        <w:t>Lista projektów niespełniających wymogów formalnych</w:t>
      </w:r>
    </w:p>
    <w:p w14:paraId="1756122F" w14:textId="5D7FE33B" w:rsidR="0046776B" w:rsidRPr="000D590D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590D">
        <w:rPr>
          <w:rFonts w:ascii="Calibri" w:hAnsi="Calibri" w:cs="Calibri"/>
        </w:rPr>
        <w:t xml:space="preserve">Lista </w:t>
      </w:r>
      <w:r w:rsidR="00743E04" w:rsidRPr="000D590D">
        <w:rPr>
          <w:rFonts w:ascii="Calibri" w:hAnsi="Calibri" w:cs="Calibri"/>
        </w:rPr>
        <w:t xml:space="preserve">rankingowa pozytywnie </w:t>
      </w:r>
      <w:r w:rsidR="006E22A9">
        <w:rPr>
          <w:rFonts w:ascii="Calibri" w:hAnsi="Calibri" w:cs="Calibri"/>
        </w:rPr>
        <w:t>ocenionych</w:t>
      </w:r>
      <w:r w:rsidR="006E22A9" w:rsidRPr="000D590D">
        <w:rPr>
          <w:rFonts w:ascii="Calibri" w:hAnsi="Calibri" w:cs="Calibri"/>
        </w:rPr>
        <w:t xml:space="preserve"> </w:t>
      </w:r>
      <w:r w:rsidR="00743E04" w:rsidRPr="000D590D">
        <w:rPr>
          <w:rFonts w:ascii="Calibri" w:hAnsi="Calibri" w:cs="Calibri"/>
        </w:rPr>
        <w:t xml:space="preserve">wniosków </w:t>
      </w:r>
    </w:p>
    <w:p w14:paraId="5C04500B" w14:textId="692CC769" w:rsidR="0046776B" w:rsidRPr="000D590D" w:rsidRDefault="0046776B" w:rsidP="0046776B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D590D">
        <w:rPr>
          <w:rFonts w:ascii="Calibri" w:hAnsi="Calibri" w:cs="Calibri"/>
        </w:rPr>
        <w:t xml:space="preserve">Lista </w:t>
      </w:r>
      <w:r w:rsidR="000D590D" w:rsidRPr="000D590D">
        <w:rPr>
          <w:rFonts w:ascii="Calibri" w:hAnsi="Calibri" w:cs="Calibri"/>
        </w:rPr>
        <w:t>negatywnie ocenionych wniosków</w:t>
      </w:r>
    </w:p>
    <w:p w14:paraId="5CB116E4" w14:textId="77777777" w:rsidR="00743E04" w:rsidRPr="00445E25" w:rsidRDefault="00743E04" w:rsidP="00743E04">
      <w:pPr>
        <w:pStyle w:val="Akapitzlist"/>
        <w:ind w:left="1068"/>
        <w:rPr>
          <w:rFonts w:ascii="Calibri" w:hAnsi="Calibri" w:cs="Calibri"/>
        </w:rPr>
      </w:pPr>
    </w:p>
    <w:p w14:paraId="0F083679" w14:textId="01307851" w:rsidR="004956DC" w:rsidRDefault="00445E25" w:rsidP="00743E04">
      <w:pPr>
        <w:pStyle w:val="Akapitzlist"/>
        <w:numPr>
          <w:ilvl w:val="0"/>
          <w:numId w:val="5"/>
        </w:numPr>
      </w:pPr>
      <w:r>
        <w:t>Kontakt:</w:t>
      </w:r>
    </w:p>
    <w:p w14:paraId="108AEAF1" w14:textId="77777777" w:rsidR="00DB5ED1" w:rsidRDefault="00240274" w:rsidP="00445E25">
      <w:pPr>
        <w:pStyle w:val="Akapitzlist"/>
        <w:numPr>
          <w:ilvl w:val="0"/>
          <w:numId w:val="9"/>
        </w:numPr>
      </w:pPr>
      <w:r>
        <w:t>P</w:t>
      </w:r>
      <w:r w:rsidR="00445E25" w:rsidRPr="00445E25">
        <w:t>ytania dotyczące warunków konkursu można kierować na adres</w:t>
      </w:r>
      <w:r w:rsidR="00743E04" w:rsidRPr="00743E04">
        <w:t>:</w:t>
      </w:r>
    </w:p>
    <w:p w14:paraId="4C52FB7F" w14:textId="6594A09E" w:rsidR="001373D5" w:rsidRPr="00B67D82" w:rsidRDefault="00DB5ED1" w:rsidP="00B67D82">
      <w:pPr>
        <w:pStyle w:val="Akapitzlist"/>
        <w:ind w:left="1080"/>
        <w:rPr>
          <w:rStyle w:val="Hipercze"/>
          <w:lang w:val="fr-FR"/>
        </w:rPr>
      </w:pPr>
      <w:r w:rsidRPr="00B67D82">
        <w:rPr>
          <w:lang w:val="fr-FR"/>
        </w:rPr>
        <w:t xml:space="preserve">e-mail: </w:t>
      </w:r>
      <w:hyperlink r:id="rId20" w:history="1">
        <w:r w:rsidR="000D590D" w:rsidRPr="00B67D82">
          <w:rPr>
            <w:rStyle w:val="Hipercze"/>
            <w:lang w:val="fr-FR"/>
          </w:rPr>
          <w:t>dobr@ncbr.gov.pl</w:t>
        </w:r>
      </w:hyperlink>
    </w:p>
    <w:p w14:paraId="34B4CD58" w14:textId="77777777" w:rsidR="00DB5ED1" w:rsidRPr="00B67D82" w:rsidRDefault="00DB5ED1" w:rsidP="00B67D82">
      <w:pPr>
        <w:pStyle w:val="Akapitzlist"/>
        <w:ind w:left="1080"/>
        <w:rPr>
          <w:lang w:val="fr-FR"/>
        </w:rPr>
      </w:pPr>
    </w:p>
    <w:p w14:paraId="20A4181E" w14:textId="77777777" w:rsidR="00DB5ED1" w:rsidRDefault="00240274" w:rsidP="00445E25">
      <w:pPr>
        <w:pStyle w:val="Akapitzlist"/>
        <w:numPr>
          <w:ilvl w:val="0"/>
          <w:numId w:val="9"/>
        </w:numPr>
        <w:jc w:val="both"/>
      </w:pPr>
      <w:r>
        <w:t>P</w:t>
      </w:r>
      <w:r w:rsidR="000D590D" w:rsidRPr="000D590D">
        <w:t xml:space="preserve">ytania informatyczno-techniczne </w:t>
      </w:r>
      <w:r w:rsidR="00445E25">
        <w:t xml:space="preserve">(dotyczące systemu ZSUN-OSF) </w:t>
      </w:r>
      <w:r w:rsidR="000D590D" w:rsidRPr="000D590D">
        <w:t>należy kierować bezpośrednio do O</w:t>
      </w:r>
      <w:r w:rsidR="000D590D">
        <w:t xml:space="preserve">środka </w:t>
      </w:r>
      <w:r w:rsidR="000D590D" w:rsidRPr="000D590D">
        <w:t>P</w:t>
      </w:r>
      <w:r w:rsidR="000D590D">
        <w:t xml:space="preserve">rzetwarzania </w:t>
      </w:r>
      <w:r w:rsidR="000D590D" w:rsidRPr="000D590D">
        <w:t>I</w:t>
      </w:r>
      <w:r w:rsidR="000D590D">
        <w:t xml:space="preserve">nformacji </w:t>
      </w:r>
      <w:r w:rsidR="00445E25">
        <w:t>– PIB:</w:t>
      </w:r>
    </w:p>
    <w:p w14:paraId="3C566BEE" w14:textId="42A91921" w:rsidR="00DB5ED1" w:rsidRDefault="00DB5ED1" w:rsidP="00B67D82">
      <w:pPr>
        <w:pStyle w:val="Akapitzlist"/>
        <w:ind w:left="1080"/>
        <w:jc w:val="both"/>
      </w:pPr>
      <w:r>
        <w:t>tel.:</w:t>
      </w:r>
      <w:r w:rsidR="000D590D" w:rsidRPr="000D590D">
        <w:t xml:space="preserve"> 22 351-71-01, 22 351-70-89, 22 351-71-04</w:t>
      </w:r>
    </w:p>
    <w:p w14:paraId="1762CE30" w14:textId="6C35E133" w:rsidR="000B0FE3" w:rsidRDefault="00DB5ED1" w:rsidP="00B67D82">
      <w:pPr>
        <w:pStyle w:val="Akapitzlist"/>
        <w:ind w:left="1080"/>
        <w:jc w:val="both"/>
      </w:pPr>
      <w:r>
        <w:t>lub</w:t>
      </w:r>
      <w:r w:rsidR="000D590D" w:rsidRPr="000D590D">
        <w:t xml:space="preserve"> mailowo</w:t>
      </w:r>
      <w:r>
        <w:t>,</w:t>
      </w:r>
      <w:r w:rsidR="000D590D" w:rsidRPr="000D590D">
        <w:t xml:space="preserve"> wybierając stosowny przycisk na stronie </w:t>
      </w:r>
      <w:hyperlink r:id="rId21" w:history="1">
        <w:r w:rsidR="003E6536" w:rsidRPr="00F11FDB">
          <w:rPr>
            <w:rStyle w:val="Hipercze"/>
          </w:rPr>
          <w:t>https://osf.opi.org.pl</w:t>
        </w:r>
      </w:hyperlink>
      <w:r w:rsidR="000D590D" w:rsidRPr="000D590D">
        <w:t>.</w:t>
      </w:r>
    </w:p>
    <w:p w14:paraId="66BF7991" w14:textId="77777777" w:rsidR="00DB5ED1" w:rsidRDefault="00DB5ED1" w:rsidP="00B67D82">
      <w:pPr>
        <w:pStyle w:val="Akapitzlist"/>
        <w:ind w:left="1080"/>
        <w:jc w:val="both"/>
      </w:pPr>
    </w:p>
    <w:p w14:paraId="7543B134" w14:textId="53FCEBCB" w:rsidR="003E6536" w:rsidRDefault="00240274" w:rsidP="00445E25">
      <w:pPr>
        <w:pStyle w:val="Akapitzlist"/>
        <w:numPr>
          <w:ilvl w:val="0"/>
          <w:numId w:val="9"/>
        </w:numPr>
        <w:jc w:val="both"/>
      </w:pPr>
      <w:r>
        <w:t>P</w:t>
      </w:r>
      <w:r w:rsidR="003E6536">
        <w:t>unkt informacyjny</w:t>
      </w:r>
      <w:r w:rsidR="00DB5ED1">
        <w:t xml:space="preserve"> NCBR</w:t>
      </w:r>
      <w:r w:rsidR="00DB5ED1" w:rsidRPr="00B67D82">
        <w:rPr>
          <w:color w:val="FF0000"/>
        </w:rPr>
        <w:t xml:space="preserve"> [link]</w:t>
      </w:r>
    </w:p>
    <w:sectPr w:rsidR="003E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ACA"/>
    <w:multiLevelType w:val="hybridMultilevel"/>
    <w:tmpl w:val="B360F7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E67AB3"/>
    <w:multiLevelType w:val="hybridMultilevel"/>
    <w:tmpl w:val="EC446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7630"/>
    <w:multiLevelType w:val="hybridMultilevel"/>
    <w:tmpl w:val="B1102ADA"/>
    <w:lvl w:ilvl="0" w:tplc="CB285F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800C71"/>
    <w:multiLevelType w:val="hybridMultilevel"/>
    <w:tmpl w:val="12545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A6392"/>
    <w:multiLevelType w:val="hybridMultilevel"/>
    <w:tmpl w:val="E78A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189C"/>
    <w:multiLevelType w:val="hybridMultilevel"/>
    <w:tmpl w:val="D356368A"/>
    <w:lvl w:ilvl="0" w:tplc="CABC4C78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4537DE"/>
    <w:multiLevelType w:val="hybridMultilevel"/>
    <w:tmpl w:val="F40AC2D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2823020"/>
    <w:multiLevelType w:val="hybridMultilevel"/>
    <w:tmpl w:val="05A6146A"/>
    <w:lvl w:ilvl="0" w:tplc="72E66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728D4"/>
    <w:multiLevelType w:val="hybridMultilevel"/>
    <w:tmpl w:val="E26017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F04502"/>
    <w:multiLevelType w:val="hybridMultilevel"/>
    <w:tmpl w:val="1BA2822E"/>
    <w:lvl w:ilvl="0" w:tplc="F13E8B76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0" w15:restartNumberingAfterBreak="0">
    <w:nsid w:val="54B618EF"/>
    <w:multiLevelType w:val="hybridMultilevel"/>
    <w:tmpl w:val="5B52E7B2"/>
    <w:lvl w:ilvl="0" w:tplc="CB285F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0B1EAB"/>
    <w:multiLevelType w:val="hybridMultilevel"/>
    <w:tmpl w:val="76A8766C"/>
    <w:lvl w:ilvl="0" w:tplc="A484D810">
      <w:start w:val="1"/>
      <w:numFmt w:val="decimal"/>
      <w:lvlText w:val="%1)"/>
      <w:lvlJc w:val="left"/>
      <w:pPr>
        <w:ind w:left="279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351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4230" w:hanging="180"/>
      </w:pPr>
    </w:lvl>
    <w:lvl w:ilvl="3" w:tplc="0415000F" w:tentative="1">
      <w:start w:val="1"/>
      <w:numFmt w:val="decimal"/>
      <w:lvlText w:val="%4."/>
      <w:lvlJc w:val="left"/>
      <w:pPr>
        <w:ind w:left="4950" w:hanging="360"/>
      </w:pPr>
    </w:lvl>
    <w:lvl w:ilvl="4" w:tplc="04150019" w:tentative="1">
      <w:start w:val="1"/>
      <w:numFmt w:val="lowerLetter"/>
      <w:lvlText w:val="%5."/>
      <w:lvlJc w:val="left"/>
      <w:pPr>
        <w:ind w:left="5670" w:hanging="360"/>
      </w:pPr>
    </w:lvl>
    <w:lvl w:ilvl="5" w:tplc="0415001B" w:tentative="1">
      <w:start w:val="1"/>
      <w:numFmt w:val="lowerRoman"/>
      <w:lvlText w:val="%6."/>
      <w:lvlJc w:val="right"/>
      <w:pPr>
        <w:ind w:left="6390" w:hanging="180"/>
      </w:pPr>
    </w:lvl>
    <w:lvl w:ilvl="6" w:tplc="0415000F" w:tentative="1">
      <w:start w:val="1"/>
      <w:numFmt w:val="decimal"/>
      <w:lvlText w:val="%7."/>
      <w:lvlJc w:val="left"/>
      <w:pPr>
        <w:ind w:left="7110" w:hanging="360"/>
      </w:pPr>
    </w:lvl>
    <w:lvl w:ilvl="7" w:tplc="04150019" w:tentative="1">
      <w:start w:val="1"/>
      <w:numFmt w:val="lowerLetter"/>
      <w:lvlText w:val="%8."/>
      <w:lvlJc w:val="left"/>
      <w:pPr>
        <w:ind w:left="7830" w:hanging="360"/>
      </w:pPr>
    </w:lvl>
    <w:lvl w:ilvl="8" w:tplc="0415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2" w15:restartNumberingAfterBreak="0">
    <w:nsid w:val="5E52442E"/>
    <w:multiLevelType w:val="hybridMultilevel"/>
    <w:tmpl w:val="9E7CA4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D521A6"/>
    <w:multiLevelType w:val="hybridMultilevel"/>
    <w:tmpl w:val="3BACC8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D5DCD"/>
    <w:multiLevelType w:val="hybridMultilevel"/>
    <w:tmpl w:val="94AE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7273A1"/>
    <w:multiLevelType w:val="hybridMultilevel"/>
    <w:tmpl w:val="907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A3C87"/>
    <w:multiLevelType w:val="multilevel"/>
    <w:tmpl w:val="7A06B4C2"/>
    <w:lvl w:ilvl="0">
      <w:start w:val="1"/>
      <w:numFmt w:val="decimal"/>
      <w:lvlText w:val="%1."/>
      <w:legacy w:legacy="1" w:legacySpace="0" w:legacyIndent="283"/>
      <w:lvlJc w:val="left"/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C7B7522"/>
    <w:multiLevelType w:val="hybridMultilevel"/>
    <w:tmpl w:val="785E0A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C73E34A8">
      <w:start w:val="1"/>
      <w:numFmt w:val="lowerLetter"/>
      <w:lvlText w:val="%2)"/>
      <w:lvlJc w:val="left"/>
      <w:pPr>
        <w:ind w:left="1788" w:hanging="360"/>
      </w:pPr>
      <w:rPr>
        <w:rFonts w:ascii="Times-Roman" w:hAnsi="Times-Roman" w:cs="Times-Roman" w:hint="default"/>
        <w:i w:val="0"/>
      </w:rPr>
    </w:lvl>
    <w:lvl w:ilvl="2" w:tplc="7930AD72">
      <w:start w:val="1"/>
      <w:numFmt w:val="decimal"/>
      <w:lvlText w:val="%3."/>
      <w:lvlJc w:val="left"/>
      <w:pPr>
        <w:ind w:left="2688" w:hanging="360"/>
      </w:pPr>
      <w:rPr>
        <w:rFonts w:asciiTheme="minorHAnsi" w:hAnsiTheme="minorHAnsi" w:cstheme="minorHAnsi" w:hint="default"/>
      </w:rPr>
    </w:lvl>
    <w:lvl w:ilvl="3" w:tplc="6D26CC4C">
      <w:start w:val="7"/>
      <w:numFmt w:val="upperRoman"/>
      <w:lvlText w:val="%4."/>
      <w:lvlJc w:val="left"/>
      <w:pPr>
        <w:ind w:left="3588" w:hanging="720"/>
      </w:pPr>
      <w:rPr>
        <w:rFonts w:hint="default"/>
      </w:rPr>
    </w:lvl>
    <w:lvl w:ilvl="4" w:tplc="B8DC3FD4">
      <w:start w:val="1"/>
      <w:numFmt w:val="upperLetter"/>
      <w:lvlText w:val="%5."/>
      <w:lvlJc w:val="left"/>
      <w:pPr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BA6DAE"/>
    <w:multiLevelType w:val="hybridMultilevel"/>
    <w:tmpl w:val="F9DAC3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14"/>
  </w:num>
  <w:num w:numId="10">
    <w:abstractNumId w:val="5"/>
  </w:num>
  <w:num w:numId="11">
    <w:abstractNumId w:val="9"/>
  </w:num>
  <w:num w:numId="12">
    <w:abstractNumId w:val="18"/>
  </w:num>
  <w:num w:numId="13">
    <w:abstractNumId w:val="17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EF"/>
    <w:rsid w:val="00020D29"/>
    <w:rsid w:val="000655FD"/>
    <w:rsid w:val="000B0FE3"/>
    <w:rsid w:val="000D590D"/>
    <w:rsid w:val="000E1411"/>
    <w:rsid w:val="000F50BB"/>
    <w:rsid w:val="0013318F"/>
    <w:rsid w:val="001373D5"/>
    <w:rsid w:val="0015057C"/>
    <w:rsid w:val="00160A44"/>
    <w:rsid w:val="00177AAD"/>
    <w:rsid w:val="00184DDD"/>
    <w:rsid w:val="00190263"/>
    <w:rsid w:val="001B19B0"/>
    <w:rsid w:val="001B5167"/>
    <w:rsid w:val="00240274"/>
    <w:rsid w:val="0028141A"/>
    <w:rsid w:val="002838D0"/>
    <w:rsid w:val="00285301"/>
    <w:rsid w:val="002D6F57"/>
    <w:rsid w:val="00307C42"/>
    <w:rsid w:val="003472D7"/>
    <w:rsid w:val="0037596F"/>
    <w:rsid w:val="00384670"/>
    <w:rsid w:val="003C3810"/>
    <w:rsid w:val="003E6536"/>
    <w:rsid w:val="00445E25"/>
    <w:rsid w:val="0046776B"/>
    <w:rsid w:val="00475F7E"/>
    <w:rsid w:val="004956DC"/>
    <w:rsid w:val="004A7403"/>
    <w:rsid w:val="004D2B20"/>
    <w:rsid w:val="005012C2"/>
    <w:rsid w:val="00542B1D"/>
    <w:rsid w:val="005A00AE"/>
    <w:rsid w:val="00602BF0"/>
    <w:rsid w:val="006050E7"/>
    <w:rsid w:val="0067031E"/>
    <w:rsid w:val="006D2EED"/>
    <w:rsid w:val="006E22A9"/>
    <w:rsid w:val="00703C38"/>
    <w:rsid w:val="007176C5"/>
    <w:rsid w:val="00743E04"/>
    <w:rsid w:val="00744F66"/>
    <w:rsid w:val="0076190C"/>
    <w:rsid w:val="00764C99"/>
    <w:rsid w:val="007854D2"/>
    <w:rsid w:val="00790C98"/>
    <w:rsid w:val="007A7C80"/>
    <w:rsid w:val="007E742D"/>
    <w:rsid w:val="00823FEF"/>
    <w:rsid w:val="00925BD2"/>
    <w:rsid w:val="009C12FE"/>
    <w:rsid w:val="009D3EA3"/>
    <w:rsid w:val="009F559B"/>
    <w:rsid w:val="00A41C6A"/>
    <w:rsid w:val="00A46CB0"/>
    <w:rsid w:val="00B67D82"/>
    <w:rsid w:val="00B77EFF"/>
    <w:rsid w:val="00BD1C21"/>
    <w:rsid w:val="00BD4D6A"/>
    <w:rsid w:val="00BF3545"/>
    <w:rsid w:val="00C60FFF"/>
    <w:rsid w:val="00C653DD"/>
    <w:rsid w:val="00D06081"/>
    <w:rsid w:val="00D14920"/>
    <w:rsid w:val="00D95BA9"/>
    <w:rsid w:val="00DA4136"/>
    <w:rsid w:val="00DB1C69"/>
    <w:rsid w:val="00DB3472"/>
    <w:rsid w:val="00DB5ED1"/>
    <w:rsid w:val="00DE325B"/>
    <w:rsid w:val="00DF7C8D"/>
    <w:rsid w:val="00E212C0"/>
    <w:rsid w:val="00E9286F"/>
    <w:rsid w:val="00EA066D"/>
    <w:rsid w:val="00EB3047"/>
    <w:rsid w:val="00ED2D77"/>
    <w:rsid w:val="00FE3908"/>
    <w:rsid w:val="00FE4EBC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8FAB"/>
  <w15:chartTrackingRefBased/>
  <w15:docId w15:val="{83CA349F-8A92-422B-AB31-4AAA5093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C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283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3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38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8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8D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3E04"/>
    <w:rPr>
      <w:color w:val="0563C1" w:themeColor="hyperlink"/>
      <w:u w:val="single"/>
    </w:rPr>
  </w:style>
  <w:style w:type="paragraph" w:customStyle="1" w:styleId="Style5">
    <w:name w:val="Style5"/>
    <w:basedOn w:val="Normalny"/>
    <w:uiPriority w:val="99"/>
    <w:rsid w:val="00020D29"/>
    <w:pPr>
      <w:widowControl w:val="0"/>
      <w:autoSpaceDE w:val="0"/>
      <w:autoSpaceDN w:val="0"/>
      <w:adjustRightInd w:val="0"/>
      <w:spacing w:after="0" w:line="252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84DDD"/>
  </w:style>
  <w:style w:type="character" w:styleId="UyteHipercze">
    <w:name w:val="FollowedHyperlink"/>
    <w:basedOn w:val="Domylnaczcionkaakapitu"/>
    <w:uiPriority w:val="99"/>
    <w:semiHidden/>
    <w:unhideWhenUsed/>
    <w:rsid w:val="00190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programy-i-projekty-obronnosc-bezpieczenstwo/aktualnosci/" TargetMode="External"/><Relationship Id="rId13" Type="http://schemas.openxmlformats.org/officeDocument/2006/relationships/hyperlink" Target="file:///C:\Users\barbaralipinska\Desktop\strona-konkursy\Za&#322;o&#380;enia%20nr%202.pdf" TargetMode="External"/><Relationship Id="rId18" Type="http://schemas.openxmlformats.org/officeDocument/2006/relationships/hyperlink" Target="file:///C:\Users\barbaralipinska\Desktop\strona-konkursy\Informacja_o_sytuacji_finansowej__konkurs_nr_11_aktualna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osf.opi.org.pl" TargetMode="External"/><Relationship Id="rId7" Type="http://schemas.openxmlformats.org/officeDocument/2006/relationships/image" Target="media/image2.png"/><Relationship Id="rId12" Type="http://schemas.openxmlformats.org/officeDocument/2006/relationships/hyperlink" Target="file:///C:\Users\barbaralipinska\Desktop\strona-konkursy\Za&#322;o&#380;enia%20nr%201.pdf" TargetMode="External"/><Relationship Id="rId17" Type="http://schemas.openxmlformats.org/officeDocument/2006/relationships/hyperlink" Target="file:///C:\Users\barbaralipinska\Desktop\strona-konkursy\Wersja%20B_wz&#243;r%20umowy%20dla%20Wnioskodawcy%20jednopodmiotoweg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barbaralipinska\Desktop\strona-konkursy\Wersja%20A_wz&#243;r%20umowy%20dla%20Wnioskodawcy%20wielopodmiotowego.pdf" TargetMode="External"/><Relationship Id="rId20" Type="http://schemas.openxmlformats.org/officeDocument/2006/relationships/hyperlink" Target="mailto:dobr@ncbr.gov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barbaralipinska\Desktop\strona-konkursy\Regulamin%20konkurs%20nr%2011%20aktualizacja%2011%2009%202020%20wersja%20aktualn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arbaralipinska\Desktop\strona-konkursy\Przewodnik%20kwalifikowalno&#347;ci%20konkurs%20nr%201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cbr.gov.pl/programy/programy-i-projekty-obronnosc-bezpieczenstwo/aktualnosci/" TargetMode="External"/><Relationship Id="rId19" Type="http://schemas.openxmlformats.org/officeDocument/2006/relationships/hyperlink" Target="file:///C:\Users\barbaralipinska\AppData\Local\Microsoft\Windows\INetCache\Content.Outlook\IWAZT0WO\Karta%20konkursu%2011%2001%2009%202020%20czysta-bpl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f.opi.org.pl" TargetMode="External"/><Relationship Id="rId14" Type="http://schemas.openxmlformats.org/officeDocument/2006/relationships/hyperlink" Target="file:///C:\Users\barbaralipinska\Desktop\strona-konkursy\Za&#322;o&#380;enia%20nr%20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27DB-491E-47C5-BAD0-C6482827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Tomczak</dc:creator>
  <cp:keywords/>
  <dc:description/>
  <cp:lastModifiedBy>Jolanta Tomczak</cp:lastModifiedBy>
  <cp:revision>3</cp:revision>
  <cp:lastPrinted>2020-10-16T12:50:00Z</cp:lastPrinted>
  <dcterms:created xsi:type="dcterms:W3CDTF">2020-10-19T07:41:00Z</dcterms:created>
  <dcterms:modified xsi:type="dcterms:W3CDTF">2020-10-19T07:55:00Z</dcterms:modified>
</cp:coreProperties>
</file>