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 xml:space="preserve">Rady Ministrów z dnia 21 października 2019 r. w sprawie szczegółowego sposobu gospodarowania składnikami rzeczowymi majątku ruchomego Skarbu Państwa (Dz. U. z 2023 r. poz. 2303, z </w:t>
      </w:r>
      <w:proofErr w:type="spellStart"/>
      <w:r w:rsidRPr="000E3667">
        <w:rPr>
          <w:rFonts w:eastAsia="Arial" w:cstheme="minorHAnsi"/>
          <w:color w:val="000000"/>
          <w:lang w:eastAsia="pl-PL"/>
        </w:rPr>
        <w:t>późn</w:t>
      </w:r>
      <w:proofErr w:type="spellEnd"/>
      <w:r w:rsidRPr="000E3667">
        <w:rPr>
          <w:rFonts w:eastAsia="Arial" w:cstheme="minorHAnsi"/>
          <w:color w:val="000000"/>
          <w:lang w:eastAsia="pl-PL"/>
        </w:rPr>
        <w:t>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4A7FE0FF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96B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9402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6287" w14:textId="7B842856" w:rsidR="000E3667" w:rsidRDefault="000E3667" w:rsidP="00A9796B">
    <w:pPr>
      <w:tabs>
        <w:tab w:val="center" w:pos="4536"/>
        <w:tab w:val="right" w:pos="9072"/>
      </w:tabs>
      <w:spacing w:after="0" w:line="240" w:lineRule="auto"/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A9796B">
      <w:rPr>
        <w:rFonts w:ascii="Calibri" w:eastAsia="Times New Roman" w:hAnsi="Calibri" w:cs="Times New Roman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65919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4026C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6</cp:revision>
  <dcterms:created xsi:type="dcterms:W3CDTF">2025-01-22T09:22:00Z</dcterms:created>
  <dcterms:modified xsi:type="dcterms:W3CDTF">2025-07-28T19:17:00Z</dcterms:modified>
</cp:coreProperties>
</file>