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7D94A" w14:textId="41517B0F" w:rsidR="006741FC" w:rsidRPr="00BB3E4F" w:rsidRDefault="006741FC" w:rsidP="003F02FA">
      <w:pPr>
        <w:jc w:val="left"/>
      </w:pPr>
      <w:bookmarkStart w:id="0" w:name="_GoBack"/>
      <w:bookmarkEnd w:id="0"/>
    </w:p>
    <w:p w14:paraId="3E17A8E0" w14:textId="77777777" w:rsidR="006741FC" w:rsidRPr="00BB3E4F" w:rsidRDefault="006741FC" w:rsidP="006741FC">
      <w:pPr>
        <w:pStyle w:val="Tytu"/>
      </w:pPr>
    </w:p>
    <w:p w14:paraId="2CB66DAC" w14:textId="77777777" w:rsidR="006741FC" w:rsidRPr="00BB3E4F" w:rsidRDefault="006741FC" w:rsidP="006741FC">
      <w:pPr>
        <w:pStyle w:val="Tytu"/>
      </w:pPr>
    </w:p>
    <w:p w14:paraId="6D9A2038" w14:textId="77777777" w:rsidR="006741FC" w:rsidRPr="00BB3E4F" w:rsidRDefault="006741FC" w:rsidP="006741FC">
      <w:pPr>
        <w:pStyle w:val="Tytu"/>
      </w:pPr>
      <w:r w:rsidRPr="00BB3E4F">
        <w:t>OCENA FUNKCJONOWANIA RYNKU MOCY</w:t>
      </w:r>
    </w:p>
    <w:p w14:paraId="4CD30226" w14:textId="7FA98061" w:rsidR="006741FC" w:rsidRPr="00BB3E4F" w:rsidRDefault="006741FC" w:rsidP="006741FC">
      <w:pPr>
        <w:pStyle w:val="Tytu"/>
      </w:pPr>
      <w:r w:rsidRPr="00BB3E4F">
        <w:t>W LATACH 2018</w:t>
      </w:r>
      <w:r w:rsidR="00ED1AC4">
        <w:t>–</w:t>
      </w:r>
      <w:r w:rsidRPr="00BB3E4F">
        <w:t>2024</w:t>
      </w:r>
    </w:p>
    <w:p w14:paraId="560644BE" w14:textId="77777777" w:rsidR="006741FC" w:rsidRPr="00BB3E4F" w:rsidRDefault="006741FC" w:rsidP="006741FC">
      <w:pPr>
        <w:pStyle w:val="Podtytu"/>
      </w:pPr>
    </w:p>
    <w:p w14:paraId="49881E2A" w14:textId="77777777" w:rsidR="006741FC" w:rsidRPr="00BB3E4F" w:rsidRDefault="006741FC" w:rsidP="006741FC"/>
    <w:p w14:paraId="05FA15BE" w14:textId="77777777" w:rsidR="006741FC" w:rsidRPr="00BB3E4F" w:rsidRDefault="006741FC" w:rsidP="006741FC"/>
    <w:p w14:paraId="6620BD63" w14:textId="77777777" w:rsidR="006741FC" w:rsidRPr="00BB3E4F" w:rsidRDefault="006741FC" w:rsidP="006741FC"/>
    <w:p w14:paraId="110E74FB" w14:textId="77777777" w:rsidR="006741FC" w:rsidRPr="00BB3E4F" w:rsidRDefault="006741FC" w:rsidP="006741FC"/>
    <w:p w14:paraId="72AA77E1" w14:textId="77777777" w:rsidR="006741FC" w:rsidRPr="00BB3E4F" w:rsidRDefault="006741FC" w:rsidP="006741FC"/>
    <w:p w14:paraId="10C5E382" w14:textId="77777777" w:rsidR="006741FC" w:rsidRPr="00BB3E4F" w:rsidRDefault="006741FC" w:rsidP="006741FC"/>
    <w:p w14:paraId="12B5B3F1" w14:textId="19BF7B58" w:rsidR="006741FC" w:rsidRPr="00BB3E4F" w:rsidRDefault="006741FC" w:rsidP="006741FC">
      <w:pPr>
        <w:jc w:val="center"/>
      </w:pPr>
      <w:r w:rsidRPr="00BB3E4F">
        <w:t xml:space="preserve">Warszawa, </w:t>
      </w:r>
      <w:r w:rsidR="00332212">
        <w:t>styczeń</w:t>
      </w:r>
      <w:r w:rsidR="00332212" w:rsidRPr="00BB3E4F">
        <w:t xml:space="preserve"> </w:t>
      </w:r>
      <w:r w:rsidRPr="00BB3E4F">
        <w:t>202</w:t>
      </w:r>
      <w:r w:rsidR="00332212">
        <w:t>5</w:t>
      </w:r>
      <w:r w:rsidRPr="00BB3E4F">
        <w:t xml:space="preserve"> r.</w:t>
      </w:r>
    </w:p>
    <w:p w14:paraId="5FC4E37D" w14:textId="77777777" w:rsidR="006741FC" w:rsidRPr="00BB3E4F" w:rsidRDefault="006741FC" w:rsidP="006741FC">
      <w:pPr>
        <w:jc w:val="left"/>
      </w:pPr>
    </w:p>
    <w:p w14:paraId="1F58226E" w14:textId="77777777" w:rsidR="006741FC" w:rsidRPr="00BB3E4F" w:rsidRDefault="006741FC" w:rsidP="006741FC">
      <w:pPr>
        <w:jc w:val="left"/>
        <w:rPr>
          <w:rFonts w:eastAsiaTheme="majorEastAsia" w:cstheme="majorBidi"/>
          <w:b/>
          <w:color w:val="0F4761" w:themeColor="accent1" w:themeShade="BF"/>
          <w:sz w:val="40"/>
          <w:szCs w:val="40"/>
        </w:rPr>
      </w:pPr>
      <w:bookmarkStart w:id="1" w:name="_Toc178058151"/>
      <w:bookmarkStart w:id="2" w:name="_Toc178058970"/>
      <w:bookmarkStart w:id="3" w:name="_Toc178058996"/>
      <w:bookmarkStart w:id="4" w:name="_Toc179531144"/>
      <w:bookmarkStart w:id="5" w:name="_Toc181250980"/>
      <w:bookmarkStart w:id="6" w:name="_Toc181251341"/>
      <w:bookmarkStart w:id="7" w:name="_Toc181251452"/>
      <w:bookmarkStart w:id="8" w:name="_Toc182816411"/>
      <w:r w:rsidRPr="00BB3E4F">
        <w:br w:type="page"/>
      </w:r>
    </w:p>
    <w:p w14:paraId="132D9EA5" w14:textId="77777777" w:rsidR="006741FC" w:rsidRDefault="006741FC" w:rsidP="006741FC">
      <w:pPr>
        <w:pStyle w:val="Nagwek1"/>
        <w:numPr>
          <w:ilvl w:val="0"/>
          <w:numId w:val="0"/>
        </w:numPr>
        <w:spacing w:after="0" w:afterAutospacing="0"/>
      </w:pPr>
      <w:bookmarkStart w:id="9" w:name="_Toc183753333"/>
      <w:bookmarkStart w:id="10" w:name="_Toc183753425"/>
      <w:bookmarkStart w:id="11" w:name="_Toc183753474"/>
      <w:bookmarkStart w:id="12" w:name="_Toc183753673"/>
      <w:bookmarkStart w:id="13" w:name="_Toc188008599"/>
      <w:r w:rsidRPr="00BB3E4F">
        <w:lastRenderedPageBreak/>
        <w:t>Spis treści</w:t>
      </w:r>
      <w:bookmarkEnd w:id="1"/>
      <w:bookmarkEnd w:id="2"/>
      <w:bookmarkEnd w:id="3"/>
      <w:bookmarkEnd w:id="4"/>
      <w:bookmarkEnd w:id="5"/>
      <w:bookmarkEnd w:id="6"/>
      <w:bookmarkEnd w:id="7"/>
      <w:bookmarkEnd w:id="8"/>
      <w:bookmarkEnd w:id="9"/>
      <w:bookmarkEnd w:id="10"/>
      <w:bookmarkEnd w:id="11"/>
      <w:bookmarkEnd w:id="12"/>
      <w:bookmarkEnd w:id="13"/>
    </w:p>
    <w:sdt>
      <w:sdtPr>
        <w:rPr>
          <w:rFonts w:eastAsiaTheme="minorHAnsi"/>
          <w:kern w:val="2"/>
          <w:sz w:val="22"/>
          <w:szCs w:val="24"/>
          <w14:ligatures w14:val="standardContextual"/>
        </w:rPr>
        <w:id w:val="-496954975"/>
        <w:docPartObj>
          <w:docPartGallery w:val="Table of Contents"/>
          <w:docPartUnique/>
        </w:docPartObj>
      </w:sdtPr>
      <w:sdtEndPr>
        <w:rPr>
          <w:b/>
          <w:bCs/>
        </w:rPr>
      </w:sdtEndPr>
      <w:sdtContent>
        <w:p w14:paraId="47C6F99B" w14:textId="11FAF89E" w:rsidR="003F02FA" w:rsidRDefault="006741FC" w:rsidP="00BD159B">
          <w:pPr>
            <w:pStyle w:val="Spistreci1"/>
            <w:spacing w:before="0" w:beforeAutospacing="0"/>
            <w:rPr>
              <w:rFonts w:asciiTheme="minorHAnsi" w:hAnsiTheme="minorHAnsi"/>
              <w:noProof/>
              <w:kern w:val="2"/>
              <w:szCs w:val="24"/>
              <w:lang w:eastAsia="pl-PL"/>
              <w14:ligatures w14:val="standardContextual"/>
            </w:rPr>
          </w:pPr>
          <w:r>
            <w:fldChar w:fldCharType="begin"/>
          </w:r>
          <w:r>
            <w:instrText xml:space="preserve"> TOC \o "1-3" \h \z \u </w:instrText>
          </w:r>
          <w:r>
            <w:fldChar w:fldCharType="separate"/>
          </w:r>
          <w:hyperlink w:anchor="_Toc188008599" w:history="1">
            <w:r w:rsidR="003F02FA" w:rsidRPr="0054325C">
              <w:rPr>
                <w:rStyle w:val="Hipercze"/>
                <w:noProof/>
              </w:rPr>
              <w:t>Spis treści</w:t>
            </w:r>
            <w:r w:rsidR="003F02FA">
              <w:rPr>
                <w:noProof/>
                <w:webHidden/>
              </w:rPr>
              <w:tab/>
            </w:r>
            <w:r w:rsidR="003F02FA">
              <w:rPr>
                <w:noProof/>
                <w:webHidden/>
              </w:rPr>
              <w:fldChar w:fldCharType="begin"/>
            </w:r>
            <w:r w:rsidR="003F02FA">
              <w:rPr>
                <w:noProof/>
                <w:webHidden/>
              </w:rPr>
              <w:instrText xml:space="preserve"> PAGEREF _Toc188008599 \h </w:instrText>
            </w:r>
            <w:r w:rsidR="003F02FA">
              <w:rPr>
                <w:noProof/>
                <w:webHidden/>
              </w:rPr>
            </w:r>
            <w:r w:rsidR="003F02FA">
              <w:rPr>
                <w:noProof/>
                <w:webHidden/>
              </w:rPr>
              <w:fldChar w:fldCharType="separate"/>
            </w:r>
            <w:r w:rsidR="00A86371">
              <w:rPr>
                <w:noProof/>
                <w:webHidden/>
              </w:rPr>
              <w:t>2</w:t>
            </w:r>
            <w:r w:rsidR="003F02FA">
              <w:rPr>
                <w:noProof/>
                <w:webHidden/>
              </w:rPr>
              <w:fldChar w:fldCharType="end"/>
            </w:r>
          </w:hyperlink>
        </w:p>
        <w:p w14:paraId="3762778A" w14:textId="4E9690A8"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00" w:history="1">
            <w:r w:rsidR="003F02FA" w:rsidRPr="0054325C">
              <w:rPr>
                <w:rStyle w:val="Hipercze"/>
                <w:noProof/>
              </w:rPr>
              <w:t>1.</w:t>
            </w:r>
            <w:r w:rsidR="003F02FA">
              <w:rPr>
                <w:rFonts w:asciiTheme="minorHAnsi" w:hAnsiTheme="minorHAnsi"/>
                <w:noProof/>
                <w:kern w:val="2"/>
                <w:szCs w:val="24"/>
                <w:lang w:eastAsia="pl-PL"/>
                <w14:ligatures w14:val="standardContextual"/>
              </w:rPr>
              <w:tab/>
            </w:r>
            <w:r w:rsidR="003F02FA" w:rsidRPr="0054325C">
              <w:rPr>
                <w:rStyle w:val="Hipercze"/>
                <w:noProof/>
              </w:rPr>
              <w:t>Wprowadzenie</w:t>
            </w:r>
            <w:r w:rsidR="003F02FA">
              <w:rPr>
                <w:noProof/>
                <w:webHidden/>
              </w:rPr>
              <w:tab/>
            </w:r>
            <w:r w:rsidR="003F02FA">
              <w:rPr>
                <w:noProof/>
                <w:webHidden/>
              </w:rPr>
              <w:fldChar w:fldCharType="begin"/>
            </w:r>
            <w:r w:rsidR="003F02FA">
              <w:rPr>
                <w:noProof/>
                <w:webHidden/>
              </w:rPr>
              <w:instrText xml:space="preserve"> PAGEREF _Toc188008600 \h </w:instrText>
            </w:r>
            <w:r w:rsidR="003F02FA">
              <w:rPr>
                <w:noProof/>
                <w:webHidden/>
              </w:rPr>
            </w:r>
            <w:r w:rsidR="003F02FA">
              <w:rPr>
                <w:noProof/>
                <w:webHidden/>
              </w:rPr>
              <w:fldChar w:fldCharType="separate"/>
            </w:r>
            <w:r w:rsidR="00A86371">
              <w:rPr>
                <w:noProof/>
                <w:webHidden/>
              </w:rPr>
              <w:t>3</w:t>
            </w:r>
            <w:r w:rsidR="003F02FA">
              <w:rPr>
                <w:noProof/>
                <w:webHidden/>
              </w:rPr>
              <w:fldChar w:fldCharType="end"/>
            </w:r>
          </w:hyperlink>
        </w:p>
        <w:p w14:paraId="5790C6DE" w14:textId="3128E54B"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01" w:history="1">
            <w:r w:rsidR="003F02FA" w:rsidRPr="0054325C">
              <w:rPr>
                <w:rStyle w:val="Hipercze"/>
                <w:noProof/>
              </w:rPr>
              <w:t>2.</w:t>
            </w:r>
            <w:r w:rsidR="003F02FA">
              <w:rPr>
                <w:rFonts w:asciiTheme="minorHAnsi" w:hAnsiTheme="minorHAnsi"/>
                <w:noProof/>
                <w:kern w:val="2"/>
                <w:szCs w:val="24"/>
                <w:lang w:eastAsia="pl-PL"/>
                <w14:ligatures w14:val="standardContextual"/>
              </w:rPr>
              <w:tab/>
            </w:r>
            <w:r w:rsidR="003F02FA" w:rsidRPr="0054325C">
              <w:rPr>
                <w:rStyle w:val="Hipercze"/>
                <w:noProof/>
              </w:rPr>
              <w:t>Rynek energii elektrycznej</w:t>
            </w:r>
            <w:r w:rsidR="003F02FA">
              <w:rPr>
                <w:noProof/>
                <w:webHidden/>
              </w:rPr>
              <w:tab/>
            </w:r>
            <w:r w:rsidR="003F02FA">
              <w:rPr>
                <w:noProof/>
                <w:webHidden/>
              </w:rPr>
              <w:fldChar w:fldCharType="begin"/>
            </w:r>
            <w:r w:rsidR="003F02FA">
              <w:rPr>
                <w:noProof/>
                <w:webHidden/>
              </w:rPr>
              <w:instrText xml:space="preserve"> PAGEREF _Toc188008601 \h </w:instrText>
            </w:r>
            <w:r w:rsidR="003F02FA">
              <w:rPr>
                <w:noProof/>
                <w:webHidden/>
              </w:rPr>
            </w:r>
            <w:r w:rsidR="003F02FA">
              <w:rPr>
                <w:noProof/>
                <w:webHidden/>
              </w:rPr>
              <w:fldChar w:fldCharType="separate"/>
            </w:r>
            <w:r w:rsidR="00A86371">
              <w:rPr>
                <w:noProof/>
                <w:webHidden/>
              </w:rPr>
              <w:t>4</w:t>
            </w:r>
            <w:r w:rsidR="003F02FA">
              <w:rPr>
                <w:noProof/>
                <w:webHidden/>
              </w:rPr>
              <w:fldChar w:fldCharType="end"/>
            </w:r>
          </w:hyperlink>
        </w:p>
        <w:p w14:paraId="682A1567" w14:textId="2EFF089F"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02" w:history="1">
            <w:r w:rsidR="003F02FA" w:rsidRPr="0054325C">
              <w:rPr>
                <w:rStyle w:val="Hipercze"/>
                <w:noProof/>
              </w:rPr>
              <w:t>2.1.</w:t>
            </w:r>
            <w:r w:rsidR="003F02FA">
              <w:rPr>
                <w:rFonts w:asciiTheme="minorHAnsi" w:hAnsiTheme="minorHAnsi" w:cstheme="minorBidi"/>
                <w:noProof/>
                <w:kern w:val="2"/>
                <w:szCs w:val="24"/>
                <w14:ligatures w14:val="standardContextual"/>
              </w:rPr>
              <w:tab/>
            </w:r>
            <w:r w:rsidR="003F02FA" w:rsidRPr="0054325C">
              <w:rPr>
                <w:rStyle w:val="Hipercze"/>
                <w:noProof/>
              </w:rPr>
              <w:t>Plan Wdrażania reform rynku energii elektrycznej</w:t>
            </w:r>
            <w:r w:rsidR="003F02FA">
              <w:rPr>
                <w:noProof/>
                <w:webHidden/>
              </w:rPr>
              <w:tab/>
            </w:r>
            <w:r w:rsidR="003F02FA">
              <w:rPr>
                <w:noProof/>
                <w:webHidden/>
              </w:rPr>
              <w:fldChar w:fldCharType="begin"/>
            </w:r>
            <w:r w:rsidR="003F02FA">
              <w:rPr>
                <w:noProof/>
                <w:webHidden/>
              </w:rPr>
              <w:instrText xml:space="preserve"> PAGEREF _Toc188008602 \h </w:instrText>
            </w:r>
            <w:r w:rsidR="003F02FA">
              <w:rPr>
                <w:noProof/>
                <w:webHidden/>
              </w:rPr>
            </w:r>
            <w:r w:rsidR="003F02FA">
              <w:rPr>
                <w:noProof/>
                <w:webHidden/>
              </w:rPr>
              <w:fldChar w:fldCharType="separate"/>
            </w:r>
            <w:r w:rsidR="00A86371">
              <w:rPr>
                <w:noProof/>
                <w:webHidden/>
              </w:rPr>
              <w:t>4</w:t>
            </w:r>
            <w:r w:rsidR="003F02FA">
              <w:rPr>
                <w:noProof/>
                <w:webHidden/>
              </w:rPr>
              <w:fldChar w:fldCharType="end"/>
            </w:r>
          </w:hyperlink>
        </w:p>
        <w:p w14:paraId="3183F9B2" w14:textId="365546F2"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03" w:history="1">
            <w:r w:rsidR="003F02FA" w:rsidRPr="0054325C">
              <w:rPr>
                <w:rStyle w:val="Hipercze"/>
                <w:noProof/>
              </w:rPr>
              <w:t>2.2.</w:t>
            </w:r>
            <w:r w:rsidR="003F02FA">
              <w:rPr>
                <w:rFonts w:asciiTheme="minorHAnsi" w:hAnsiTheme="minorHAnsi" w:cstheme="minorBidi"/>
                <w:noProof/>
                <w:kern w:val="2"/>
                <w:szCs w:val="24"/>
                <w14:ligatures w14:val="standardContextual"/>
              </w:rPr>
              <w:tab/>
            </w:r>
            <w:r w:rsidR="003F02FA" w:rsidRPr="0054325C">
              <w:rPr>
                <w:rStyle w:val="Hipercze"/>
                <w:noProof/>
              </w:rPr>
              <w:t>Obecny stan rynku energii elektrycznej</w:t>
            </w:r>
            <w:r w:rsidR="003F02FA">
              <w:rPr>
                <w:noProof/>
                <w:webHidden/>
              </w:rPr>
              <w:tab/>
            </w:r>
            <w:r w:rsidR="003F02FA">
              <w:rPr>
                <w:noProof/>
                <w:webHidden/>
              </w:rPr>
              <w:fldChar w:fldCharType="begin"/>
            </w:r>
            <w:r w:rsidR="003F02FA">
              <w:rPr>
                <w:noProof/>
                <w:webHidden/>
              </w:rPr>
              <w:instrText xml:space="preserve"> PAGEREF _Toc188008603 \h </w:instrText>
            </w:r>
            <w:r w:rsidR="003F02FA">
              <w:rPr>
                <w:noProof/>
                <w:webHidden/>
              </w:rPr>
            </w:r>
            <w:r w:rsidR="003F02FA">
              <w:rPr>
                <w:noProof/>
                <w:webHidden/>
              </w:rPr>
              <w:fldChar w:fldCharType="separate"/>
            </w:r>
            <w:r w:rsidR="00A86371">
              <w:rPr>
                <w:noProof/>
                <w:webHidden/>
              </w:rPr>
              <w:t>7</w:t>
            </w:r>
            <w:r w:rsidR="003F02FA">
              <w:rPr>
                <w:noProof/>
                <w:webHidden/>
              </w:rPr>
              <w:fldChar w:fldCharType="end"/>
            </w:r>
          </w:hyperlink>
        </w:p>
        <w:p w14:paraId="2F0EDD02" w14:textId="02F6E700"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04" w:history="1">
            <w:r w:rsidR="003F02FA" w:rsidRPr="0054325C">
              <w:rPr>
                <w:rStyle w:val="Hipercze"/>
                <w:noProof/>
              </w:rPr>
              <w:t>2.3.</w:t>
            </w:r>
            <w:r w:rsidR="003F02FA">
              <w:rPr>
                <w:rFonts w:asciiTheme="minorHAnsi" w:hAnsiTheme="minorHAnsi" w:cstheme="minorBidi"/>
                <w:noProof/>
                <w:kern w:val="2"/>
                <w:szCs w:val="24"/>
                <w14:ligatures w14:val="standardContextual"/>
              </w:rPr>
              <w:tab/>
            </w:r>
            <w:r w:rsidR="003F02FA" w:rsidRPr="0054325C">
              <w:rPr>
                <w:rStyle w:val="Hipercze"/>
                <w:noProof/>
              </w:rPr>
              <w:t>Ocena rynku energii elektrycznej przez uczestników ankiety MKiŚ</w:t>
            </w:r>
            <w:r w:rsidR="003F02FA">
              <w:rPr>
                <w:noProof/>
                <w:webHidden/>
              </w:rPr>
              <w:tab/>
            </w:r>
            <w:r w:rsidR="003F02FA">
              <w:rPr>
                <w:noProof/>
                <w:webHidden/>
              </w:rPr>
              <w:fldChar w:fldCharType="begin"/>
            </w:r>
            <w:r w:rsidR="003F02FA">
              <w:rPr>
                <w:noProof/>
                <w:webHidden/>
              </w:rPr>
              <w:instrText xml:space="preserve"> PAGEREF _Toc188008604 \h </w:instrText>
            </w:r>
            <w:r w:rsidR="003F02FA">
              <w:rPr>
                <w:noProof/>
                <w:webHidden/>
              </w:rPr>
            </w:r>
            <w:r w:rsidR="003F02FA">
              <w:rPr>
                <w:noProof/>
                <w:webHidden/>
              </w:rPr>
              <w:fldChar w:fldCharType="separate"/>
            </w:r>
            <w:r w:rsidR="00A86371">
              <w:rPr>
                <w:noProof/>
                <w:webHidden/>
              </w:rPr>
              <w:t>10</w:t>
            </w:r>
            <w:r w:rsidR="003F02FA">
              <w:rPr>
                <w:noProof/>
                <w:webHidden/>
              </w:rPr>
              <w:fldChar w:fldCharType="end"/>
            </w:r>
          </w:hyperlink>
        </w:p>
        <w:p w14:paraId="68416A2B" w14:textId="09B12FF8"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05" w:history="1">
            <w:r w:rsidR="003F02FA" w:rsidRPr="0054325C">
              <w:rPr>
                <w:rStyle w:val="Hipercze"/>
                <w:noProof/>
              </w:rPr>
              <w:t>3.</w:t>
            </w:r>
            <w:r w:rsidR="003F02FA">
              <w:rPr>
                <w:rFonts w:asciiTheme="minorHAnsi" w:hAnsiTheme="minorHAnsi"/>
                <w:noProof/>
                <w:kern w:val="2"/>
                <w:szCs w:val="24"/>
                <w:lang w:eastAsia="pl-PL"/>
                <w14:ligatures w14:val="standardContextual"/>
              </w:rPr>
              <w:tab/>
            </w:r>
            <w:r w:rsidR="003F02FA" w:rsidRPr="0054325C">
              <w:rPr>
                <w:rStyle w:val="Hipercze"/>
                <w:noProof/>
              </w:rPr>
              <w:t>Rynek mocy</w:t>
            </w:r>
            <w:r w:rsidR="003F02FA">
              <w:rPr>
                <w:noProof/>
                <w:webHidden/>
              </w:rPr>
              <w:tab/>
            </w:r>
            <w:r w:rsidR="003F02FA">
              <w:rPr>
                <w:noProof/>
                <w:webHidden/>
              </w:rPr>
              <w:fldChar w:fldCharType="begin"/>
            </w:r>
            <w:r w:rsidR="003F02FA">
              <w:rPr>
                <w:noProof/>
                <w:webHidden/>
              </w:rPr>
              <w:instrText xml:space="preserve"> PAGEREF _Toc188008605 \h </w:instrText>
            </w:r>
            <w:r w:rsidR="003F02FA">
              <w:rPr>
                <w:noProof/>
                <w:webHidden/>
              </w:rPr>
            </w:r>
            <w:r w:rsidR="003F02FA">
              <w:rPr>
                <w:noProof/>
                <w:webHidden/>
              </w:rPr>
              <w:fldChar w:fldCharType="separate"/>
            </w:r>
            <w:r w:rsidR="00A86371">
              <w:rPr>
                <w:noProof/>
                <w:webHidden/>
              </w:rPr>
              <w:t>11</w:t>
            </w:r>
            <w:r w:rsidR="003F02FA">
              <w:rPr>
                <w:noProof/>
                <w:webHidden/>
              </w:rPr>
              <w:fldChar w:fldCharType="end"/>
            </w:r>
          </w:hyperlink>
        </w:p>
        <w:p w14:paraId="3092E8A9" w14:textId="3A548B77"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06" w:history="1">
            <w:r w:rsidR="003F02FA" w:rsidRPr="0054325C">
              <w:rPr>
                <w:rStyle w:val="Hipercze"/>
                <w:noProof/>
              </w:rPr>
              <w:t>3.1.</w:t>
            </w:r>
            <w:r w:rsidR="003F02FA">
              <w:rPr>
                <w:rFonts w:asciiTheme="minorHAnsi" w:hAnsiTheme="minorHAnsi" w:cstheme="minorBidi"/>
                <w:noProof/>
                <w:kern w:val="2"/>
                <w:szCs w:val="24"/>
                <w14:ligatures w14:val="standardContextual"/>
              </w:rPr>
              <w:tab/>
            </w:r>
            <w:r w:rsidR="003F02FA" w:rsidRPr="0054325C">
              <w:rPr>
                <w:rStyle w:val="Hipercze"/>
                <w:noProof/>
              </w:rPr>
              <w:t>Opis mechanizmu</w:t>
            </w:r>
            <w:r w:rsidR="003F02FA">
              <w:rPr>
                <w:noProof/>
                <w:webHidden/>
              </w:rPr>
              <w:tab/>
            </w:r>
            <w:r w:rsidR="003F02FA">
              <w:rPr>
                <w:noProof/>
                <w:webHidden/>
              </w:rPr>
              <w:fldChar w:fldCharType="begin"/>
            </w:r>
            <w:r w:rsidR="003F02FA">
              <w:rPr>
                <w:noProof/>
                <w:webHidden/>
              </w:rPr>
              <w:instrText xml:space="preserve"> PAGEREF _Toc188008606 \h </w:instrText>
            </w:r>
            <w:r w:rsidR="003F02FA">
              <w:rPr>
                <w:noProof/>
                <w:webHidden/>
              </w:rPr>
            </w:r>
            <w:r w:rsidR="003F02FA">
              <w:rPr>
                <w:noProof/>
                <w:webHidden/>
              </w:rPr>
              <w:fldChar w:fldCharType="separate"/>
            </w:r>
            <w:r w:rsidR="00A86371">
              <w:rPr>
                <w:noProof/>
                <w:webHidden/>
              </w:rPr>
              <w:t>11</w:t>
            </w:r>
            <w:r w:rsidR="003F02FA">
              <w:rPr>
                <w:noProof/>
                <w:webHidden/>
              </w:rPr>
              <w:fldChar w:fldCharType="end"/>
            </w:r>
          </w:hyperlink>
        </w:p>
        <w:p w14:paraId="0EF46A99" w14:textId="2A15EC63"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07" w:history="1">
            <w:r w:rsidR="003F02FA" w:rsidRPr="0054325C">
              <w:rPr>
                <w:rStyle w:val="Hipercze"/>
                <w:noProof/>
              </w:rPr>
              <w:t>3.2.</w:t>
            </w:r>
            <w:r w:rsidR="003F02FA">
              <w:rPr>
                <w:rFonts w:asciiTheme="minorHAnsi" w:hAnsiTheme="minorHAnsi" w:cstheme="minorBidi"/>
                <w:noProof/>
                <w:kern w:val="2"/>
                <w:szCs w:val="24"/>
                <w14:ligatures w14:val="standardContextual"/>
              </w:rPr>
              <w:tab/>
            </w:r>
            <w:r w:rsidR="003F02FA" w:rsidRPr="0054325C">
              <w:rPr>
                <w:rStyle w:val="Hipercze"/>
                <w:noProof/>
              </w:rPr>
              <w:t>Przyczyny wprowadzenia</w:t>
            </w:r>
            <w:r w:rsidR="003F02FA">
              <w:rPr>
                <w:noProof/>
                <w:webHidden/>
              </w:rPr>
              <w:tab/>
            </w:r>
            <w:r w:rsidR="003F02FA">
              <w:rPr>
                <w:noProof/>
                <w:webHidden/>
              </w:rPr>
              <w:fldChar w:fldCharType="begin"/>
            </w:r>
            <w:r w:rsidR="003F02FA">
              <w:rPr>
                <w:noProof/>
                <w:webHidden/>
              </w:rPr>
              <w:instrText xml:space="preserve"> PAGEREF _Toc188008607 \h </w:instrText>
            </w:r>
            <w:r w:rsidR="003F02FA">
              <w:rPr>
                <w:noProof/>
                <w:webHidden/>
              </w:rPr>
            </w:r>
            <w:r w:rsidR="003F02FA">
              <w:rPr>
                <w:noProof/>
                <w:webHidden/>
              </w:rPr>
              <w:fldChar w:fldCharType="separate"/>
            </w:r>
            <w:r w:rsidR="00A86371">
              <w:rPr>
                <w:noProof/>
                <w:webHidden/>
              </w:rPr>
              <w:t>12</w:t>
            </w:r>
            <w:r w:rsidR="003F02FA">
              <w:rPr>
                <w:noProof/>
                <w:webHidden/>
              </w:rPr>
              <w:fldChar w:fldCharType="end"/>
            </w:r>
          </w:hyperlink>
        </w:p>
        <w:p w14:paraId="51AA22D5" w14:textId="11BDA870"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08" w:history="1">
            <w:r w:rsidR="003F02FA" w:rsidRPr="0054325C">
              <w:rPr>
                <w:rStyle w:val="Hipercze"/>
                <w:noProof/>
              </w:rPr>
              <w:t>3.3.</w:t>
            </w:r>
            <w:r w:rsidR="003F02FA">
              <w:rPr>
                <w:rFonts w:asciiTheme="minorHAnsi" w:hAnsiTheme="minorHAnsi" w:cstheme="minorBidi"/>
                <w:noProof/>
                <w:kern w:val="2"/>
                <w:szCs w:val="24"/>
                <w14:ligatures w14:val="standardContextual"/>
              </w:rPr>
              <w:tab/>
            </w:r>
            <w:r w:rsidR="003F02FA" w:rsidRPr="0054325C">
              <w:rPr>
                <w:rStyle w:val="Hipercze"/>
                <w:noProof/>
              </w:rPr>
              <w:t>Podstawa prawna funkcjonowania rynku mocy</w:t>
            </w:r>
            <w:r w:rsidR="003F02FA">
              <w:rPr>
                <w:noProof/>
                <w:webHidden/>
              </w:rPr>
              <w:tab/>
            </w:r>
            <w:r w:rsidR="003F02FA">
              <w:rPr>
                <w:noProof/>
                <w:webHidden/>
              </w:rPr>
              <w:fldChar w:fldCharType="begin"/>
            </w:r>
            <w:r w:rsidR="003F02FA">
              <w:rPr>
                <w:noProof/>
                <w:webHidden/>
              </w:rPr>
              <w:instrText xml:space="preserve"> PAGEREF _Toc188008608 \h </w:instrText>
            </w:r>
            <w:r w:rsidR="003F02FA">
              <w:rPr>
                <w:noProof/>
                <w:webHidden/>
              </w:rPr>
            </w:r>
            <w:r w:rsidR="003F02FA">
              <w:rPr>
                <w:noProof/>
                <w:webHidden/>
              </w:rPr>
              <w:fldChar w:fldCharType="separate"/>
            </w:r>
            <w:r w:rsidR="00A86371">
              <w:rPr>
                <w:noProof/>
                <w:webHidden/>
              </w:rPr>
              <w:t>14</w:t>
            </w:r>
            <w:r w:rsidR="003F02FA">
              <w:rPr>
                <w:noProof/>
                <w:webHidden/>
              </w:rPr>
              <w:fldChar w:fldCharType="end"/>
            </w:r>
          </w:hyperlink>
        </w:p>
        <w:p w14:paraId="07072883" w14:textId="6D442F04"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09" w:history="1">
            <w:r w:rsidR="003F02FA" w:rsidRPr="0054325C">
              <w:rPr>
                <w:rStyle w:val="Hipercze"/>
                <w:noProof/>
              </w:rPr>
              <w:t>3.4.</w:t>
            </w:r>
            <w:r w:rsidR="003F02FA">
              <w:rPr>
                <w:rFonts w:asciiTheme="minorHAnsi" w:hAnsiTheme="minorHAnsi" w:cstheme="minorBidi"/>
                <w:noProof/>
                <w:kern w:val="2"/>
                <w:szCs w:val="24"/>
                <w14:ligatures w14:val="standardContextual"/>
              </w:rPr>
              <w:tab/>
            </w:r>
            <w:r w:rsidR="003F02FA" w:rsidRPr="0054325C">
              <w:rPr>
                <w:rStyle w:val="Hipercze"/>
                <w:noProof/>
              </w:rPr>
              <w:t>Efekty aukcji mocy</w:t>
            </w:r>
            <w:r w:rsidR="003F02FA">
              <w:rPr>
                <w:noProof/>
                <w:webHidden/>
              </w:rPr>
              <w:tab/>
            </w:r>
            <w:r w:rsidR="003F02FA">
              <w:rPr>
                <w:noProof/>
                <w:webHidden/>
              </w:rPr>
              <w:fldChar w:fldCharType="begin"/>
            </w:r>
            <w:r w:rsidR="003F02FA">
              <w:rPr>
                <w:noProof/>
                <w:webHidden/>
              </w:rPr>
              <w:instrText xml:space="preserve"> PAGEREF _Toc188008609 \h </w:instrText>
            </w:r>
            <w:r w:rsidR="003F02FA">
              <w:rPr>
                <w:noProof/>
                <w:webHidden/>
              </w:rPr>
            </w:r>
            <w:r w:rsidR="003F02FA">
              <w:rPr>
                <w:noProof/>
                <w:webHidden/>
              </w:rPr>
              <w:fldChar w:fldCharType="separate"/>
            </w:r>
            <w:r w:rsidR="00A86371">
              <w:rPr>
                <w:noProof/>
                <w:webHidden/>
              </w:rPr>
              <w:t>16</w:t>
            </w:r>
            <w:r w:rsidR="003F02FA">
              <w:rPr>
                <w:noProof/>
                <w:webHidden/>
              </w:rPr>
              <w:fldChar w:fldCharType="end"/>
            </w:r>
          </w:hyperlink>
        </w:p>
        <w:p w14:paraId="38A9E8FB" w14:textId="1C64E714"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0" w:history="1">
            <w:r w:rsidR="003F02FA" w:rsidRPr="0054325C">
              <w:rPr>
                <w:rStyle w:val="Hipercze"/>
                <w:noProof/>
              </w:rPr>
              <w:t>3.4.1.</w:t>
            </w:r>
            <w:r w:rsidR="003F02FA">
              <w:rPr>
                <w:rFonts w:asciiTheme="minorHAnsi" w:hAnsiTheme="minorHAnsi" w:cstheme="minorBidi"/>
                <w:noProof/>
                <w:kern w:val="2"/>
                <w:sz w:val="24"/>
                <w:szCs w:val="24"/>
                <w14:ligatures w14:val="standardContextual"/>
              </w:rPr>
              <w:tab/>
            </w:r>
            <w:r w:rsidR="003F02FA" w:rsidRPr="0054325C">
              <w:rPr>
                <w:rStyle w:val="Hipercze"/>
                <w:noProof/>
              </w:rPr>
              <w:t>Rozwój technologii redukcji zapotrzebowania</w:t>
            </w:r>
            <w:r w:rsidR="003F02FA">
              <w:rPr>
                <w:noProof/>
                <w:webHidden/>
              </w:rPr>
              <w:tab/>
            </w:r>
            <w:r w:rsidR="003F02FA">
              <w:rPr>
                <w:noProof/>
                <w:webHidden/>
              </w:rPr>
              <w:fldChar w:fldCharType="begin"/>
            </w:r>
            <w:r w:rsidR="003F02FA">
              <w:rPr>
                <w:noProof/>
                <w:webHidden/>
              </w:rPr>
              <w:instrText xml:space="preserve"> PAGEREF _Toc188008610 \h </w:instrText>
            </w:r>
            <w:r w:rsidR="003F02FA">
              <w:rPr>
                <w:noProof/>
                <w:webHidden/>
              </w:rPr>
            </w:r>
            <w:r w:rsidR="003F02FA">
              <w:rPr>
                <w:noProof/>
                <w:webHidden/>
              </w:rPr>
              <w:fldChar w:fldCharType="separate"/>
            </w:r>
            <w:r w:rsidR="00A86371">
              <w:rPr>
                <w:noProof/>
                <w:webHidden/>
              </w:rPr>
              <w:t>16</w:t>
            </w:r>
            <w:r w:rsidR="003F02FA">
              <w:rPr>
                <w:noProof/>
                <w:webHidden/>
              </w:rPr>
              <w:fldChar w:fldCharType="end"/>
            </w:r>
          </w:hyperlink>
        </w:p>
        <w:p w14:paraId="695BB248" w14:textId="5F394D53"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1" w:history="1">
            <w:r w:rsidR="003F02FA" w:rsidRPr="0054325C">
              <w:rPr>
                <w:rStyle w:val="Hipercze"/>
                <w:noProof/>
              </w:rPr>
              <w:t>3.4.2.</w:t>
            </w:r>
            <w:r w:rsidR="003F02FA">
              <w:rPr>
                <w:rFonts w:asciiTheme="minorHAnsi" w:hAnsiTheme="minorHAnsi" w:cstheme="minorBidi"/>
                <w:noProof/>
                <w:kern w:val="2"/>
                <w:sz w:val="24"/>
                <w:szCs w:val="24"/>
                <w14:ligatures w14:val="standardContextual"/>
              </w:rPr>
              <w:tab/>
            </w:r>
            <w:r w:rsidR="003F02FA" w:rsidRPr="0054325C">
              <w:rPr>
                <w:rStyle w:val="Hipercze"/>
                <w:noProof/>
              </w:rPr>
              <w:t>Przyrost nowych mocy wytwórczych</w:t>
            </w:r>
            <w:r w:rsidR="003F02FA">
              <w:rPr>
                <w:noProof/>
                <w:webHidden/>
              </w:rPr>
              <w:tab/>
            </w:r>
            <w:r w:rsidR="003F02FA">
              <w:rPr>
                <w:noProof/>
                <w:webHidden/>
              </w:rPr>
              <w:fldChar w:fldCharType="begin"/>
            </w:r>
            <w:r w:rsidR="003F02FA">
              <w:rPr>
                <w:noProof/>
                <w:webHidden/>
              </w:rPr>
              <w:instrText xml:space="preserve"> PAGEREF _Toc188008611 \h </w:instrText>
            </w:r>
            <w:r w:rsidR="003F02FA">
              <w:rPr>
                <w:noProof/>
                <w:webHidden/>
              </w:rPr>
            </w:r>
            <w:r w:rsidR="003F02FA">
              <w:rPr>
                <w:noProof/>
                <w:webHidden/>
              </w:rPr>
              <w:fldChar w:fldCharType="separate"/>
            </w:r>
            <w:r w:rsidR="00A86371">
              <w:rPr>
                <w:noProof/>
                <w:webHidden/>
              </w:rPr>
              <w:t>17</w:t>
            </w:r>
            <w:r w:rsidR="003F02FA">
              <w:rPr>
                <w:noProof/>
                <w:webHidden/>
              </w:rPr>
              <w:fldChar w:fldCharType="end"/>
            </w:r>
          </w:hyperlink>
        </w:p>
        <w:p w14:paraId="7DD370D5" w14:textId="1C57B4EC"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2" w:history="1">
            <w:r w:rsidR="003F02FA" w:rsidRPr="0054325C">
              <w:rPr>
                <w:rStyle w:val="Hipercze"/>
                <w:noProof/>
              </w:rPr>
              <w:t>3.4.3.</w:t>
            </w:r>
            <w:r w:rsidR="003F02FA">
              <w:rPr>
                <w:rFonts w:asciiTheme="minorHAnsi" w:hAnsiTheme="minorHAnsi" w:cstheme="minorBidi"/>
                <w:noProof/>
                <w:kern w:val="2"/>
                <w:sz w:val="24"/>
                <w:szCs w:val="24"/>
                <w14:ligatures w14:val="standardContextual"/>
              </w:rPr>
              <w:tab/>
            </w:r>
            <w:r w:rsidR="003F02FA" w:rsidRPr="0054325C">
              <w:rPr>
                <w:rStyle w:val="Hipercze"/>
                <w:noProof/>
              </w:rPr>
              <w:t>Modernizacja mocy wytwórczych</w:t>
            </w:r>
            <w:r w:rsidR="003F02FA">
              <w:rPr>
                <w:noProof/>
                <w:webHidden/>
              </w:rPr>
              <w:tab/>
            </w:r>
            <w:r w:rsidR="003F02FA">
              <w:rPr>
                <w:noProof/>
                <w:webHidden/>
              </w:rPr>
              <w:fldChar w:fldCharType="begin"/>
            </w:r>
            <w:r w:rsidR="003F02FA">
              <w:rPr>
                <w:noProof/>
                <w:webHidden/>
              </w:rPr>
              <w:instrText xml:space="preserve"> PAGEREF _Toc188008612 \h </w:instrText>
            </w:r>
            <w:r w:rsidR="003F02FA">
              <w:rPr>
                <w:noProof/>
                <w:webHidden/>
              </w:rPr>
            </w:r>
            <w:r w:rsidR="003F02FA">
              <w:rPr>
                <w:noProof/>
                <w:webHidden/>
              </w:rPr>
              <w:fldChar w:fldCharType="separate"/>
            </w:r>
            <w:r w:rsidR="00A86371">
              <w:rPr>
                <w:noProof/>
                <w:webHidden/>
              </w:rPr>
              <w:t>19</w:t>
            </w:r>
            <w:r w:rsidR="003F02FA">
              <w:rPr>
                <w:noProof/>
                <w:webHidden/>
              </w:rPr>
              <w:fldChar w:fldCharType="end"/>
            </w:r>
          </w:hyperlink>
        </w:p>
        <w:p w14:paraId="339CA52C" w14:textId="2CCFDE52"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3" w:history="1">
            <w:r w:rsidR="003F02FA" w:rsidRPr="0054325C">
              <w:rPr>
                <w:rStyle w:val="Hipercze"/>
                <w:noProof/>
              </w:rPr>
              <w:t>3.4.4.</w:t>
            </w:r>
            <w:r w:rsidR="003F02FA">
              <w:rPr>
                <w:rFonts w:asciiTheme="minorHAnsi" w:hAnsiTheme="minorHAnsi" w:cstheme="minorBidi"/>
                <w:noProof/>
                <w:kern w:val="2"/>
                <w:sz w:val="24"/>
                <w:szCs w:val="24"/>
                <w14:ligatures w14:val="standardContextual"/>
              </w:rPr>
              <w:tab/>
            </w:r>
            <w:r w:rsidR="003F02FA" w:rsidRPr="0054325C">
              <w:rPr>
                <w:rStyle w:val="Hipercze"/>
                <w:noProof/>
              </w:rPr>
              <w:t>Utrzymanie jednostek wytwórczych</w:t>
            </w:r>
            <w:r w:rsidR="003F02FA">
              <w:rPr>
                <w:noProof/>
                <w:webHidden/>
              </w:rPr>
              <w:tab/>
            </w:r>
            <w:r w:rsidR="003F02FA">
              <w:rPr>
                <w:noProof/>
                <w:webHidden/>
              </w:rPr>
              <w:fldChar w:fldCharType="begin"/>
            </w:r>
            <w:r w:rsidR="003F02FA">
              <w:rPr>
                <w:noProof/>
                <w:webHidden/>
              </w:rPr>
              <w:instrText xml:space="preserve"> PAGEREF _Toc188008613 \h </w:instrText>
            </w:r>
            <w:r w:rsidR="003F02FA">
              <w:rPr>
                <w:noProof/>
                <w:webHidden/>
              </w:rPr>
            </w:r>
            <w:r w:rsidR="003F02FA">
              <w:rPr>
                <w:noProof/>
                <w:webHidden/>
              </w:rPr>
              <w:fldChar w:fldCharType="separate"/>
            </w:r>
            <w:r w:rsidR="00A86371">
              <w:rPr>
                <w:noProof/>
                <w:webHidden/>
              </w:rPr>
              <w:t>21</w:t>
            </w:r>
            <w:r w:rsidR="003F02FA">
              <w:rPr>
                <w:noProof/>
                <w:webHidden/>
              </w:rPr>
              <w:fldChar w:fldCharType="end"/>
            </w:r>
          </w:hyperlink>
        </w:p>
        <w:p w14:paraId="1B796453" w14:textId="10C61EAE"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4" w:history="1">
            <w:r w:rsidR="003F02FA" w:rsidRPr="0054325C">
              <w:rPr>
                <w:rStyle w:val="Hipercze"/>
                <w:noProof/>
              </w:rPr>
              <w:t>3.4.5.</w:t>
            </w:r>
            <w:r w:rsidR="003F02FA">
              <w:rPr>
                <w:rFonts w:asciiTheme="minorHAnsi" w:hAnsiTheme="minorHAnsi" w:cstheme="minorBidi"/>
                <w:noProof/>
                <w:kern w:val="2"/>
                <w:sz w:val="24"/>
                <w:szCs w:val="24"/>
                <w14:ligatures w14:val="standardContextual"/>
              </w:rPr>
              <w:tab/>
            </w:r>
            <w:r w:rsidR="003F02FA" w:rsidRPr="0054325C">
              <w:rPr>
                <w:rStyle w:val="Hipercze"/>
                <w:noProof/>
              </w:rPr>
              <w:t>Wpływ na bezpieczeństwo dostaw</w:t>
            </w:r>
            <w:r w:rsidR="003F02FA">
              <w:rPr>
                <w:noProof/>
                <w:webHidden/>
              </w:rPr>
              <w:tab/>
            </w:r>
            <w:r w:rsidR="003F02FA">
              <w:rPr>
                <w:noProof/>
                <w:webHidden/>
              </w:rPr>
              <w:fldChar w:fldCharType="begin"/>
            </w:r>
            <w:r w:rsidR="003F02FA">
              <w:rPr>
                <w:noProof/>
                <w:webHidden/>
              </w:rPr>
              <w:instrText xml:space="preserve"> PAGEREF _Toc188008614 \h </w:instrText>
            </w:r>
            <w:r w:rsidR="003F02FA">
              <w:rPr>
                <w:noProof/>
                <w:webHidden/>
              </w:rPr>
            </w:r>
            <w:r w:rsidR="003F02FA">
              <w:rPr>
                <w:noProof/>
                <w:webHidden/>
              </w:rPr>
              <w:fldChar w:fldCharType="separate"/>
            </w:r>
            <w:r w:rsidR="00A86371">
              <w:rPr>
                <w:noProof/>
                <w:webHidden/>
              </w:rPr>
              <w:t>23</w:t>
            </w:r>
            <w:r w:rsidR="003F02FA">
              <w:rPr>
                <w:noProof/>
                <w:webHidden/>
              </w:rPr>
              <w:fldChar w:fldCharType="end"/>
            </w:r>
          </w:hyperlink>
        </w:p>
        <w:p w14:paraId="1B0A87BE" w14:textId="5A018389"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5" w:history="1">
            <w:r w:rsidR="003F02FA" w:rsidRPr="0054325C">
              <w:rPr>
                <w:rStyle w:val="Hipercze"/>
                <w:noProof/>
              </w:rPr>
              <w:t>3.4.6.</w:t>
            </w:r>
            <w:r w:rsidR="003F02FA">
              <w:rPr>
                <w:rFonts w:asciiTheme="minorHAnsi" w:hAnsiTheme="minorHAnsi" w:cstheme="minorBidi"/>
                <w:noProof/>
                <w:kern w:val="2"/>
                <w:sz w:val="24"/>
                <w:szCs w:val="24"/>
                <w14:ligatures w14:val="standardContextual"/>
              </w:rPr>
              <w:tab/>
            </w:r>
            <w:r w:rsidR="003F02FA" w:rsidRPr="0054325C">
              <w:rPr>
                <w:rStyle w:val="Hipercze"/>
                <w:noProof/>
              </w:rPr>
              <w:t>Wpływ na środowisko</w:t>
            </w:r>
            <w:r w:rsidR="003F02FA">
              <w:rPr>
                <w:noProof/>
                <w:webHidden/>
              </w:rPr>
              <w:tab/>
            </w:r>
            <w:r w:rsidR="003F02FA">
              <w:rPr>
                <w:noProof/>
                <w:webHidden/>
              </w:rPr>
              <w:fldChar w:fldCharType="begin"/>
            </w:r>
            <w:r w:rsidR="003F02FA">
              <w:rPr>
                <w:noProof/>
                <w:webHidden/>
              </w:rPr>
              <w:instrText xml:space="preserve"> PAGEREF _Toc188008615 \h </w:instrText>
            </w:r>
            <w:r w:rsidR="003F02FA">
              <w:rPr>
                <w:noProof/>
                <w:webHidden/>
              </w:rPr>
            </w:r>
            <w:r w:rsidR="003F02FA">
              <w:rPr>
                <w:noProof/>
                <w:webHidden/>
              </w:rPr>
              <w:fldChar w:fldCharType="separate"/>
            </w:r>
            <w:r w:rsidR="00A86371">
              <w:rPr>
                <w:noProof/>
                <w:webHidden/>
              </w:rPr>
              <w:t>26</w:t>
            </w:r>
            <w:r w:rsidR="003F02FA">
              <w:rPr>
                <w:noProof/>
                <w:webHidden/>
              </w:rPr>
              <w:fldChar w:fldCharType="end"/>
            </w:r>
          </w:hyperlink>
        </w:p>
        <w:p w14:paraId="7E06315A" w14:textId="5E13A9B0"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6" w:history="1">
            <w:r w:rsidR="003F02FA" w:rsidRPr="0054325C">
              <w:rPr>
                <w:rStyle w:val="Hipercze"/>
                <w:noProof/>
              </w:rPr>
              <w:t>3.4.7.</w:t>
            </w:r>
            <w:r w:rsidR="003F02FA">
              <w:rPr>
                <w:rFonts w:asciiTheme="minorHAnsi" w:hAnsiTheme="minorHAnsi" w:cstheme="minorBidi"/>
                <w:noProof/>
                <w:kern w:val="2"/>
                <w:sz w:val="24"/>
                <w:szCs w:val="24"/>
                <w14:ligatures w14:val="standardContextual"/>
              </w:rPr>
              <w:tab/>
            </w:r>
            <w:r w:rsidR="003F02FA" w:rsidRPr="0054325C">
              <w:rPr>
                <w:rStyle w:val="Hipercze"/>
                <w:noProof/>
              </w:rPr>
              <w:t>Wpływ na rozwój OZE</w:t>
            </w:r>
            <w:r w:rsidR="003F02FA">
              <w:rPr>
                <w:noProof/>
                <w:webHidden/>
              </w:rPr>
              <w:tab/>
            </w:r>
            <w:r w:rsidR="003F02FA">
              <w:rPr>
                <w:noProof/>
                <w:webHidden/>
              </w:rPr>
              <w:fldChar w:fldCharType="begin"/>
            </w:r>
            <w:r w:rsidR="003F02FA">
              <w:rPr>
                <w:noProof/>
                <w:webHidden/>
              </w:rPr>
              <w:instrText xml:space="preserve"> PAGEREF _Toc188008616 \h </w:instrText>
            </w:r>
            <w:r w:rsidR="003F02FA">
              <w:rPr>
                <w:noProof/>
                <w:webHidden/>
              </w:rPr>
            </w:r>
            <w:r w:rsidR="003F02FA">
              <w:rPr>
                <w:noProof/>
                <w:webHidden/>
              </w:rPr>
              <w:fldChar w:fldCharType="separate"/>
            </w:r>
            <w:r w:rsidR="00A86371">
              <w:rPr>
                <w:noProof/>
                <w:webHidden/>
              </w:rPr>
              <w:t>27</w:t>
            </w:r>
            <w:r w:rsidR="003F02FA">
              <w:rPr>
                <w:noProof/>
                <w:webHidden/>
              </w:rPr>
              <w:fldChar w:fldCharType="end"/>
            </w:r>
          </w:hyperlink>
        </w:p>
        <w:p w14:paraId="4EA045C7" w14:textId="7D32D80C"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7" w:history="1">
            <w:r w:rsidR="003F02FA" w:rsidRPr="0054325C">
              <w:rPr>
                <w:rStyle w:val="Hipercze"/>
                <w:noProof/>
              </w:rPr>
              <w:t>3.4.8.</w:t>
            </w:r>
            <w:r w:rsidR="003F02FA">
              <w:rPr>
                <w:rFonts w:asciiTheme="minorHAnsi" w:hAnsiTheme="minorHAnsi" w:cstheme="minorBidi"/>
                <w:noProof/>
                <w:kern w:val="2"/>
                <w:sz w:val="24"/>
                <w:szCs w:val="24"/>
                <w14:ligatures w14:val="standardContextual"/>
              </w:rPr>
              <w:tab/>
            </w:r>
            <w:r w:rsidR="003F02FA" w:rsidRPr="0054325C">
              <w:rPr>
                <w:rStyle w:val="Hipercze"/>
                <w:noProof/>
              </w:rPr>
              <w:t>Finansowanie rynku mocy</w:t>
            </w:r>
            <w:r w:rsidR="003F02FA">
              <w:rPr>
                <w:noProof/>
                <w:webHidden/>
              </w:rPr>
              <w:tab/>
            </w:r>
            <w:r w:rsidR="003F02FA">
              <w:rPr>
                <w:noProof/>
                <w:webHidden/>
              </w:rPr>
              <w:fldChar w:fldCharType="begin"/>
            </w:r>
            <w:r w:rsidR="003F02FA">
              <w:rPr>
                <w:noProof/>
                <w:webHidden/>
              </w:rPr>
              <w:instrText xml:space="preserve"> PAGEREF _Toc188008617 \h </w:instrText>
            </w:r>
            <w:r w:rsidR="003F02FA">
              <w:rPr>
                <w:noProof/>
                <w:webHidden/>
              </w:rPr>
            </w:r>
            <w:r w:rsidR="003F02FA">
              <w:rPr>
                <w:noProof/>
                <w:webHidden/>
              </w:rPr>
              <w:fldChar w:fldCharType="separate"/>
            </w:r>
            <w:r w:rsidR="00A86371">
              <w:rPr>
                <w:noProof/>
                <w:webHidden/>
              </w:rPr>
              <w:t>29</w:t>
            </w:r>
            <w:r w:rsidR="003F02FA">
              <w:rPr>
                <w:noProof/>
                <w:webHidden/>
              </w:rPr>
              <w:fldChar w:fldCharType="end"/>
            </w:r>
          </w:hyperlink>
        </w:p>
        <w:p w14:paraId="75A1B556" w14:textId="3903ED70"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18" w:history="1">
            <w:r w:rsidR="003F02FA" w:rsidRPr="0054325C">
              <w:rPr>
                <w:rStyle w:val="Hipercze"/>
                <w:noProof/>
              </w:rPr>
              <w:t>3.5.</w:t>
            </w:r>
            <w:r w:rsidR="003F02FA">
              <w:rPr>
                <w:rFonts w:asciiTheme="minorHAnsi" w:hAnsiTheme="minorHAnsi" w:cstheme="minorBidi"/>
                <w:noProof/>
                <w:kern w:val="2"/>
                <w:szCs w:val="24"/>
                <w14:ligatures w14:val="standardContextual"/>
              </w:rPr>
              <w:tab/>
            </w:r>
            <w:r w:rsidR="003F02FA" w:rsidRPr="0054325C">
              <w:rPr>
                <w:rStyle w:val="Hipercze"/>
                <w:noProof/>
              </w:rPr>
              <w:t>Ocena funkcjonowania rynku mocy</w:t>
            </w:r>
            <w:r w:rsidR="003F02FA">
              <w:rPr>
                <w:noProof/>
                <w:webHidden/>
              </w:rPr>
              <w:tab/>
            </w:r>
            <w:r w:rsidR="003F02FA">
              <w:rPr>
                <w:noProof/>
                <w:webHidden/>
              </w:rPr>
              <w:fldChar w:fldCharType="begin"/>
            </w:r>
            <w:r w:rsidR="003F02FA">
              <w:rPr>
                <w:noProof/>
                <w:webHidden/>
              </w:rPr>
              <w:instrText xml:space="preserve"> PAGEREF _Toc188008618 \h </w:instrText>
            </w:r>
            <w:r w:rsidR="003F02FA">
              <w:rPr>
                <w:noProof/>
                <w:webHidden/>
              </w:rPr>
            </w:r>
            <w:r w:rsidR="003F02FA">
              <w:rPr>
                <w:noProof/>
                <w:webHidden/>
              </w:rPr>
              <w:fldChar w:fldCharType="separate"/>
            </w:r>
            <w:r w:rsidR="00A86371">
              <w:rPr>
                <w:noProof/>
                <w:webHidden/>
              </w:rPr>
              <w:t>31</w:t>
            </w:r>
            <w:r w:rsidR="003F02FA">
              <w:rPr>
                <w:noProof/>
                <w:webHidden/>
              </w:rPr>
              <w:fldChar w:fldCharType="end"/>
            </w:r>
          </w:hyperlink>
        </w:p>
        <w:p w14:paraId="57B6A079" w14:textId="3D5BF7FC"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19" w:history="1">
            <w:r w:rsidR="003F02FA" w:rsidRPr="0054325C">
              <w:rPr>
                <w:rStyle w:val="Hipercze"/>
                <w:noProof/>
              </w:rPr>
              <w:t>3.5.1.</w:t>
            </w:r>
            <w:r w:rsidR="003F02FA">
              <w:rPr>
                <w:rFonts w:asciiTheme="minorHAnsi" w:hAnsiTheme="minorHAnsi" w:cstheme="minorBidi"/>
                <w:noProof/>
                <w:kern w:val="2"/>
                <w:sz w:val="24"/>
                <w:szCs w:val="24"/>
                <w14:ligatures w14:val="standardContextual"/>
              </w:rPr>
              <w:tab/>
            </w:r>
            <w:r w:rsidR="003F02FA" w:rsidRPr="0054325C">
              <w:rPr>
                <w:rStyle w:val="Hipercze"/>
                <w:noProof/>
              </w:rPr>
              <w:t>Ocena rynku mocy przez uczestników ankiety MKiŚ</w:t>
            </w:r>
            <w:r w:rsidR="003F02FA">
              <w:rPr>
                <w:noProof/>
                <w:webHidden/>
              </w:rPr>
              <w:tab/>
            </w:r>
            <w:r w:rsidR="003F02FA">
              <w:rPr>
                <w:noProof/>
                <w:webHidden/>
              </w:rPr>
              <w:fldChar w:fldCharType="begin"/>
            </w:r>
            <w:r w:rsidR="003F02FA">
              <w:rPr>
                <w:noProof/>
                <w:webHidden/>
              </w:rPr>
              <w:instrText xml:space="preserve"> PAGEREF _Toc188008619 \h </w:instrText>
            </w:r>
            <w:r w:rsidR="003F02FA">
              <w:rPr>
                <w:noProof/>
                <w:webHidden/>
              </w:rPr>
            </w:r>
            <w:r w:rsidR="003F02FA">
              <w:rPr>
                <w:noProof/>
                <w:webHidden/>
              </w:rPr>
              <w:fldChar w:fldCharType="separate"/>
            </w:r>
            <w:r w:rsidR="00A86371">
              <w:rPr>
                <w:noProof/>
                <w:webHidden/>
              </w:rPr>
              <w:t>32</w:t>
            </w:r>
            <w:r w:rsidR="003F02FA">
              <w:rPr>
                <w:noProof/>
                <w:webHidden/>
              </w:rPr>
              <w:fldChar w:fldCharType="end"/>
            </w:r>
          </w:hyperlink>
        </w:p>
        <w:p w14:paraId="14372218" w14:textId="35B50568" w:rsidR="003F02FA" w:rsidRDefault="00E6024D" w:rsidP="00BD159B">
          <w:pPr>
            <w:pStyle w:val="Spistreci3"/>
            <w:tabs>
              <w:tab w:val="left" w:pos="1440"/>
              <w:tab w:val="right" w:leader="dot" w:pos="8647"/>
              <w:tab w:val="right" w:leader="dot" w:pos="9062"/>
            </w:tabs>
            <w:rPr>
              <w:rFonts w:asciiTheme="minorHAnsi" w:hAnsiTheme="minorHAnsi" w:cstheme="minorBidi"/>
              <w:noProof/>
              <w:kern w:val="2"/>
              <w:sz w:val="24"/>
              <w:szCs w:val="24"/>
              <w14:ligatures w14:val="standardContextual"/>
            </w:rPr>
          </w:pPr>
          <w:hyperlink w:anchor="_Toc188008620" w:history="1">
            <w:r w:rsidR="003F02FA" w:rsidRPr="0054325C">
              <w:rPr>
                <w:rStyle w:val="Hipercze"/>
                <w:noProof/>
              </w:rPr>
              <w:t>3.5.2.</w:t>
            </w:r>
            <w:r w:rsidR="003F02FA">
              <w:rPr>
                <w:rFonts w:asciiTheme="minorHAnsi" w:hAnsiTheme="minorHAnsi" w:cstheme="minorBidi"/>
                <w:noProof/>
                <w:kern w:val="2"/>
                <w:sz w:val="24"/>
                <w:szCs w:val="24"/>
                <w14:ligatures w14:val="standardContextual"/>
              </w:rPr>
              <w:tab/>
            </w:r>
            <w:r w:rsidR="003F02FA" w:rsidRPr="0054325C">
              <w:rPr>
                <w:rStyle w:val="Hipercze"/>
                <w:noProof/>
              </w:rPr>
              <w:t>Ocena uczestników ankiety Prezesa URE</w:t>
            </w:r>
            <w:r w:rsidR="003F02FA">
              <w:rPr>
                <w:noProof/>
                <w:webHidden/>
              </w:rPr>
              <w:tab/>
            </w:r>
            <w:r w:rsidR="003F02FA">
              <w:rPr>
                <w:noProof/>
                <w:webHidden/>
              </w:rPr>
              <w:fldChar w:fldCharType="begin"/>
            </w:r>
            <w:r w:rsidR="003F02FA">
              <w:rPr>
                <w:noProof/>
                <w:webHidden/>
              </w:rPr>
              <w:instrText xml:space="preserve"> PAGEREF _Toc188008620 \h </w:instrText>
            </w:r>
            <w:r w:rsidR="003F02FA">
              <w:rPr>
                <w:noProof/>
                <w:webHidden/>
              </w:rPr>
            </w:r>
            <w:r w:rsidR="003F02FA">
              <w:rPr>
                <w:noProof/>
                <w:webHidden/>
              </w:rPr>
              <w:fldChar w:fldCharType="separate"/>
            </w:r>
            <w:r w:rsidR="00A86371">
              <w:rPr>
                <w:noProof/>
                <w:webHidden/>
              </w:rPr>
              <w:t>33</w:t>
            </w:r>
            <w:r w:rsidR="003F02FA">
              <w:rPr>
                <w:noProof/>
                <w:webHidden/>
              </w:rPr>
              <w:fldChar w:fldCharType="end"/>
            </w:r>
          </w:hyperlink>
        </w:p>
        <w:p w14:paraId="2223A7EC" w14:textId="6A20788C"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21" w:history="1">
            <w:r w:rsidR="003F02FA" w:rsidRPr="0054325C">
              <w:rPr>
                <w:rStyle w:val="Hipercze"/>
                <w:noProof/>
              </w:rPr>
              <w:t>3.6.</w:t>
            </w:r>
            <w:r w:rsidR="003F02FA">
              <w:rPr>
                <w:rFonts w:asciiTheme="minorHAnsi" w:hAnsiTheme="minorHAnsi" w:cstheme="minorBidi"/>
                <w:noProof/>
                <w:kern w:val="2"/>
                <w:szCs w:val="24"/>
                <w14:ligatures w14:val="standardContextual"/>
              </w:rPr>
              <w:tab/>
            </w:r>
            <w:r w:rsidR="003F02FA" w:rsidRPr="0054325C">
              <w:rPr>
                <w:rStyle w:val="Hipercze"/>
                <w:noProof/>
              </w:rPr>
              <w:t>Propozycje zmian przekazywane przez uczestników rynku</w:t>
            </w:r>
            <w:r w:rsidR="003F02FA">
              <w:rPr>
                <w:noProof/>
                <w:webHidden/>
              </w:rPr>
              <w:tab/>
            </w:r>
            <w:r w:rsidR="003F02FA">
              <w:rPr>
                <w:noProof/>
                <w:webHidden/>
              </w:rPr>
              <w:fldChar w:fldCharType="begin"/>
            </w:r>
            <w:r w:rsidR="003F02FA">
              <w:rPr>
                <w:noProof/>
                <w:webHidden/>
              </w:rPr>
              <w:instrText xml:space="preserve"> PAGEREF _Toc188008621 \h </w:instrText>
            </w:r>
            <w:r w:rsidR="003F02FA">
              <w:rPr>
                <w:noProof/>
                <w:webHidden/>
              </w:rPr>
            </w:r>
            <w:r w:rsidR="003F02FA">
              <w:rPr>
                <w:noProof/>
                <w:webHidden/>
              </w:rPr>
              <w:fldChar w:fldCharType="separate"/>
            </w:r>
            <w:r w:rsidR="00A86371">
              <w:rPr>
                <w:noProof/>
                <w:webHidden/>
              </w:rPr>
              <w:t>34</w:t>
            </w:r>
            <w:r w:rsidR="003F02FA">
              <w:rPr>
                <w:noProof/>
                <w:webHidden/>
              </w:rPr>
              <w:fldChar w:fldCharType="end"/>
            </w:r>
          </w:hyperlink>
        </w:p>
        <w:p w14:paraId="4CEDBADC" w14:textId="19C778D0"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22" w:history="1">
            <w:r w:rsidR="003F02FA" w:rsidRPr="0054325C">
              <w:rPr>
                <w:rStyle w:val="Hipercze"/>
                <w:noProof/>
              </w:rPr>
              <w:t>4.</w:t>
            </w:r>
            <w:r w:rsidR="003F02FA">
              <w:rPr>
                <w:rFonts w:asciiTheme="minorHAnsi" w:hAnsiTheme="minorHAnsi"/>
                <w:noProof/>
                <w:kern w:val="2"/>
                <w:szCs w:val="24"/>
                <w:lang w:eastAsia="pl-PL"/>
                <w14:ligatures w14:val="standardContextual"/>
              </w:rPr>
              <w:tab/>
            </w:r>
            <w:r w:rsidR="003F02FA" w:rsidRPr="0054325C">
              <w:rPr>
                <w:rStyle w:val="Hipercze"/>
                <w:noProof/>
              </w:rPr>
              <w:t>Analiza wystarczalności zasobów</w:t>
            </w:r>
            <w:r w:rsidR="003F02FA">
              <w:rPr>
                <w:noProof/>
                <w:webHidden/>
              </w:rPr>
              <w:tab/>
            </w:r>
            <w:r w:rsidR="003F02FA">
              <w:rPr>
                <w:noProof/>
                <w:webHidden/>
              </w:rPr>
              <w:fldChar w:fldCharType="begin"/>
            </w:r>
            <w:r w:rsidR="003F02FA">
              <w:rPr>
                <w:noProof/>
                <w:webHidden/>
              </w:rPr>
              <w:instrText xml:space="preserve"> PAGEREF _Toc188008622 \h </w:instrText>
            </w:r>
            <w:r w:rsidR="003F02FA">
              <w:rPr>
                <w:noProof/>
                <w:webHidden/>
              </w:rPr>
            </w:r>
            <w:r w:rsidR="003F02FA">
              <w:rPr>
                <w:noProof/>
                <w:webHidden/>
              </w:rPr>
              <w:fldChar w:fldCharType="separate"/>
            </w:r>
            <w:r w:rsidR="00A86371">
              <w:rPr>
                <w:noProof/>
                <w:webHidden/>
              </w:rPr>
              <w:t>35</w:t>
            </w:r>
            <w:r w:rsidR="003F02FA">
              <w:rPr>
                <w:noProof/>
                <w:webHidden/>
              </w:rPr>
              <w:fldChar w:fldCharType="end"/>
            </w:r>
          </w:hyperlink>
        </w:p>
        <w:p w14:paraId="5726779E" w14:textId="6DE8F8C9"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23" w:history="1">
            <w:r w:rsidR="003F02FA" w:rsidRPr="0054325C">
              <w:rPr>
                <w:rStyle w:val="Hipercze"/>
                <w:noProof/>
              </w:rPr>
              <w:t>4.1.</w:t>
            </w:r>
            <w:r w:rsidR="003F02FA">
              <w:rPr>
                <w:rFonts w:asciiTheme="minorHAnsi" w:hAnsiTheme="minorHAnsi" w:cstheme="minorBidi"/>
                <w:noProof/>
                <w:kern w:val="2"/>
                <w:szCs w:val="24"/>
                <w14:ligatures w14:val="standardContextual"/>
              </w:rPr>
              <w:tab/>
            </w:r>
            <w:r w:rsidR="003F02FA" w:rsidRPr="0054325C">
              <w:rPr>
                <w:rStyle w:val="Hipercze"/>
                <w:noProof/>
              </w:rPr>
              <w:t>Europejska analiza wystarczalności zasobów (ERAA)</w:t>
            </w:r>
            <w:r w:rsidR="003F02FA">
              <w:rPr>
                <w:noProof/>
                <w:webHidden/>
              </w:rPr>
              <w:tab/>
            </w:r>
            <w:r w:rsidR="003F02FA">
              <w:rPr>
                <w:noProof/>
                <w:webHidden/>
              </w:rPr>
              <w:fldChar w:fldCharType="begin"/>
            </w:r>
            <w:r w:rsidR="003F02FA">
              <w:rPr>
                <w:noProof/>
                <w:webHidden/>
              </w:rPr>
              <w:instrText xml:space="preserve"> PAGEREF _Toc188008623 \h </w:instrText>
            </w:r>
            <w:r w:rsidR="003F02FA">
              <w:rPr>
                <w:noProof/>
                <w:webHidden/>
              </w:rPr>
            </w:r>
            <w:r w:rsidR="003F02FA">
              <w:rPr>
                <w:noProof/>
                <w:webHidden/>
              </w:rPr>
              <w:fldChar w:fldCharType="separate"/>
            </w:r>
            <w:r w:rsidR="00A86371">
              <w:rPr>
                <w:noProof/>
                <w:webHidden/>
              </w:rPr>
              <w:t>36</w:t>
            </w:r>
            <w:r w:rsidR="003F02FA">
              <w:rPr>
                <w:noProof/>
                <w:webHidden/>
              </w:rPr>
              <w:fldChar w:fldCharType="end"/>
            </w:r>
          </w:hyperlink>
        </w:p>
        <w:p w14:paraId="79C7BF3D" w14:textId="42D9A120" w:rsidR="003F02FA" w:rsidRDefault="00E6024D" w:rsidP="00BD159B">
          <w:pPr>
            <w:pStyle w:val="Spistreci2"/>
            <w:tabs>
              <w:tab w:val="right" w:leader="dot" w:pos="8647"/>
            </w:tabs>
            <w:rPr>
              <w:rFonts w:asciiTheme="minorHAnsi" w:hAnsiTheme="minorHAnsi" w:cstheme="minorBidi"/>
              <w:noProof/>
              <w:kern w:val="2"/>
              <w:szCs w:val="24"/>
              <w14:ligatures w14:val="standardContextual"/>
            </w:rPr>
          </w:pPr>
          <w:hyperlink w:anchor="_Toc188008624" w:history="1">
            <w:r w:rsidR="003F02FA" w:rsidRPr="0054325C">
              <w:rPr>
                <w:rStyle w:val="Hipercze"/>
                <w:noProof/>
              </w:rPr>
              <w:t>4.2.</w:t>
            </w:r>
            <w:r w:rsidR="003F02FA">
              <w:rPr>
                <w:rFonts w:asciiTheme="minorHAnsi" w:hAnsiTheme="minorHAnsi" w:cstheme="minorBidi"/>
                <w:noProof/>
                <w:kern w:val="2"/>
                <w:szCs w:val="24"/>
                <w14:ligatures w14:val="standardContextual"/>
              </w:rPr>
              <w:tab/>
            </w:r>
            <w:r w:rsidR="003F02FA" w:rsidRPr="0054325C">
              <w:rPr>
                <w:rStyle w:val="Hipercze"/>
                <w:noProof/>
              </w:rPr>
              <w:t>Krajowa analiza wystarczalności zasobów (NRAA)</w:t>
            </w:r>
            <w:r w:rsidR="003F02FA">
              <w:rPr>
                <w:noProof/>
                <w:webHidden/>
              </w:rPr>
              <w:tab/>
            </w:r>
            <w:r w:rsidR="003F02FA">
              <w:rPr>
                <w:noProof/>
                <w:webHidden/>
              </w:rPr>
              <w:fldChar w:fldCharType="begin"/>
            </w:r>
            <w:r w:rsidR="003F02FA">
              <w:rPr>
                <w:noProof/>
                <w:webHidden/>
              </w:rPr>
              <w:instrText xml:space="preserve"> PAGEREF _Toc188008624 \h </w:instrText>
            </w:r>
            <w:r w:rsidR="003F02FA">
              <w:rPr>
                <w:noProof/>
                <w:webHidden/>
              </w:rPr>
            </w:r>
            <w:r w:rsidR="003F02FA">
              <w:rPr>
                <w:noProof/>
                <w:webHidden/>
              </w:rPr>
              <w:fldChar w:fldCharType="separate"/>
            </w:r>
            <w:r w:rsidR="00A86371">
              <w:rPr>
                <w:noProof/>
                <w:webHidden/>
              </w:rPr>
              <w:t>38</w:t>
            </w:r>
            <w:r w:rsidR="003F02FA">
              <w:rPr>
                <w:noProof/>
                <w:webHidden/>
              </w:rPr>
              <w:fldChar w:fldCharType="end"/>
            </w:r>
          </w:hyperlink>
        </w:p>
        <w:p w14:paraId="7F007500" w14:textId="4A488EE4"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25" w:history="1">
            <w:r w:rsidR="003F02FA" w:rsidRPr="0054325C">
              <w:rPr>
                <w:rStyle w:val="Hipercze"/>
                <w:noProof/>
              </w:rPr>
              <w:t>5.</w:t>
            </w:r>
            <w:r w:rsidR="003F02FA">
              <w:rPr>
                <w:rFonts w:asciiTheme="minorHAnsi" w:hAnsiTheme="minorHAnsi"/>
                <w:noProof/>
                <w:kern w:val="2"/>
                <w:szCs w:val="24"/>
                <w:lang w:eastAsia="pl-PL"/>
                <w14:ligatures w14:val="standardContextual"/>
              </w:rPr>
              <w:tab/>
            </w:r>
            <w:r w:rsidR="003F02FA" w:rsidRPr="0054325C">
              <w:rPr>
                <w:rStyle w:val="Hipercze"/>
                <w:noProof/>
              </w:rPr>
              <w:t>Podsumowanie i rekomendacje – rynek mocy po 2030 r.</w:t>
            </w:r>
            <w:r w:rsidR="003F02FA">
              <w:rPr>
                <w:noProof/>
                <w:webHidden/>
              </w:rPr>
              <w:tab/>
            </w:r>
            <w:r w:rsidR="003F02FA">
              <w:rPr>
                <w:noProof/>
                <w:webHidden/>
              </w:rPr>
              <w:fldChar w:fldCharType="begin"/>
            </w:r>
            <w:r w:rsidR="003F02FA">
              <w:rPr>
                <w:noProof/>
                <w:webHidden/>
              </w:rPr>
              <w:instrText xml:space="preserve"> PAGEREF _Toc188008625 \h </w:instrText>
            </w:r>
            <w:r w:rsidR="003F02FA">
              <w:rPr>
                <w:noProof/>
                <w:webHidden/>
              </w:rPr>
            </w:r>
            <w:r w:rsidR="003F02FA">
              <w:rPr>
                <w:noProof/>
                <w:webHidden/>
              </w:rPr>
              <w:fldChar w:fldCharType="separate"/>
            </w:r>
            <w:r w:rsidR="00A86371">
              <w:rPr>
                <w:noProof/>
                <w:webHidden/>
              </w:rPr>
              <w:t>42</w:t>
            </w:r>
            <w:r w:rsidR="003F02FA">
              <w:rPr>
                <w:noProof/>
                <w:webHidden/>
              </w:rPr>
              <w:fldChar w:fldCharType="end"/>
            </w:r>
          </w:hyperlink>
        </w:p>
        <w:p w14:paraId="4F958C4B" w14:textId="5183FCA0"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26" w:history="1">
            <w:r w:rsidR="003F02FA" w:rsidRPr="0054325C">
              <w:rPr>
                <w:rStyle w:val="Hipercze"/>
                <w:noProof/>
              </w:rPr>
              <w:t>6.</w:t>
            </w:r>
            <w:r w:rsidR="003F02FA">
              <w:rPr>
                <w:rFonts w:asciiTheme="minorHAnsi" w:hAnsiTheme="minorHAnsi"/>
                <w:noProof/>
                <w:kern w:val="2"/>
                <w:szCs w:val="24"/>
                <w:lang w:eastAsia="pl-PL"/>
                <w14:ligatures w14:val="standardContextual"/>
              </w:rPr>
              <w:tab/>
            </w:r>
            <w:r w:rsidR="003F02FA" w:rsidRPr="0054325C">
              <w:rPr>
                <w:rStyle w:val="Hipercze"/>
                <w:noProof/>
              </w:rPr>
              <w:t>Spis ilustracji</w:t>
            </w:r>
            <w:r w:rsidR="003F02FA">
              <w:rPr>
                <w:noProof/>
                <w:webHidden/>
              </w:rPr>
              <w:tab/>
            </w:r>
            <w:r w:rsidR="003F02FA">
              <w:rPr>
                <w:noProof/>
                <w:webHidden/>
              </w:rPr>
              <w:fldChar w:fldCharType="begin"/>
            </w:r>
            <w:r w:rsidR="003F02FA">
              <w:rPr>
                <w:noProof/>
                <w:webHidden/>
              </w:rPr>
              <w:instrText xml:space="preserve"> PAGEREF _Toc188008626 \h </w:instrText>
            </w:r>
            <w:r w:rsidR="003F02FA">
              <w:rPr>
                <w:noProof/>
                <w:webHidden/>
              </w:rPr>
            </w:r>
            <w:r w:rsidR="003F02FA">
              <w:rPr>
                <w:noProof/>
                <w:webHidden/>
              </w:rPr>
              <w:fldChar w:fldCharType="separate"/>
            </w:r>
            <w:r w:rsidR="00A86371">
              <w:rPr>
                <w:noProof/>
                <w:webHidden/>
              </w:rPr>
              <w:t>44</w:t>
            </w:r>
            <w:r w:rsidR="003F02FA">
              <w:rPr>
                <w:noProof/>
                <w:webHidden/>
              </w:rPr>
              <w:fldChar w:fldCharType="end"/>
            </w:r>
          </w:hyperlink>
        </w:p>
        <w:p w14:paraId="3733E67F" w14:textId="37F484E6"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27" w:history="1">
            <w:r w:rsidR="003F02FA" w:rsidRPr="0054325C">
              <w:rPr>
                <w:rStyle w:val="Hipercze"/>
                <w:noProof/>
              </w:rPr>
              <w:t>7.</w:t>
            </w:r>
            <w:r w:rsidR="003F02FA">
              <w:rPr>
                <w:rFonts w:asciiTheme="minorHAnsi" w:hAnsiTheme="minorHAnsi"/>
                <w:noProof/>
                <w:kern w:val="2"/>
                <w:szCs w:val="24"/>
                <w:lang w:eastAsia="pl-PL"/>
                <w14:ligatures w14:val="standardContextual"/>
              </w:rPr>
              <w:tab/>
            </w:r>
            <w:r w:rsidR="003F02FA" w:rsidRPr="0054325C">
              <w:rPr>
                <w:rStyle w:val="Hipercze"/>
                <w:noProof/>
              </w:rPr>
              <w:t>Spis tabel</w:t>
            </w:r>
            <w:r w:rsidR="003F02FA">
              <w:rPr>
                <w:noProof/>
                <w:webHidden/>
              </w:rPr>
              <w:tab/>
            </w:r>
            <w:r w:rsidR="003F02FA">
              <w:rPr>
                <w:noProof/>
                <w:webHidden/>
              </w:rPr>
              <w:fldChar w:fldCharType="begin"/>
            </w:r>
            <w:r w:rsidR="003F02FA">
              <w:rPr>
                <w:noProof/>
                <w:webHidden/>
              </w:rPr>
              <w:instrText xml:space="preserve"> PAGEREF _Toc188008627 \h </w:instrText>
            </w:r>
            <w:r w:rsidR="003F02FA">
              <w:rPr>
                <w:noProof/>
                <w:webHidden/>
              </w:rPr>
            </w:r>
            <w:r w:rsidR="003F02FA">
              <w:rPr>
                <w:noProof/>
                <w:webHidden/>
              </w:rPr>
              <w:fldChar w:fldCharType="separate"/>
            </w:r>
            <w:r w:rsidR="00A86371">
              <w:rPr>
                <w:noProof/>
                <w:webHidden/>
              </w:rPr>
              <w:t>44</w:t>
            </w:r>
            <w:r w:rsidR="003F02FA">
              <w:rPr>
                <w:noProof/>
                <w:webHidden/>
              </w:rPr>
              <w:fldChar w:fldCharType="end"/>
            </w:r>
          </w:hyperlink>
        </w:p>
        <w:p w14:paraId="5D1E7A64" w14:textId="437116FB" w:rsidR="003F02FA" w:rsidRDefault="00E6024D" w:rsidP="00BD159B">
          <w:pPr>
            <w:pStyle w:val="Spistreci1"/>
            <w:spacing w:before="0" w:beforeAutospacing="0"/>
            <w:rPr>
              <w:rFonts w:asciiTheme="minorHAnsi" w:hAnsiTheme="minorHAnsi"/>
              <w:noProof/>
              <w:kern w:val="2"/>
              <w:szCs w:val="24"/>
              <w:lang w:eastAsia="pl-PL"/>
              <w14:ligatures w14:val="standardContextual"/>
            </w:rPr>
          </w:pPr>
          <w:hyperlink w:anchor="_Toc188008628" w:history="1">
            <w:r w:rsidR="003F02FA" w:rsidRPr="0054325C">
              <w:rPr>
                <w:rStyle w:val="Hipercze"/>
                <w:noProof/>
              </w:rPr>
              <w:t>8.</w:t>
            </w:r>
            <w:r w:rsidR="003F02FA">
              <w:rPr>
                <w:rFonts w:asciiTheme="minorHAnsi" w:hAnsiTheme="minorHAnsi"/>
                <w:noProof/>
                <w:kern w:val="2"/>
                <w:szCs w:val="24"/>
                <w:lang w:eastAsia="pl-PL"/>
                <w14:ligatures w14:val="standardContextual"/>
              </w:rPr>
              <w:tab/>
            </w:r>
            <w:r w:rsidR="003F02FA" w:rsidRPr="0054325C">
              <w:rPr>
                <w:rStyle w:val="Hipercze"/>
                <w:noProof/>
              </w:rPr>
              <w:t>Załącznik</w:t>
            </w:r>
            <w:r w:rsidR="003F02FA">
              <w:rPr>
                <w:noProof/>
                <w:webHidden/>
              </w:rPr>
              <w:tab/>
            </w:r>
            <w:r w:rsidR="003F02FA">
              <w:rPr>
                <w:noProof/>
                <w:webHidden/>
              </w:rPr>
              <w:fldChar w:fldCharType="begin"/>
            </w:r>
            <w:r w:rsidR="003F02FA">
              <w:rPr>
                <w:noProof/>
                <w:webHidden/>
              </w:rPr>
              <w:instrText xml:space="preserve"> PAGEREF _Toc188008628 \h </w:instrText>
            </w:r>
            <w:r w:rsidR="003F02FA">
              <w:rPr>
                <w:noProof/>
                <w:webHidden/>
              </w:rPr>
            </w:r>
            <w:r w:rsidR="003F02FA">
              <w:rPr>
                <w:noProof/>
                <w:webHidden/>
              </w:rPr>
              <w:fldChar w:fldCharType="separate"/>
            </w:r>
            <w:r w:rsidR="00A86371">
              <w:rPr>
                <w:noProof/>
                <w:webHidden/>
              </w:rPr>
              <w:t>45</w:t>
            </w:r>
            <w:r w:rsidR="003F02FA">
              <w:rPr>
                <w:noProof/>
                <w:webHidden/>
              </w:rPr>
              <w:fldChar w:fldCharType="end"/>
            </w:r>
          </w:hyperlink>
        </w:p>
        <w:p w14:paraId="48EE7EAC" w14:textId="754A2983" w:rsidR="006741FC" w:rsidRDefault="006741FC" w:rsidP="00BD159B">
          <w:pPr>
            <w:tabs>
              <w:tab w:val="right" w:leader="dot" w:pos="8647"/>
            </w:tabs>
          </w:pPr>
          <w:r>
            <w:rPr>
              <w:b/>
              <w:bCs/>
            </w:rPr>
            <w:lastRenderedPageBreak/>
            <w:fldChar w:fldCharType="end"/>
          </w:r>
        </w:p>
      </w:sdtContent>
    </w:sdt>
    <w:p w14:paraId="0BE912AC" w14:textId="77777777" w:rsidR="006741FC" w:rsidRPr="00BB3E4F" w:rsidRDefault="006741FC" w:rsidP="006741FC">
      <w:pPr>
        <w:jc w:val="left"/>
        <w:rPr>
          <w:rFonts w:eastAsiaTheme="majorEastAsia" w:cstheme="majorBidi"/>
          <w:b/>
          <w:color w:val="0F4761" w:themeColor="accent1" w:themeShade="BF"/>
          <w:sz w:val="40"/>
          <w:szCs w:val="40"/>
        </w:rPr>
      </w:pPr>
      <w:r w:rsidRPr="00BB3E4F">
        <w:br w:type="page"/>
      </w:r>
    </w:p>
    <w:p w14:paraId="077E1174" w14:textId="77777777" w:rsidR="006741FC" w:rsidRPr="00BB3E4F" w:rsidRDefault="006741FC" w:rsidP="006741FC">
      <w:pPr>
        <w:pStyle w:val="Nagwek1"/>
        <w:numPr>
          <w:ilvl w:val="0"/>
          <w:numId w:val="8"/>
        </w:numPr>
      </w:pPr>
      <w:bookmarkStart w:id="14" w:name="_Toc178058971"/>
      <w:r w:rsidRPr="00BB3E4F">
        <w:lastRenderedPageBreak/>
        <w:t xml:space="preserve"> </w:t>
      </w:r>
      <w:bookmarkStart w:id="15" w:name="_Toc183753334"/>
      <w:bookmarkStart w:id="16" w:name="_Toc188008600"/>
      <w:r w:rsidRPr="00BB3E4F">
        <w:t>Wprowadzenie</w:t>
      </w:r>
      <w:bookmarkEnd w:id="14"/>
      <w:bookmarkEnd w:id="15"/>
      <w:bookmarkEnd w:id="16"/>
    </w:p>
    <w:p w14:paraId="0A703A44" w14:textId="0D3CC819" w:rsidR="006741FC" w:rsidRPr="00BB3E4F" w:rsidRDefault="006741FC" w:rsidP="006741FC">
      <w:r w:rsidRPr="00BB3E4F">
        <w:t>Wprowadzenie rynku mocy w Polsce było znaczącą zmianą rzeczywistości gospodarczej dla sektora energetycznego. Obok rynku energii elektrycznej, gdzie towarem podlegającym obrotowi jest energia elektryczna pojawił się drugi towar – moc. Było to odejście od tzw. rynku jednotowarowego w kierunku rynku dwutowarowego. Rynek mocy – jako mechanizm wystarczalności zasobów – pozwolił na wynagradzanie uczestników rynku za ich gotowość do</w:t>
      </w:r>
      <w:r w:rsidR="00B42C6D">
        <w:t> </w:t>
      </w:r>
      <w:r w:rsidRPr="00BB3E4F">
        <w:t>dostarczania mocy.</w:t>
      </w:r>
    </w:p>
    <w:p w14:paraId="0E77F77E" w14:textId="6FD5208D" w:rsidR="006741FC" w:rsidRPr="00BB3E4F" w:rsidRDefault="006741FC" w:rsidP="006741FC">
      <w:r w:rsidRPr="00BB3E4F">
        <w:t xml:space="preserve">Rynek mocy został wprowadzony do polskiego porządku prawnego w 2018 r., a jego celem było uzupełnienie luki mocowej (brakującego wolumenu mocy wytwórczych w Krajowym Systemie Elektroenergetycznym (KSE)), która wynikała z problemów wytwórców energii elektrycznej w finansowaniu i realizacji kapitałochłonnych inwestycji (tzw. zjawisko </w:t>
      </w:r>
      <w:r w:rsidRPr="00BB3E4F">
        <w:rPr>
          <w:i/>
          <w:iCs/>
        </w:rPr>
        <w:t>missing money</w:t>
      </w:r>
      <w:r w:rsidRPr="00BB3E4F">
        <w:t xml:space="preserve">). Dzięki wprowadzeniu rynku mocy uczestnicy rynku energii uzyskali dodatkowe przychody, które pozwoliły na przeprowadzenie inwestycji w nowe moce wytwórcze, modernizację istniejących mocy wytwórczych (obejmującą np. dostosowanie do bardziej rygorystycznych norm środowiskowych), inwestycje w magazyny energii oraz zaangażowanie odbiorców energii elektrycznej przez zwiększenie ich aktywności w obszarze odpowiedzi odbioru (DSR – ang. </w:t>
      </w:r>
      <w:r w:rsidRPr="00BB3E4F">
        <w:rPr>
          <w:i/>
          <w:iCs/>
        </w:rPr>
        <w:t>demand side response</w:t>
      </w:r>
      <w:r w:rsidRPr="00BB3E4F">
        <w:t>).</w:t>
      </w:r>
    </w:p>
    <w:p w14:paraId="2B5E621F" w14:textId="184F17F9" w:rsidR="006741FC" w:rsidRPr="00BB3E4F" w:rsidRDefault="006741FC" w:rsidP="006741FC">
      <w:r w:rsidRPr="00BB3E4F">
        <w:t xml:space="preserve">W niniejszym dokumencie przedstawiono ocenę funkcjonowania rynku mocy. Składa się na nią zarówno ocena stopnia rozwoju rynku energii elektrycznej, analiza bilansowa KSE wykonywana w ramach tzw. krajowej oceny wystarczalności zasobów (ang. NRAA, </w:t>
      </w:r>
      <w:r w:rsidRPr="00BB3E4F">
        <w:rPr>
          <w:i/>
          <w:iCs/>
        </w:rPr>
        <w:t>national resource adequacy assessment</w:t>
      </w:r>
      <w:r w:rsidRPr="00BB3E4F">
        <w:t>)</w:t>
      </w:r>
      <w:r w:rsidR="00180F7F">
        <w:t>,</w:t>
      </w:r>
      <w:r w:rsidRPr="00BB3E4F">
        <w:t xml:space="preserve"> </w:t>
      </w:r>
      <w:r w:rsidR="00180F7F">
        <w:t xml:space="preserve">jak również </w:t>
      </w:r>
      <w:r w:rsidRPr="00BB3E4F">
        <w:t>ocen</w:t>
      </w:r>
      <w:r w:rsidR="00180F7F">
        <w:t>a</w:t>
      </w:r>
      <w:r w:rsidRPr="00BB3E4F">
        <w:t xml:space="preserve"> samego rynku mocy i skutków jego funkcjonowania. Ocena ta sporządzona została na podstawie art. 103 ust. 1 ustawy z dnia 8 grudnia 2017 r.</w:t>
      </w:r>
      <w:r w:rsidR="0093732A" w:rsidRPr="0093732A">
        <w:t xml:space="preserve"> o rynku mocy</w:t>
      </w:r>
      <w:r w:rsidRPr="00BB3E4F">
        <w:t xml:space="preserve"> (Dz. U</w:t>
      </w:r>
      <w:r w:rsidR="00ED1AC4">
        <w:t>.</w:t>
      </w:r>
      <w:r w:rsidRPr="00BB3E4F">
        <w:t xml:space="preserve"> z 2023 r. poz. 2131</w:t>
      </w:r>
      <w:r w:rsidR="00ED1AC4">
        <w:t>)</w:t>
      </w:r>
      <w:r w:rsidRPr="00BB3E4F">
        <w:t xml:space="preserve">, </w:t>
      </w:r>
      <w:r w:rsidR="00ED1AC4">
        <w:t xml:space="preserve">zwanej </w:t>
      </w:r>
      <w:r w:rsidRPr="00BB3E4F">
        <w:t>dalej „ustaw</w:t>
      </w:r>
      <w:r w:rsidR="00ED1AC4">
        <w:t>ą</w:t>
      </w:r>
      <w:r w:rsidRPr="00BB3E4F">
        <w:t xml:space="preserve"> o rynku mocy”. Ocena zawiera również rekomendacje co do przyszłości mechanizmu rynku mocy. Rekomendacje te, zgodnie z przytoczonymi przepisami ustawy o rynku mocy, odnoszą się do alternatywnych propozycji dalszych działań, tj. a) zniesienia rynku mocy, b) utrzymania rynku mocy, c) wprowadzenia zmian w mechanizmie. Ocena została dokonana na podstawie danych i informacji dotyczących rynku energii elektrycznej, wyników badania ankietowego uczestników rynku mocy dot. rynku energii elektrycznej, rynku mocy oraz otoczenia rynkowego, a także na podstawie wyników NRAA oraz biorąc pod uwagę krajowe i</w:t>
      </w:r>
      <w:r>
        <w:t> </w:t>
      </w:r>
      <w:r w:rsidRPr="00BB3E4F">
        <w:t>unijne regulacje dot. rynku energii elektrycznej, wystarczalności zasobów wytwórczych oraz pomocy państwa w obszarze energetyki.</w:t>
      </w:r>
    </w:p>
    <w:p w14:paraId="5EE70A13" w14:textId="77777777" w:rsidR="006741FC" w:rsidRPr="00BB3E4F" w:rsidRDefault="006741FC" w:rsidP="006741FC"/>
    <w:p w14:paraId="607A760C" w14:textId="77777777" w:rsidR="006741FC" w:rsidRPr="00BB3E4F" w:rsidRDefault="006741FC" w:rsidP="006741FC">
      <w:pPr>
        <w:jc w:val="left"/>
        <w:rPr>
          <w:rFonts w:eastAsiaTheme="majorEastAsia" w:cstheme="majorBidi"/>
          <w:b/>
          <w:color w:val="0F4761" w:themeColor="accent1" w:themeShade="BF"/>
          <w:sz w:val="40"/>
          <w:szCs w:val="40"/>
        </w:rPr>
      </w:pPr>
      <w:r w:rsidRPr="00BB3E4F">
        <w:br w:type="page"/>
      </w:r>
    </w:p>
    <w:p w14:paraId="550F852C" w14:textId="77777777" w:rsidR="006741FC" w:rsidRPr="00BB3E4F" w:rsidRDefault="006741FC" w:rsidP="006741FC">
      <w:pPr>
        <w:pStyle w:val="Nagwek1"/>
      </w:pPr>
      <w:bookmarkStart w:id="17" w:name="_Toc178058972"/>
      <w:bookmarkStart w:id="18" w:name="_Toc183753335"/>
      <w:bookmarkStart w:id="19" w:name="_Toc188008601"/>
      <w:r w:rsidRPr="00BB3E4F">
        <w:lastRenderedPageBreak/>
        <w:t>Rynek energii elektrycznej</w:t>
      </w:r>
      <w:bookmarkEnd w:id="17"/>
      <w:bookmarkEnd w:id="18"/>
      <w:bookmarkEnd w:id="19"/>
    </w:p>
    <w:p w14:paraId="4F74C884" w14:textId="77777777" w:rsidR="006741FC" w:rsidRPr="00BB3E4F" w:rsidRDefault="006741FC" w:rsidP="006741FC">
      <w:pPr>
        <w:pStyle w:val="Nagwek2"/>
      </w:pPr>
      <w:bookmarkStart w:id="20" w:name="_Toc183753336"/>
      <w:bookmarkStart w:id="21" w:name="_Toc188008602"/>
      <w:r w:rsidRPr="00BB3E4F">
        <w:t>Plan Wdrażania reform rynku energii elektrycznej</w:t>
      </w:r>
      <w:bookmarkEnd w:id="20"/>
      <w:bookmarkEnd w:id="21"/>
    </w:p>
    <w:p w14:paraId="4E3D607F" w14:textId="3FB232C4" w:rsidR="006741FC" w:rsidRPr="00BB3E4F" w:rsidRDefault="006741FC" w:rsidP="006741FC">
      <w:r w:rsidRPr="00BB3E4F">
        <w:t>Zgodnie z przepisami prawa UE – rozporządzenia Parlamentu Europejskiego i Rady (UE) 2019/943 z dnia 5 czerwca 2019 r. w sprawie rynku wewnętrznego energii elektrycznej (</w:t>
      </w:r>
      <w:r w:rsidR="006161C8" w:rsidRPr="006161C8">
        <w:t>Dz. Urz. UE L</w:t>
      </w:r>
      <w:r w:rsidRPr="00BB3E4F">
        <w:t xml:space="preserve"> 158 z 14.</w:t>
      </w:r>
      <w:r w:rsidR="006161C8">
        <w:t>0</w:t>
      </w:r>
      <w:r w:rsidRPr="00BB3E4F">
        <w:t>6.2019, s</w:t>
      </w:r>
      <w:r w:rsidR="006161C8">
        <w:t>tr</w:t>
      </w:r>
      <w:r w:rsidRPr="00BB3E4F">
        <w:t>. 54)</w:t>
      </w:r>
      <w:r w:rsidR="00C516EC">
        <w:t xml:space="preserve">, zwanego </w:t>
      </w:r>
      <w:r w:rsidRPr="00BB3E4F">
        <w:t>dalej „rozporządzenie</w:t>
      </w:r>
      <w:r w:rsidR="00C516EC">
        <w:t>m</w:t>
      </w:r>
      <w:r w:rsidRPr="00BB3E4F">
        <w:t xml:space="preserve"> rynkow</w:t>
      </w:r>
      <w:r w:rsidR="00C516EC">
        <w:t>ym</w:t>
      </w:r>
      <w:r w:rsidRPr="00BB3E4F">
        <w:t>”, państwa członkowskie na bieżąco monitorują wystarczalność zasobów wytwórczych i w przypadku stwierdzenia problemów z</w:t>
      </w:r>
      <w:r>
        <w:t> </w:t>
      </w:r>
      <w:r w:rsidRPr="00BB3E4F">
        <w:t>wystarczalnością zasobów wytwórczych mogą rozpocząć prace nad oceną zasadności wdrożenia mechanizmu wystarczalności.</w:t>
      </w:r>
    </w:p>
    <w:p w14:paraId="23ABBB3C" w14:textId="77777777" w:rsidR="006741FC" w:rsidRPr="00BB3E4F" w:rsidRDefault="006741FC" w:rsidP="006741FC">
      <w:r w:rsidRPr="00BB3E4F">
        <w:t xml:space="preserve">Zanim jednak państwo członkowskie rozpocznie prace nad wdrożeniem mechanizmu wystarczalności zasobów, musi podjąć kroki w celu identyfikacji zakłóceń regulacyjnych lub niedoskonałości rynku, które spowodowały wystąpienie problemu braku wystarczalności zasobów wytwórczych lub się do niego przyczyniły. </w:t>
      </w:r>
    </w:p>
    <w:p w14:paraId="0E3AB123" w14:textId="4891FA81" w:rsidR="006741FC" w:rsidRPr="00BB3E4F" w:rsidRDefault="006741FC" w:rsidP="006741FC">
      <w:r w:rsidRPr="00BB3E4F">
        <w:t xml:space="preserve">Kolejny krokiem po dokonaniu identyfikacji zakłóceń regulacyjnych lub niedoskonałości rynku, państwo członkowskie opracowuje i publikuje plan wdrażania wraz z harmonogramem przyjmowania środków mających na celu wyeliminowanie stwierdzonych zakłóceń regulacyjnych lub niedoskonałości rynku w ramach procesu pomocy państwa. Przy rozwiązywaniu problemów z wystarczalnością zasobów, państwa członkowskie biorą pod uwagę szereg obszarów rynku energii elektrycznej. </w:t>
      </w:r>
    </w:p>
    <w:p w14:paraId="7CAA3200" w14:textId="1719A09E" w:rsidR="006741FC" w:rsidRPr="00BB3E4F" w:rsidRDefault="006741FC" w:rsidP="006741FC">
      <w:r w:rsidRPr="00BB3E4F">
        <w:t>Polska przygotowała Plan Wdrażania reform rynku energii elektrycznej</w:t>
      </w:r>
      <w:r w:rsidR="00C516EC">
        <w:t xml:space="preserve">, zwany </w:t>
      </w:r>
      <w:r w:rsidRPr="00BB3E4F">
        <w:t>dalej „Plan</w:t>
      </w:r>
      <w:r w:rsidR="00C516EC">
        <w:t>em</w:t>
      </w:r>
      <w:r w:rsidRPr="00BB3E4F">
        <w:t xml:space="preserve"> Wdrażania”</w:t>
      </w:r>
      <w:r w:rsidR="00C516EC">
        <w:t>,</w:t>
      </w:r>
      <w:r w:rsidRPr="00BB3E4F">
        <w:t xml:space="preserve"> i przedstawiła go Komisji Europejskiej (KE).</w:t>
      </w:r>
      <w:r w:rsidRPr="00BB3E4F">
        <w:rPr>
          <w:rStyle w:val="Odwoanieprzypisudolnego"/>
        </w:rPr>
        <w:footnoteReference w:id="1"/>
      </w:r>
      <w:r w:rsidR="00BD2475" w:rsidRPr="00163405">
        <w:rPr>
          <w:vertAlign w:val="superscript"/>
        </w:rPr>
        <w:t>)</w:t>
      </w:r>
      <w:r w:rsidRPr="00BB3E4F">
        <w:t xml:space="preserve"> Obowiązek przygotowania Planu Wdrażania reform rynku energii elektrycznej wynikał z art. 20 ust. 3 </w:t>
      </w:r>
      <w:r w:rsidR="008E4FB2">
        <w:t>r</w:t>
      </w:r>
      <w:r w:rsidR="008E4FB2" w:rsidRPr="00BB3E4F">
        <w:t xml:space="preserve">ozporządzenia </w:t>
      </w:r>
      <w:r w:rsidRPr="00BB3E4F">
        <w:t>rynkowego. Polska, jako państwo stosujące mechanizm zapewnienia wystarczalności mocy w</w:t>
      </w:r>
      <w:r>
        <w:t> </w:t>
      </w:r>
      <w:r w:rsidRPr="00BB3E4F">
        <w:t>postaci rynku mocy, była zobowiązana do przygotowania Planu Wdrażania oraz do przekazania go do KE w celu wydania przez nią opinii. KE opublikowała projekt Polskiego Planu Wdrażania i rozpoczęła konsultacje publiczne dokumentu. Po przeprowadzeniu konsultacji KE wydała opinię, w której przedstawiła swoje rekomendacje. Plan Wdrażania przyjęty 14 maja 2020 r. uwzględnił rekomendacje KE. Plan Wdrażania zawiera plan reform rynku energii elektrycznej w pięciu obszarach: rynek bilansujący, DSR, rynek detaliczny, rozbudowa sieci i</w:t>
      </w:r>
      <w:r>
        <w:t> </w:t>
      </w:r>
      <w:r w:rsidRPr="00BB3E4F">
        <w:t>połączenia transgraniczne oraz ograniczenia alokacji.</w:t>
      </w:r>
    </w:p>
    <w:p w14:paraId="284D233C" w14:textId="1886A92C" w:rsidR="006741FC" w:rsidRPr="00BB3E4F" w:rsidRDefault="006741FC" w:rsidP="006741FC">
      <w:r w:rsidRPr="00BB3E4F">
        <w:lastRenderedPageBreak/>
        <w:t>Od czasu przyjęcia Planu Wdrażania Polska realizowała na bieżąco poszczególne reformy rynku energii elektrycznej, a postęp w ich wdrażaniu był opisywany w poszczególnych Sprawozdaniach z realizacji Planu Wdrażania reform rynku energii elektrycznej: za okres od maja 2020 r. do</w:t>
      </w:r>
      <w:r w:rsidR="00720B48">
        <w:t> </w:t>
      </w:r>
      <w:r w:rsidRPr="00BB3E4F">
        <w:t>sierpnia 2021 r.</w:t>
      </w:r>
      <w:r w:rsidRPr="00BB3E4F">
        <w:rPr>
          <w:rStyle w:val="Odwoanieprzypisudolnego"/>
        </w:rPr>
        <w:footnoteReference w:id="2"/>
      </w:r>
      <w:r w:rsidR="00896F30" w:rsidRPr="00163405">
        <w:rPr>
          <w:vertAlign w:val="superscript"/>
        </w:rPr>
        <w:t>)</w:t>
      </w:r>
      <w:r w:rsidRPr="00BB3E4F">
        <w:t>, za okres od września 2021 r. do sierpnia 2022 r.</w:t>
      </w:r>
      <w:r w:rsidRPr="00BB3E4F">
        <w:rPr>
          <w:rStyle w:val="Odwoanieprzypisudolnego"/>
        </w:rPr>
        <w:footnoteReference w:id="3"/>
      </w:r>
      <w:r w:rsidR="00896F30" w:rsidRPr="00163405">
        <w:rPr>
          <w:vertAlign w:val="superscript"/>
        </w:rPr>
        <w:t>)</w:t>
      </w:r>
      <w:r w:rsidRPr="00BB3E4F">
        <w:t>, za okres od września 2022</w:t>
      </w:r>
      <w:r w:rsidR="00720B48">
        <w:t> </w:t>
      </w:r>
      <w:r w:rsidRPr="00BB3E4F">
        <w:t>r. do sierpnia 2023 r.</w:t>
      </w:r>
      <w:r w:rsidRPr="00BB3E4F">
        <w:rPr>
          <w:rStyle w:val="Odwoanieprzypisudolnego"/>
        </w:rPr>
        <w:footnoteReference w:id="4"/>
      </w:r>
      <w:r w:rsidR="00896F30" w:rsidRPr="00163405">
        <w:rPr>
          <w:vertAlign w:val="superscript"/>
        </w:rPr>
        <w:t>)</w:t>
      </w:r>
      <w:r w:rsidRPr="00BB3E4F">
        <w:t xml:space="preserve"> oraz za okres od września 2023 r. do sierpnia 2024 r.</w:t>
      </w:r>
    </w:p>
    <w:p w14:paraId="324D8ABE" w14:textId="711DC98C" w:rsidR="006741FC" w:rsidRPr="00BB3E4F" w:rsidRDefault="006741FC" w:rsidP="006741FC">
      <w:r w:rsidRPr="00BB3E4F">
        <w:t>Reformy przyjęte w ramach Planu Wdrażania</w:t>
      </w:r>
      <w:r w:rsidRPr="00BB3E4F">
        <w:rPr>
          <w:rStyle w:val="Odwoanieprzypisudolnego"/>
        </w:rPr>
        <w:footnoteReference w:id="5"/>
      </w:r>
      <w:r w:rsidR="00896F30" w:rsidRPr="00163405">
        <w:rPr>
          <w:vertAlign w:val="superscript"/>
        </w:rPr>
        <w:t>)</w:t>
      </w:r>
      <w:r w:rsidRPr="00BB3E4F">
        <w:t xml:space="preserve"> obejmowały następujące działania:</w:t>
      </w:r>
    </w:p>
    <w:p w14:paraId="63D05B9C" w14:textId="77777777" w:rsidR="006741FC" w:rsidRPr="00BB3E4F" w:rsidRDefault="006741FC" w:rsidP="006741FC">
      <w:pPr>
        <w:pStyle w:val="Akapitzlist"/>
      </w:pPr>
      <w:r w:rsidRPr="00BB3E4F">
        <w:t>kompleksowa reforma rynku bilansującego energii elektrycznej, na którą składały się następujące działania:</w:t>
      </w:r>
    </w:p>
    <w:p w14:paraId="4B575F8A" w14:textId="7BF8A3FD" w:rsidR="006741FC" w:rsidRPr="00BB3E4F" w:rsidRDefault="006741FC" w:rsidP="006741FC">
      <w:pPr>
        <w:pStyle w:val="Akapitzlist"/>
        <w:numPr>
          <w:ilvl w:val="1"/>
          <w:numId w:val="12"/>
        </w:numPr>
      </w:pPr>
      <w:r w:rsidRPr="00BB3E4F">
        <w:t>ceny na rynku bilansującym będą wyznaczane jako cena krańcowa</w:t>
      </w:r>
      <w:r w:rsidR="00C210E6">
        <w:t>,</w:t>
      </w:r>
    </w:p>
    <w:p w14:paraId="71F9123D" w14:textId="0CB80F22" w:rsidR="006741FC" w:rsidRPr="00BB3E4F" w:rsidRDefault="006741FC" w:rsidP="006741FC">
      <w:pPr>
        <w:pStyle w:val="Akapitzlist"/>
        <w:numPr>
          <w:ilvl w:val="1"/>
          <w:numId w:val="12"/>
        </w:numPr>
      </w:pPr>
      <w:r w:rsidRPr="00BB3E4F">
        <w:t>zaktualizowane zostaną limity cenowe stosowane na rynku bilansującym</w:t>
      </w:r>
      <w:r w:rsidR="00C210E6">
        <w:t>,</w:t>
      </w:r>
    </w:p>
    <w:p w14:paraId="7B3D9795" w14:textId="7D0E1299" w:rsidR="006741FC" w:rsidRPr="00BB3E4F" w:rsidRDefault="006741FC" w:rsidP="006741FC">
      <w:pPr>
        <w:pStyle w:val="Akapitzlist"/>
        <w:numPr>
          <w:ilvl w:val="1"/>
          <w:numId w:val="12"/>
        </w:numPr>
      </w:pPr>
      <w:r w:rsidRPr="00BB3E4F">
        <w:t>wszyscy dostawcy usług bilansujących będą mieli prawo zmieniać swoje oferty w</w:t>
      </w:r>
      <w:r w:rsidR="00110043">
        <w:t> </w:t>
      </w:r>
      <w:r w:rsidRPr="00BB3E4F">
        <w:t>ramach Zintegrowanego Procesu Grafikowania, w zakresie w jakim będzie to</w:t>
      </w:r>
      <w:r w:rsidR="00110043">
        <w:t> </w:t>
      </w:r>
      <w:r w:rsidRPr="00BB3E4F">
        <w:t>możliwe, do czasu zamknięcia międzystrefowej bramki handlowej na rynku dnia bieżącego</w:t>
      </w:r>
      <w:r w:rsidR="00C210E6">
        <w:t>,</w:t>
      </w:r>
    </w:p>
    <w:p w14:paraId="04ED1EDA" w14:textId="490CFCD7" w:rsidR="006741FC" w:rsidRPr="00BB3E4F" w:rsidRDefault="006741FC" w:rsidP="006741FC">
      <w:pPr>
        <w:pStyle w:val="Akapitzlist"/>
        <w:numPr>
          <w:ilvl w:val="1"/>
          <w:numId w:val="12"/>
        </w:numPr>
      </w:pPr>
      <w:r w:rsidRPr="00BB3E4F">
        <w:t>wszyscy uczestnicy rynku będą mogli składać lub zmieniać swoje oferty na</w:t>
      </w:r>
      <w:r w:rsidR="00110043">
        <w:t> </w:t>
      </w:r>
      <w:r w:rsidRPr="00BB3E4F">
        <w:t>rynkuhurtowym co najmniej do momentu zamknięcia międzystrefowej bramki handlowej na rynku dnia bieżącego</w:t>
      </w:r>
      <w:r w:rsidR="00C210E6">
        <w:t>,</w:t>
      </w:r>
    </w:p>
    <w:p w14:paraId="17C53E15" w14:textId="6D46C264" w:rsidR="006741FC" w:rsidRPr="00BB3E4F" w:rsidRDefault="006741FC" w:rsidP="006741FC">
      <w:pPr>
        <w:pStyle w:val="Akapitzlist"/>
        <w:numPr>
          <w:ilvl w:val="1"/>
          <w:numId w:val="12"/>
        </w:numPr>
      </w:pPr>
      <w:r w:rsidRPr="00BB3E4F">
        <w:t>wprowadzony zostanie administracyjny mechanizm wyceny niedoboru mocy</w:t>
      </w:r>
      <w:r w:rsidR="00C210E6">
        <w:t>,</w:t>
      </w:r>
    </w:p>
    <w:p w14:paraId="04EB578A" w14:textId="77777777" w:rsidR="006741FC" w:rsidRPr="00BB3E4F" w:rsidRDefault="006741FC" w:rsidP="006741FC">
      <w:pPr>
        <w:pStyle w:val="Akapitzlist"/>
        <w:numPr>
          <w:ilvl w:val="1"/>
          <w:numId w:val="12"/>
        </w:numPr>
      </w:pPr>
      <w:r w:rsidRPr="00BB3E4F">
        <w:t>nastąpi przyłączenie się do europejskich platform bilansujących;</w:t>
      </w:r>
    </w:p>
    <w:p w14:paraId="538A0D8B" w14:textId="43D54D1B" w:rsidR="006741FC" w:rsidRPr="00BB3E4F" w:rsidRDefault="006741FC" w:rsidP="006741FC">
      <w:pPr>
        <w:pStyle w:val="Akapitzlist"/>
      </w:pPr>
      <w:r w:rsidRPr="00BB3E4F">
        <w:t xml:space="preserve">doregulowanie w krajowym porządku prawnym DSR przez implementację </w:t>
      </w:r>
      <w:r w:rsidR="006161C8">
        <w:t>d</w:t>
      </w:r>
      <w:r w:rsidR="006161C8" w:rsidRPr="00BB3E4F">
        <w:t xml:space="preserve">yrektywy </w:t>
      </w:r>
      <w:r w:rsidRPr="00BB3E4F">
        <w:t>Parlamentu Europejskiego i Rady (EU) 2019/944 z dnia 5 czerwca 2019 r. w sprawie wspólnych zasad rynku wewnętrznego energii elektrycznej oraz zmieniająca dyrektywę 2012/27/UE (</w:t>
      </w:r>
      <w:r w:rsidR="006161C8" w:rsidRPr="006161C8">
        <w:t xml:space="preserve">Dz. Urz. UE L </w:t>
      </w:r>
      <w:r w:rsidRPr="00BB3E4F">
        <w:t>158 z 14.</w:t>
      </w:r>
      <w:r w:rsidR="006161C8">
        <w:t>0</w:t>
      </w:r>
      <w:r w:rsidRPr="00BB3E4F">
        <w:t>6.2019, s</w:t>
      </w:r>
      <w:r w:rsidR="006161C8">
        <w:t>tr</w:t>
      </w:r>
      <w:r w:rsidRPr="00BB3E4F">
        <w:t xml:space="preserve">. 125), </w:t>
      </w:r>
      <w:r w:rsidR="00C516EC">
        <w:t xml:space="preserve">zwanej </w:t>
      </w:r>
      <w:r w:rsidRPr="00BB3E4F">
        <w:t>dalej „dyrektyw</w:t>
      </w:r>
      <w:r w:rsidR="00C516EC">
        <w:t>ą</w:t>
      </w:r>
      <w:r w:rsidRPr="00BB3E4F">
        <w:t xml:space="preserve"> rynkow</w:t>
      </w:r>
      <w:r w:rsidR="00C516EC">
        <w:t>ą</w:t>
      </w:r>
      <w:r w:rsidRPr="00BB3E4F">
        <w:t>”, w obszarze agregacji, a także umożliwienie udziału DSR w hurtowych rynkach energii elektrycznej;</w:t>
      </w:r>
    </w:p>
    <w:p w14:paraId="7236611D" w14:textId="77777777" w:rsidR="006741FC" w:rsidRPr="00BB3E4F" w:rsidRDefault="006741FC" w:rsidP="006741FC">
      <w:pPr>
        <w:pStyle w:val="Akapitzlist"/>
      </w:pPr>
      <w:r w:rsidRPr="00BB3E4F">
        <w:lastRenderedPageBreak/>
        <w:t>stopniowe wdrażanie inteligentnego opomiarowania (wraz ze wszystkimi przepisami dot. zarządzania danymi, przepisami dotyczącymi interoperacyjności i rozliczeń, a także harmonogramem masowego wprowadzania na rynek inteligentnego opomiarowania) – wdrożenie dyrektywy rynkowej;</w:t>
      </w:r>
    </w:p>
    <w:p w14:paraId="2B388AA6" w14:textId="77777777" w:rsidR="006741FC" w:rsidRPr="00BB3E4F" w:rsidRDefault="006741FC" w:rsidP="006741FC">
      <w:pPr>
        <w:pStyle w:val="Akapitzlist"/>
      </w:pPr>
      <w:r w:rsidRPr="00BB3E4F">
        <w:t>dostosowanie prawa krajowego do przepisów dyrektywy rynkowej w obszarze regulacji cen dla gospodarstw domowych i ochrony odbiorców wrażliwych oraz dotkniętych problemem ubóstwa energetycznego;</w:t>
      </w:r>
    </w:p>
    <w:p w14:paraId="332BD88C" w14:textId="124C915C" w:rsidR="006741FC" w:rsidRPr="00BB3E4F" w:rsidRDefault="006741FC" w:rsidP="006741FC">
      <w:pPr>
        <w:pStyle w:val="Akapitzlist"/>
      </w:pPr>
      <w:r w:rsidRPr="00BB3E4F">
        <w:t xml:space="preserve">wdrożenie metody alokacji zdolności przesyłowej opartej o przepływy fizyczne w ramach procesu łączenia rynków (ang. </w:t>
      </w:r>
      <w:r w:rsidRPr="00BB3E4F">
        <w:rPr>
          <w:i/>
          <w:iCs/>
        </w:rPr>
        <w:t>flow-based market coupling</w:t>
      </w:r>
      <w:r w:rsidRPr="00BB3E4F">
        <w:t>) oraz ukończenie procesu inwestycji w sieć przesyłową (do 2025 r.), które zwiększą całkowite możliwości importowe połączeń stałoprądowych (DC) i przemiennoprądowych (AC) pozwalając na osiągnięcie do 4 GW w warunkach ekstremalnego niedoboru mocy w Polsce (do końca 2025 r.) z celem pośrednim 2,5GW do 1 listopada 2021 r.):</w:t>
      </w:r>
    </w:p>
    <w:p w14:paraId="341F4F52" w14:textId="77777777" w:rsidR="006741FC" w:rsidRPr="00BB3E4F" w:rsidRDefault="006741FC" w:rsidP="006741FC">
      <w:pPr>
        <w:pStyle w:val="Akapitzlist"/>
        <w:numPr>
          <w:ilvl w:val="1"/>
          <w:numId w:val="12"/>
        </w:numPr>
      </w:pPr>
      <w:r w:rsidRPr="00BB3E4F">
        <w:t>projekty inwestycji związane z przekrojem synchronicznym (AC):</w:t>
      </w:r>
    </w:p>
    <w:p w14:paraId="3032DC2D" w14:textId="77777777" w:rsidR="006741FC" w:rsidRPr="00BB3E4F" w:rsidRDefault="006741FC" w:rsidP="006741FC">
      <w:pPr>
        <w:pStyle w:val="Akapitzlist"/>
        <w:numPr>
          <w:ilvl w:val="2"/>
          <w:numId w:val="17"/>
        </w:numPr>
      </w:pPr>
      <w:r w:rsidRPr="00BB3E4F">
        <w:t>Krajnik – Baczyna (400 kV),</w:t>
      </w:r>
    </w:p>
    <w:p w14:paraId="2A356697" w14:textId="77777777" w:rsidR="006741FC" w:rsidRPr="00BB3E4F" w:rsidRDefault="006741FC" w:rsidP="006741FC">
      <w:pPr>
        <w:pStyle w:val="Akapitzlist"/>
        <w:numPr>
          <w:ilvl w:val="2"/>
          <w:numId w:val="17"/>
        </w:numPr>
      </w:pPr>
      <w:r w:rsidRPr="00BB3E4F">
        <w:t>Baczyna – Plewiska (400 kV),</w:t>
      </w:r>
    </w:p>
    <w:p w14:paraId="5DAD8A31" w14:textId="77777777" w:rsidR="006741FC" w:rsidRPr="00BB3E4F" w:rsidRDefault="006741FC" w:rsidP="006741FC">
      <w:pPr>
        <w:pStyle w:val="Akapitzlist"/>
        <w:numPr>
          <w:ilvl w:val="2"/>
          <w:numId w:val="17"/>
        </w:numPr>
      </w:pPr>
      <w:r w:rsidRPr="00BB3E4F">
        <w:t>Mikułowa – Czarna – Pasikurowice (400 kV),</w:t>
      </w:r>
    </w:p>
    <w:p w14:paraId="659B63BF" w14:textId="77777777" w:rsidR="006741FC" w:rsidRPr="00BB3E4F" w:rsidRDefault="006741FC" w:rsidP="006741FC">
      <w:pPr>
        <w:pStyle w:val="Akapitzlist"/>
        <w:numPr>
          <w:ilvl w:val="2"/>
          <w:numId w:val="17"/>
        </w:numPr>
      </w:pPr>
      <w:r w:rsidRPr="00BB3E4F">
        <w:t>Mikułowa – Świebodzice (400 kV),</w:t>
      </w:r>
    </w:p>
    <w:p w14:paraId="154E9073" w14:textId="68FBEB88" w:rsidR="006741FC" w:rsidRPr="00BB3E4F" w:rsidRDefault="006741FC" w:rsidP="006741FC">
      <w:pPr>
        <w:pStyle w:val="Akapitzlist"/>
        <w:numPr>
          <w:ilvl w:val="2"/>
          <w:numId w:val="17"/>
        </w:numPr>
      </w:pPr>
      <w:r w:rsidRPr="00BB3E4F">
        <w:t>Ostrów-Kromolice (400 kV</w:t>
      </w:r>
      <w:r w:rsidR="00285509" w:rsidRPr="00BB3E4F">
        <w:t>)</w:t>
      </w:r>
      <w:r w:rsidR="00285509">
        <w:t>,</w:t>
      </w:r>
    </w:p>
    <w:p w14:paraId="02083B23" w14:textId="77777777" w:rsidR="006741FC" w:rsidRPr="00BB3E4F" w:rsidRDefault="006741FC" w:rsidP="006741FC">
      <w:pPr>
        <w:pStyle w:val="Akapitzlist"/>
        <w:numPr>
          <w:ilvl w:val="1"/>
          <w:numId w:val="12"/>
        </w:numPr>
      </w:pPr>
      <w:r w:rsidRPr="00BB3E4F">
        <w:t>projekty inwestycji związane z połączeniami stałoprądowymi (DC):</w:t>
      </w:r>
    </w:p>
    <w:p w14:paraId="10D15967" w14:textId="77777777" w:rsidR="006741FC" w:rsidRPr="00BB3E4F" w:rsidRDefault="006741FC" w:rsidP="006741FC">
      <w:pPr>
        <w:pStyle w:val="Akapitzlist"/>
        <w:numPr>
          <w:ilvl w:val="2"/>
          <w:numId w:val="18"/>
        </w:numPr>
      </w:pPr>
      <w:r w:rsidRPr="00BB3E4F">
        <w:t>(SWEPOL Link) Słupsk – Żydowo-Kierzkowo – Gdańsk-Przyjaźń – Pelplin – Grudziądz – Jasiniec – Pątnów (400 kV),</w:t>
      </w:r>
    </w:p>
    <w:p w14:paraId="4A5F73ED" w14:textId="77777777" w:rsidR="006741FC" w:rsidRPr="00BB3E4F" w:rsidRDefault="006741FC" w:rsidP="006741FC">
      <w:pPr>
        <w:pStyle w:val="Akapitzlist"/>
        <w:numPr>
          <w:ilvl w:val="2"/>
          <w:numId w:val="18"/>
        </w:numPr>
      </w:pPr>
      <w:r w:rsidRPr="00BB3E4F">
        <w:t>(LITPOL Link) Ostrołęka – Stanisławów (400 kV);</w:t>
      </w:r>
    </w:p>
    <w:p w14:paraId="4AEF1BB8" w14:textId="5E53122B" w:rsidR="006741FC" w:rsidRPr="00BB3E4F" w:rsidRDefault="006741FC" w:rsidP="006741FC">
      <w:pPr>
        <w:pStyle w:val="Akapitzlist"/>
      </w:pPr>
      <w:r w:rsidRPr="00BB3E4F">
        <w:t xml:space="preserve">osiągnięcie do 1 stycznia 2020 r. na granicy PL-LT zdolności przesyłowych (wyznaczanych metodą NTC (ang. </w:t>
      </w:r>
      <w:r w:rsidRPr="00BB3E4F">
        <w:rPr>
          <w:i/>
          <w:iCs/>
        </w:rPr>
        <w:t>net transfer capacity</w:t>
      </w:r>
      <w:r w:rsidRPr="00BB3E4F">
        <w:t>) na poziomie 70</w:t>
      </w:r>
      <w:r w:rsidR="00826A6D">
        <w:t xml:space="preserve"> </w:t>
      </w:r>
      <w:r w:rsidRPr="00BB3E4F">
        <w:t>% technicznej zdolności w</w:t>
      </w:r>
      <w:r>
        <w:t> </w:t>
      </w:r>
      <w:r w:rsidRPr="00BB3E4F">
        <w:t>rozumieniu postanowień rozporządzenia rynkowego</w:t>
      </w:r>
      <w:r w:rsidRPr="00BB3E4F">
        <w:rPr>
          <w:rStyle w:val="Odwoanieprzypisudolnego"/>
        </w:rPr>
        <w:footnoteReference w:id="6"/>
      </w:r>
      <w:r w:rsidR="00896F30" w:rsidRPr="00163405">
        <w:rPr>
          <w:vertAlign w:val="superscript"/>
        </w:rPr>
        <w:t>)</w:t>
      </w:r>
      <w:r w:rsidRPr="00BB3E4F">
        <w:t xml:space="preserve"> oraz realizacja Planu Działania opracowanego zgodnie z art. 15 rozporządzenia rynkowego);</w:t>
      </w:r>
    </w:p>
    <w:p w14:paraId="52074CC4" w14:textId="2387C1BC" w:rsidR="006741FC" w:rsidRPr="00BB3E4F" w:rsidRDefault="006741FC" w:rsidP="006741FC">
      <w:pPr>
        <w:pStyle w:val="Akapitzlist"/>
      </w:pPr>
      <w:r w:rsidRPr="00BB3E4F">
        <w:t>ograniczenie stosowania ograniczeń alokacji przez zmianę sposobu nabywania mocy bilansujących - w ramach reformy rynku bilansującego w Polsce, od 01.01.2022 r. moce bilansujące (rezerwy) będą pozyskiwane przed otwarciem bramki w ramach mechanizmu jednolitego łączenia rynków dnia następnego (SDAC);</w:t>
      </w:r>
    </w:p>
    <w:p w14:paraId="7D18DCC2" w14:textId="77777777" w:rsidR="006741FC" w:rsidRPr="00BB3E4F" w:rsidRDefault="006741FC" w:rsidP="006741FC">
      <w:pPr>
        <w:pStyle w:val="Akapitzlist"/>
      </w:pPr>
      <w:r w:rsidRPr="00BB3E4F">
        <w:t>dostosowanie mechanizmu rynku mocy do przepisów przewidzianych w rozporządzeniu rynkowym zgodnie z art. 22 ust. 5 oraz zakończenie funkcjonowania następujących mechanizmów (od 01.01.2021 r.):</w:t>
      </w:r>
    </w:p>
    <w:p w14:paraId="3DD9EB59" w14:textId="77777777" w:rsidR="006741FC" w:rsidRPr="00BB3E4F" w:rsidRDefault="006741FC" w:rsidP="006741FC">
      <w:pPr>
        <w:pStyle w:val="Akapitzlist"/>
        <w:numPr>
          <w:ilvl w:val="2"/>
          <w:numId w:val="19"/>
        </w:numPr>
      </w:pPr>
      <w:r w:rsidRPr="00BB3E4F">
        <w:lastRenderedPageBreak/>
        <w:t>Interwencyjna Rezerwa Mocy (IRZ),</w:t>
      </w:r>
    </w:p>
    <w:p w14:paraId="6C268C52" w14:textId="77777777" w:rsidR="006741FC" w:rsidRPr="00BB3E4F" w:rsidRDefault="006741FC" w:rsidP="006741FC">
      <w:pPr>
        <w:pStyle w:val="Akapitzlist"/>
        <w:numPr>
          <w:ilvl w:val="2"/>
          <w:numId w:val="19"/>
        </w:numPr>
      </w:pPr>
      <w:r w:rsidRPr="00BB3E4F">
        <w:t>Praca interwencyjna (PI),</w:t>
      </w:r>
    </w:p>
    <w:p w14:paraId="1DE22193" w14:textId="77777777" w:rsidR="006741FC" w:rsidRPr="00BB3E4F" w:rsidRDefault="006741FC" w:rsidP="006741FC">
      <w:pPr>
        <w:pStyle w:val="Akapitzlist"/>
        <w:numPr>
          <w:ilvl w:val="2"/>
          <w:numId w:val="19"/>
        </w:numPr>
      </w:pPr>
      <w:r w:rsidRPr="00BB3E4F">
        <w:t>Gwarantowany Interwencyjny Program DSR (Gwarantowany IP DSR),</w:t>
      </w:r>
    </w:p>
    <w:p w14:paraId="072EBA94" w14:textId="77777777" w:rsidR="006741FC" w:rsidRPr="00BB3E4F" w:rsidRDefault="006741FC" w:rsidP="006741FC">
      <w:pPr>
        <w:pStyle w:val="Akapitzlist"/>
        <w:numPr>
          <w:ilvl w:val="2"/>
          <w:numId w:val="19"/>
        </w:numPr>
      </w:pPr>
      <w:r w:rsidRPr="00BB3E4F">
        <w:t>Operacyjna rezerwa mocy (ORM).</w:t>
      </w:r>
    </w:p>
    <w:p w14:paraId="26B87FC2" w14:textId="1B321EAD" w:rsidR="006741FC" w:rsidRPr="00BB3E4F" w:rsidRDefault="006741FC" w:rsidP="006741FC">
      <w:r w:rsidRPr="00BB3E4F">
        <w:t>Wszystkie powyższe działania zostały zrealizowane lub są w trakcie realizacji na moment sporządzenia niniejszej oceny funkcjonowania rynku mocy w Polsce. Szczegóły wdrażanych rozwiązań omówiono w poszczególnych Sprawozdaniach z realizacji Planu Wdrażania reform rynku energii elektrycznej</w:t>
      </w:r>
      <w:r w:rsidRPr="00BB3E4F">
        <w:rPr>
          <w:rStyle w:val="Odwoanieprzypisudolnego"/>
        </w:rPr>
        <w:footnoteReference w:id="7"/>
      </w:r>
      <w:r w:rsidR="00896F30" w:rsidRPr="00163405">
        <w:rPr>
          <w:vertAlign w:val="superscript"/>
        </w:rPr>
        <w:t>)</w:t>
      </w:r>
      <w:r w:rsidRPr="00BB3E4F">
        <w:t xml:space="preserve">. W trakcie realizacji jest część projektów inwestycyjnych (np. drugi tor linii Mikułowa-Świebodzice (400kV) zaplanowany do końca 2025 r.), na bieżąco </w:t>
      </w:r>
      <w:r w:rsidR="00ED442C" w:rsidRPr="00BB3E4F">
        <w:t xml:space="preserve">jest </w:t>
      </w:r>
      <w:r w:rsidRPr="00BB3E4F">
        <w:t>realizowany Plan Działania, którego realizacja jest zaplanowana do końca 2025 r. Również w</w:t>
      </w:r>
      <w:r w:rsidR="00677A66">
        <w:t> </w:t>
      </w:r>
      <w:r w:rsidRPr="00BB3E4F">
        <w:t>zakresie instalacji liczników zdalnego odczytu ich instalacja masowa jest w trakcie – plan zakłada cel 80</w:t>
      </w:r>
      <w:r w:rsidR="00826A6D">
        <w:t xml:space="preserve"> </w:t>
      </w:r>
      <w:r w:rsidRPr="00BB3E4F">
        <w:t>% odbiorców końcowych do 2028 r.</w:t>
      </w:r>
    </w:p>
    <w:p w14:paraId="0F09ED9A" w14:textId="751559A2" w:rsidR="006741FC" w:rsidRPr="00BB3E4F" w:rsidRDefault="006741FC" w:rsidP="006741FC">
      <w:r w:rsidRPr="00BB3E4F">
        <w:t>Należy jednak podkreślić, że wprowadzanie reform rynku energii elektrycznej przypadło na</w:t>
      </w:r>
      <w:r w:rsidR="00677A66">
        <w:t> </w:t>
      </w:r>
      <w:r w:rsidRPr="00BB3E4F">
        <w:t>trudny okres zawirowań w sferze gospodarczej i społecznej tj.: pandemii COVID-19, wybuchu wojny w Ukrainie po ataku ze strony Rosji oraz kryzysu energetycznego będącego następstwem tej wojny. Niewątpliwie wpłynęło to na harmonogram wdrażania reform rynku energii elektrycznej oraz wiązało się z podejmowaniem działań regulacyjnych, które miały osłonić odbiorców energii elektrycznej przed negatywnymi skutkami wymienionych kryzysów.</w:t>
      </w:r>
    </w:p>
    <w:p w14:paraId="0AECE24C" w14:textId="77777777" w:rsidR="006741FC" w:rsidRPr="00BB3E4F" w:rsidRDefault="006741FC" w:rsidP="006741FC">
      <w:pPr>
        <w:pStyle w:val="Nagwek2"/>
      </w:pPr>
      <w:bookmarkStart w:id="22" w:name="_Ref181107241"/>
      <w:bookmarkStart w:id="23" w:name="_Toc183753337"/>
      <w:bookmarkStart w:id="24" w:name="_Toc188008603"/>
      <w:r w:rsidRPr="00BB3E4F">
        <w:t>Obecny stan rynku energii elektrycznej</w:t>
      </w:r>
      <w:bookmarkEnd w:id="22"/>
      <w:bookmarkEnd w:id="23"/>
      <w:bookmarkEnd w:id="24"/>
    </w:p>
    <w:p w14:paraId="3CB23DAC" w14:textId="14926D21" w:rsidR="006741FC" w:rsidRPr="00BB3E4F" w:rsidRDefault="006741FC" w:rsidP="006741FC">
      <w:r w:rsidRPr="00BB3E4F">
        <w:t>Na potrzeby przygotowania Planu Wdrażania omówionego w poprzedniej części opracowania, minister właściwy ds. energii dokonał analizy funkcjonowania rynku energii elektrycznej w Polsce na podstawie wytycznych KE</w:t>
      </w:r>
      <w:r w:rsidRPr="00BB3E4F">
        <w:rPr>
          <w:rStyle w:val="Odwoanieprzypisudolnego"/>
        </w:rPr>
        <w:footnoteReference w:id="8"/>
      </w:r>
      <w:r w:rsidR="00896F30" w:rsidRPr="00163405">
        <w:rPr>
          <w:vertAlign w:val="superscript"/>
        </w:rPr>
        <w:t>)</w:t>
      </w:r>
      <w:r w:rsidRPr="00BB3E4F">
        <w:t>. Poniżej przedstawiono analizę obecnego kształtu rynku energii elektrycznej – na moment sporządzenia niniejszego opracowania – posiłkując się wyznaczonymi przez KE obszarami analizy.</w:t>
      </w:r>
    </w:p>
    <w:p w14:paraId="1CF4D4F1" w14:textId="507C7FBC" w:rsidR="006741FC" w:rsidRPr="00BB3E4F" w:rsidRDefault="006741FC" w:rsidP="006741FC">
      <w:r w:rsidRPr="00BB3E4F">
        <w:lastRenderedPageBreak/>
        <w:t>Na koniec 2023 r. w krajowym systemie elektroenergetycznym</w:t>
      </w:r>
      <w:r w:rsidRPr="00BB3E4F">
        <w:rPr>
          <w:rStyle w:val="Odwoanieprzypisudolnego"/>
        </w:rPr>
        <w:footnoteReference w:id="9"/>
      </w:r>
      <w:r w:rsidR="00896F30" w:rsidRPr="00163405">
        <w:rPr>
          <w:vertAlign w:val="superscript"/>
        </w:rPr>
        <w:t>)</w:t>
      </w:r>
      <w:r w:rsidRPr="00BB3E4F">
        <w:t xml:space="preserve">, </w:t>
      </w:r>
      <w:r w:rsidR="00C516EC">
        <w:t xml:space="preserve">zwanym </w:t>
      </w:r>
      <w:r w:rsidRPr="00BB3E4F">
        <w:t xml:space="preserve">dalej </w:t>
      </w:r>
      <w:r w:rsidR="00C516EC">
        <w:t>„</w:t>
      </w:r>
      <w:r w:rsidRPr="00BB3E4F">
        <w:t>KSE</w:t>
      </w:r>
      <w:r w:rsidR="00C516EC">
        <w:t>”</w:t>
      </w:r>
      <w:r w:rsidRPr="00BB3E4F">
        <w:t>, niemal połowę mocy zainstalowanych stanowią elektrownie węglowe (37,05</w:t>
      </w:r>
      <w:r w:rsidR="00826A6D">
        <w:t xml:space="preserve"> </w:t>
      </w:r>
      <w:r w:rsidRPr="00BB3E4F">
        <w:t>% elektrownie opalane węglem kamiennym oraz 12,22</w:t>
      </w:r>
      <w:r w:rsidR="00826A6D">
        <w:t xml:space="preserve"> </w:t>
      </w:r>
      <w:r w:rsidRPr="00BB3E4F">
        <w:t>% elektrownie opalane węglem brunatnym). Dla porównania na</w:t>
      </w:r>
      <w:r w:rsidR="00677A66">
        <w:t> </w:t>
      </w:r>
      <w:r w:rsidRPr="00BB3E4F">
        <w:t>koniec 2020 r., czyli ostatniego roku przed wprowadzeniem rynku mocy udział źródeł węglowych w mocy zainstalowanej wynosił ponad 63</w:t>
      </w:r>
      <w:r w:rsidR="00826A6D">
        <w:t xml:space="preserve"> </w:t>
      </w:r>
      <w:r w:rsidRPr="00BB3E4F">
        <w:t>%, a w 2018 r., gdy przeprowadzano pierwsze aukcje mocy udział jednostek węglowych w mocy zainstalowanej wynosił niemal 70</w:t>
      </w:r>
      <w:r w:rsidR="00826A6D">
        <w:t xml:space="preserve"> </w:t>
      </w:r>
      <w:r w:rsidRPr="00BB3E4F">
        <w:t>%. Udział instalacji OZE (w tym elektrowni szczytowo-pompowych) na koniec 2023 r. w mocy zainstalowanej wynosił niemal 44</w:t>
      </w:r>
      <w:r w:rsidR="00826A6D">
        <w:t xml:space="preserve"> </w:t>
      </w:r>
      <w:r w:rsidRPr="00BB3E4F">
        <w:t>%, a gazowych niemal 7</w:t>
      </w:r>
      <w:r w:rsidR="00826A6D">
        <w:t xml:space="preserve"> </w:t>
      </w:r>
      <w:r w:rsidRPr="00BB3E4F">
        <w:t>%. Dla porównania w 2020 r. było to</w:t>
      </w:r>
      <w:r w:rsidR="00677A66">
        <w:t> </w:t>
      </w:r>
      <w:r w:rsidRPr="00BB3E4F">
        <w:t>odpowiednio ponad 25</w:t>
      </w:r>
      <w:r w:rsidR="00826A6D">
        <w:t xml:space="preserve"> </w:t>
      </w:r>
      <w:r w:rsidRPr="00BB3E4F">
        <w:t>% i 5,6</w:t>
      </w:r>
      <w:r w:rsidR="00826A6D">
        <w:t xml:space="preserve"> </w:t>
      </w:r>
      <w:r w:rsidRPr="00BB3E4F">
        <w:t>%, a dla 2018 r. odpowiednio niemal 20</w:t>
      </w:r>
      <w:r w:rsidR="00826A6D">
        <w:t xml:space="preserve"> </w:t>
      </w:r>
      <w:r w:rsidRPr="00BB3E4F">
        <w:t>% i około 5</w:t>
      </w:r>
      <w:r w:rsidR="00826A6D">
        <w:t xml:space="preserve"> </w:t>
      </w:r>
      <w:r w:rsidRPr="00BB3E4F">
        <w:t>%. Wielkość mocy zainstalowanych w poszczególnych technologiach jest przedstawiona na wykresie poniżej.</w:t>
      </w:r>
    </w:p>
    <w:p w14:paraId="7799D2C7" w14:textId="533D3EB7" w:rsidR="006741FC" w:rsidRPr="00BB3E4F" w:rsidRDefault="006741FC" w:rsidP="006741FC">
      <w:pPr>
        <w:pStyle w:val="Legenda"/>
        <w:keepNext/>
        <w:jc w:val="center"/>
      </w:pPr>
      <w:bookmarkStart w:id="25" w:name="_Toc188209352"/>
      <w:r w:rsidRPr="00BB3E4F">
        <w:t xml:space="preserve">Rysunek </w:t>
      </w:r>
      <w:fldSimple w:instr=" SEQ Rysunek \* ARABIC ">
        <w:r w:rsidRPr="00BB3E4F">
          <w:rPr>
            <w:noProof/>
          </w:rPr>
          <w:t>1</w:t>
        </w:r>
      </w:fldSimple>
      <w:r w:rsidRPr="00BB3E4F">
        <w:t>. Dynamika wzrostu mocy zainstalowanej w krajowym systemie elektroenergetycznym w latach 1960</w:t>
      </w:r>
      <w:r w:rsidR="00332212">
        <w:t>-</w:t>
      </w:r>
      <w:r w:rsidRPr="00BB3E4F">
        <w:t>2023</w:t>
      </w:r>
      <w:bookmarkEnd w:id="25"/>
    </w:p>
    <w:p w14:paraId="63380318" w14:textId="77777777" w:rsidR="006741FC" w:rsidRPr="00BB3E4F" w:rsidRDefault="006741FC" w:rsidP="006741FC">
      <w:pPr>
        <w:keepNext/>
        <w:jc w:val="center"/>
      </w:pPr>
      <w:r w:rsidRPr="00BB3E4F">
        <w:rPr>
          <w:noProof/>
          <w:lang w:eastAsia="pl-PL"/>
        </w:rPr>
        <w:drawing>
          <wp:inline distT="0" distB="0" distL="0" distR="0" wp14:anchorId="53126C52" wp14:editId="04D2584A">
            <wp:extent cx="5756910" cy="3792855"/>
            <wp:effectExtent l="0" t="0" r="0" b="0"/>
            <wp:docPr id="9873330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3792855"/>
                    </a:xfrm>
                    <a:prstGeom prst="rect">
                      <a:avLst/>
                    </a:prstGeom>
                    <a:noFill/>
                    <a:ln>
                      <a:noFill/>
                    </a:ln>
                  </pic:spPr>
                </pic:pic>
              </a:graphicData>
            </a:graphic>
          </wp:inline>
        </w:drawing>
      </w:r>
    </w:p>
    <w:p w14:paraId="76DB91A6" w14:textId="00CB2EC7" w:rsidR="006741FC" w:rsidRPr="00BB3E4F" w:rsidRDefault="006741FC" w:rsidP="006741FC">
      <w:pPr>
        <w:pStyle w:val="Legenda"/>
      </w:pPr>
      <w:r w:rsidRPr="00BB3E4F">
        <w:t>Źródło: Zestawienie danych ilościowych dotyczących funkcjonowania KSE w 2023 r., PSE S.A.</w:t>
      </w:r>
      <w:r w:rsidRPr="00BB3E4F">
        <w:rPr>
          <w:rStyle w:val="Odwoanieprzypisudolnego"/>
        </w:rPr>
        <w:footnoteReference w:id="10"/>
      </w:r>
      <w:r w:rsidR="00896F30" w:rsidRPr="00163405">
        <w:rPr>
          <w:vertAlign w:val="superscript"/>
        </w:rPr>
        <w:t>)</w:t>
      </w:r>
    </w:p>
    <w:p w14:paraId="606F76A7" w14:textId="3C0C07BD" w:rsidR="006741FC" w:rsidRPr="00BB3E4F" w:rsidRDefault="006741FC" w:rsidP="006741FC">
      <w:r w:rsidRPr="00BB3E4F">
        <w:t>W 2023 r. za niemal 70</w:t>
      </w:r>
      <w:r w:rsidR="00826A6D">
        <w:t xml:space="preserve"> </w:t>
      </w:r>
      <w:r w:rsidRPr="00BB3E4F">
        <w:t xml:space="preserve">% produkcji w </w:t>
      </w:r>
      <w:r w:rsidR="00BE570A">
        <w:t>k</w:t>
      </w:r>
      <w:r w:rsidRPr="00BB3E4F">
        <w:t>rajowym systemie elektroenergetycznym odpowiadały elektrownie węglowe (46,82</w:t>
      </w:r>
      <w:r w:rsidR="00826A6D">
        <w:t xml:space="preserve"> </w:t>
      </w:r>
      <w:r w:rsidRPr="00BB3E4F">
        <w:t>% elektrownie opalane węglem kamiennym oraz 21,13</w:t>
      </w:r>
      <w:r w:rsidR="00826A6D">
        <w:t xml:space="preserve"> </w:t>
      </w:r>
      <w:r w:rsidRPr="00BB3E4F">
        <w:t>% elektrownie opalane węglem brunatnym). Dla porównania na koniec 2020 r., czyli ostatniego roku przed wprowadzeniem rynku mocy udział źródeł węglowych w produkcji energii elektrycznej wynosił niemal 72</w:t>
      </w:r>
      <w:r w:rsidR="00826A6D">
        <w:t xml:space="preserve"> </w:t>
      </w:r>
      <w:r w:rsidRPr="00BB3E4F">
        <w:t xml:space="preserve">%, a w 2018 r., wynosił niemal </w:t>
      </w:r>
      <w:r w:rsidRPr="00BB3E4F">
        <w:lastRenderedPageBreak/>
        <w:t>80</w:t>
      </w:r>
      <w:r w:rsidR="00826A6D">
        <w:t xml:space="preserve"> </w:t>
      </w:r>
      <w:r w:rsidRPr="00BB3E4F">
        <w:t>%. Udział instalacji OZE w</w:t>
      </w:r>
      <w:r w:rsidR="00677A66">
        <w:t> </w:t>
      </w:r>
      <w:r w:rsidRPr="00BB3E4F">
        <w:t>2023</w:t>
      </w:r>
      <w:r w:rsidR="00B004B0">
        <w:t> </w:t>
      </w:r>
      <w:r w:rsidRPr="00BB3E4F">
        <w:t>r. w produkcji energii wynosił niemal 24</w:t>
      </w:r>
      <w:r w:rsidR="00826A6D">
        <w:t xml:space="preserve"> </w:t>
      </w:r>
      <w:r w:rsidRPr="00BB3E4F">
        <w:t>%, a gazowych ponad 8</w:t>
      </w:r>
      <w:r w:rsidR="00826A6D">
        <w:t xml:space="preserve"> </w:t>
      </w:r>
      <w:r w:rsidRPr="00BB3E4F">
        <w:t>%. Dla porównania w</w:t>
      </w:r>
      <w:r w:rsidR="00677A66">
        <w:t> </w:t>
      </w:r>
      <w:r w:rsidRPr="00BB3E4F">
        <w:t>2020</w:t>
      </w:r>
      <w:r w:rsidR="00B004B0">
        <w:t> </w:t>
      </w:r>
      <w:r w:rsidRPr="00BB3E4F">
        <w:t>r. było to odpowiednio niemal 13</w:t>
      </w:r>
      <w:r w:rsidR="00826A6D">
        <w:t xml:space="preserve"> </w:t>
      </w:r>
      <w:r w:rsidRPr="00BB3E4F">
        <w:t>% i ponad 9</w:t>
      </w:r>
      <w:r w:rsidR="00826A6D">
        <w:t xml:space="preserve"> </w:t>
      </w:r>
      <w:r w:rsidRPr="00BB3E4F">
        <w:t>%, a dla 2018 r. odpowiednio niemal 9</w:t>
      </w:r>
      <w:r w:rsidR="00826A6D">
        <w:t xml:space="preserve"> </w:t>
      </w:r>
      <w:r w:rsidRPr="00BB3E4F">
        <w:t>% i</w:t>
      </w:r>
      <w:r w:rsidR="00677A66">
        <w:t> </w:t>
      </w:r>
      <w:r w:rsidRPr="00BB3E4F">
        <w:t>około 6</w:t>
      </w:r>
      <w:r w:rsidR="00826A6D">
        <w:t xml:space="preserve"> </w:t>
      </w:r>
      <w:r w:rsidRPr="00BB3E4F">
        <w:t>%. Wielkość produkcji energii elektrycznej w podziale na poszczególne technologi</w:t>
      </w:r>
      <w:r w:rsidR="00B004B0">
        <w:t>e</w:t>
      </w:r>
      <w:r w:rsidRPr="00BB3E4F">
        <w:t xml:space="preserve"> jest przedstawiona na wykresie poniżej.</w:t>
      </w:r>
    </w:p>
    <w:p w14:paraId="2F27CD7E" w14:textId="3491A2AC" w:rsidR="006741FC" w:rsidRPr="00BB3E4F" w:rsidRDefault="006741FC" w:rsidP="006741FC">
      <w:pPr>
        <w:pStyle w:val="Legenda"/>
        <w:keepNext/>
        <w:jc w:val="left"/>
      </w:pPr>
      <w:bookmarkStart w:id="26" w:name="_Toc188209353"/>
      <w:r w:rsidRPr="00BB3E4F">
        <w:t xml:space="preserve">Rysunek </w:t>
      </w:r>
      <w:fldSimple w:instr=" SEQ Rysunek \* ARABIC ">
        <w:r w:rsidRPr="00BB3E4F">
          <w:rPr>
            <w:noProof/>
          </w:rPr>
          <w:t>2</w:t>
        </w:r>
      </w:fldSimple>
      <w:r w:rsidRPr="00BB3E4F">
        <w:t>. Produkcja energii elektrycznej w latach 1950</w:t>
      </w:r>
      <w:r w:rsidR="00332212">
        <w:t>-</w:t>
      </w:r>
      <w:r w:rsidRPr="00BB3E4F">
        <w:t>2018</w:t>
      </w:r>
      <w:bookmarkEnd w:id="26"/>
    </w:p>
    <w:p w14:paraId="25033909" w14:textId="77777777" w:rsidR="006741FC" w:rsidRPr="00BB3E4F" w:rsidRDefault="006741FC" w:rsidP="006741FC">
      <w:pPr>
        <w:jc w:val="center"/>
      </w:pPr>
      <w:r w:rsidRPr="00BB3E4F">
        <w:rPr>
          <w:noProof/>
          <w:lang w:eastAsia="pl-PL"/>
        </w:rPr>
        <w:drawing>
          <wp:inline distT="0" distB="0" distL="0" distR="0" wp14:anchorId="1491C1D6" wp14:editId="31DFCA75">
            <wp:extent cx="5756910" cy="3705225"/>
            <wp:effectExtent l="0" t="0" r="0" b="9525"/>
            <wp:docPr id="1505472632" name="Obraz 3" descr="Obraz zawierający tekst, zrzut ekranu, Wykre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72632" name="Obraz 3" descr="Obraz zawierający tekst, zrzut ekranu, Wykres, diagram&#10;&#10;Opis wygenerowany automatyczn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3705225"/>
                    </a:xfrm>
                    <a:prstGeom prst="rect">
                      <a:avLst/>
                    </a:prstGeom>
                    <a:noFill/>
                    <a:ln>
                      <a:noFill/>
                    </a:ln>
                  </pic:spPr>
                </pic:pic>
              </a:graphicData>
            </a:graphic>
          </wp:inline>
        </w:drawing>
      </w:r>
    </w:p>
    <w:p w14:paraId="07AFD515" w14:textId="6A4080C3" w:rsidR="006741FC" w:rsidRPr="00BB3E4F" w:rsidRDefault="006741FC" w:rsidP="006741FC">
      <w:pPr>
        <w:pStyle w:val="Legenda"/>
      </w:pPr>
      <w:r w:rsidRPr="00BB3E4F">
        <w:t xml:space="preserve"> Źródło: Zestawienie danych ilościowych dotyczących funkcjonowania KSE w 2023 r., PSE S.A.</w:t>
      </w:r>
      <w:r w:rsidRPr="00BB3E4F">
        <w:rPr>
          <w:rStyle w:val="Odwoanieprzypisudolnego"/>
        </w:rPr>
        <w:footnoteReference w:id="11"/>
      </w:r>
      <w:r w:rsidR="00896F30" w:rsidRPr="00163405">
        <w:rPr>
          <w:vertAlign w:val="superscript"/>
        </w:rPr>
        <w:t>)</w:t>
      </w:r>
    </w:p>
    <w:p w14:paraId="7F8E2CB0" w14:textId="540865F0" w:rsidR="006741FC" w:rsidRPr="00BB3E4F" w:rsidRDefault="00C516EC" w:rsidP="006741FC">
      <w:r>
        <w:t>M</w:t>
      </w:r>
      <w:r w:rsidRPr="00BB3E4F">
        <w:t xml:space="preserve">imo </w:t>
      </w:r>
      <w:r w:rsidR="006741FC" w:rsidRPr="00BB3E4F">
        <w:t xml:space="preserve">zagrożeń dla możliwości utrzymania bezpieczeństwa pracy systemu elektroenergetycznego po 2020 r. identyfikowanych na etapie wdrażania polskiego rynku mocy – dzięki jego wprowadzeniu – poziom dostępności wymaganej mocy dyspozycyjnej w KSE był wystarczający. Tezę tą potwierdza fakt, że od 1 stycznia 2021 r. do chwili opracowania niniejszej oceny, poziom rezerw dostępnych dla operatora systemu przesyłowego w procesach planowania dobowego spadł poniżej wymaganego poziomu wyłącznie w dwóch dniach. W obu tych przypadkach ogłoszone zostały okresy przywołania na rynku mocy, co z kolei pozwoliło na odtworzenie rezerw mocy i finalnie pozwoliło na bezpieczną pracę systemu elektroenergetycznego. </w:t>
      </w:r>
    </w:p>
    <w:p w14:paraId="0C5566A2" w14:textId="613B7CC8" w:rsidR="006741FC" w:rsidRPr="00BB3E4F" w:rsidRDefault="006741FC" w:rsidP="006741FC">
      <w:r w:rsidRPr="00BB3E4F">
        <w:t xml:space="preserve">Niezależnie od powyższego, w ostatnich latach </w:t>
      </w:r>
      <w:r w:rsidR="00ED442C">
        <w:t>P</w:t>
      </w:r>
      <w:r w:rsidR="00ED442C" w:rsidRPr="00BB3E4F">
        <w:t xml:space="preserve">olska </w:t>
      </w:r>
      <w:r w:rsidRPr="00BB3E4F">
        <w:t>jest importerem netto energii elektrycznej. Największy import miał miejsce w 2020 r., gdy pandemia COVID-19 spowodowała ograniczenie zapotrzebowania na energię elektryczną w UE, a tym samym obniżenie cen energii elektrycznej na rynkach. W tym okresie wyższy udział OZE o nie</w:t>
      </w:r>
      <w:r w:rsidRPr="00BB3E4F">
        <w:lastRenderedPageBreak/>
        <w:t>mal zerowych kosztach zmiennych wytwarzania energii elektrycznej skutkował większym obniżeniem cen energii elektrycznej na zachodzie Europy niż w Polsce. Wyjątkiem względem ww. trendu był 2022 r., kiedy ze względu na wysokie ceny gazu</w:t>
      </w:r>
      <w:r w:rsidR="004562AE">
        <w:t xml:space="preserve"> ziemnego</w:t>
      </w:r>
      <w:r w:rsidRPr="00BB3E4F">
        <w:t xml:space="preserve">, wytwarzanie energii elektrycznej </w:t>
      </w:r>
      <w:r w:rsidR="004562AE">
        <w:t>w</w:t>
      </w:r>
      <w:r w:rsidRPr="00BB3E4F">
        <w:t xml:space="preserve"> polski</w:t>
      </w:r>
      <w:r w:rsidR="004562AE">
        <w:t>ch</w:t>
      </w:r>
      <w:r w:rsidRPr="00BB3E4F">
        <w:t xml:space="preserve"> elektrowni</w:t>
      </w:r>
      <w:r w:rsidR="004562AE">
        <w:t xml:space="preserve">ach </w:t>
      </w:r>
      <w:r w:rsidRPr="00BB3E4F">
        <w:t>węglow</w:t>
      </w:r>
      <w:r w:rsidR="004562AE">
        <w:t>ych</w:t>
      </w:r>
      <w:r w:rsidRPr="00BB3E4F">
        <w:t xml:space="preserve"> stało się konkurencyjne względem wytwarzania energii w krajach w</w:t>
      </w:r>
      <w:r>
        <w:t> </w:t>
      </w:r>
      <w:r w:rsidRPr="00BB3E4F">
        <w:t xml:space="preserve">większym stopniu zależnych od produkcji energii elektrycznej </w:t>
      </w:r>
      <w:r w:rsidR="004562AE">
        <w:t>w</w:t>
      </w:r>
      <w:r w:rsidRPr="00BB3E4F">
        <w:t xml:space="preserve"> elektrowni</w:t>
      </w:r>
      <w:r w:rsidR="004562AE">
        <w:t>ach</w:t>
      </w:r>
      <w:r w:rsidRPr="00BB3E4F">
        <w:t xml:space="preserve"> gazow</w:t>
      </w:r>
      <w:r w:rsidR="004562AE">
        <w:t>ych</w:t>
      </w:r>
      <w:r w:rsidRPr="00BB3E4F">
        <w:t>.</w:t>
      </w:r>
    </w:p>
    <w:p w14:paraId="434F10B8" w14:textId="521A5F20" w:rsidR="006741FC" w:rsidRPr="00BB3E4F" w:rsidRDefault="006741FC" w:rsidP="006741FC">
      <w:pPr>
        <w:pStyle w:val="Legenda"/>
        <w:keepNext/>
      </w:pPr>
      <w:bookmarkStart w:id="27" w:name="_Toc188209354"/>
      <w:r w:rsidRPr="00BB3E4F">
        <w:t xml:space="preserve">Rysunek </w:t>
      </w:r>
      <w:fldSimple w:instr=" SEQ Rysunek \* ARABIC ">
        <w:r w:rsidRPr="00BB3E4F">
          <w:rPr>
            <w:noProof/>
          </w:rPr>
          <w:t>3</w:t>
        </w:r>
      </w:fldSimple>
      <w:r w:rsidRPr="00BB3E4F">
        <w:t xml:space="preserve">. Saldo wymiany energii elektrycznej z zagranicą w latach </w:t>
      </w:r>
      <w:r w:rsidR="00332212">
        <w:t>2014</w:t>
      </w:r>
      <w:r w:rsidR="003F02FA">
        <w:t>-</w:t>
      </w:r>
      <w:r w:rsidRPr="00BB3E4F">
        <w:t>2023 - przepływy fizyczne</w:t>
      </w:r>
      <w:bookmarkEnd w:id="27"/>
    </w:p>
    <w:p w14:paraId="4B4141B4" w14:textId="77777777" w:rsidR="006741FC" w:rsidRPr="00BB3E4F" w:rsidRDefault="006741FC" w:rsidP="006741FC">
      <w:r w:rsidRPr="00BB3E4F">
        <w:rPr>
          <w:noProof/>
          <w:lang w:eastAsia="pl-PL"/>
        </w:rPr>
        <w:drawing>
          <wp:inline distT="0" distB="0" distL="0" distR="0" wp14:anchorId="637B2DDF" wp14:editId="079BB5FB">
            <wp:extent cx="5746750" cy="2971800"/>
            <wp:effectExtent l="0" t="0" r="6350" b="0"/>
            <wp:docPr id="999430821" name="Wykres 1">
              <a:extLst xmlns:a="http://schemas.openxmlformats.org/drawingml/2006/main">
                <a:ext uri="{FF2B5EF4-FFF2-40B4-BE49-F238E27FC236}">
                  <a16:creationId xmlns:a16="http://schemas.microsoft.com/office/drawing/2014/main" id="{5DFBE756-75E0-C025-9DF8-763C96DCFA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826E95" w14:textId="6F83B33E" w:rsidR="006741FC" w:rsidRPr="00BB3E4F" w:rsidRDefault="006741FC" w:rsidP="006741FC">
      <w:pPr>
        <w:pStyle w:val="Legenda"/>
      </w:pPr>
      <w:r w:rsidRPr="00BB3E4F">
        <w:t>Źródło: Opracowanie własne na podstawie zestawienia danych ilościowych dotyczących funkcjonowania KSE w 2023 r., PSE S.A.</w:t>
      </w:r>
      <w:r w:rsidRPr="00BB3E4F">
        <w:rPr>
          <w:rStyle w:val="Odwoanieprzypisudolnego"/>
        </w:rPr>
        <w:footnoteReference w:id="12"/>
      </w:r>
      <w:r w:rsidR="00896F30" w:rsidRPr="00163405">
        <w:rPr>
          <w:vertAlign w:val="superscript"/>
        </w:rPr>
        <w:t>)</w:t>
      </w:r>
    </w:p>
    <w:p w14:paraId="23D91BF4" w14:textId="77777777" w:rsidR="006741FC" w:rsidRPr="00BB3E4F" w:rsidRDefault="006741FC" w:rsidP="006741FC">
      <w:pPr>
        <w:pStyle w:val="Nagwek2"/>
      </w:pPr>
      <w:bookmarkStart w:id="28" w:name="_Toc183753338"/>
      <w:bookmarkStart w:id="29" w:name="_Toc188008604"/>
      <w:r w:rsidRPr="00BB3E4F">
        <w:t>Ocena rynku energii elektrycznej przez uczestników ankiety MKiŚ</w:t>
      </w:r>
      <w:bookmarkEnd w:id="28"/>
      <w:bookmarkEnd w:id="29"/>
    </w:p>
    <w:p w14:paraId="5B12209A" w14:textId="40E44B16" w:rsidR="006741FC" w:rsidRPr="00BB3E4F" w:rsidRDefault="006741FC" w:rsidP="006741FC">
      <w:pPr>
        <w:spacing w:line="276" w:lineRule="auto"/>
        <w:rPr>
          <w:szCs w:val="20"/>
        </w:rPr>
      </w:pPr>
      <w:bookmarkStart w:id="30" w:name="_Hlk184031953"/>
      <w:r w:rsidRPr="00BB3E4F">
        <w:rPr>
          <w:szCs w:val="20"/>
        </w:rPr>
        <w:t>Podsumowując ankietę dot. funkcjonowania rynku mocy i rynku energii elektrycznej przeprowadzoną przez MKiŚ</w:t>
      </w:r>
      <w:r w:rsidRPr="00BB3E4F">
        <w:rPr>
          <w:rStyle w:val="Odwoanieprzypisudolnego"/>
          <w:szCs w:val="20"/>
        </w:rPr>
        <w:footnoteReference w:id="13"/>
      </w:r>
      <w:r w:rsidR="00896F30" w:rsidRPr="00163405">
        <w:rPr>
          <w:szCs w:val="20"/>
          <w:vertAlign w:val="superscript"/>
        </w:rPr>
        <w:t>)</w:t>
      </w:r>
      <w:r w:rsidRPr="00BB3E4F">
        <w:rPr>
          <w:szCs w:val="20"/>
        </w:rPr>
        <w:t xml:space="preserve">, </w:t>
      </w:r>
      <w:r w:rsidR="004562AE">
        <w:rPr>
          <w:szCs w:val="20"/>
        </w:rPr>
        <w:t xml:space="preserve">należy wskazać, że </w:t>
      </w:r>
      <w:r w:rsidRPr="00BB3E4F">
        <w:rPr>
          <w:szCs w:val="20"/>
        </w:rPr>
        <w:t>wyniki ankiety potwierdziły, że istnieje szereg wyzwań</w:t>
      </w:r>
      <w:r w:rsidR="004562AE">
        <w:rPr>
          <w:szCs w:val="20"/>
        </w:rPr>
        <w:t>,</w:t>
      </w:r>
      <w:r w:rsidRPr="00BB3E4F">
        <w:rPr>
          <w:szCs w:val="20"/>
        </w:rPr>
        <w:t xml:space="preserve"> przed jakimi stoi zarówno rynek hurtowy energii elektrycznej</w:t>
      </w:r>
      <w:r w:rsidR="004562AE">
        <w:rPr>
          <w:szCs w:val="20"/>
        </w:rPr>
        <w:t>,</w:t>
      </w:r>
      <w:r w:rsidRPr="00BB3E4F">
        <w:rPr>
          <w:szCs w:val="20"/>
        </w:rPr>
        <w:t xml:space="preserve"> jak i rynek detaliczny</w:t>
      </w:r>
      <w:bookmarkEnd w:id="30"/>
      <w:r w:rsidRPr="00BB3E4F">
        <w:rPr>
          <w:szCs w:val="20"/>
        </w:rPr>
        <w:t>. Ostatni kryzys energetyczny uwydatnił mankamenty rynku, w szczególności w zakresie konieczności zapewnienia bezpieczeństwa dostaw, konkurencyjności rynku oraz zwiększenia dostępu do energii pochodzącej z OZE.</w:t>
      </w:r>
    </w:p>
    <w:p w14:paraId="6179A04A" w14:textId="5E02B8BB" w:rsidR="006741FC" w:rsidRPr="00BB3E4F" w:rsidRDefault="006741FC" w:rsidP="006741FC">
      <w:pPr>
        <w:spacing w:line="276" w:lineRule="auto"/>
        <w:rPr>
          <w:szCs w:val="20"/>
        </w:rPr>
      </w:pPr>
      <w:r w:rsidRPr="00BB3E4F">
        <w:rPr>
          <w:szCs w:val="20"/>
        </w:rPr>
        <w:t xml:space="preserve">Respondenci wskazali podobne obszary wymagające poprawy, które były przedmiotem negocjacji w ramach reformy rynku energii elektrycznej i które powinny zostać w </w:t>
      </w:r>
      <w:r w:rsidRPr="00BB3E4F">
        <w:rPr>
          <w:szCs w:val="20"/>
        </w:rPr>
        <w:lastRenderedPageBreak/>
        <w:t>najbliższym czasie rozważone do wprowadzenia na rynku krajowym. Jednym z takich rozwiązań będzie w</w:t>
      </w:r>
      <w:r w:rsidR="00677A66">
        <w:rPr>
          <w:szCs w:val="20"/>
        </w:rPr>
        <w:t> </w:t>
      </w:r>
      <w:r w:rsidRPr="00BB3E4F">
        <w:rPr>
          <w:szCs w:val="20"/>
        </w:rPr>
        <w:t xml:space="preserve">szczególności przedłużenie i wprowadzenie zmian w działaniu rynku mocy, którego funkcjonowanie zostało pozytywnie ocenione przez uczestników rynku. Poza wnioskami dotyczącymi rynku mocy, badanie również uwidoczniło inne kluczowe elementy funkcjonowania systemu elektroenergetycznego w Polsce. </w:t>
      </w:r>
    </w:p>
    <w:p w14:paraId="120729C0" w14:textId="24F82E84" w:rsidR="006741FC" w:rsidRPr="00BB3E4F" w:rsidRDefault="006741FC" w:rsidP="006741FC">
      <w:pPr>
        <w:spacing w:line="276" w:lineRule="auto"/>
        <w:rPr>
          <w:szCs w:val="20"/>
        </w:rPr>
      </w:pPr>
      <w:r w:rsidRPr="00BB3E4F">
        <w:rPr>
          <w:szCs w:val="20"/>
        </w:rPr>
        <w:t>Analiza danych dotyczących rozwoju rynku energii elektrycznej jasno wskazała preferencję zmian w kierunku uelastyczniania systemu elektroenergetycznego. Respondenci wskazywali na usługi elastyczności, kontrakty z ceną dynamiczną oraz usługi systemowe bilansujące jako najważniejsze kierunki dla rozwoju rynku energii elektrycznej. Respondenci wskazywali też na</w:t>
      </w:r>
      <w:r w:rsidR="00677A66">
        <w:rPr>
          <w:szCs w:val="20"/>
        </w:rPr>
        <w:t> </w:t>
      </w:r>
      <w:r w:rsidRPr="00BB3E4F">
        <w:rPr>
          <w:szCs w:val="20"/>
        </w:rPr>
        <w:t>zwiększanie integracji OZE, osiąganie celów transformacji energetycznej oraz zmniejszanie niezbilansowania jako główne skutki zwiększenia elastyczności.</w:t>
      </w:r>
    </w:p>
    <w:p w14:paraId="37D96FAF" w14:textId="5E7EF248" w:rsidR="006741FC" w:rsidRPr="00BB3E4F" w:rsidRDefault="006741FC" w:rsidP="006741FC">
      <w:pPr>
        <w:spacing w:line="276" w:lineRule="auto"/>
        <w:rPr>
          <w:szCs w:val="20"/>
        </w:rPr>
      </w:pPr>
      <w:r w:rsidRPr="00BB3E4F">
        <w:rPr>
          <w:szCs w:val="20"/>
        </w:rPr>
        <w:t xml:space="preserve">W kontekście działania rynku hurtowego, </w:t>
      </w:r>
      <w:r w:rsidR="004562AE" w:rsidRPr="00BB3E4F">
        <w:rPr>
          <w:szCs w:val="20"/>
        </w:rPr>
        <w:t xml:space="preserve">zdaniem ankietowanych </w:t>
      </w:r>
      <w:r w:rsidRPr="00BB3E4F">
        <w:rPr>
          <w:szCs w:val="20"/>
        </w:rPr>
        <w:t>obszarami wymagającymi uwagi są sposoby zapewnienia odpowiedniej marży w cenie energii elektrycznej oraz odzwierciedlenie w wysokości cen energii ryzyka wytworzenia tejże energii elektrycznej. Na</w:t>
      </w:r>
      <w:r w:rsidR="00677A66">
        <w:rPr>
          <w:szCs w:val="20"/>
        </w:rPr>
        <w:t> </w:t>
      </w:r>
      <w:r w:rsidRPr="00BB3E4F">
        <w:rPr>
          <w:szCs w:val="20"/>
        </w:rPr>
        <w:t>rynku detalicznym, respondenci pozytywnie ocenili możliwości odbiorcy końcowego zmiany sprzedawcy czy łatwość wnioskowania o instalację inteligentnego licznika. Niemniej zdecydowanie krytycznie odniesiono się do możliwości partnerskiego handlu energią przez odbiorców końcowych w roli prosumentów.</w:t>
      </w:r>
    </w:p>
    <w:p w14:paraId="2B9E6A9C" w14:textId="7008E202" w:rsidR="006741FC" w:rsidRPr="00BB3E4F" w:rsidRDefault="006741FC" w:rsidP="006741FC">
      <w:pPr>
        <w:spacing w:line="276" w:lineRule="auto"/>
        <w:rPr>
          <w:szCs w:val="20"/>
        </w:rPr>
      </w:pPr>
      <w:r w:rsidRPr="00BB3E4F">
        <w:rPr>
          <w:szCs w:val="20"/>
        </w:rPr>
        <w:t>Po przeanalizowaniu danych w kontekście rynku bilansującego należy wskazać na zbieżność odpowiedzi udzielonych przez wszystkich respondentów z odpowiedziami udzielonymi tylko przez uczestników rynku bilansującego. Badanymi obszarami było nie tylko funkcjonowanie obecnego rynku, lecz również działanie rynku przed reformą z czerwca 2024 r. W kontekście rynku bilansującego przed jego reformą, respondenci negatywnie ocenili ówczesne aspekty jego funkcjonowania. Głównymi obszarami krytyki był brak możliwości swobodnego kształtowania wysokości ofert na rynku bilansującym oraz niewystarczający udział strony popytowej. Ankieta wskazuje również, że respondenci nie uważali ówczesnego rynku bilansującego jako takiego, który penalizował niezbilansowanie. Ocena rynku bilansującego po reformie wskazuje na</w:t>
      </w:r>
      <w:r w:rsidR="00677A66">
        <w:rPr>
          <w:szCs w:val="20"/>
        </w:rPr>
        <w:t> </w:t>
      </w:r>
      <w:r w:rsidRPr="00BB3E4F">
        <w:rPr>
          <w:szCs w:val="20"/>
        </w:rPr>
        <w:t>znaczną poprawę odbioru wszystkich powyższych zagadnień, sugerując skuteczność zmian legislacyjnych. W kontekście obecnego rynku bilansującego, respondenci negatywnie ocenili wpływ nowych regulacji na przejrzystość zmienionych zasad rozliczeń niezbilansowania przez O</w:t>
      </w:r>
      <w:r w:rsidR="004160E4">
        <w:rPr>
          <w:szCs w:val="20"/>
        </w:rPr>
        <w:t xml:space="preserve">peratora </w:t>
      </w:r>
      <w:r w:rsidRPr="00BB3E4F">
        <w:rPr>
          <w:szCs w:val="20"/>
        </w:rPr>
        <w:t>S</w:t>
      </w:r>
      <w:r w:rsidR="004160E4">
        <w:rPr>
          <w:szCs w:val="20"/>
        </w:rPr>
        <w:t xml:space="preserve">ystemu </w:t>
      </w:r>
      <w:r w:rsidRPr="00BB3E4F">
        <w:rPr>
          <w:szCs w:val="20"/>
        </w:rPr>
        <w:t>P</w:t>
      </w:r>
      <w:r w:rsidR="004160E4">
        <w:rPr>
          <w:szCs w:val="20"/>
        </w:rPr>
        <w:t>rzesyłowego</w:t>
      </w:r>
      <w:r w:rsidR="00C516EC">
        <w:rPr>
          <w:szCs w:val="20"/>
        </w:rPr>
        <w:t xml:space="preserve">, zwanego </w:t>
      </w:r>
      <w:r w:rsidR="004160E4">
        <w:rPr>
          <w:szCs w:val="20"/>
        </w:rPr>
        <w:t>dalej „OSP”</w:t>
      </w:r>
      <w:r w:rsidRPr="00BB3E4F">
        <w:rPr>
          <w:szCs w:val="20"/>
        </w:rPr>
        <w:t>. Respondenci wskazali również, że w ich ocenie nadal istnieje potrzeba wprowadzenia zmian do usług niedotyczących częstotliwości, usług bilansujących oraz do usług dotyczących zarządzaniem ograniczeniami sieciowymi</w:t>
      </w:r>
    </w:p>
    <w:p w14:paraId="776CBAEF" w14:textId="77777777" w:rsidR="006741FC" w:rsidRDefault="006741FC" w:rsidP="006741FC">
      <w:pPr>
        <w:spacing w:line="276" w:lineRule="auto"/>
        <w:rPr>
          <w:szCs w:val="20"/>
        </w:rPr>
      </w:pPr>
      <w:r w:rsidRPr="00BB3E4F">
        <w:rPr>
          <w:szCs w:val="20"/>
        </w:rPr>
        <w:t>Ankieta potwierdziła, że fundusze europejskie w znacznym stopniu przyczyniają się do rozwoju infrastruktury sieciowej elektroenergetycznej. Istnieje natomiast konieczność uproszczenia i skrócenia procesu wydawania pozwoleń administracyjnych dla in</w:t>
      </w:r>
      <w:r w:rsidRPr="00BB3E4F">
        <w:rPr>
          <w:szCs w:val="20"/>
        </w:rPr>
        <w:lastRenderedPageBreak/>
        <w:t>westycji, jak również zwiększenia świadomości społecznej celem poprawy stopnia akceptacji dla inwestycji infrastrukturalnych. Dodatkowo, dla branży energetycznej istotną kwestią jest pozyskiwanie kapitału zewnętrznego, w szczególności finansowania dłużnego. Wynika to prawdopodobnie z</w:t>
      </w:r>
      <w:r>
        <w:rPr>
          <w:szCs w:val="20"/>
        </w:rPr>
        <w:t> </w:t>
      </w:r>
      <w:r w:rsidRPr="00BB3E4F">
        <w:rPr>
          <w:szCs w:val="20"/>
        </w:rPr>
        <w:t>wagi jaką przy podejmowaniu decyzji inwestycyjnych odgrywają koszty inwestycyjne oraz możliwość pozyskania finansowania z dedykowanych mechanizmów wsparcia. Uczestnicy rynku oczekują także jasnej komunikacji w zakresie polityki energetycznej państwa oraz stabilności regulacyjnej.</w:t>
      </w:r>
    </w:p>
    <w:p w14:paraId="214C61FB" w14:textId="77777777" w:rsidR="006741FC" w:rsidRPr="00BB3E4F" w:rsidRDefault="006741FC" w:rsidP="006741FC">
      <w:pPr>
        <w:spacing w:line="276" w:lineRule="auto"/>
      </w:pPr>
    </w:p>
    <w:p w14:paraId="0A57971B" w14:textId="77777777" w:rsidR="006741FC" w:rsidRPr="00BB3E4F" w:rsidRDefault="006741FC" w:rsidP="006741FC">
      <w:pPr>
        <w:pStyle w:val="Nagwek1"/>
      </w:pPr>
      <w:bookmarkStart w:id="31" w:name="_Toc183753339"/>
      <w:bookmarkStart w:id="32" w:name="_Toc188008605"/>
      <w:r w:rsidRPr="00BB3E4F">
        <w:t>Rynek mocy</w:t>
      </w:r>
      <w:bookmarkStart w:id="33" w:name="_Toc178058973"/>
      <w:bookmarkEnd w:id="31"/>
      <w:bookmarkEnd w:id="32"/>
      <w:r w:rsidRPr="00BB3E4F">
        <w:t xml:space="preserve"> </w:t>
      </w:r>
      <w:bookmarkEnd w:id="33"/>
    </w:p>
    <w:p w14:paraId="5D4C8DC5" w14:textId="77777777" w:rsidR="006741FC" w:rsidRPr="00BB3E4F" w:rsidRDefault="006741FC" w:rsidP="006741FC">
      <w:pPr>
        <w:pStyle w:val="Nagwek2"/>
      </w:pPr>
      <w:bookmarkStart w:id="34" w:name="_Toc183753340"/>
      <w:bookmarkStart w:id="35" w:name="_Toc188008606"/>
      <w:r w:rsidRPr="00BB3E4F">
        <w:t>Opis mechanizmu</w:t>
      </w:r>
      <w:bookmarkEnd w:id="34"/>
      <w:bookmarkEnd w:id="35"/>
    </w:p>
    <w:p w14:paraId="5CE7A9CA" w14:textId="50B79578" w:rsidR="006741FC" w:rsidRPr="00BB3E4F" w:rsidRDefault="006741FC" w:rsidP="006741FC">
      <w:bookmarkStart w:id="36" w:name="_Toc178058974"/>
      <w:r w:rsidRPr="00BB3E4F">
        <w:t xml:space="preserve">Rynek mocy jest zorganizowanym rynkiem jednego nabywcy, którym jest OSP. W ramach rynku mocy OSP </w:t>
      </w:r>
      <w:r w:rsidR="000B0EB1">
        <w:t>nabywa</w:t>
      </w:r>
      <w:r w:rsidRPr="00BB3E4F">
        <w:t xml:space="preserve"> moc dyspozycyjną w aukcjach holenderskich, o parametrach określanych przez ministra właściwego d</w:t>
      </w:r>
      <w:r w:rsidR="000B0EB1">
        <w:t xml:space="preserve">o </w:t>
      </w:r>
      <w:r w:rsidRPr="00BB3E4F">
        <w:t>s</w:t>
      </w:r>
      <w:r w:rsidR="000B0EB1">
        <w:t>praw</w:t>
      </w:r>
      <w:r w:rsidRPr="00BB3E4F">
        <w:t xml:space="preserve"> energii w drodze rozporządzenia. Moc dyspozycyjną mogą oferować wytwórcy energii elektrycznej, magazyny energii elektrycznej oraz odpowiedź odbioru (DSR), uzyskując wynagrodzenie za gotowość do jej dostarczania wraz z obowiązkiem jej dostarczenia w okresach napiętego bilansu mocy.</w:t>
      </w:r>
    </w:p>
    <w:p w14:paraId="3E698173" w14:textId="5C74D315" w:rsidR="006741FC" w:rsidRPr="00BB3E4F" w:rsidRDefault="006741FC" w:rsidP="006741FC">
      <w:r w:rsidRPr="00BB3E4F">
        <w:t xml:space="preserve">Aukcje dzielą się na aukcje główne (aukcje na rok dostaw, które odbywają się w grudniu piątego roku przed okresem dostaw) i aukcje dodatkowe (aukcje na poszczególne kwartały roku dostaw, które odbywają się w marcu roku poprzedzającego rok dostaw). W aukcjach głównych </w:t>
      </w:r>
      <w:r w:rsidR="00ED442C" w:rsidRPr="00BB3E4F">
        <w:t xml:space="preserve">jest </w:t>
      </w:r>
      <w:r w:rsidRPr="00BB3E4F">
        <w:t>możliwe zawarcie umowy mocowej na 1 okres dostaw (1 rok), w przypadku jednostek istniejących, na 5 okresów dostaw (5 lat) w przypadku jednostek nowych i modernizowanych oraz DSR, które muszą wykazać poniesienia określonego poziomu kosztów inwestycyjnych (obecnie 0,4 mln PLN/MW) oraz na 15 okresów dostaw (15 lat) w przypadku jednostek nowych o wyższych kosztach inwestycyjnych (obecnie 2,4 mln PLN/MW). Obowiązek mocowy może zostać wydłużony o kolejne dwa lata, jeżeli jednostka rynku mocy wytwórcza wykaże spełnienie jednostkowego wskaźnika emisji dwutlenku węgla na poziomie mniejszym lub równym 450</w:t>
      </w:r>
      <w:r w:rsidR="00677A66">
        <w:t> </w:t>
      </w:r>
      <w:r w:rsidRPr="00BB3E4F">
        <w:t>kgCO</w:t>
      </w:r>
      <w:r w:rsidRPr="00BB3E4F">
        <w:rPr>
          <w:vertAlign w:val="subscript"/>
        </w:rPr>
        <w:t>2</w:t>
      </w:r>
      <w:r w:rsidRPr="00BB3E4F">
        <w:t xml:space="preserve"> na 1 MWh wytwarzanej energii elektrycznej i ciepła, oraz w przypadku jednostek kogeneracji</w:t>
      </w:r>
      <w:r w:rsidR="00180F7F">
        <w:t>,</w:t>
      </w:r>
      <w:r w:rsidRPr="00BB3E4F">
        <w:t xml:space="preserve"> gdy co najmniej połowa wytworzonego ciepła w tej jednostce jest dostarczana do</w:t>
      </w:r>
      <w:r w:rsidR="00677A66">
        <w:t> </w:t>
      </w:r>
      <w:r w:rsidRPr="00BB3E4F">
        <w:t xml:space="preserve">systemu ciepłowniczego, w którym nośnikiem ciepła jest gorąca woda. W aukcjach dodatkowych umowy mocowe </w:t>
      </w:r>
      <w:r w:rsidR="00C210E6" w:rsidRPr="00BB3E4F">
        <w:t xml:space="preserve">są </w:t>
      </w:r>
      <w:r w:rsidRPr="00BB3E4F">
        <w:t xml:space="preserve">zawierane zawsze na poszczególne kwartały roku dostaw, </w:t>
      </w:r>
      <w:r w:rsidR="004160E4">
        <w:t>niezależnie od typu jednostki rynku mocy</w:t>
      </w:r>
      <w:r w:rsidRPr="00BB3E4F">
        <w:t>. W celu uczestnictwa w</w:t>
      </w:r>
      <w:r>
        <w:t> </w:t>
      </w:r>
      <w:r w:rsidRPr="00BB3E4F">
        <w:t>aukcjach dostawcy mocy zobowiązani do uczestnictwa w dwuetapowej certyfikacji obejmującej certyfikację ogólną i</w:t>
      </w:r>
      <w:r w:rsidR="00677A66">
        <w:t> </w:t>
      </w:r>
      <w:r w:rsidRPr="00BB3E4F">
        <w:t>odpowiednią certyfikację do aukcji głównej lub aukcji dodatkowych. W trakcie trwania dotychczasowych aukcji nie stwierdzono</w:t>
      </w:r>
      <w:r w:rsidR="00180F7F">
        <w:t>,</w:t>
      </w:r>
      <w:r w:rsidRPr="00BB3E4F">
        <w:t xml:space="preserve"> aby którakolwiek z</w:t>
      </w:r>
      <w:r>
        <w:t> </w:t>
      </w:r>
      <w:r w:rsidRPr="00BB3E4F">
        <w:t xml:space="preserve">aukcji mocy została przeprowadzona z naruszeniem przepisów ustawy </w:t>
      </w:r>
      <w:r w:rsidRPr="00BB3E4F">
        <w:lastRenderedPageBreak/>
        <w:t>o rynku mocy lub warunków aukcji, lub żeby któryś uczestnik dopuścił się zachowania niezgodnego z przepisami prawa lub regulaminem rynku mocy. Nie stwierdzono również, aby wykonanie umów mocowych zawartych w wyniku aukcji mogło stanowić zagrożenie dla bezpieczeństwa dostaw energii elektrycznej.</w:t>
      </w:r>
    </w:p>
    <w:p w14:paraId="7097F529" w14:textId="77777777" w:rsidR="006741FC" w:rsidRPr="00BB3E4F" w:rsidRDefault="006741FC" w:rsidP="006741FC">
      <w:pPr>
        <w:spacing w:before="120" w:after="120"/>
      </w:pPr>
      <w:r w:rsidRPr="00BB3E4F">
        <w:t>Na rynku mocy funkcjonuje również rynek wtórny, w ramach którego obrót obowiązkami mocowymi rozpoczyna się po ogłoszeniu wstępnych wyników aukcji dodatkowych</w:t>
      </w:r>
      <w:bookmarkStart w:id="37" w:name="_Toc180755031"/>
      <w:bookmarkStart w:id="38" w:name="_Toc180756271"/>
      <w:bookmarkEnd w:id="37"/>
      <w:bookmarkEnd w:id="38"/>
      <w:r w:rsidRPr="00BB3E4F">
        <w:t>. Obowiązek mocowy przenoszony na tym rynku obejmuje okresy nie krótsze niż jedna godzina oraz nie mniejsze niż 1 kW.</w:t>
      </w:r>
    </w:p>
    <w:p w14:paraId="10A524AD" w14:textId="205C5096" w:rsidR="006741FC" w:rsidRPr="00BB3E4F" w:rsidRDefault="006741FC" w:rsidP="006741FC">
      <w:pPr>
        <w:spacing w:before="120" w:after="120"/>
      </w:pPr>
      <w:r w:rsidRPr="00BB3E4F">
        <w:t>Ponadto, po ogłoszeniu okresów przywołania na rynku mocy funkcjonuje także drugi segment rynku wtórnego, tzw. realokacja, która pozwala na przenoszenie wykonania obowiązku mocowego w okresach przywołania na rynku mocy między jednostkami rynku mocy.</w:t>
      </w:r>
    </w:p>
    <w:p w14:paraId="2A7CC136" w14:textId="77777777" w:rsidR="006741FC" w:rsidRPr="00BB3E4F" w:rsidRDefault="006741FC" w:rsidP="006741FC">
      <w:pPr>
        <w:pStyle w:val="Nagwek2"/>
      </w:pPr>
      <w:bookmarkStart w:id="39" w:name="_Toc183753341"/>
      <w:bookmarkStart w:id="40" w:name="_Toc188008607"/>
      <w:r w:rsidRPr="00BB3E4F">
        <w:t>Przyczyny wprowadzenia</w:t>
      </w:r>
      <w:bookmarkEnd w:id="36"/>
      <w:bookmarkEnd w:id="39"/>
      <w:bookmarkEnd w:id="40"/>
    </w:p>
    <w:p w14:paraId="0F0D0F95" w14:textId="631C9AC8" w:rsidR="006741FC" w:rsidRPr="00BB3E4F" w:rsidRDefault="006741FC" w:rsidP="006741FC">
      <w:r w:rsidRPr="00BB3E4F">
        <w:t>Zgodnie z analizami i raportami publikowanymi przed wprowadzeniem rynku mocy, w tym np. „Prognozą pokrycia zapotrzebowania szczytowego na moc w latach 2016</w:t>
      </w:r>
      <w:r w:rsidRPr="00BB3E4F">
        <w:noBreakHyphen/>
        <w:t>2035”</w:t>
      </w:r>
      <w:r w:rsidRPr="00BB3E4F">
        <w:rPr>
          <w:rStyle w:val="Odwoanieprzypisudolnego"/>
        </w:rPr>
        <w:footnoteReference w:id="14"/>
      </w:r>
      <w:r w:rsidR="00896F30" w:rsidRPr="00163405">
        <w:rPr>
          <w:vertAlign w:val="superscript"/>
        </w:rPr>
        <w:t>)</w:t>
      </w:r>
      <w:r w:rsidRPr="00BB3E4F">
        <w:t xml:space="preserve"> z 20 maja 2016 r., w perspektywie do 2035 r. w Polsce przewidywano możliwość wystąpienia istotnych problemów z wystarczalnością zasobów wytwórczych. Prognozowano występowanie okresów, w których może dojść do deficytu mocy w systemie elektroenergetycznym, co oznaczało, że</w:t>
      </w:r>
      <w:r w:rsidR="00677A66">
        <w:t> </w:t>
      </w:r>
      <w:r w:rsidRPr="00BB3E4F">
        <w:t>wolumen mocy dostępnej jednostek wytwórczych energii elektrycznej mógł nie być wystarczający</w:t>
      </w:r>
      <w:r w:rsidR="00180F7F">
        <w:t>,</w:t>
      </w:r>
      <w:r w:rsidRPr="00BB3E4F">
        <w:t xml:space="preserve"> aby pokryć zapotrzebowanie na energię elektryczną odbiorców końcowych oraz szerzej polskiej gospodarki. Z danych OSP przedstawionych na str. 8 przywołanej prognozy wynikało, że do 2035 r. konieczne byłoby odtworzenie w KSE co najmniej 23 GW mocy wytwórczych, a deficyty mocy wytwórczych niezbędnych dla zapewnienia bezpiecznej pracy KSE, zgodnie z wykresami na str. 6 i 7 przywoływanej prognozy mogły pojawić się już od 2020 r. lub od 2022 r., w zależności od analizowanego scenariusza wycofań mocy wytwórczych. Potwierdzały to również analizy przywoływane przez Komisję Europejską w decyzji z dnia 7</w:t>
      </w:r>
      <w:r>
        <w:t> </w:t>
      </w:r>
      <w:r w:rsidRPr="00BB3E4F">
        <w:t>lutego 2018 r. nr. SA.46100 (2017/N) – Poland – Planned Polish capacity mechanism</w:t>
      </w:r>
      <w:r w:rsidR="00C516EC">
        <w:t>, zwanej dalej</w:t>
      </w:r>
      <w:r w:rsidR="004160E4">
        <w:t xml:space="preserve"> „decyzj</w:t>
      </w:r>
      <w:r w:rsidR="00C516EC">
        <w:t>ą</w:t>
      </w:r>
      <w:r w:rsidR="004160E4">
        <w:t xml:space="preserve"> KE”</w:t>
      </w:r>
      <w:r w:rsidRPr="00BB3E4F">
        <w:t>, zgodnie z którą przewidywana wartość wskaźnika LOLE</w:t>
      </w:r>
      <w:r w:rsidR="004160E4">
        <w:t xml:space="preserve"> </w:t>
      </w:r>
      <w:r w:rsidR="004160E4" w:rsidRPr="004160E4">
        <w:t>(</w:t>
      </w:r>
      <w:r w:rsidR="00F06054" w:rsidRPr="00F06054">
        <w:t>ang</w:t>
      </w:r>
      <w:r w:rsidR="00F06054">
        <w:t xml:space="preserve">. lost of load expectation - </w:t>
      </w:r>
      <w:r w:rsidR="009E1BA1" w:rsidRPr="009E1BA1">
        <w:t>oczekiwan</w:t>
      </w:r>
      <w:r w:rsidR="009E1BA1">
        <w:t>y</w:t>
      </w:r>
      <w:r w:rsidR="009E1BA1" w:rsidRPr="009E1BA1">
        <w:t xml:space="preserve"> czas braku dostaw energii elektrycznej</w:t>
      </w:r>
      <w:r w:rsidR="009E1BA1">
        <w:t xml:space="preserve"> wyrażony w godzinach</w:t>
      </w:r>
      <w:r w:rsidR="004160E4" w:rsidRPr="004160E4">
        <w:t>)</w:t>
      </w:r>
      <w:r w:rsidRPr="00BB3E4F">
        <w:t xml:space="preserve"> dla lat 2020 i 2025 wynosiła odpowiednio 176,4 i</w:t>
      </w:r>
      <w:r>
        <w:t> </w:t>
      </w:r>
      <w:r w:rsidRPr="00BB3E4F">
        <w:t>101,7 h/rok. O wpływie rynku mocy na</w:t>
      </w:r>
      <w:r w:rsidR="00677A66">
        <w:t> </w:t>
      </w:r>
      <w:r w:rsidRPr="00BB3E4F">
        <w:t xml:space="preserve">bezpieczeństwo dostaw napisano szerzej w sekcji </w:t>
      </w:r>
      <w:r w:rsidRPr="00BB3E4F">
        <w:fldChar w:fldCharType="begin"/>
      </w:r>
      <w:r w:rsidRPr="00BB3E4F">
        <w:instrText xml:space="preserve"> REF _Ref180756682 \r \h </w:instrText>
      </w:r>
      <w:r>
        <w:instrText xml:space="preserve"> \* MERGEFORMAT </w:instrText>
      </w:r>
      <w:r w:rsidRPr="00BB3E4F">
        <w:fldChar w:fldCharType="separate"/>
      </w:r>
      <w:r w:rsidRPr="00BB3E4F">
        <w:t>3.4.5</w:t>
      </w:r>
      <w:r w:rsidRPr="00BB3E4F">
        <w:fldChar w:fldCharType="end"/>
      </w:r>
      <w:r w:rsidRPr="00BB3E4F">
        <w:t>.</w:t>
      </w:r>
    </w:p>
    <w:p w14:paraId="031B8E3D" w14:textId="2F0CDBBE" w:rsidR="006741FC" w:rsidRPr="00BB3E4F" w:rsidRDefault="006741FC" w:rsidP="006741FC">
      <w:r w:rsidRPr="00BB3E4F">
        <w:lastRenderedPageBreak/>
        <w:t>Potwierdzeniem zdiagnozowanego problemu było wydarzenie z sierpnia 2015 r., kiedy to dla zachowania bezpieczeństwa funkcjonowania KSE konieczne było wprowadzenie rozporządzeniem Rady Ministrów z dnia 11 sierpnia 2015 r. w sprawie wprowadzenia ograniczeń w dostarczaniu i poborze energii elektrycznej (Dz.</w:t>
      </w:r>
      <w:r w:rsidR="00C516EC">
        <w:t xml:space="preserve"> </w:t>
      </w:r>
      <w:r w:rsidRPr="00BB3E4F">
        <w:t xml:space="preserve">U. poz. 1136), ograniczeń w dostarczaniu i poborze energii elektrycznej na obszarze całego państwa. </w:t>
      </w:r>
    </w:p>
    <w:p w14:paraId="532C7C19" w14:textId="43BBE67D" w:rsidR="006741FC" w:rsidRPr="00BB3E4F" w:rsidRDefault="006741FC" w:rsidP="006741FC">
      <w:r w:rsidRPr="00BB3E4F">
        <w:t>Ww. problem z wystarczalnością zasobów wytwórczych miał charakter strukturalny, co</w:t>
      </w:r>
      <w:r w:rsidR="00677A66">
        <w:t> </w:t>
      </w:r>
      <w:r w:rsidRPr="00BB3E4F">
        <w:t>potwierdzała „Prognoza pokrycia zapotrzebowania szczytowego na moc w latach 2016</w:t>
      </w:r>
      <w:r w:rsidRPr="00BB3E4F">
        <w:noBreakHyphen/>
        <w:t>2035”</w:t>
      </w:r>
      <w:r w:rsidRPr="00BB3E4F">
        <w:rPr>
          <w:rStyle w:val="Odwoanieprzypisudolnego"/>
        </w:rPr>
        <w:footnoteReference w:id="15"/>
      </w:r>
      <w:r w:rsidR="00896F30" w:rsidRPr="00163405">
        <w:rPr>
          <w:vertAlign w:val="superscript"/>
        </w:rPr>
        <w:t>)</w:t>
      </w:r>
      <w:r w:rsidRPr="00BB3E4F">
        <w:t xml:space="preserve"> z 20 maja 2016 r. Brak podjęcia działań, które pomogłyby rozwiązać problem z</w:t>
      </w:r>
      <w:r w:rsidR="00677A66">
        <w:t> </w:t>
      </w:r>
      <w:r w:rsidRPr="00BB3E4F">
        <w:t xml:space="preserve">prognozowanymi niedoborami mocy wytwórczych w systemie elektroenergetycznym skutkowałby koniecznością wprowadzania kolejnych ograniczeń w dostarczaniu i poborze energii elektrycznej w Polsce, co mogło przełożyć się na straty gospodarcze, społeczne oraz wizerunkowe kraju. </w:t>
      </w:r>
      <w:bookmarkStart w:id="41" w:name="_Toc180663583"/>
      <w:bookmarkStart w:id="42" w:name="_Toc180755033"/>
      <w:bookmarkStart w:id="43" w:name="_Toc180756273"/>
      <w:bookmarkEnd w:id="41"/>
      <w:bookmarkEnd w:id="42"/>
      <w:bookmarkEnd w:id="43"/>
    </w:p>
    <w:p w14:paraId="6CA19EED" w14:textId="244E5F17" w:rsidR="006741FC" w:rsidRPr="00BB3E4F" w:rsidRDefault="006741FC" w:rsidP="006741FC">
      <w:r w:rsidRPr="00BB3E4F">
        <w:t>Przed wprowadzeniem rynku mocy, w Polsce funkcjonował jednotowarowy rynek energii elektrycznej. Jedynym towarem, który podlegał obrotowi przez uczestników rynku była energia elektryczna. Funkcjonowanie rynku energii elektrycznej w tym modelu opiera się na założeniu, że sygnały cenowe kształtowane jako wynik gry popytu i podaży pozwalają wytwórcom energii elektrycznej na uzyskanie odpowiedniej marży, która pozwoli im zarówno na pokrycie kosztów ich działalności, ale również pozwoli na uzyskiwanie przychodów na poziomie pozwalającym na</w:t>
      </w:r>
      <w:r w:rsidR="00677A66">
        <w:t> </w:t>
      </w:r>
      <w:r w:rsidRPr="00BB3E4F">
        <w:t>realizowanie inwestycji, w tym tych, które wymagają istotnych nakładów finansowych. Powyższy model ma pewne ograniczenia, ponieważ wybrani wytwórcy energii elektrycznej uzyskują wsparcie w realizacji swoich inwestycji lub w prowadzeniu przez nich bieżącej działalności tak aby inwestycje oczekiwane przez państwo i gospodarkę, w tym te wspierające transformację energetyczną w kierunku niskoemisyjnym, mogły zostać zrealizowane mimo trudności w konkurencji względem obecnych już na rynku wytwórców energii elektrycznej. W</w:t>
      </w:r>
      <w:r>
        <w:t> </w:t>
      </w:r>
      <w:r w:rsidRPr="00BB3E4F">
        <w:t xml:space="preserve">efekcie, na rynku energii elektrycznej, w którym pojawia się coraz więcej jednostek wytwórczych o niskich lub zerowych kosztach zmiennych, które jednocześnie uzyskują wsparcie inwestycyjne, przez co czas pracy jednostek wytwórczych o wyższych kosztach zmiennych ulega skróceniu, często bez możliwości pokrycia kosztów stałych. W takiej sytuacji inwestorzy nie uzyskują odpowiednich przychodów, aby realizować inwestycje w technologie o wysokich kosztach, nawet </w:t>
      </w:r>
      <w:r w:rsidR="00C516EC">
        <w:t>jeżeli</w:t>
      </w:r>
      <w:r w:rsidR="00C516EC" w:rsidRPr="00BB3E4F">
        <w:t xml:space="preserve"> </w:t>
      </w:r>
      <w:r w:rsidRPr="00BB3E4F">
        <w:t xml:space="preserve">są one niezbędne w systemie elektroenergetycznym. Rynek energii elektrycznej w modelu rynku jednotowarowego pozwalałby na uzyskanie odpowiedniego poziomu przychodu tylko w przypadku regularnego występowania okresów bardzo wysokich cen energii elektrycznej, co z kolei jest nieakceptowane społecznie i stanowi impuls do obniżenia konkurencyjności podmiotów prowadzących działalność gospodarczą, szczególnie w branżach energochłonnych, względem konkurentów nabywających energię </w:t>
      </w:r>
      <w:r w:rsidRPr="00BB3E4F">
        <w:lastRenderedPageBreak/>
        <w:t>elektryczną na rynkach o</w:t>
      </w:r>
      <w:r>
        <w:t> </w:t>
      </w:r>
      <w:r w:rsidRPr="00BB3E4F">
        <w:t xml:space="preserve">niższych średnich cenach energii elektrycznej. </w:t>
      </w:r>
      <w:bookmarkStart w:id="44" w:name="_Toc180663584"/>
      <w:bookmarkStart w:id="45" w:name="_Toc180755034"/>
      <w:bookmarkStart w:id="46" w:name="_Toc180756274"/>
      <w:bookmarkEnd w:id="44"/>
      <w:bookmarkEnd w:id="45"/>
      <w:bookmarkEnd w:id="46"/>
      <w:r w:rsidRPr="00BB3E4F">
        <w:t>Ponadto, samo występowanie okresów bardzo wysokich cen energii elektrycznej może nie być wystarczające jako efektywny impuls inwestycyjny, ze względu na wysokie ryzyko wynikające z niepewności w zakresie wielkości i</w:t>
      </w:r>
      <w:r>
        <w:t> </w:t>
      </w:r>
      <w:r w:rsidRPr="00BB3E4F">
        <w:t>czasu trwania tych okresów oraz zachowania uczestników rynku, co przedkłada się co najmniej na koszt kapitału.</w:t>
      </w:r>
    </w:p>
    <w:p w14:paraId="0F5AE4C2" w14:textId="77777777" w:rsidR="006741FC" w:rsidRPr="00BB3E4F" w:rsidRDefault="006741FC" w:rsidP="006741FC">
      <w:r w:rsidRPr="00BB3E4F">
        <w:t>Jednotowarowy rynek energii był uzupełniany przez usługi systemowe, w tym zastąpione przez rynek mocy: interwencyjną rezerwę zimną, operacyjną rezerwę mocy, redukcję zapotrzebowania na polecenie OSP (DSR interwencyjny) i pracę interwencyjną.</w:t>
      </w:r>
      <w:bookmarkStart w:id="47" w:name="_Toc180663585"/>
      <w:bookmarkStart w:id="48" w:name="_Toc180755035"/>
      <w:bookmarkStart w:id="49" w:name="_Toc180756275"/>
      <w:bookmarkEnd w:id="47"/>
      <w:bookmarkEnd w:id="48"/>
      <w:bookmarkEnd w:id="49"/>
    </w:p>
    <w:p w14:paraId="2D06A74B" w14:textId="77777777" w:rsidR="006741FC" w:rsidRPr="00BB3E4F" w:rsidRDefault="006741FC" w:rsidP="006741FC">
      <w:pPr>
        <w:pStyle w:val="Nagwek2"/>
      </w:pPr>
      <w:bookmarkStart w:id="50" w:name="_Toc178058975"/>
      <w:bookmarkStart w:id="51" w:name="_Toc183753342"/>
      <w:bookmarkStart w:id="52" w:name="_Toc188008608"/>
      <w:r w:rsidRPr="00BB3E4F">
        <w:t>Podstawa prawna funkcjonowania rynku mocy</w:t>
      </w:r>
      <w:bookmarkEnd w:id="50"/>
      <w:bookmarkEnd w:id="51"/>
      <w:bookmarkEnd w:id="52"/>
    </w:p>
    <w:p w14:paraId="734CA04A" w14:textId="77777777" w:rsidR="006741FC" w:rsidRPr="00BB3E4F" w:rsidRDefault="006741FC" w:rsidP="006741FC">
      <w:r w:rsidRPr="00BB3E4F">
        <w:t>W związku ze zdiagnozowanymi w analizach problemami z bezpieczeństwem pracy systemu, w 2018 r. wprowadzono mechanizm rynku mocy, który pozwolił na ograniczenie problemu deficytu mocy w najbliższej przyszłości.</w:t>
      </w:r>
    </w:p>
    <w:p w14:paraId="5DAE31FD" w14:textId="63856A8C" w:rsidR="006741FC" w:rsidRPr="00BB3E4F" w:rsidRDefault="006741FC" w:rsidP="006741FC">
      <w:r w:rsidRPr="00BB3E4F">
        <w:t>Wprowadzenie mechanizmu wystarczalności zasobów wytwórczych w postaci rynku mocy było poprzedzone długim okresem prac legislacyjnych w Polsce oraz rozmowami z KE w zakresie prenotyfikacji i notyfikacji mechanizmu pomocy publicznej. Prace w Polsce obejmowały najpierw przygotowanie projektu „Rozwiązań funkcjonalnych rynku mocy”</w:t>
      </w:r>
      <w:r w:rsidRPr="00BB3E4F">
        <w:rPr>
          <w:rStyle w:val="Odwoanieprzypisudolnego"/>
        </w:rPr>
        <w:footnoteReference w:id="16"/>
      </w:r>
      <w:r w:rsidR="00BD2475" w:rsidRPr="00163405">
        <w:rPr>
          <w:vertAlign w:val="superscript"/>
        </w:rPr>
        <w:t>)</w:t>
      </w:r>
      <w:r w:rsidRPr="00BB3E4F">
        <w:t xml:space="preserve">, które później podlegały konsultacjom, a następnie zostały ostatecznie określone w ramach procesu legislacyjnego i zostały wprowadzone do krajowego porządku prawnego ustawą o rynku mocy. Regulacja weszła w życie 18 stycznia 2018 r. Natomiast rozmowy prenotyfikacyjne i ostatecznie notyfikacja wniosku notyfikującego wprowadzenie w Polsce mechanizmu pomocy państwa w postaci rynku mocy zostały zakończone akceptacją przez KE notyfikowanego mechanizmu decyzją </w:t>
      </w:r>
      <w:r w:rsidR="00353E93">
        <w:t>KE</w:t>
      </w:r>
      <w:r w:rsidRPr="00BB3E4F">
        <w:t xml:space="preserve">. Treść decyzji KE została opublikowana przez KE 18 kwietnia 2018 r. i została wydana na podstawie artykułu 108 ust. 3 Traktatu o funkcjonowaniu Unii Europejskiej </w:t>
      </w:r>
      <w:r w:rsidRPr="00FE14B4">
        <w:t>(</w:t>
      </w:r>
      <w:r w:rsidR="00FE14B4" w:rsidRPr="00FE14B4">
        <w:t>Dz.</w:t>
      </w:r>
      <w:r w:rsidR="00B87DF8">
        <w:t xml:space="preserve"> </w:t>
      </w:r>
      <w:r w:rsidR="00FE14B4" w:rsidRPr="00FE14B4">
        <w:t>Urz.</w:t>
      </w:r>
      <w:r w:rsidR="00FE14B4">
        <w:t xml:space="preserve"> </w:t>
      </w:r>
      <w:r w:rsidR="00FE14B4" w:rsidRPr="00FE14B4">
        <w:t>UE.</w:t>
      </w:r>
      <w:r w:rsidR="00FE14B4">
        <w:t xml:space="preserve"> </w:t>
      </w:r>
      <w:r w:rsidR="00FE14B4" w:rsidRPr="00FE14B4">
        <w:t>C Nr 326, str. 47</w:t>
      </w:r>
      <w:r w:rsidRPr="00FE14B4">
        <w:t>).</w:t>
      </w:r>
      <w:r w:rsidRPr="00BB3E4F">
        <w:t xml:space="preserve"> Mechanizm podlegał ocenie zgodnie z Komunikatem Komisji „Wytyczne w sprawie pomocy państwa na ochronę środowiska i cele związane z energią w latach 2014-2020” (2014/C 200/01). </w:t>
      </w:r>
    </w:p>
    <w:p w14:paraId="7EC0A188" w14:textId="1EAEC650" w:rsidR="006741FC" w:rsidRPr="00BB3E4F" w:rsidRDefault="006741FC" w:rsidP="006741FC">
      <w:r w:rsidRPr="00BB3E4F">
        <w:t xml:space="preserve">W marcu 2019 r. firmy Tempus Energy Germany GmbH i T Energy Sweden AB wystąpiły do Sądu UE przeciwko Komisji Europejskiej wnosząc o anulowanie tej decyzji KE (sprawa T-167/19). Rzeczpospolita Polska oraz PGE Polska Grupa Energetyczna S.A., Enel X sp. z o.o., oraz Enspirion sp. z o.o. przystąpiły do sprawy w charakterze interwenientów po stronie KE. 6 października 2021 r., Sąd utrzymał w mocy decyzję Komisji </w:t>
      </w:r>
      <w:r w:rsidRPr="00BB3E4F">
        <w:lastRenderedPageBreak/>
        <w:t>Europejskiej akceptującą polski rynek mocy. Zarzuty Tempus Energy Germany GmbH i T Energy Sweden AB zostały odrzucone</w:t>
      </w:r>
      <w:r w:rsidRPr="00BB3E4F">
        <w:rPr>
          <w:rStyle w:val="Odwoanieprzypisudolnego"/>
        </w:rPr>
        <w:footnoteReference w:id="17"/>
      </w:r>
      <w:r w:rsidR="00BD2475" w:rsidRPr="00163405">
        <w:rPr>
          <w:vertAlign w:val="superscript"/>
        </w:rPr>
        <w:t>)</w:t>
      </w:r>
      <w:r w:rsidRPr="00BB3E4F">
        <w:t>.</w:t>
      </w:r>
    </w:p>
    <w:p w14:paraId="3F01CA74" w14:textId="77777777" w:rsidR="006741FC" w:rsidRPr="00BB3E4F" w:rsidRDefault="006741FC" w:rsidP="006741FC">
      <w:r w:rsidRPr="00BB3E4F">
        <w:t>Ustawa o rynku mocy podlegała zmianom: w 2021 r. została nowelizowana ustawą z dnia 23 lipca 2021 r. o zmianie ustawy o rynku mocy oraz niektórych innych ustaw (Dz. U. poz. 1505). Nowelizacja ta dostosowała rynek mocy do przepisów rozporządzenia rynkowego, a także wprowadzała nowy sposób naliczania opłaty mocowej dla odbiorców w zależności od ich profilu zużycia energii elektrycznej.</w:t>
      </w:r>
    </w:p>
    <w:p w14:paraId="42C09B48" w14:textId="77777777" w:rsidR="006741FC" w:rsidRPr="00BB3E4F" w:rsidRDefault="006741FC" w:rsidP="006741FC">
      <w:pPr>
        <w:spacing w:after="0"/>
      </w:pPr>
      <w:r w:rsidRPr="00BB3E4F">
        <w:t>Do ustawy o rynku mocy wydano szereg aktów wykonawczych, spośród których część została już zmieniona lub uchylona. Minister właściwy ds. energii wydał trzynaście aktów wykonawczych potrzebnych do przeprowadzenia aukcji mocy w Polsce, właściwego rozliczania obowiązku mocowego i opłaty mocowej:</w:t>
      </w:r>
    </w:p>
    <w:p w14:paraId="7211FC82" w14:textId="1AF3F325" w:rsidR="006741FC" w:rsidRPr="00BB3E4F" w:rsidRDefault="00ED1E58" w:rsidP="00180F7F">
      <w:pPr>
        <w:pStyle w:val="Akapitzlist"/>
        <w:numPr>
          <w:ilvl w:val="0"/>
          <w:numId w:val="1"/>
        </w:numPr>
        <w:spacing w:before="60" w:after="100" w:afterAutospacing="1"/>
        <w:ind w:hanging="357"/>
      </w:pPr>
      <w:r>
        <w:t>r</w:t>
      </w:r>
      <w:r w:rsidR="006741FC" w:rsidRPr="00BB3E4F">
        <w:t>ozporządzenie Ministra Klimatu i Środowiska z dnia 13 września 2024 r. w sprawie wykonania obowiązku mocowego, jego rozliczania i demonstrowania oraz zawierania transakcji na rynku wtórnym (Dz.</w:t>
      </w:r>
      <w:r w:rsidR="00ED1AC4">
        <w:t xml:space="preserve"> </w:t>
      </w:r>
      <w:r w:rsidR="006741FC" w:rsidRPr="00BB3E4F">
        <w:t xml:space="preserve">U. poz. 1389), które zastąpiło rozporządzenie Ministra Energii z dnia 18 lipca 2018 r. w sprawie wykonania obowiązku mocowego, jego rozliczania i demonstrowania oraz zawierania transakcji na rynku wtórnym (Dz. U. poz. 1455) </w:t>
      </w:r>
      <w:r w:rsidR="00285E52">
        <w:t>–</w:t>
      </w:r>
      <w:r w:rsidR="00285E52" w:rsidRPr="00BB3E4F">
        <w:t xml:space="preserve"> </w:t>
      </w:r>
      <w:r w:rsidR="006741FC" w:rsidRPr="00BB3E4F">
        <w:t>wydane na podstawie z art. 68</w:t>
      </w:r>
      <w:r w:rsidR="00285E52">
        <w:t xml:space="preserve"> ust. 1 i 2</w:t>
      </w:r>
      <w:r w:rsidR="006741FC" w:rsidRPr="00BB3E4F">
        <w:t xml:space="preserve"> ustawy o rynku mocy;</w:t>
      </w:r>
    </w:p>
    <w:p w14:paraId="371101E3" w14:textId="1BC38D56" w:rsidR="006741FC" w:rsidRPr="00BB3E4F" w:rsidRDefault="00ED1E58" w:rsidP="006741FC">
      <w:pPr>
        <w:pStyle w:val="Akapitzlist"/>
        <w:numPr>
          <w:ilvl w:val="0"/>
          <w:numId w:val="1"/>
        </w:numPr>
        <w:spacing w:before="100" w:beforeAutospacing="1" w:after="100" w:afterAutospacing="1"/>
        <w:ind w:hanging="357"/>
      </w:pPr>
      <w:r>
        <w:t>r</w:t>
      </w:r>
      <w:r w:rsidR="006741FC" w:rsidRPr="00BB3E4F">
        <w:t xml:space="preserve">ozporządzenie Ministra Energii z dnia 3 września 2018 r. w sprawie zabezpieczenia finansowego wnoszonego przez dostawców mocy oraz uczestników aukcji wstępnych (Dz. U. poz. 1730) </w:t>
      </w:r>
      <w:r w:rsidR="00285E52">
        <w:t>–</w:t>
      </w:r>
      <w:r w:rsidR="00285E52" w:rsidRPr="00BB3E4F">
        <w:t xml:space="preserve"> </w:t>
      </w:r>
      <w:r w:rsidR="006741FC" w:rsidRPr="00BB3E4F">
        <w:t>wydane na podstawie z art. 51 ustawy o rynku mocy;</w:t>
      </w:r>
    </w:p>
    <w:p w14:paraId="22822248" w14:textId="255C5778" w:rsidR="006741FC" w:rsidRPr="00BB3E4F" w:rsidRDefault="00ED1E58" w:rsidP="006741FC">
      <w:pPr>
        <w:pStyle w:val="Akapitzlist"/>
        <w:numPr>
          <w:ilvl w:val="0"/>
          <w:numId w:val="1"/>
        </w:numPr>
        <w:spacing w:before="100" w:beforeAutospacing="1" w:after="100" w:afterAutospacing="1"/>
        <w:ind w:hanging="357"/>
      </w:pPr>
      <w:r>
        <w:t>r</w:t>
      </w:r>
      <w:r w:rsidR="006741FC" w:rsidRPr="00BB3E4F">
        <w:t>ozporządzenie Ministra Klimatu i Środowiska z dnia 5 września 2024 r. w sprawie opłaty mocowej (Dz.</w:t>
      </w:r>
      <w:r w:rsidR="00285E52">
        <w:t xml:space="preserve"> </w:t>
      </w:r>
      <w:r w:rsidR="006741FC" w:rsidRPr="00BB3E4F">
        <w:t>U. poz. 1350) - wydane na podstawie z art. 76 ustawy o rynku mocy, które zastąpiło rozporządzenie Ministra Klimatu i Środowiska z dnia 9 listopada 2020 r. w</w:t>
      </w:r>
      <w:r w:rsidR="00677A66">
        <w:t> </w:t>
      </w:r>
      <w:r w:rsidR="006741FC" w:rsidRPr="00BB3E4F">
        <w:t>sprawie pobierania opłaty mocowej i wyznaczania godzin doby przypadających na</w:t>
      </w:r>
      <w:r w:rsidR="00677A66">
        <w:t> </w:t>
      </w:r>
      <w:r w:rsidR="006741FC" w:rsidRPr="00BB3E4F">
        <w:t>szczytowe zapotrzebowanie na moc w systemie (Dz.</w:t>
      </w:r>
      <w:r w:rsidR="00285E52">
        <w:t xml:space="preserve"> </w:t>
      </w:r>
      <w:r w:rsidR="006741FC" w:rsidRPr="00BB3E4F">
        <w:t>U. poz. 2009</w:t>
      </w:r>
      <w:r w:rsidR="00B87DF8">
        <w:t xml:space="preserve"> i 2370</w:t>
      </w:r>
      <w:r w:rsidR="006741FC" w:rsidRPr="00BB3E4F">
        <w:t>) oraz zmieniające je rozporządzenie Ministra Klimatu i Środowiska z dnia 21 grudnia 2020 r. zmieniające rozporządzenie w sprawie pobierania opłaty mocowej i wyznaczania godzin doby przypadających na szczytowe zapotrzebowanie na moc w systemie (Dz.</w:t>
      </w:r>
      <w:r w:rsidR="00285E52">
        <w:t xml:space="preserve"> </w:t>
      </w:r>
      <w:r w:rsidR="006741FC" w:rsidRPr="00BB3E4F">
        <w:t>U. poz.</w:t>
      </w:r>
      <w:r w:rsidR="00677A66">
        <w:t> </w:t>
      </w:r>
      <w:r w:rsidR="006741FC" w:rsidRPr="00BB3E4F">
        <w:t>2370);</w:t>
      </w:r>
    </w:p>
    <w:p w14:paraId="7569DC33" w14:textId="6F0CB925" w:rsidR="006741FC" w:rsidRPr="00BB3E4F" w:rsidRDefault="00ED1E58" w:rsidP="006741FC">
      <w:pPr>
        <w:pStyle w:val="Akapitzlist"/>
        <w:numPr>
          <w:ilvl w:val="0"/>
          <w:numId w:val="1"/>
        </w:numPr>
        <w:spacing w:before="100" w:beforeAutospacing="1" w:after="100" w:afterAutospacing="1"/>
        <w:ind w:hanging="357"/>
      </w:pPr>
      <w:r>
        <w:t>s</w:t>
      </w:r>
      <w:r w:rsidR="006741FC" w:rsidRPr="00BB3E4F">
        <w:t>iedem rozporządzeń w sprawie parametrów aukcji (wydanych na podstawie z art. 34</w:t>
      </w:r>
      <w:r w:rsidR="00285E52">
        <w:t xml:space="preserve"> ust.</w:t>
      </w:r>
      <w:r w:rsidR="00677A66">
        <w:t> </w:t>
      </w:r>
      <w:r w:rsidR="00285E52">
        <w:t>1</w:t>
      </w:r>
      <w:r w:rsidR="006741FC" w:rsidRPr="00BB3E4F">
        <w:t xml:space="preserve"> ustawy o rynku mocy):</w:t>
      </w:r>
    </w:p>
    <w:p w14:paraId="79318BA2" w14:textId="4CD27543" w:rsidR="006741FC" w:rsidRPr="00BB3E4F" w:rsidRDefault="006741FC" w:rsidP="006741FC">
      <w:pPr>
        <w:pStyle w:val="Akapitzlist"/>
        <w:numPr>
          <w:ilvl w:val="1"/>
          <w:numId w:val="1"/>
        </w:numPr>
        <w:spacing w:before="100" w:beforeAutospacing="1" w:after="100" w:afterAutospacing="1"/>
        <w:ind w:hanging="357"/>
      </w:pPr>
      <w:r w:rsidRPr="00BB3E4F">
        <w:t>rozporządzenie Ministra Energii z dnia 22 sierpnia 2018 r. w sprawie parametrów aukcji głównych dla okresów dostaw przypadających na lata 2021</w:t>
      </w:r>
      <w:r w:rsidR="00285E52">
        <w:t>–</w:t>
      </w:r>
      <w:r w:rsidRPr="00BB3E4F">
        <w:t>2023 (Dz. U. poz. 1632</w:t>
      </w:r>
      <w:r w:rsidR="00C210E6" w:rsidRPr="00BB3E4F">
        <w:t>)</w:t>
      </w:r>
      <w:r w:rsidR="00C210E6">
        <w:t>,</w:t>
      </w:r>
    </w:p>
    <w:p w14:paraId="7CC6B079" w14:textId="40E97A16" w:rsidR="006741FC" w:rsidRPr="00BB3E4F" w:rsidRDefault="006741FC" w:rsidP="006741FC">
      <w:pPr>
        <w:pStyle w:val="Akapitzlist"/>
        <w:numPr>
          <w:ilvl w:val="1"/>
          <w:numId w:val="1"/>
        </w:numPr>
        <w:spacing w:before="100" w:beforeAutospacing="1" w:after="100" w:afterAutospacing="1"/>
        <w:ind w:hanging="357"/>
      </w:pPr>
      <w:r w:rsidRPr="00BB3E4F">
        <w:lastRenderedPageBreak/>
        <w:t>rozporządzenie Ministra Energii z dnia 2 sierpnia 2019 r. w sprawie parametrów aukcji głównej dla roku dostaw 2024 oraz parametrów aukcji dodatkowych dla roku dostaw 2021 (Dz.</w:t>
      </w:r>
      <w:r w:rsidR="00285E52">
        <w:t xml:space="preserve"> </w:t>
      </w:r>
      <w:r w:rsidRPr="00BB3E4F">
        <w:t>U. poz. 1457</w:t>
      </w:r>
      <w:r w:rsidR="00C210E6" w:rsidRPr="00BB3E4F">
        <w:t>)</w:t>
      </w:r>
      <w:r w:rsidR="00C210E6">
        <w:t>,</w:t>
      </w:r>
    </w:p>
    <w:p w14:paraId="6D6CFE13" w14:textId="57FD634D" w:rsidR="006741FC" w:rsidRPr="00BB3E4F" w:rsidRDefault="006741FC" w:rsidP="006741FC">
      <w:pPr>
        <w:pStyle w:val="Akapitzlist"/>
        <w:numPr>
          <w:ilvl w:val="1"/>
          <w:numId w:val="1"/>
        </w:numPr>
        <w:spacing w:before="100" w:beforeAutospacing="1" w:after="100" w:afterAutospacing="1"/>
        <w:ind w:hanging="357"/>
      </w:pPr>
      <w:r w:rsidRPr="00BB3E4F">
        <w:t>rozporządzenie Ministra Klimatu z dnia 6 sierpnia 2020 r. w sprawie parametrów aukcji głównej dla roku dostaw 2025 oraz parametrów aukcji dodatkowych dla roku dostaw 2022 (Dz.</w:t>
      </w:r>
      <w:r w:rsidR="00285E52">
        <w:t xml:space="preserve"> </w:t>
      </w:r>
      <w:r w:rsidRPr="00BB3E4F">
        <w:t>U. poz. 1355</w:t>
      </w:r>
      <w:r w:rsidR="00C210E6" w:rsidRPr="00BB3E4F">
        <w:t>)</w:t>
      </w:r>
      <w:r w:rsidR="00C210E6">
        <w:t>,</w:t>
      </w:r>
    </w:p>
    <w:p w14:paraId="095C234E" w14:textId="2ED75B7D" w:rsidR="006741FC" w:rsidRPr="00BB3E4F" w:rsidRDefault="006741FC" w:rsidP="006741FC">
      <w:pPr>
        <w:pStyle w:val="Akapitzlist"/>
        <w:numPr>
          <w:ilvl w:val="1"/>
          <w:numId w:val="1"/>
        </w:numPr>
        <w:spacing w:before="100" w:beforeAutospacing="1" w:after="100" w:afterAutospacing="1"/>
        <w:ind w:hanging="357"/>
      </w:pPr>
      <w:r w:rsidRPr="00BB3E4F">
        <w:t>rozporządzenie Ministra Klimatu i Środowiska z dnia 12 sierpnia 2021 r. w sprawie parametrów aukcji głównej dla roku dostaw 2026 oraz parametrów aukcji dodatkowych dla roku dostaw 2023 (Dz.</w:t>
      </w:r>
      <w:r w:rsidR="00285E52">
        <w:t xml:space="preserve"> </w:t>
      </w:r>
      <w:r w:rsidRPr="00BB3E4F">
        <w:t>U. poz. 1480</w:t>
      </w:r>
      <w:r w:rsidR="00C210E6" w:rsidRPr="00BB3E4F">
        <w:t>)</w:t>
      </w:r>
      <w:r w:rsidR="00C210E6">
        <w:t>,</w:t>
      </w:r>
    </w:p>
    <w:p w14:paraId="2EC31951" w14:textId="16DD8E13" w:rsidR="006741FC" w:rsidRPr="00BB3E4F" w:rsidRDefault="006741FC" w:rsidP="006741FC">
      <w:pPr>
        <w:pStyle w:val="Akapitzlist"/>
        <w:numPr>
          <w:ilvl w:val="1"/>
          <w:numId w:val="1"/>
        </w:numPr>
        <w:spacing w:before="100" w:beforeAutospacing="1" w:after="100" w:afterAutospacing="1"/>
        <w:ind w:hanging="357"/>
      </w:pPr>
      <w:r w:rsidRPr="00BB3E4F">
        <w:t>rozporządzenie Ministra Klimatu i Środowiska z dnia 10 sierpnia 2022 r. w sprawie parametrów aukcji głównej dla roku dostaw 2027 oraz parametrów aukcji dodatkowych dla roku dostaw 2024 (Dz. U. poz. 1690</w:t>
      </w:r>
      <w:r w:rsidR="00C210E6" w:rsidRPr="00BB3E4F">
        <w:t>)</w:t>
      </w:r>
      <w:r w:rsidR="00C210E6">
        <w:t>,</w:t>
      </w:r>
    </w:p>
    <w:p w14:paraId="0DAEF1D3" w14:textId="4CA02334" w:rsidR="006741FC" w:rsidRPr="00BB3E4F" w:rsidRDefault="006741FC" w:rsidP="006741FC">
      <w:pPr>
        <w:pStyle w:val="Akapitzlist"/>
        <w:numPr>
          <w:ilvl w:val="1"/>
          <w:numId w:val="1"/>
        </w:numPr>
        <w:spacing w:before="100" w:beforeAutospacing="1" w:after="100" w:afterAutospacing="1"/>
        <w:ind w:hanging="357"/>
      </w:pPr>
      <w:r w:rsidRPr="00BB3E4F">
        <w:t>rozporządzenie Ministra Klimatu i Środowiska z dnia 4 sierpnia 2023 r. w sprawie parametrów aukcji głównej dla roku dostaw 2028 oraz parametrów aukcji dodatkowych dla roku dostaw 2025 (Dz.</w:t>
      </w:r>
      <w:r w:rsidR="00285E52">
        <w:t xml:space="preserve"> </w:t>
      </w:r>
      <w:r w:rsidRPr="00BB3E4F">
        <w:t>U. poz. 1561</w:t>
      </w:r>
      <w:r w:rsidR="00C210E6" w:rsidRPr="00BB3E4F">
        <w:t>)</w:t>
      </w:r>
      <w:r w:rsidR="00C210E6">
        <w:t>,</w:t>
      </w:r>
    </w:p>
    <w:p w14:paraId="0B7FE460" w14:textId="4EE26295" w:rsidR="006741FC" w:rsidRPr="00BB3E4F" w:rsidRDefault="006741FC" w:rsidP="006741FC">
      <w:pPr>
        <w:pStyle w:val="Akapitzlist"/>
        <w:numPr>
          <w:ilvl w:val="1"/>
          <w:numId w:val="1"/>
        </w:numPr>
        <w:spacing w:before="100" w:beforeAutospacing="1" w:after="100" w:afterAutospacing="1"/>
        <w:ind w:hanging="357"/>
      </w:pPr>
      <w:r w:rsidRPr="00BB3E4F">
        <w:t>rozporządzenie Ministra Klimatu i Środowiska z dnia 26 lipca 2024 r. w sprawie parametrów aukcji głównej dla roku dostaw 2029 oraz parametrów aukcji dodatkowych dla roku dostaw 2026, a także parametrów aukcji wstępnych do</w:t>
      </w:r>
      <w:r w:rsidR="00677A66">
        <w:t> </w:t>
      </w:r>
      <w:r w:rsidRPr="00BB3E4F">
        <w:t>tych aukcji (Dz.</w:t>
      </w:r>
      <w:r w:rsidR="00285E52">
        <w:t xml:space="preserve"> </w:t>
      </w:r>
      <w:r w:rsidRPr="00BB3E4F">
        <w:t>U. poz. 1154).</w:t>
      </w:r>
    </w:p>
    <w:p w14:paraId="4468FD9B" w14:textId="4866B6DB" w:rsidR="006741FC" w:rsidRPr="00BB3E4F" w:rsidRDefault="006741FC" w:rsidP="00332212">
      <w:r w:rsidRPr="00BB3E4F">
        <w:t xml:space="preserve">Minister właściwy ds. energii, aby uzyskać niezależną opinię ekspertów dotyczącą proponowanych przez OSP wartości parametrów aukcji mocy oraz propozycję współczynnika wyznaczającego cenę maksymalną na aukcji, </w:t>
      </w:r>
      <w:r w:rsidR="00353E93" w:rsidRPr="00DA479D">
        <w:rPr>
          <w:i/>
          <w:iCs/>
        </w:rPr>
        <w:t xml:space="preserve">zarządzeniem </w:t>
      </w:r>
      <w:r w:rsidR="00332212" w:rsidRPr="00DA479D">
        <w:rPr>
          <w:i/>
          <w:iCs/>
        </w:rPr>
        <w:t xml:space="preserve">Ministra Energii </w:t>
      </w:r>
      <w:r w:rsidR="00353E93" w:rsidRPr="00DA479D">
        <w:rPr>
          <w:i/>
          <w:iCs/>
        </w:rPr>
        <w:t xml:space="preserve">z dnia </w:t>
      </w:r>
      <w:r w:rsidRPr="00DA479D">
        <w:rPr>
          <w:i/>
          <w:iCs/>
        </w:rPr>
        <w:t>6 lipca 2018 r.</w:t>
      </w:r>
      <w:r w:rsidR="00332212" w:rsidRPr="00DA479D">
        <w:rPr>
          <w:i/>
          <w:iCs/>
        </w:rPr>
        <w:t xml:space="preserve"> w</w:t>
      </w:r>
      <w:r w:rsidR="00677A66">
        <w:rPr>
          <w:i/>
          <w:iCs/>
        </w:rPr>
        <w:t> </w:t>
      </w:r>
      <w:r w:rsidR="00332212" w:rsidRPr="00DA479D">
        <w:rPr>
          <w:i/>
          <w:iCs/>
        </w:rPr>
        <w:t>sprawie powołania Zespołu do spraw opiniowania parametrów aukcji mocy (Dz. Urz. Min. Ener. poz. 15)</w:t>
      </w:r>
      <w:r w:rsidR="00332212">
        <w:t xml:space="preserve"> </w:t>
      </w:r>
      <w:r w:rsidRPr="00BB3E4F">
        <w:t>powołał Zespół do spraw opiniowania parametrów aukcji mocy</w:t>
      </w:r>
      <w:r w:rsidR="00332212">
        <w:t xml:space="preserve">. </w:t>
      </w:r>
      <w:r w:rsidR="00332212" w:rsidRPr="00DA479D">
        <w:rPr>
          <w:i/>
          <w:iCs/>
        </w:rPr>
        <w:t>Zarządzenie zostało</w:t>
      </w:r>
      <w:r w:rsidRPr="00DA479D">
        <w:rPr>
          <w:i/>
          <w:iCs/>
        </w:rPr>
        <w:t xml:space="preserve"> </w:t>
      </w:r>
      <w:r w:rsidR="00353E93" w:rsidRPr="00DA479D">
        <w:rPr>
          <w:i/>
          <w:iCs/>
        </w:rPr>
        <w:t>zmienion</w:t>
      </w:r>
      <w:r w:rsidR="00332212" w:rsidRPr="00DA479D">
        <w:rPr>
          <w:i/>
          <w:iCs/>
        </w:rPr>
        <w:t>e</w:t>
      </w:r>
      <w:r w:rsidR="00353E93" w:rsidRPr="00DA479D">
        <w:rPr>
          <w:i/>
          <w:iCs/>
        </w:rPr>
        <w:t xml:space="preserve"> zarządzeniem </w:t>
      </w:r>
      <w:r w:rsidR="00332212" w:rsidRPr="00DA479D">
        <w:rPr>
          <w:i/>
          <w:iCs/>
        </w:rPr>
        <w:t xml:space="preserve">Ministra Energii </w:t>
      </w:r>
      <w:r w:rsidR="00353E93" w:rsidRPr="00DA479D">
        <w:rPr>
          <w:i/>
          <w:iCs/>
        </w:rPr>
        <w:t xml:space="preserve">z dnia 7 maja 2019 r. </w:t>
      </w:r>
      <w:r w:rsidR="00332212" w:rsidRPr="00DA479D">
        <w:rPr>
          <w:i/>
          <w:iCs/>
        </w:rPr>
        <w:t xml:space="preserve">zmieniającym zarządzenie w sprawie powołania Zespołu do spraw opiniowania parametrów aukcji mocy </w:t>
      </w:r>
      <w:r w:rsidR="00353E93" w:rsidRPr="00DA479D">
        <w:rPr>
          <w:i/>
          <w:iCs/>
        </w:rPr>
        <w:t>(Dz. Urz. Min. Ener.</w:t>
      </w:r>
      <w:r w:rsidRPr="00DA479D">
        <w:rPr>
          <w:i/>
          <w:iCs/>
        </w:rPr>
        <w:t xml:space="preserve"> poz. 8)</w:t>
      </w:r>
      <w:r w:rsidRPr="00BB3E4F">
        <w:t>. Członkami Zespołu zostali przedstawiciele czołowych polskich uczelni technicznych i jednostek badawczych, o potwierdzonej stopniem naukowym wiedzy z dziedziny energetyki i elektroenergetyki. W 2021 r. Minister Klimatu i Środowiska wydał nowe zarządzenie - </w:t>
      </w:r>
      <w:r w:rsidRPr="00DA479D">
        <w:rPr>
          <w:i/>
          <w:iCs/>
        </w:rPr>
        <w:t>zarządzenie Ministra Klimatu i Środowiska z dnia 23 lipca 2021 r. w sprawie Zespołu do spraw opiniowania parametrów aukcji mocy (Dz. Urz. MKiŚ poz. 59)</w:t>
      </w:r>
      <w:r w:rsidRPr="00BB3E4F">
        <w:t xml:space="preserve">, w którym wprowadzono między innymi rozwiązania regulujące prowadzenie zdalnych spotkań zespołu. Zarządzenie było od tego czasu zmienione jednokrotnie – </w:t>
      </w:r>
      <w:r w:rsidRPr="00DA479D">
        <w:rPr>
          <w:i/>
          <w:iCs/>
        </w:rPr>
        <w:t>zarządzeniem Ministra Klimatu i Środowiska z dnia 9 czerwca 2023</w:t>
      </w:r>
      <w:r w:rsidR="00677A66">
        <w:rPr>
          <w:i/>
          <w:iCs/>
        </w:rPr>
        <w:t> </w:t>
      </w:r>
      <w:r w:rsidRPr="00DA479D">
        <w:rPr>
          <w:i/>
          <w:iCs/>
        </w:rPr>
        <w:t>r. zmieniające zarządzenie w sprawie Zespołu do spraw opiniowania parametrów aukcji mocy (Dz.</w:t>
      </w:r>
      <w:r w:rsidR="00BD15EE" w:rsidRPr="00DA479D">
        <w:rPr>
          <w:i/>
          <w:iCs/>
        </w:rPr>
        <w:t xml:space="preserve"> </w:t>
      </w:r>
      <w:r w:rsidRPr="00DA479D">
        <w:rPr>
          <w:i/>
          <w:iCs/>
        </w:rPr>
        <w:t>Urz. MKiŚ poz. 21)</w:t>
      </w:r>
      <w:r w:rsidRPr="00BB3E4F">
        <w:t>.</w:t>
      </w:r>
    </w:p>
    <w:p w14:paraId="0AD60F22" w14:textId="77777777" w:rsidR="006741FC" w:rsidRPr="009A421D" w:rsidRDefault="006741FC" w:rsidP="006741FC">
      <w:pPr>
        <w:rPr>
          <w:spacing w:val="-12"/>
        </w:rPr>
      </w:pPr>
      <w:r w:rsidRPr="00BB3E4F">
        <w:t xml:space="preserve">Szczegółowe warunki współpracy OSP z pozostałymi uczestnikami rynku mocy zawiera Regulamin rynku mocy, który został zatwierdzony decyzją Prezesa Urzędu Regulacji Energetyki dnia 30 marca 2018 r. (znak: DRR.WAR.7120.1.2018). Regulamin rynku mocy został do dnia 31 października ośmiokrotnie zmieniony decyzjami prezesa </w:t>
      </w:r>
      <w:r w:rsidRPr="00BB3E4F">
        <w:lastRenderedPageBreak/>
        <w:t xml:space="preserve">Urzędu regulacji Energetyki (znak: </w:t>
      </w:r>
      <w:r w:rsidRPr="009A421D">
        <w:rPr>
          <w:spacing w:val="-8"/>
        </w:rPr>
        <w:t xml:space="preserve">DRR.WAR.770.30.2020.BPe, znak: DRR.WAR.770.44.2020.BPe, znak: DRR.WAR.43.1.2021.BPe, znak: </w:t>
      </w:r>
      <w:r w:rsidRPr="009A421D">
        <w:rPr>
          <w:spacing w:val="-12"/>
        </w:rPr>
        <w:t xml:space="preserve">DRR.WAR.770.33.1.2022.BPe, znak: DRR.WAR.770.36.2022.2023.BPe, znak: DRR.WAR.770.4.8.2024.Pra, znak: DRR.WAR.770.24.4.2024.PRa i znak: DRR.WAR.770.31.5.2024.PRa). </w:t>
      </w:r>
    </w:p>
    <w:p w14:paraId="510F4D70" w14:textId="77777777" w:rsidR="006741FC" w:rsidRPr="00BB3E4F" w:rsidRDefault="006741FC" w:rsidP="006741FC">
      <w:pPr>
        <w:pStyle w:val="Nagwek2"/>
      </w:pPr>
      <w:bookmarkStart w:id="53" w:name="_Toc183753343"/>
      <w:bookmarkStart w:id="54" w:name="_Toc188008609"/>
      <w:r w:rsidRPr="00BB3E4F">
        <w:t>Efekty aukcji mocy</w:t>
      </w:r>
      <w:bookmarkEnd w:id="53"/>
      <w:bookmarkEnd w:id="54"/>
    </w:p>
    <w:p w14:paraId="531AA378" w14:textId="77777777" w:rsidR="006741FC" w:rsidRPr="00BB3E4F" w:rsidRDefault="006741FC" w:rsidP="006741FC">
      <w:pPr>
        <w:pStyle w:val="Nagwek3"/>
      </w:pPr>
      <w:bookmarkStart w:id="55" w:name="_Toc183753344"/>
      <w:bookmarkStart w:id="56" w:name="_Toc188008610"/>
      <w:r w:rsidRPr="00BB3E4F">
        <w:t>Rozwój technologii redukcji zapotrzebowania</w:t>
      </w:r>
      <w:bookmarkEnd w:id="55"/>
      <w:bookmarkEnd w:id="56"/>
    </w:p>
    <w:p w14:paraId="3FFE0E02" w14:textId="77777777" w:rsidR="006741FC" w:rsidRPr="00BB3E4F" w:rsidRDefault="006741FC" w:rsidP="006741FC">
      <w:r w:rsidRPr="00BB3E4F">
        <w:t>Zgodnie z art. 22 ust. 1 lit. h rozporządzenia rynkowego, mechanizmy zdolności wytwórczych są otwarte na udział wszystkich zasobów, które są w stanie spełnić wymagane parametry techniczne, w tym jednostek DSR. Ponadto, rozwój technologii redukcji zapotrzebowania oraz usług związanych z zarządzaniem popytem stanowił jeden ze wskaźników celu dodatkowego „wdrożenie konkurencyjnego mechanizmu koordynacji budowy i wycofań mocy”, przedstawionego w OSR ustawy o rynku mocy. Mając powyższe na względzie, na wykresie poniżej przedstawiono podsumowanie wielkości obowiązków mocowych zakontraktowanych w odniesieniu do jednostek rynku mocy redukcji zapotrzebowania. Dla porównania przedstawiono maksymalną moc zakontraktowaną w ramach programu gwarantowanego DSR tzw. „IP–DSR” przed wprowadzeniem rynku mocy. Jak widać na wykresie poniżej wolumeny mocy jednostek DSR w zawartych kontraktach mocowych w pierwszym roku funkcjonowania rynku mocy utrzymywał się na porównywalnym poziomie jak w przypadku IP-DSR. W kolejnych latach widoczny był dynamiczny rozwój tego rynku skutkujący nawet dwukrotnie wyższym uczestnictwem jednostek redukcji zapotrzebowania niż we wcześniejszym programie dedykowanym tej technologii.</w:t>
      </w:r>
    </w:p>
    <w:p w14:paraId="106C2D49" w14:textId="102091BE" w:rsidR="006741FC" w:rsidRPr="00BB3E4F" w:rsidRDefault="006741FC" w:rsidP="006741FC">
      <w:pPr>
        <w:pStyle w:val="Legenda"/>
        <w:keepNext/>
        <w:jc w:val="left"/>
      </w:pPr>
      <w:bookmarkStart w:id="57" w:name="_Toc188209355"/>
      <w:r w:rsidRPr="00BB3E4F">
        <w:lastRenderedPageBreak/>
        <w:t xml:space="preserve">Rysunek </w:t>
      </w:r>
      <w:fldSimple w:instr=" SEQ Rysunek \* ARABIC ">
        <w:r w:rsidRPr="00BB3E4F">
          <w:rPr>
            <w:noProof/>
          </w:rPr>
          <w:t>4</w:t>
        </w:r>
      </w:fldSimple>
      <w:r w:rsidRPr="00BB3E4F">
        <w:t>. Wolumen DSR zakontraktowany na poszczególne okresy dostaw</w:t>
      </w:r>
      <w:bookmarkEnd w:id="57"/>
    </w:p>
    <w:p w14:paraId="2111F2BB" w14:textId="77777777" w:rsidR="006741FC" w:rsidRPr="00BB3E4F" w:rsidRDefault="006741FC" w:rsidP="006741FC">
      <w:pPr>
        <w:jc w:val="center"/>
      </w:pPr>
      <w:r w:rsidRPr="00BB3E4F">
        <w:rPr>
          <w:noProof/>
          <w:lang w:eastAsia="pl-PL"/>
        </w:rPr>
        <w:drawing>
          <wp:inline distT="0" distB="0" distL="0" distR="0" wp14:anchorId="7BA11C39" wp14:editId="6EC49FD4">
            <wp:extent cx="5657850" cy="3930650"/>
            <wp:effectExtent l="0" t="0" r="0" b="12700"/>
            <wp:docPr id="266282188" name="Wykres 1">
              <a:extLst xmlns:a="http://schemas.openxmlformats.org/drawingml/2006/main">
                <a:ext uri="{FF2B5EF4-FFF2-40B4-BE49-F238E27FC236}">
                  <a16:creationId xmlns:a16="http://schemas.microsoft.com/office/drawing/2014/main" id="{71B209B9-E37B-DDFC-EC65-8D3684A14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99C607" w14:textId="0D565E16" w:rsidR="006741FC" w:rsidRPr="00BB3E4F" w:rsidRDefault="006741FC" w:rsidP="006741FC">
      <w:pPr>
        <w:pStyle w:val="Legenda"/>
        <w:ind w:left="360"/>
      </w:pPr>
      <w:r w:rsidRPr="00BB3E4F">
        <w:t xml:space="preserve">Źródło: Opracowanie własne na podstawie ostatecznych wyników aukcji mocy </w:t>
      </w:r>
      <w:r w:rsidR="00A25DC1">
        <w:t>ogłoszonych</w:t>
      </w:r>
      <w:r w:rsidR="00A25DC1" w:rsidRPr="00BB3E4F">
        <w:t xml:space="preserve"> </w:t>
      </w:r>
      <w:r w:rsidRPr="00BB3E4F">
        <w:t>zgodnie z art. 39 ust. 3 ustawy o rynku mocy</w:t>
      </w:r>
    </w:p>
    <w:p w14:paraId="4E4EC911" w14:textId="77777777" w:rsidR="006741FC" w:rsidRPr="00BB3E4F" w:rsidRDefault="006741FC" w:rsidP="006741FC">
      <w:pPr>
        <w:pStyle w:val="Nagwek3"/>
      </w:pPr>
      <w:bookmarkStart w:id="58" w:name="_Toc180663589"/>
      <w:bookmarkStart w:id="59" w:name="_Toc180755039"/>
      <w:bookmarkStart w:id="60" w:name="_Toc180756279"/>
      <w:bookmarkStart w:id="61" w:name="_Toc180663590"/>
      <w:bookmarkStart w:id="62" w:name="_Toc180755040"/>
      <w:bookmarkStart w:id="63" w:name="_Toc180756280"/>
      <w:bookmarkStart w:id="64" w:name="_Toc180663591"/>
      <w:bookmarkStart w:id="65" w:name="_Toc180755041"/>
      <w:bookmarkStart w:id="66" w:name="_Toc180756281"/>
      <w:bookmarkStart w:id="67" w:name="_Toc180663592"/>
      <w:bookmarkStart w:id="68" w:name="_Toc180755042"/>
      <w:bookmarkStart w:id="69" w:name="_Toc180756282"/>
      <w:bookmarkStart w:id="70" w:name="_Toc180663593"/>
      <w:bookmarkStart w:id="71" w:name="_Toc180755043"/>
      <w:bookmarkStart w:id="72" w:name="_Toc180756283"/>
      <w:bookmarkStart w:id="73" w:name="_Toc180663594"/>
      <w:bookmarkStart w:id="74" w:name="_Toc180755044"/>
      <w:bookmarkStart w:id="75" w:name="_Toc180756284"/>
      <w:bookmarkStart w:id="76" w:name="_Toc180663595"/>
      <w:bookmarkStart w:id="77" w:name="_Toc180755045"/>
      <w:bookmarkStart w:id="78" w:name="_Toc180756285"/>
      <w:bookmarkStart w:id="79" w:name="_Ref180754960"/>
      <w:bookmarkStart w:id="80" w:name="_Toc183753345"/>
      <w:bookmarkStart w:id="81" w:name="_Toc188008611"/>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BB3E4F">
        <w:t>Przyrost nowych mocy wytwórczych</w:t>
      </w:r>
      <w:bookmarkStart w:id="82" w:name="_Toc178058978"/>
      <w:bookmarkEnd w:id="79"/>
      <w:bookmarkEnd w:id="80"/>
      <w:bookmarkEnd w:id="81"/>
    </w:p>
    <w:bookmarkEnd w:id="82"/>
    <w:p w14:paraId="3F8478CD" w14:textId="06222A26" w:rsidR="006741FC" w:rsidRPr="00BB3E4F" w:rsidRDefault="006741FC" w:rsidP="006741FC">
      <w:r w:rsidRPr="00BB3E4F">
        <w:t xml:space="preserve">Jednym z najważniejszych aspektów rynku mocy jest zapewnienie długoterminowych sygnałów inwestycyjnych do budowy nowych mocy wytwórczych. To właśnie budowa nowych mocy pozwala na zastępowanie jednostek, których remonty </w:t>
      </w:r>
      <w:r w:rsidR="00353E93" w:rsidRPr="00BB3E4F">
        <w:t>staj</w:t>
      </w:r>
      <w:r w:rsidR="00353E93">
        <w:t>ą</w:t>
      </w:r>
      <w:r w:rsidR="00353E93" w:rsidRPr="00BB3E4F">
        <w:t xml:space="preserve"> </w:t>
      </w:r>
      <w:r w:rsidRPr="00BB3E4F">
        <w:t>się nieopłacalne, szczególnie ze</w:t>
      </w:r>
      <w:r w:rsidR="007733DE">
        <w:t> </w:t>
      </w:r>
      <w:r w:rsidRPr="00BB3E4F">
        <w:t>względu na ich niższą sprawność czy wysoki wpływ na środowisko naturalne. Jednostki te</w:t>
      </w:r>
      <w:r w:rsidR="007733DE">
        <w:t> </w:t>
      </w:r>
      <w:r w:rsidRPr="00BB3E4F">
        <w:t xml:space="preserve">pozwalają również na pokrycie rosnącego zapotrzebowania w krajowym systemie elektroenergetycznym. Z tego powodu zapewnienie sygnałów cenowych do budowy nowych mocy wytwórczych zostało uwzględnione jako jeden z aspektów celu dodatkowego „wdrożenie konkurencyjnego mechanizmu koordynacji budowy i wycofań mocy”. Na wykresie poniżej przedstawiono wolumen nowych i modernizowanych jednostek, które uzyskały finansowanie z rynku mocy. </w:t>
      </w:r>
    </w:p>
    <w:p w14:paraId="581B3254" w14:textId="67B79512" w:rsidR="006741FC" w:rsidRPr="00BB3E4F" w:rsidRDefault="006741FC" w:rsidP="006741FC">
      <w:pPr>
        <w:pStyle w:val="Legenda"/>
        <w:keepNext/>
        <w:jc w:val="center"/>
      </w:pPr>
      <w:bookmarkStart w:id="83" w:name="_Toc188209356"/>
      <w:r w:rsidRPr="00BB3E4F">
        <w:lastRenderedPageBreak/>
        <w:t xml:space="preserve">Rysunek </w:t>
      </w:r>
      <w:fldSimple w:instr=" SEQ Rysunek \* ARABIC ">
        <w:r w:rsidRPr="00BB3E4F">
          <w:rPr>
            <w:noProof/>
          </w:rPr>
          <w:t>5</w:t>
        </w:r>
      </w:fldSimple>
      <w:r w:rsidRPr="00BB3E4F">
        <w:t>. Moce zakontraktowane w aukcjach mocy w poszczególnych latach dla nowych jednostek wytwórczych</w:t>
      </w:r>
      <w:bookmarkEnd w:id="83"/>
    </w:p>
    <w:p w14:paraId="2666A2E6" w14:textId="77777777" w:rsidR="006741FC" w:rsidRPr="00BB3E4F" w:rsidRDefault="006741FC" w:rsidP="006741FC">
      <w:pPr>
        <w:pStyle w:val="Legenda"/>
        <w:keepNext/>
        <w:jc w:val="center"/>
      </w:pPr>
      <w:r w:rsidRPr="00BB3E4F">
        <w:rPr>
          <w:noProof/>
          <w:lang w:eastAsia="pl-PL"/>
        </w:rPr>
        <w:drawing>
          <wp:inline distT="0" distB="0" distL="0" distR="0" wp14:anchorId="0834823A" wp14:editId="6174A86F">
            <wp:extent cx="4588164" cy="2751859"/>
            <wp:effectExtent l="0" t="0" r="3175" b="10795"/>
            <wp:docPr id="407962909" name="Wykres 1">
              <a:extLst xmlns:a="http://schemas.openxmlformats.org/drawingml/2006/main">
                <a:ext uri="{FF2B5EF4-FFF2-40B4-BE49-F238E27FC236}">
                  <a16:creationId xmlns:a16="http://schemas.microsoft.com/office/drawing/2014/main" id="{F0C3C149-F0FE-EA20-89CD-76C854D66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8417FD" w14:textId="765B9EBB" w:rsidR="006741FC" w:rsidRPr="00BB3E4F" w:rsidRDefault="006741FC" w:rsidP="006741FC">
      <w:pPr>
        <w:pStyle w:val="Legenda"/>
      </w:pPr>
      <w:r w:rsidRPr="00BB3E4F">
        <w:t xml:space="preserve">Źródło: Opracowanie własne na podstawie ostatecznych wyników aukcji mocy </w:t>
      </w:r>
      <w:r w:rsidR="00A25DC1">
        <w:t>ogłoszonych</w:t>
      </w:r>
      <w:r w:rsidR="00A25DC1" w:rsidRPr="00BB3E4F">
        <w:t xml:space="preserve"> </w:t>
      </w:r>
      <w:r w:rsidRPr="00BB3E4F">
        <w:t>zgodnie z art. 39 ust. 3 ustawy o</w:t>
      </w:r>
      <w:r w:rsidR="007733DE">
        <w:t> </w:t>
      </w:r>
      <w:r w:rsidRPr="00BB3E4F">
        <w:t>rynku mocy</w:t>
      </w:r>
    </w:p>
    <w:p w14:paraId="489914DC" w14:textId="3070E213" w:rsidR="006741FC" w:rsidRPr="00BB3E4F" w:rsidRDefault="006741FC" w:rsidP="006741FC">
      <w:r w:rsidRPr="00BB3E4F">
        <w:t xml:space="preserve">Łączny wolumen obowiązku mocowego nowych mocy, które wygrały aukcje mocy wynosi ponad 10 GW. Wśród wspomnianych nowych jednostek za niecałe 3 GW obowiązku mocowego odpowiadały jednostki węglowe, w tym blok 11 w Turowie opalany węglem brunatnym o obowiązku mocowym 410 MW oraz bloki na węgiel kamienny, w tym blok węglowy elektrowni Jaworzno 2, z obowiązkiem mocowym 787 MW oraz dwa bloki węglowe w Opolu z obowiązkiem mocowym 767 MW. Wszystkie obowiązujące kontrakty na nowe moce węglowe zostały zawarte w aukcji na 2021 r. Brak zawarcia aktywnych umów mocowych dla nowych jednostek wytwórczych na okres dostaw 2022 i 2023 </w:t>
      </w:r>
      <w:r w:rsidR="00ED442C" w:rsidRPr="00BB3E4F">
        <w:t xml:space="preserve">jest </w:t>
      </w:r>
      <w:r w:rsidRPr="00BB3E4F">
        <w:t>związany z decyzjami inwestorów i terminem przeprowadzenia aukcji. W 2018 r. przeprowadzono trzy aukcje na kolejne trzy okresy dostaw (2021, 2022, 2023). Inwestorzy zdecydowali się na udział w pierwszej aukcji (na 2021 r.) w</w:t>
      </w:r>
      <w:r>
        <w:t> </w:t>
      </w:r>
      <w:r w:rsidRPr="00BB3E4F">
        <w:t>wyniku której zawarli umowy mocowe.</w:t>
      </w:r>
    </w:p>
    <w:p w14:paraId="33C20E7E" w14:textId="03193066" w:rsidR="006741FC" w:rsidRPr="00BB3E4F" w:rsidRDefault="006741FC" w:rsidP="006741FC">
      <w:r w:rsidRPr="00BB3E4F">
        <w:t xml:space="preserve">Rynek mocy pozwolił również na zapewnienie finansowania niemal 6 GW obowiązku mocowego nowych mocy gazowych, z których do największych należały </w:t>
      </w:r>
      <w:r w:rsidR="00353E93">
        <w:t>b</w:t>
      </w:r>
      <w:r w:rsidRPr="00BB3E4F">
        <w:t>lok gazowo-parowy w Rybniku o</w:t>
      </w:r>
      <w:r w:rsidR="007733DE">
        <w:t> </w:t>
      </w:r>
      <w:r w:rsidRPr="00BB3E4F">
        <w:t xml:space="preserve">obowiązku mocowym niemal 795 MW, blok gazowy Ostrołęka C o obowiązku mocowym niemal 700 MW, dwa bloki gazowe w Dolnej Odrze o obowiązku mocowym ponad 667 MW, blok gazowo-parowy w Grudziądzu o obowiązku mocowym 518 MW, </w:t>
      </w:r>
      <w:r w:rsidR="00353E93">
        <w:t>b</w:t>
      </w:r>
      <w:r w:rsidRPr="00BB3E4F">
        <w:t xml:space="preserve">lok gazowo-parowy Adamów o obowiązku mocowym 493 MW, blok gazowo-parowy elektrociepłowni Żerań o obowiązku mocowym 433 MW, </w:t>
      </w:r>
      <w:r w:rsidR="00353E93">
        <w:t>b</w:t>
      </w:r>
      <w:r w:rsidRPr="00BB3E4F">
        <w:t xml:space="preserve">lok gazowo-parowy w Płocku o obowiązku mocowym 389 MW, czy elektrociepłownia Stalowa Wola o obowiązku mocowym 386 MW. </w:t>
      </w:r>
    </w:p>
    <w:p w14:paraId="36B2D80F" w14:textId="77777777" w:rsidR="006741FC" w:rsidRPr="00BB3E4F" w:rsidRDefault="006741FC" w:rsidP="006741FC">
      <w:r w:rsidRPr="00BB3E4F">
        <w:lastRenderedPageBreak/>
        <w:t>Rynek mocy pozwolił również na zapewnienie finansowania niemal 1,9 GW obowiązku mocowego w magazynach elektrochemicznych. Jak widać na wykresie poniżej, wyniki aukcji mocy wskazują na dynamiczny rozwój tego rynku. Pierwsze magazyny elektrochemiczne pojawiły się na rynku mocy w aukcji na rok dostaw 2027 i odpowiadały za 0,16 GW obowiązku mocowego. W aukcji na kolejny rok dostaw (2028) magazyny elektrochemiczne odpowiadały już za ponad 1,7 GW obowiązku mocowego. Wszystkie magazyny zawarły umowy na 17 lat. Magazyny te nie funkcjonują w Polsce na masową skalę i wyniki aukcji mocy stanowią główne źródło informacji dotyczące rozwoju wielkoskalowych magazynów elektrochemicznych w</w:t>
      </w:r>
      <w:r>
        <w:t> </w:t>
      </w:r>
      <w:r w:rsidRPr="00BB3E4F">
        <w:t xml:space="preserve">Polsce. </w:t>
      </w:r>
    </w:p>
    <w:p w14:paraId="06177A97" w14:textId="77777777" w:rsidR="006741FC" w:rsidRPr="00BB3E4F" w:rsidRDefault="006741FC" w:rsidP="006741FC">
      <w:pPr>
        <w:pStyle w:val="Legenda"/>
        <w:keepNext/>
      </w:pPr>
      <w:bookmarkStart w:id="84" w:name="_Toc188209357"/>
      <w:r w:rsidRPr="00BB3E4F">
        <w:t xml:space="preserve">Rysunek </w:t>
      </w:r>
      <w:fldSimple w:instr=" SEQ Rysunek \* ARABIC ">
        <w:r w:rsidRPr="00BB3E4F">
          <w:rPr>
            <w:noProof/>
          </w:rPr>
          <w:t>6</w:t>
        </w:r>
      </w:fldSimple>
      <w:r w:rsidRPr="00BB3E4F">
        <w:t xml:space="preserve"> Obowiązek mocowy w magazynach energii, które zawarły umowy mocowe w aukcjach na poszczególne okresy dostaw</w:t>
      </w:r>
      <w:bookmarkEnd w:id="84"/>
    </w:p>
    <w:p w14:paraId="4DC69CBD" w14:textId="77777777" w:rsidR="006741FC" w:rsidRPr="00BB3E4F" w:rsidRDefault="006741FC" w:rsidP="006741FC">
      <w:pPr>
        <w:jc w:val="center"/>
      </w:pPr>
      <w:r w:rsidRPr="00BB3E4F">
        <w:rPr>
          <w:noProof/>
          <w:lang w:eastAsia="pl-PL"/>
        </w:rPr>
        <w:drawing>
          <wp:inline distT="0" distB="0" distL="0" distR="0" wp14:anchorId="536EA176" wp14:editId="5634FE5D">
            <wp:extent cx="4360334" cy="2556934"/>
            <wp:effectExtent l="0" t="0" r="2540" b="15240"/>
            <wp:docPr id="1704612802" name="Wykres 1">
              <a:extLst xmlns:a="http://schemas.openxmlformats.org/drawingml/2006/main">
                <a:ext uri="{FF2B5EF4-FFF2-40B4-BE49-F238E27FC236}">
                  <a16:creationId xmlns:a16="http://schemas.microsoft.com/office/drawing/2014/main" id="{307F0957-2C9A-2FDF-65A8-C66C025D3E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77ED1A" w14:textId="759DBC41" w:rsidR="006741FC" w:rsidRPr="00BB3E4F" w:rsidRDefault="006741FC" w:rsidP="006741FC">
      <w:pPr>
        <w:pStyle w:val="Legenda"/>
      </w:pPr>
      <w:r w:rsidRPr="00BB3E4F">
        <w:t xml:space="preserve">Źródło: Opracowanie własne na podstawie ostatecznych wyników aukcji mocy </w:t>
      </w:r>
      <w:r w:rsidR="00A25DC1">
        <w:t>ogłoszonych</w:t>
      </w:r>
      <w:r w:rsidR="00A25DC1" w:rsidRPr="00BB3E4F">
        <w:t xml:space="preserve"> </w:t>
      </w:r>
      <w:r w:rsidRPr="00BB3E4F">
        <w:t xml:space="preserve">zgodnie z art. 39 ust. 3 ustawy </w:t>
      </w:r>
      <w:r w:rsidRPr="00BB3E4F">
        <w:br/>
        <w:t>o rynku mocy</w:t>
      </w:r>
    </w:p>
    <w:p w14:paraId="2ECFF49C" w14:textId="77777777" w:rsidR="006741FC" w:rsidRPr="00BB3E4F" w:rsidRDefault="006741FC" w:rsidP="006741FC">
      <w:r w:rsidRPr="00BB3E4F">
        <w:t>Rynek mocy nie przyczynił się do budowy nowych elektrowni szczytowo-pompowych, ani innych elektrowni wodnych z członem pompowym, a ich moc zainstalowana w systemie utrzymuje się na niezmienionym poziomie ok 1,8 GW.</w:t>
      </w:r>
    </w:p>
    <w:p w14:paraId="7AE7C94E" w14:textId="77777777" w:rsidR="006741FC" w:rsidRPr="00BB3E4F" w:rsidRDefault="006741FC" w:rsidP="006741FC">
      <w:pPr>
        <w:pStyle w:val="Nagwek3"/>
      </w:pPr>
      <w:bookmarkStart w:id="85" w:name="_Toc183753346"/>
      <w:bookmarkStart w:id="86" w:name="_Toc188008612"/>
      <w:r w:rsidRPr="00BB3E4F">
        <w:t>Modernizacja mocy wytwórczych</w:t>
      </w:r>
      <w:bookmarkEnd w:id="85"/>
      <w:bookmarkEnd w:id="86"/>
    </w:p>
    <w:p w14:paraId="29229DDD" w14:textId="49BF3AAD" w:rsidR="006741FC" w:rsidRPr="00BB3E4F" w:rsidRDefault="006741FC" w:rsidP="006741FC">
      <w:bookmarkStart w:id="87" w:name="_Toc180663597"/>
      <w:bookmarkStart w:id="88" w:name="_Toc180755047"/>
      <w:bookmarkStart w:id="89" w:name="_Toc180756287"/>
      <w:bookmarkStart w:id="90" w:name="_Toc180663598"/>
      <w:bookmarkStart w:id="91" w:name="_Toc180755048"/>
      <w:bookmarkStart w:id="92" w:name="_Toc180756288"/>
      <w:bookmarkStart w:id="93" w:name="_Toc180663599"/>
      <w:bookmarkStart w:id="94" w:name="_Toc180755049"/>
      <w:bookmarkStart w:id="95" w:name="_Toc180756289"/>
      <w:bookmarkEnd w:id="87"/>
      <w:bookmarkEnd w:id="88"/>
      <w:bookmarkEnd w:id="89"/>
      <w:bookmarkEnd w:id="90"/>
      <w:bookmarkEnd w:id="91"/>
      <w:bookmarkEnd w:id="92"/>
      <w:bookmarkEnd w:id="93"/>
      <w:bookmarkEnd w:id="94"/>
      <w:bookmarkEnd w:id="95"/>
      <w:r w:rsidRPr="00BB3E4F">
        <w:t>Niejednokrotnie alternatywą dla budowy nowych mocy może okazać się modernizacja istniejących jednostek wytwórczych, skutkująca obniżeniem kosztów pracy związanych ze</w:t>
      </w:r>
      <w:r w:rsidR="007733DE">
        <w:t> </w:t>
      </w:r>
      <w:r w:rsidRPr="00BB3E4F">
        <w:t xml:space="preserve">zużyciem paliwa, czy wpływem na środowisko naturalne. Ponadto, modernizacja może również umożliwić przedłużenie czasu pracy jednostek istniejących. Modernizacje były szczególnie istotne w perspektywie 2021 r., ponieważ zgodnie z art. 21 ust. 3 </w:t>
      </w:r>
      <w:r w:rsidRPr="00DA479D">
        <w:t>dyrektywy Parlamentu Europejskiego I Rady 2010/75/UE z dnia 24 listopada 2010 r. w sprawie emisji przemysłowych i emisji pochodzących z chowu zwierząt go</w:t>
      </w:r>
      <w:r w:rsidRPr="00DA479D">
        <w:lastRenderedPageBreak/>
        <w:t>spodarskich (Dz.</w:t>
      </w:r>
      <w:r w:rsidR="00BD15EE" w:rsidRPr="00DA479D">
        <w:t xml:space="preserve"> </w:t>
      </w:r>
      <w:r w:rsidRPr="00DA479D">
        <w:t>U</w:t>
      </w:r>
      <w:r w:rsidR="00ED1E58" w:rsidRPr="00DA479D">
        <w:t>rz</w:t>
      </w:r>
      <w:r w:rsidRPr="00DA479D">
        <w:t xml:space="preserve">. </w:t>
      </w:r>
      <w:r w:rsidR="00ED1E58" w:rsidRPr="00DA479D">
        <w:t xml:space="preserve">UE </w:t>
      </w:r>
      <w:r w:rsidRPr="00DA479D">
        <w:t>L 334 z</w:t>
      </w:r>
      <w:r w:rsidR="007733DE">
        <w:t> </w:t>
      </w:r>
      <w:r w:rsidRPr="00DA479D">
        <w:t>17.12.2010, s</w:t>
      </w:r>
      <w:r w:rsidR="00BD15EE" w:rsidRPr="00DA479D">
        <w:t>tr</w:t>
      </w:r>
      <w:r w:rsidRPr="00DA479D">
        <w:t>. 17)</w:t>
      </w:r>
      <w:r w:rsidRPr="00BB3E4F">
        <w:t xml:space="preserve"> do sierpnia 2021 r. wytwórcy musieli dostosować swoje jednostki wytwórcze do </w:t>
      </w:r>
      <w:r w:rsidRPr="00DA479D">
        <w:t>decyzji wykonawczej Komisji (UE) 2017/1442 z dnia 31 lipca 2017 r. ustanawiającej konkluzje dotyczące najlepszych dostępnych technik (BAT) w odniesieniu do</w:t>
      </w:r>
      <w:r w:rsidR="007733DE">
        <w:t> </w:t>
      </w:r>
      <w:r w:rsidRPr="00DA479D">
        <w:t>dużych obiektów energetycznego spalania zgodnie z dyrektywą Parlamentu Europejskiego i</w:t>
      </w:r>
      <w:r w:rsidR="007733DE">
        <w:t> </w:t>
      </w:r>
      <w:r w:rsidRPr="00DA479D">
        <w:t>Rady 2010/75/UE</w:t>
      </w:r>
      <w:r w:rsidRPr="00BB3E4F">
        <w:t xml:space="preserve">, </w:t>
      </w:r>
      <w:r w:rsidR="00C516EC">
        <w:t xml:space="preserve">zwaną </w:t>
      </w:r>
      <w:r w:rsidRPr="00BB3E4F">
        <w:t>dalej „konkluzj</w:t>
      </w:r>
      <w:r w:rsidR="00C516EC">
        <w:t>ą</w:t>
      </w:r>
      <w:r w:rsidRPr="00BB3E4F">
        <w:t xml:space="preserve"> BAT</w:t>
      </w:r>
      <w:r w:rsidRPr="00BB3E4F">
        <w:rPr>
          <w:i/>
          <w:iCs/>
        </w:rPr>
        <w:t>”</w:t>
      </w:r>
      <w:r w:rsidRPr="00BB3E4F">
        <w:t xml:space="preserve">. Mając powyższe na względzie „zapewnienie sygnałów cenowych do modernizacji mocy wytwórczych” przyjęto jako jeden z istotnych wskaźników celu dodatkowego „wdrożenie konkurencyjnego mechanizmu koordynacji budowy i wycofań mocy”. Na wykresie poniżej przedstawiono wolumen modernizowanych jednostek, które uzyskały finansowanie z rynku mocy. Modernizacja jednostek rynku mocy najczęściej dotyczyła podtrzymania sprawności przetwarzania energii lub zmniejszenia emisyjności wytwarzania energii elektrycznej i nie obejmowała zwiększenia mocy osiągalnej netto danej jednostki rynku mocy. </w:t>
      </w:r>
    </w:p>
    <w:p w14:paraId="300EE9BF" w14:textId="483AC967" w:rsidR="006741FC" w:rsidRPr="00BB3E4F" w:rsidRDefault="006741FC" w:rsidP="006741FC">
      <w:pPr>
        <w:pStyle w:val="Legenda"/>
        <w:keepNext/>
        <w:jc w:val="left"/>
      </w:pPr>
      <w:bookmarkStart w:id="96" w:name="_Toc188209358"/>
      <w:r w:rsidRPr="00BB3E4F">
        <w:t xml:space="preserve">Rysunek </w:t>
      </w:r>
      <w:fldSimple w:instr=" SEQ Rysunek \* ARABIC ">
        <w:r w:rsidRPr="00BB3E4F">
          <w:rPr>
            <w:noProof/>
          </w:rPr>
          <w:t>7</w:t>
        </w:r>
      </w:fldSimple>
      <w:r w:rsidRPr="00BB3E4F">
        <w:t>. Moce zakontraktowane w aukcjach mocy w poszczególnych latach dla modernizowanych jednostek wytwórczych</w:t>
      </w:r>
      <w:bookmarkEnd w:id="96"/>
    </w:p>
    <w:p w14:paraId="472A22A5" w14:textId="77777777" w:rsidR="006741FC" w:rsidRPr="00BB3E4F" w:rsidRDefault="006741FC" w:rsidP="006741FC">
      <w:r w:rsidRPr="00BB3E4F">
        <w:rPr>
          <w:noProof/>
          <w:lang w:eastAsia="pl-PL"/>
        </w:rPr>
        <w:drawing>
          <wp:inline distT="0" distB="0" distL="0" distR="0" wp14:anchorId="4A0F0F19" wp14:editId="3EC31FB4">
            <wp:extent cx="5732891" cy="3493770"/>
            <wp:effectExtent l="0" t="0" r="1270" b="11430"/>
            <wp:docPr id="885674297" name="Wykres 885674297">
              <a:extLst xmlns:a="http://schemas.openxmlformats.org/drawingml/2006/main">
                <a:ext uri="{FF2B5EF4-FFF2-40B4-BE49-F238E27FC236}">
                  <a16:creationId xmlns:a16="http://schemas.microsoft.com/office/drawing/2014/main" id="{6B603AEB-BAF1-48D7-C3D6-6DCF6629F9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80011D" w14:textId="70DD0DAC" w:rsidR="006741FC" w:rsidRPr="00BB3E4F" w:rsidRDefault="006741FC" w:rsidP="006741FC">
      <w:pPr>
        <w:pStyle w:val="Legenda"/>
      </w:pPr>
      <w:r w:rsidRPr="00BB3E4F">
        <w:t xml:space="preserve">Źródło: Opracowanie własne na podstawie ostatecznych wyników aukcji mocy </w:t>
      </w:r>
      <w:r w:rsidR="00A25DC1">
        <w:t>ogłoszonych</w:t>
      </w:r>
      <w:r w:rsidR="00A25DC1" w:rsidRPr="00BB3E4F">
        <w:t xml:space="preserve"> </w:t>
      </w:r>
      <w:r w:rsidRPr="00BB3E4F">
        <w:t>zgodnie z art. 39 ust. 3 ustawy o</w:t>
      </w:r>
      <w:r w:rsidR="007733DE">
        <w:t> </w:t>
      </w:r>
      <w:r w:rsidRPr="00BB3E4F">
        <w:t>rynku mocy</w:t>
      </w:r>
    </w:p>
    <w:p w14:paraId="67B781F6" w14:textId="391A7F1B" w:rsidR="006741FC" w:rsidRPr="00BB3E4F" w:rsidRDefault="006741FC" w:rsidP="006741FC">
      <w:r w:rsidRPr="00BB3E4F">
        <w:t xml:space="preserve">O istotnej roli w dostosowaniu do konkluzji BAT </w:t>
      </w:r>
      <w:r w:rsidR="00192AC6" w:rsidRPr="00192AC6">
        <w:t>(</w:t>
      </w:r>
      <w:r w:rsidR="00F06054">
        <w:t xml:space="preserve">ang. </w:t>
      </w:r>
      <w:r w:rsidR="00192AC6" w:rsidRPr="00192AC6">
        <w:t xml:space="preserve">Best Available Techniques) </w:t>
      </w:r>
      <w:r w:rsidRPr="00BB3E4F">
        <w:t>świadczy fakt, że niemal 12 GW z ponad 14 GW obowiązku mocowego w modernizowanych jednostkach wytwórczych dotyczyło jednostek węglowych i było zawarte przed terminem przypadającym na dostosowanie się do konkluzji BAT. Ponadto, ok. 1 GW obowiązku mocowego dotyczył konwersji bloków węglowych na współspalanie biomasy, w stopniu umożliwiającym spełnienie limitu 550</w:t>
      </w:r>
      <w:r w:rsidR="007733DE">
        <w:t> </w:t>
      </w:r>
      <w:r w:rsidRPr="00BB3E4F">
        <w:t>gCO</w:t>
      </w:r>
      <w:r w:rsidRPr="00BB3E4F">
        <w:rPr>
          <w:vertAlign w:val="subscript"/>
        </w:rPr>
        <w:t>2</w:t>
      </w:r>
      <w:r w:rsidRPr="00BB3E4F">
        <w:t>/kWh.</w:t>
      </w:r>
    </w:p>
    <w:p w14:paraId="06019EB3" w14:textId="77777777" w:rsidR="006741FC" w:rsidRPr="00BB3E4F" w:rsidRDefault="006741FC" w:rsidP="006741FC">
      <w:r w:rsidRPr="00BB3E4F">
        <w:lastRenderedPageBreak/>
        <w:t>Rynek mocy zapewnił również możliwość modernizacji niemal 0,5 GW elektrowni szczytowo-pompowych zapewniając możliwość zawarcia umów mocowych na okres 7 lat. Na wykresie poniżej przedstawiono obowiązek mocowy modernizowanych elektrowni szczytowo-pompowych w poszczególnych latach.</w:t>
      </w:r>
    </w:p>
    <w:p w14:paraId="0731F4D3" w14:textId="3008DDC0" w:rsidR="006741FC" w:rsidRPr="00BB3E4F" w:rsidRDefault="006741FC" w:rsidP="006741FC">
      <w:pPr>
        <w:pStyle w:val="Legenda"/>
        <w:keepNext/>
        <w:jc w:val="left"/>
      </w:pPr>
      <w:bookmarkStart w:id="97" w:name="_Toc188209359"/>
      <w:r w:rsidRPr="00BB3E4F">
        <w:t xml:space="preserve">Rysunek </w:t>
      </w:r>
      <w:fldSimple w:instr=" SEQ Rysunek \* ARABIC ">
        <w:r w:rsidRPr="00BB3E4F">
          <w:rPr>
            <w:noProof/>
          </w:rPr>
          <w:t>8</w:t>
        </w:r>
      </w:fldSimple>
      <w:r w:rsidRPr="00BB3E4F">
        <w:t>. Moce zakontraktowane w aukcjach mocy w poszczególnych latach przez elektrownie szczytowo-pompowe i inne elektrownie wodne z członem pompowym</w:t>
      </w:r>
      <w:bookmarkEnd w:id="97"/>
    </w:p>
    <w:p w14:paraId="2289F42F" w14:textId="77777777" w:rsidR="006741FC" w:rsidRPr="00BB3E4F" w:rsidRDefault="006741FC" w:rsidP="006741FC">
      <w:pPr>
        <w:jc w:val="center"/>
      </w:pPr>
      <w:r w:rsidRPr="00BB3E4F">
        <w:rPr>
          <w:noProof/>
          <w:lang w:eastAsia="pl-PL"/>
        </w:rPr>
        <w:drawing>
          <wp:inline distT="0" distB="0" distL="0" distR="0" wp14:anchorId="5EA40C43" wp14:editId="5677584E">
            <wp:extent cx="4572000" cy="2743200"/>
            <wp:effectExtent l="0" t="0" r="0" b="0"/>
            <wp:docPr id="505556343" name="Wykres 1">
              <a:extLst xmlns:a="http://schemas.openxmlformats.org/drawingml/2006/main">
                <a:ext uri="{FF2B5EF4-FFF2-40B4-BE49-F238E27FC236}">
                  <a16:creationId xmlns:a16="http://schemas.microsoft.com/office/drawing/2014/main" id="{0393300C-A9C9-1173-349A-42F0B7B54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696506" w14:textId="0880F235" w:rsidR="006741FC" w:rsidRPr="00BB3E4F" w:rsidRDefault="006741FC" w:rsidP="006741FC">
      <w:pPr>
        <w:pStyle w:val="Legenda"/>
      </w:pPr>
      <w:r w:rsidRPr="00BB3E4F">
        <w:t xml:space="preserve">Źródło: Opracowanie własne na podstawie ostatecznych wyników aukcji mocy </w:t>
      </w:r>
      <w:r w:rsidR="00A25DC1">
        <w:t>ogłoszonych</w:t>
      </w:r>
      <w:r w:rsidR="00A25DC1" w:rsidRPr="00BB3E4F">
        <w:t xml:space="preserve"> </w:t>
      </w:r>
      <w:r w:rsidRPr="00BB3E4F">
        <w:t xml:space="preserve">zgodnie z art. 39 ust. 3 ustawy o rynku mocy oraz </w:t>
      </w:r>
      <w:r w:rsidR="00A25DC1" w:rsidRPr="00A25DC1">
        <w:t>danych zawartych w rejestrze rynku mocy</w:t>
      </w:r>
    </w:p>
    <w:p w14:paraId="635568A0" w14:textId="77777777" w:rsidR="006741FC" w:rsidRPr="00BB3E4F" w:rsidRDefault="006741FC" w:rsidP="006741FC">
      <w:pPr>
        <w:pStyle w:val="Nagwek3"/>
      </w:pPr>
      <w:bookmarkStart w:id="98" w:name="_Toc183753347"/>
      <w:bookmarkStart w:id="99" w:name="_Toc188008613"/>
      <w:r w:rsidRPr="00BB3E4F">
        <w:t>Utrzymanie jednostek wytwórczych</w:t>
      </w:r>
      <w:bookmarkEnd w:id="98"/>
      <w:bookmarkEnd w:id="99"/>
    </w:p>
    <w:p w14:paraId="5E9BACF9" w14:textId="0F21913F" w:rsidR="006741FC" w:rsidRPr="00BB3E4F" w:rsidRDefault="006741FC" w:rsidP="006741FC">
      <w:r w:rsidRPr="00BB3E4F">
        <w:t>Rynek mocy należy do mechanizmów mocowych o charakterze ogólnorynkowym. Oznacza to, że</w:t>
      </w:r>
      <w:r w:rsidR="007E16BF">
        <w:t> </w:t>
      </w:r>
      <w:r w:rsidRPr="00BB3E4F">
        <w:t xml:space="preserve">mogą w nim uczestniczyć nie tylko moce, których brakuje w systemie (np. nowe czy modernizowane), ale również jednostki istniejące. Takie podejście ma na celu przeciwdziałanie kaskadowemu przenoszeniu się problemów z rentownością z jednostek, które uzyskały wsparcie na najmniej rentowne jednostki, które wsparcia nie uzyskały. W ten sposób koszt mechanizmu mocowego powinien być w dłuższej perspektywie niższy niż kierowanych mechanizmów wsparcia, które miałyby adresować problemy finansowe poszczególnych grup dostawców mocy. Na wykresie poniżej przedstawiono całkowitą moc, która zawarła umowy mocowe w wyniku aukcji mocy. </w:t>
      </w:r>
    </w:p>
    <w:p w14:paraId="1547A70C" w14:textId="15CDEA51" w:rsidR="006741FC" w:rsidRPr="00BB3E4F" w:rsidRDefault="006741FC" w:rsidP="006741FC">
      <w:pPr>
        <w:pStyle w:val="Legenda"/>
        <w:keepNext/>
        <w:jc w:val="left"/>
      </w:pPr>
      <w:bookmarkStart w:id="100" w:name="_Toc188209360"/>
      <w:r w:rsidRPr="00BB3E4F">
        <w:lastRenderedPageBreak/>
        <w:t xml:space="preserve">Rysunek </w:t>
      </w:r>
      <w:fldSimple w:instr=" SEQ Rysunek \* ARABIC ">
        <w:r w:rsidRPr="00BB3E4F">
          <w:rPr>
            <w:noProof/>
          </w:rPr>
          <w:t>9</w:t>
        </w:r>
      </w:fldSimple>
      <w:r w:rsidRPr="00BB3E4F">
        <w:t>. Moc zakontraktowana na aukcjach mocy w GW</w:t>
      </w:r>
      <w:bookmarkEnd w:id="100"/>
    </w:p>
    <w:p w14:paraId="78E041FC" w14:textId="77777777" w:rsidR="006741FC" w:rsidRPr="00BB3E4F" w:rsidRDefault="006741FC" w:rsidP="006741FC">
      <w:pPr>
        <w:jc w:val="center"/>
      </w:pPr>
      <w:r w:rsidRPr="00BB3E4F">
        <w:rPr>
          <w:noProof/>
          <w:lang w:eastAsia="pl-PL"/>
        </w:rPr>
        <w:drawing>
          <wp:inline distT="0" distB="0" distL="0" distR="0" wp14:anchorId="3B838CBE" wp14:editId="40BB17C9">
            <wp:extent cx="5796280" cy="3175000"/>
            <wp:effectExtent l="0" t="0" r="13970" b="6350"/>
            <wp:docPr id="205736565" name="Wykres 1">
              <a:extLst xmlns:a="http://schemas.openxmlformats.org/drawingml/2006/main">
                <a:ext uri="{FF2B5EF4-FFF2-40B4-BE49-F238E27FC236}">
                  <a16:creationId xmlns:a16="http://schemas.microsoft.com/office/drawing/2014/main" id="{A89F8223-5229-C109-4F85-ED90317C8F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505D74" w14:textId="5EFA557C" w:rsidR="006741FC" w:rsidRPr="00BB3E4F" w:rsidRDefault="006741FC" w:rsidP="006741FC">
      <w:pPr>
        <w:pStyle w:val="Legenda"/>
      </w:pPr>
      <w:r w:rsidRPr="00BB3E4F">
        <w:t xml:space="preserve">Źródło: Opracowanie własne na podstawie ostatecznych wyników aukcji mocy </w:t>
      </w:r>
      <w:r w:rsidR="007233CA">
        <w:t>ogłoszonych</w:t>
      </w:r>
      <w:r w:rsidR="007233CA" w:rsidRPr="00BB3E4F">
        <w:t xml:space="preserve"> </w:t>
      </w:r>
      <w:r w:rsidRPr="00BB3E4F">
        <w:t>zgodnie z art. 39 ust. 3 ustawy o</w:t>
      </w:r>
      <w:r w:rsidR="007E16BF">
        <w:t> </w:t>
      </w:r>
      <w:r w:rsidRPr="00BB3E4F">
        <w:t>rynku mocy</w:t>
      </w:r>
    </w:p>
    <w:p w14:paraId="7C1DFD2F" w14:textId="2C20ED41" w:rsidR="006741FC" w:rsidRPr="00BB3E4F" w:rsidRDefault="006741FC" w:rsidP="006741FC">
      <w:r w:rsidRPr="00BB3E4F">
        <w:t>Warto jednocześnie zauważyć, że rynek mocy stał się efektywnym narzędziem wspierania transformacji sektora elektroenergetycznego w związku z dostosowaniem przepisów ustawy o rynku mocy do limitów emisji wynikających z rozporządzenia rynkowego. W kontraktach na okresy dostaw 2021-2025 udział obowiązku mocowego zakontraktowanego w aukcjach głównych przez jednostki węglowe przekraczał 75</w:t>
      </w:r>
      <w:r w:rsidR="00826A6D">
        <w:t xml:space="preserve"> </w:t>
      </w:r>
      <w:r w:rsidRPr="00BB3E4F">
        <w:t>% całkowitej mocy zakontraktowanej w aukcjach głównych. W kontraktach na okresy dostaw 2026 i 2027 udział jednostek węglowych w kontraktach zawartych w wyniku aukcji głównych spadł do poniżej 50</w:t>
      </w:r>
      <w:r w:rsidR="00826A6D">
        <w:t xml:space="preserve"> </w:t>
      </w:r>
      <w:r w:rsidRPr="00BB3E4F">
        <w:t>%, a w okresie dostaw 2028 poniżej 40</w:t>
      </w:r>
      <w:r w:rsidR="00826A6D">
        <w:t xml:space="preserve"> </w:t>
      </w:r>
      <w:r w:rsidRPr="00BB3E4F">
        <w:t>%. Kontrakty zawarte w aukcjach głównych na poszczególne okresy dostaw, w</w:t>
      </w:r>
      <w:r>
        <w:t> </w:t>
      </w:r>
      <w:r w:rsidRPr="00BB3E4F">
        <w:t>podziale na paliwa są widoczne na wykresie poniżej.</w:t>
      </w:r>
    </w:p>
    <w:p w14:paraId="2586F04F" w14:textId="77777777" w:rsidR="006741FC" w:rsidRPr="00BB3E4F" w:rsidRDefault="006741FC" w:rsidP="006741FC"/>
    <w:p w14:paraId="44BDC078" w14:textId="44AE4DF0" w:rsidR="006741FC" w:rsidRPr="00BB3E4F" w:rsidRDefault="006741FC" w:rsidP="006741FC">
      <w:pPr>
        <w:pStyle w:val="Legenda"/>
        <w:keepNext/>
      </w:pPr>
      <w:bookmarkStart w:id="101" w:name="_Toc188209361"/>
      <w:r w:rsidRPr="00BB3E4F">
        <w:lastRenderedPageBreak/>
        <w:t xml:space="preserve">Rysunek </w:t>
      </w:r>
      <w:fldSimple w:instr=" SEQ Rysunek \* ARABIC ">
        <w:r w:rsidRPr="00BB3E4F">
          <w:rPr>
            <w:noProof/>
          </w:rPr>
          <w:t>10</w:t>
        </w:r>
      </w:fldSimple>
      <w:r w:rsidRPr="00BB3E4F">
        <w:t>. Moc zakontraktowana na aukcjach głównych w podziale na paliwa</w:t>
      </w:r>
      <w:bookmarkEnd w:id="101"/>
    </w:p>
    <w:p w14:paraId="3E8D9728" w14:textId="77777777" w:rsidR="006741FC" w:rsidRPr="00BB3E4F" w:rsidRDefault="006741FC" w:rsidP="006741FC">
      <w:r w:rsidRPr="00BB3E4F">
        <w:rPr>
          <w:noProof/>
          <w:lang w:eastAsia="pl-PL"/>
        </w:rPr>
        <w:drawing>
          <wp:inline distT="0" distB="0" distL="0" distR="0" wp14:anchorId="648C4DCA" wp14:editId="75911B11">
            <wp:extent cx="5523230" cy="2836334"/>
            <wp:effectExtent l="0" t="0" r="1270" b="2540"/>
            <wp:docPr id="2027420563" name="Wykres 1">
              <a:extLst xmlns:a="http://schemas.openxmlformats.org/drawingml/2006/main">
                <a:ext uri="{FF2B5EF4-FFF2-40B4-BE49-F238E27FC236}">
                  <a16:creationId xmlns:a16="http://schemas.microsoft.com/office/drawing/2014/main" id="{74DBBDE0-BDE3-43DF-96D7-1B5E3AEAA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ECB205" w14:textId="49E21BF2" w:rsidR="006741FC" w:rsidRPr="00BB3E4F" w:rsidRDefault="006741FC" w:rsidP="006741FC">
      <w:pPr>
        <w:pStyle w:val="Legenda"/>
      </w:pPr>
      <w:r w:rsidRPr="00BB3E4F">
        <w:t xml:space="preserve">Źródło: Opracowanie własne na podstawie ostatecznych wyników aukcji mocy </w:t>
      </w:r>
      <w:r w:rsidR="007233CA">
        <w:t>ogłoszonych</w:t>
      </w:r>
      <w:r w:rsidR="007233CA" w:rsidRPr="00BB3E4F">
        <w:t xml:space="preserve"> </w:t>
      </w:r>
      <w:r w:rsidRPr="00BB3E4F">
        <w:t>zgodnie z art. 39 ust. 3 ustawy o</w:t>
      </w:r>
      <w:r w:rsidR="007E16BF">
        <w:t> </w:t>
      </w:r>
      <w:r w:rsidRPr="00BB3E4F">
        <w:t xml:space="preserve">rynku mocy </w:t>
      </w:r>
      <w:bookmarkStart w:id="102" w:name="_Hlk187389669"/>
      <w:r w:rsidRPr="00BB3E4F">
        <w:t>oraz danych zawartych w rejestrze rynku mocy</w:t>
      </w:r>
      <w:bookmarkEnd w:id="102"/>
    </w:p>
    <w:p w14:paraId="0B765784" w14:textId="0180EE6C" w:rsidR="006741FC" w:rsidRPr="00BB3E4F" w:rsidRDefault="006741FC" w:rsidP="006741FC">
      <w:r w:rsidRPr="00BB3E4F">
        <w:t xml:space="preserve">Zmiany w udziale jednostek węglowych w obowiązku mocowym znalazły również odzwierciedlenie w udziale mocy węglowych w całkowitej mocy zainstalowanej. Jak wspomniano w podrozdziale </w:t>
      </w:r>
      <w:r w:rsidRPr="00BB3E4F">
        <w:fldChar w:fldCharType="begin"/>
      </w:r>
      <w:r w:rsidRPr="00BB3E4F">
        <w:instrText xml:space="preserve"> REF _Ref181107241 \n \h  \* MERGEFORMAT </w:instrText>
      </w:r>
      <w:r w:rsidRPr="00BB3E4F">
        <w:fldChar w:fldCharType="separate"/>
      </w:r>
      <w:r w:rsidRPr="00BB3E4F">
        <w:t>2.2</w:t>
      </w:r>
      <w:r w:rsidRPr="00BB3E4F">
        <w:fldChar w:fldCharType="end"/>
      </w:r>
      <w:r w:rsidRPr="00BB3E4F">
        <w:t>, na koniec 2023 r. w KSE niemal połowę mocy zainstalowanych stanowi</w:t>
      </w:r>
      <w:r w:rsidR="00143F79">
        <w:t>ły</w:t>
      </w:r>
      <w:r w:rsidRPr="00BB3E4F">
        <w:t xml:space="preserve"> elektrownie węglowe. Stanowiło to spadek o ponad 14 punktów procentowych udziału w mocy zainstalowanej względem 2020 r. i ponad 20 punktów procentowych względem 2018 r. </w:t>
      </w:r>
    </w:p>
    <w:p w14:paraId="5608136E" w14:textId="69E1289A" w:rsidR="006741FC" w:rsidRPr="00BB3E4F" w:rsidRDefault="006741FC" w:rsidP="006741FC">
      <w:r w:rsidRPr="00BB3E4F">
        <w:t>Prognoza pokrycia zapotrzebowania szczytowego na moc w latach 2016</w:t>
      </w:r>
      <w:r w:rsidR="00B979A2">
        <w:t>–</w:t>
      </w:r>
      <w:r w:rsidRPr="00BB3E4F">
        <w:t>2035</w:t>
      </w:r>
      <w:r w:rsidRPr="00BB3E4F">
        <w:rPr>
          <w:rStyle w:val="Odwoanieprzypisudolnego"/>
        </w:rPr>
        <w:footnoteReference w:id="18"/>
      </w:r>
      <w:r w:rsidR="00BD2475" w:rsidRPr="00163405">
        <w:rPr>
          <w:vertAlign w:val="superscript"/>
        </w:rPr>
        <w:t>)</w:t>
      </w:r>
      <w:r w:rsidRPr="00BB3E4F">
        <w:t xml:space="preserve"> wskazywała, że do 2020 r. 6,6 GW mocy w jednostkach centralnie dysponowanych zostanie wycofanych, w przypadku braku dostosowania jednostek istniejących do wymogów BAT, do 2025 r. byłoby to</w:t>
      </w:r>
      <w:r w:rsidR="007E16BF">
        <w:t> </w:t>
      </w:r>
      <w:r w:rsidRPr="00BB3E4F">
        <w:t>już niemal 10 GW. Rynek mocy zapobiegł ekonomicznym wycofaniom jednostek w</w:t>
      </w:r>
      <w:r w:rsidR="007E16BF">
        <w:t> </w:t>
      </w:r>
      <w:r w:rsidRPr="00BB3E4F">
        <w:t xml:space="preserve">wielkościach przewidywanych we wspomnianym opracowaniu. Jednocześnie nowe inwestycje pozwalały na odstawienie jednostek centralnie dysponowanych, które nie były już niezbędne do zapewnienia bezpieczeństwa dostaw. </w:t>
      </w:r>
    </w:p>
    <w:p w14:paraId="0EDE50CF" w14:textId="77777777" w:rsidR="006741FC" w:rsidRPr="00BB3E4F" w:rsidRDefault="006741FC" w:rsidP="006741FC">
      <w:pPr>
        <w:pStyle w:val="Nagwek3"/>
      </w:pPr>
      <w:bookmarkStart w:id="103" w:name="_Ref180756682"/>
      <w:bookmarkStart w:id="104" w:name="_Ref181110629"/>
      <w:bookmarkStart w:id="105" w:name="_Toc183753348"/>
      <w:bookmarkStart w:id="106" w:name="_Toc188008614"/>
      <w:r w:rsidRPr="00BB3E4F">
        <w:t>Wpływ na bezpieczeństwo dostaw</w:t>
      </w:r>
      <w:bookmarkEnd w:id="103"/>
      <w:bookmarkEnd w:id="104"/>
      <w:bookmarkEnd w:id="105"/>
      <w:bookmarkEnd w:id="106"/>
    </w:p>
    <w:p w14:paraId="01CED39E" w14:textId="77CB80EE" w:rsidR="006741FC" w:rsidRPr="00BB3E4F" w:rsidRDefault="006741FC" w:rsidP="006741FC">
      <w:r w:rsidRPr="00BB3E4F">
        <w:t xml:space="preserve">W toku notyfikacji polskiego rynku mocy </w:t>
      </w:r>
      <w:r w:rsidR="00180F7F">
        <w:t xml:space="preserve">do </w:t>
      </w:r>
      <w:r w:rsidRPr="00BB3E4F">
        <w:t xml:space="preserve">KE, OSP wykonywał analizy wystarczalności zasobów wytwórczych dla lat 2020, 2025 i 2030, które następnie były weryfikowane przez zewnętrznego konsultanta i które finalnie zostały wykorzystane w decyzji </w:t>
      </w:r>
      <w:r w:rsidRPr="00BB3E4F">
        <w:lastRenderedPageBreak/>
        <w:t xml:space="preserve">KE. Przedmiotowe analizy były wykonane z wykorzystaniem metod probabilistycznych, a ich wynikiem była oczekiwana liczba godzin w roku, w których zdolność wytwórcza nie zapewnia pokrycia zapotrzebowania na moc w systemie elektroenergetycznym (ang. </w:t>
      </w:r>
      <w:r w:rsidRPr="00BB3E4F">
        <w:rPr>
          <w:i/>
          <w:iCs/>
        </w:rPr>
        <w:t>LOLE</w:t>
      </w:r>
      <w:r w:rsidRPr="00BB3E4F">
        <w:t>). Zgodnie z wynikami tych analiz, przedstawionymi w pkt 12 decyzji KE, w scenariuszu bazowym wartość wskaźnika LOLE dla lat 2020 i 2025 wynosiła odpowiednio 176,4 i 101,7 h/rok. Wyniki te wskazywały na</w:t>
      </w:r>
      <w:r w:rsidR="007E16BF">
        <w:t> </w:t>
      </w:r>
      <w:r w:rsidRPr="00BB3E4F">
        <w:t>niespełnienie standardu bezpieczeństwa określonego na 3 h/rok we wszystkich analizowanych latach. Uzyskane wyniki pozwoliły także zewnętrznemu konsultantowi na</w:t>
      </w:r>
      <w:r w:rsidR="007E16BF">
        <w:t> </w:t>
      </w:r>
      <w:r w:rsidRPr="00BB3E4F">
        <w:t>oszacowanie brakujących mocy dyspozycyjnych w polskim systemie elektroenergetycznym na 2 750 MW w</w:t>
      </w:r>
      <w:r>
        <w:t> </w:t>
      </w:r>
      <w:r w:rsidRPr="00BB3E4F">
        <w:t xml:space="preserve">2020 r. oraz 8 068 MW w 2025 r. (pkt 12 decyzji KE). Dla 2030 r. </w:t>
      </w:r>
      <w:r w:rsidR="00143F79">
        <w:t xml:space="preserve">spółka </w:t>
      </w:r>
      <w:r w:rsidRPr="00BB3E4F">
        <w:t>PSE S.A. przeprowadził</w:t>
      </w:r>
      <w:r w:rsidR="00143F79">
        <w:t>a</w:t>
      </w:r>
      <w:r w:rsidRPr="00BB3E4F">
        <w:t xml:space="preserve"> dodatkową analizę wystarczalności zasobów wytwórczych (pkt 13 decyzji KE) otrzymując w</w:t>
      </w:r>
      <w:r>
        <w:t> </w:t>
      </w:r>
      <w:r w:rsidRPr="00BB3E4F">
        <w:t>najmniej konserwatywnym scenariuszu wartość wskaźnika LOLE na poziomie 12,56 h/rok, który przekraczał założony standard bezpieczeństwa (3 h/rok).</w:t>
      </w:r>
    </w:p>
    <w:p w14:paraId="769913A3" w14:textId="23AAC0CB" w:rsidR="006741FC" w:rsidRPr="00BB3E4F" w:rsidRDefault="006741FC" w:rsidP="006741FC">
      <w:r w:rsidRPr="00BB3E4F">
        <w:t>Od wprowadzenia rynku mocy do czasu przygotowania tego raportu nie były ogłaszane ograniczenia w dostarczaniu i poborze energii elektrycznej zgodnie z art. 11 ust. 7 ustawy</w:t>
      </w:r>
      <w:r w:rsidR="00102467">
        <w:t xml:space="preserve"> z</w:t>
      </w:r>
      <w:r w:rsidRPr="00BB3E4F">
        <w:t xml:space="preserve"> dnia 10 kwietnia 1997 r. </w:t>
      </w:r>
      <w:r w:rsidR="00BD15EE">
        <w:t>–</w:t>
      </w:r>
      <w:r w:rsidR="00BD15EE" w:rsidRPr="00BB3E4F">
        <w:t xml:space="preserve"> </w:t>
      </w:r>
      <w:r w:rsidRPr="00BB3E4F">
        <w:t>Prawo energetyczne (Dz.</w:t>
      </w:r>
      <w:r w:rsidR="00A25DC1">
        <w:t xml:space="preserve"> </w:t>
      </w:r>
      <w:r w:rsidRPr="00BB3E4F">
        <w:t>U. 2024 poz. 266, 834</w:t>
      </w:r>
      <w:r w:rsidR="00BD15EE">
        <w:t>,</w:t>
      </w:r>
      <w:r w:rsidRPr="00BB3E4F">
        <w:t xml:space="preserve"> 859</w:t>
      </w:r>
      <w:r w:rsidR="00BD15EE">
        <w:t>, 1847 i 1881</w:t>
      </w:r>
      <w:r w:rsidRPr="00BB3E4F">
        <w:t xml:space="preserve">). </w:t>
      </w:r>
    </w:p>
    <w:p w14:paraId="699339BE" w14:textId="77777777" w:rsidR="006741FC" w:rsidRPr="00BB3E4F" w:rsidRDefault="006741FC" w:rsidP="006741FC">
      <w:r w:rsidRPr="00BB3E4F">
        <w:t xml:space="preserve">W dotychczasowym okresie funkcjonowania rynku mocy ogłoszono pięć okresów przywołania na rynku mocy – dwa miały miejsce 23 września 2022 r., a trzy miały miejsce 6 listopada 2024 r. </w:t>
      </w:r>
    </w:p>
    <w:p w14:paraId="501B2396" w14:textId="7DD0F61C" w:rsidR="006741FC" w:rsidRPr="00BB3E4F" w:rsidRDefault="006741FC" w:rsidP="006741FC">
      <w:r w:rsidRPr="00BB3E4F">
        <w:t>W oparciu o wyniki planowania dobowego pracy Krajowego Systemu Elektroenergetycznego dla 23 września 2022 r., stwierdzono, że dostępna rezerwa mocy jest na poziomie między 3,8</w:t>
      </w:r>
      <w:r w:rsidR="00826A6D">
        <w:t xml:space="preserve"> </w:t>
      </w:r>
      <w:r w:rsidRPr="00BB3E4F">
        <w:t>%–5,6</w:t>
      </w:r>
      <w:r w:rsidR="00826A6D">
        <w:t xml:space="preserve"> </w:t>
      </w:r>
      <w:r w:rsidRPr="00BB3E4F">
        <w:t>% zapotrzebowania na moc w godzinach 19:15</w:t>
      </w:r>
      <w:r w:rsidR="00B979A2">
        <w:t>–</w:t>
      </w:r>
      <w:r w:rsidRPr="00BB3E4F">
        <w:t>20:30 w stosunku do wymaganych 9</w:t>
      </w:r>
      <w:r w:rsidR="00826A6D">
        <w:t xml:space="preserve"> </w:t>
      </w:r>
      <w:r w:rsidRPr="00BB3E4F">
        <w:t xml:space="preserve">% zapotrzebowania na moc. Z uwagi na spełnienie warunków określonych w </w:t>
      </w:r>
      <w:r w:rsidR="00143F79">
        <w:t>r</w:t>
      </w:r>
      <w:r w:rsidRPr="00BB3E4F">
        <w:t>ozporządzeni</w:t>
      </w:r>
      <w:r w:rsidR="00143F79">
        <w:t>u</w:t>
      </w:r>
      <w:r w:rsidRPr="00BB3E4F">
        <w:t xml:space="preserve"> Ministra Klimatu i Środowiska z dnia 13 września 2024 r. w sprawie wykonania obowiązku mocowego, jego rozliczania i demonstrowania oraz zawierania transakcji na rynku wtórnym (Dz.</w:t>
      </w:r>
      <w:r w:rsidR="007E16BF">
        <w:t> </w:t>
      </w:r>
      <w:r w:rsidRPr="00BB3E4F">
        <w:t>U. poz. 1389), ogłoszono okresy przywołania na rynku mocy w godzinach 19:00</w:t>
      </w:r>
      <w:r w:rsidR="00B979A2">
        <w:t>–</w:t>
      </w:r>
      <w:r w:rsidRPr="00BB3E4F">
        <w:t>20:00 oraz 20:00</w:t>
      </w:r>
      <w:r w:rsidR="00B979A2">
        <w:t>–</w:t>
      </w:r>
      <w:r w:rsidRPr="00BB3E4F">
        <w:t xml:space="preserve">21:00. Wykonanie obowiązku mocowego w tych okresach przywołania na rynku mocy przedstawiono na rysunku poniżej. </w:t>
      </w:r>
    </w:p>
    <w:p w14:paraId="3C310B1B" w14:textId="77777777" w:rsidR="006741FC" w:rsidRPr="00BB3E4F" w:rsidRDefault="006741FC" w:rsidP="006741FC">
      <w:pPr>
        <w:pStyle w:val="Legenda"/>
        <w:keepNext/>
        <w:jc w:val="left"/>
      </w:pPr>
      <w:bookmarkStart w:id="107" w:name="_Toc188209362"/>
      <w:r w:rsidRPr="00BB3E4F">
        <w:lastRenderedPageBreak/>
        <w:t xml:space="preserve">Rysunek </w:t>
      </w:r>
      <w:fldSimple w:instr=" SEQ Rysunek \* ARABIC ">
        <w:r w:rsidRPr="00BB3E4F">
          <w:rPr>
            <w:noProof/>
          </w:rPr>
          <w:t>11</w:t>
        </w:r>
      </w:fldSimple>
      <w:r w:rsidRPr="00BB3E4F">
        <w:t>.Wykonanie skorygowanych obowiązków mocowych w okresach przywołania na rynku mocy w dniu 23 września 2022 r.</w:t>
      </w:r>
      <w:bookmarkEnd w:id="107"/>
    </w:p>
    <w:p w14:paraId="4083EDF0" w14:textId="77777777" w:rsidR="006741FC" w:rsidRPr="00BB3E4F" w:rsidRDefault="006741FC" w:rsidP="006741FC">
      <w:pPr>
        <w:jc w:val="center"/>
      </w:pPr>
      <w:r w:rsidRPr="00BB3E4F">
        <w:rPr>
          <w:noProof/>
          <w:lang w:eastAsia="pl-PL"/>
        </w:rPr>
        <w:drawing>
          <wp:inline distT="0" distB="0" distL="0" distR="0" wp14:anchorId="5AC84F77" wp14:editId="519D5E79">
            <wp:extent cx="5759450" cy="2768600"/>
            <wp:effectExtent l="0" t="0" r="12700" b="12700"/>
            <wp:docPr id="5" name="Wykres 5">
              <a:extLst xmlns:a="http://schemas.openxmlformats.org/drawingml/2006/main">
                <a:ext uri="{FF2B5EF4-FFF2-40B4-BE49-F238E27FC236}">
                  <a16:creationId xmlns:a16="http://schemas.microsoft.com/office/drawing/2014/main" id="{54FC09ED-85A3-484F-81D0-F39E7540BA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4BF5F1" w14:textId="77777777" w:rsidR="006741FC" w:rsidRPr="00BB3E4F" w:rsidRDefault="006741FC" w:rsidP="006741FC">
      <w:pPr>
        <w:pStyle w:val="Legenda"/>
      </w:pPr>
      <w:r w:rsidRPr="00BB3E4F">
        <w:t>Źródło: Opracowanie własne na podstawie danych przekazanych przez OSP</w:t>
      </w:r>
    </w:p>
    <w:p w14:paraId="1D26EBA8" w14:textId="15E2EB25" w:rsidR="006741FC" w:rsidRPr="00BB3E4F" w:rsidRDefault="006741FC" w:rsidP="007E16BF">
      <w:pPr>
        <w:pStyle w:val="Legenda"/>
        <w:keepNext/>
      </w:pPr>
      <w:bookmarkStart w:id="108" w:name="_Toc188209363"/>
      <w:r w:rsidRPr="00BB3E4F">
        <w:t xml:space="preserve">Rysunek </w:t>
      </w:r>
      <w:fldSimple w:instr=" SEQ Rysunek \* ARABIC ">
        <w:r w:rsidRPr="00BB3E4F">
          <w:rPr>
            <w:noProof/>
          </w:rPr>
          <w:t>12</w:t>
        </w:r>
      </w:fldSimple>
      <w:r w:rsidRPr="00BB3E4F">
        <w:t>. Wielkości nadwyżki wykonania i niewykonania w dwóch okresach przywołania na rynku mocy w dniu 23</w:t>
      </w:r>
      <w:r w:rsidR="007E16BF">
        <w:t> </w:t>
      </w:r>
      <w:r w:rsidRPr="00BB3E4F">
        <w:t>września 2022 r.</w:t>
      </w:r>
      <w:bookmarkEnd w:id="108"/>
    </w:p>
    <w:p w14:paraId="792B3BFB" w14:textId="77777777" w:rsidR="006741FC" w:rsidRPr="00BB3E4F" w:rsidRDefault="006741FC" w:rsidP="006741FC">
      <w:pPr>
        <w:jc w:val="center"/>
      </w:pPr>
      <w:r w:rsidRPr="00BB3E4F">
        <w:rPr>
          <w:noProof/>
          <w:lang w:eastAsia="pl-PL"/>
        </w:rPr>
        <w:drawing>
          <wp:inline distT="0" distB="0" distL="0" distR="0" wp14:anchorId="1D3E246C" wp14:editId="7407FC41">
            <wp:extent cx="5760000" cy="2388235"/>
            <wp:effectExtent l="0" t="0" r="12700" b="12065"/>
            <wp:docPr id="7" name="Wykres 7">
              <a:extLst xmlns:a="http://schemas.openxmlformats.org/drawingml/2006/main">
                <a:ext uri="{FF2B5EF4-FFF2-40B4-BE49-F238E27FC236}">
                  <a16:creationId xmlns:a16="http://schemas.microsoft.com/office/drawing/2014/main" id="{3782BE8D-CA27-1F3D-6520-5074AB094E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A915FB" w14:textId="77777777" w:rsidR="006741FC" w:rsidRPr="00BB3E4F" w:rsidRDefault="006741FC" w:rsidP="006741FC">
      <w:pPr>
        <w:rPr>
          <w:rFonts w:eastAsiaTheme="minorEastAsia"/>
          <w:i/>
          <w:iCs/>
          <w:color w:val="0E2841" w:themeColor="text2"/>
          <w:kern w:val="0"/>
          <w:sz w:val="18"/>
          <w:szCs w:val="18"/>
          <w14:ligatures w14:val="none"/>
        </w:rPr>
      </w:pPr>
      <w:r w:rsidRPr="00BB3E4F">
        <w:rPr>
          <w:rFonts w:eastAsiaTheme="minorEastAsia"/>
          <w:i/>
          <w:iCs/>
          <w:color w:val="0E2841" w:themeColor="text2"/>
          <w:kern w:val="0"/>
          <w:sz w:val="18"/>
          <w:szCs w:val="18"/>
          <w14:ligatures w14:val="none"/>
        </w:rPr>
        <w:t>Źródło: Opracowanie własne</w:t>
      </w:r>
    </w:p>
    <w:p w14:paraId="13BCF329" w14:textId="77777777" w:rsidR="006741FC" w:rsidRPr="00BB3E4F" w:rsidRDefault="006741FC" w:rsidP="006741FC">
      <w:r w:rsidRPr="00BB3E4F">
        <w:t>Jak widać na wykresach powyżej, wykonanie obowiązku mocowego przekracza skorygowany obowiązek mocowy (moc jednostek rynku mocy przywoływaną przez OSP), co świadczy o</w:t>
      </w:r>
      <w:r>
        <w:t> </w:t>
      </w:r>
      <w:r w:rsidRPr="00BB3E4F">
        <w:t>skuteczności mechanizmów mających na celu zapewnienie pewności dostaw mocy w okresach przewidywanych niedoborów mocy w systemie elektroenergetycznym.</w:t>
      </w:r>
    </w:p>
    <w:p w14:paraId="52C92F7B" w14:textId="66FF4B73" w:rsidR="006741FC" w:rsidRPr="00BB3E4F" w:rsidRDefault="006741FC" w:rsidP="006741FC">
      <w:r w:rsidRPr="00BB3E4F">
        <w:t>6 listopada 2024 r. operator ogłosił okresy przywołania na rynku mocy w godzinach 16:00</w:t>
      </w:r>
      <w:r w:rsidR="00B979A2">
        <w:t>–</w:t>
      </w:r>
      <w:r w:rsidRPr="00BB3E4F">
        <w:t>17:00, 17:00</w:t>
      </w:r>
      <w:r w:rsidR="00B979A2">
        <w:t>–</w:t>
      </w:r>
      <w:r w:rsidRPr="00BB3E4F">
        <w:t xml:space="preserve"> 18:00, 18:00</w:t>
      </w:r>
      <w:r w:rsidR="00B979A2">
        <w:t>–</w:t>
      </w:r>
      <w:r w:rsidRPr="00BB3E4F">
        <w:t>19:00.</w:t>
      </w:r>
    </w:p>
    <w:p w14:paraId="0B2F5562" w14:textId="41E6DD83" w:rsidR="006741FC" w:rsidRPr="00BB3E4F" w:rsidRDefault="006741FC" w:rsidP="006741FC">
      <w:r w:rsidRPr="00BB3E4F">
        <w:t xml:space="preserve">Ogłoszenie okresów przywołania w tym dniu związane było z wystąpieniem ogólnoeuropejskiej sytuacji bardzo niskiej dostępności energii elektrycznej z OZE (tzw. dunkelflaute), która dla KSE poskutkowała dostępnością energii elektrycznej ze źródeł </w:t>
      </w:r>
      <w:r w:rsidRPr="00BB3E4F">
        <w:lastRenderedPageBreak/>
        <w:t>wiatrowych w wielkości poniżej 1</w:t>
      </w:r>
      <w:r w:rsidR="00826A6D">
        <w:t xml:space="preserve"> </w:t>
      </w:r>
      <w:r w:rsidRPr="00BB3E4F">
        <w:t>% mocy zainstalowanej oraz brakiem dostępności energii elektrycznej ze źródeł fotowoltaicznych (ze względu na porę wieczorną). Jednocześnie, ze względu na podobną sytuację w krajach ościennych – brak było możliwości wsparcia bilansu KSE importem energii.</w:t>
      </w:r>
    </w:p>
    <w:p w14:paraId="31EB3FF5" w14:textId="77777777" w:rsidR="006741FC" w:rsidRPr="00BB3E4F" w:rsidRDefault="006741FC" w:rsidP="006741FC">
      <w:r w:rsidRPr="00BB3E4F">
        <w:t>Dzięki ogłoszeniu okresów przywołania na rynku mocy udało się odtworzyć wymaganą nadwyżkę mocy dostępnej dla OSP i zachować bezpieczną pracę systemu elektroenergetycznego.</w:t>
      </w:r>
    </w:p>
    <w:p w14:paraId="29016C0D" w14:textId="345D1323" w:rsidR="006741FC" w:rsidRPr="00BB3E4F" w:rsidRDefault="006741FC" w:rsidP="006741FC">
      <w:r w:rsidRPr="00BB3E4F">
        <w:t>Szczegółowe rozliczenie wyników okresów przywołania ogłoszonych na dzień 6 listopada 2024</w:t>
      </w:r>
      <w:r>
        <w:t> </w:t>
      </w:r>
      <w:r w:rsidRPr="00BB3E4F">
        <w:t>r. nie jest dostępne w chwili opracowywania niniejszej oceny i zostanie opracowane na</w:t>
      </w:r>
      <w:r w:rsidR="007E16BF">
        <w:t> </w:t>
      </w:r>
      <w:r w:rsidRPr="00BB3E4F">
        <w:t>początku 2025 r.</w:t>
      </w:r>
    </w:p>
    <w:p w14:paraId="369B0497" w14:textId="539D4013" w:rsidR="006741FC" w:rsidRPr="00BB3E4F" w:rsidRDefault="006741FC" w:rsidP="006741FC">
      <w:r w:rsidRPr="00BB3E4F">
        <w:t xml:space="preserve">Obecne wyniki </w:t>
      </w:r>
      <w:r w:rsidRPr="00143F79">
        <w:rPr>
          <w:i/>
          <w:iCs/>
        </w:rPr>
        <w:t>European Resource Adequacy Assessment 2023 Edition</w:t>
      </w:r>
      <w:r w:rsidRPr="00BB3E4F">
        <w:rPr>
          <w:rStyle w:val="Odwoanieprzypisudolnego"/>
          <w:lang w:val="en-US"/>
        </w:rPr>
        <w:footnoteReference w:id="19"/>
      </w:r>
      <w:r w:rsidR="00BD2475" w:rsidRPr="00163405">
        <w:rPr>
          <w:i/>
          <w:iCs/>
          <w:vertAlign w:val="superscript"/>
        </w:rPr>
        <w:t>)</w:t>
      </w:r>
      <w:r w:rsidRPr="00BB3E4F">
        <w:t xml:space="preserve"> (ERAA2023) wskazują na zapewnienie bezpieczeństwa dostaw energii elektrycznej w Polsce na poziomie standardu bezpieczeństwa 3 godzin na rok w 2025 niezależnie od scenariusza. W scenariuszu referencyjnym bezpieczeństwo dostaw powinno zostać zapewnione do 2030 r., czyli w okresie obowiązywania rynku mocy. W scenariuszu wrażliwości w 2028 i 2030 r. standard bezpieczeństwa byłby nieznacznie przekroczony (4,7 h/rok w 2028 r. oraz 4,4 h/rok w 2030 r.). Warto zaznaczyć, że na wzrost poziomu bezpieczeństwa dostaw w 2030 r. wpływ będą mogły mieć jeszcze wyniki aukcji głównych na lata 2029 i 2030, jak również aukcji dodatkowych na lata 2029 – 2030 r., a w przypadku lat 2026 – 2028 r. wyniki aukcji dodatkowych na ten rok oraz ewentualnych aukcji uzupełniających, nad wprowadzeniem których trwają prace. </w:t>
      </w:r>
    </w:p>
    <w:p w14:paraId="740BF4D6" w14:textId="1D6EC9A7" w:rsidR="006741FC" w:rsidRPr="00BB3E4F" w:rsidRDefault="006741FC" w:rsidP="006741FC">
      <w:bookmarkStart w:id="109" w:name="_Hlk184032973"/>
      <w:r w:rsidRPr="00BB3E4F">
        <w:t>Jak można zauważyć, dzięki wprowadzeniu rynku mocy zwiększone zostało prawdopodobieństwo zapewnienia bezpieczeństwa dostaw w perspektywie do 2030 r</w:t>
      </w:r>
      <w:r w:rsidR="00143F79">
        <w:t>.</w:t>
      </w:r>
      <w:r w:rsidRPr="00BB3E4F">
        <w:t xml:space="preserve"> w</w:t>
      </w:r>
      <w:r>
        <w:t> </w:t>
      </w:r>
      <w:r w:rsidR="00143F79">
        <w:t xml:space="preserve">porównaniu </w:t>
      </w:r>
      <w:r w:rsidRPr="00BB3E4F">
        <w:t xml:space="preserve">do prognoz </w:t>
      </w:r>
      <w:r w:rsidR="00247A2C">
        <w:t>s</w:t>
      </w:r>
      <w:r w:rsidRPr="00BB3E4F">
        <w:t>przed wprowadzeni</w:t>
      </w:r>
      <w:r w:rsidR="00247A2C">
        <w:t>a</w:t>
      </w:r>
      <w:r w:rsidRPr="00BB3E4F">
        <w:t xml:space="preserve"> rynku mocy. </w:t>
      </w:r>
      <w:bookmarkEnd w:id="109"/>
      <w:r w:rsidRPr="00BB3E4F">
        <w:t>Prognozowane wartości L</w:t>
      </w:r>
      <w:r w:rsidR="00192AC6">
        <w:t>O</w:t>
      </w:r>
      <w:r w:rsidRPr="00BB3E4F">
        <w:t>LE na</w:t>
      </w:r>
      <w:r w:rsidR="007E16BF">
        <w:t> </w:t>
      </w:r>
      <w:r w:rsidRPr="00BB3E4F">
        <w:t>lata 2031</w:t>
      </w:r>
      <w:r w:rsidR="00C210E6">
        <w:t>–</w:t>
      </w:r>
      <w:r w:rsidRPr="00BB3E4F">
        <w:t xml:space="preserve">2040 są zdecydowanie niższe niż wartości </w:t>
      </w:r>
      <w:r w:rsidR="00192AC6" w:rsidRPr="00BB3E4F">
        <w:t>L</w:t>
      </w:r>
      <w:r w:rsidR="00192AC6">
        <w:t>O</w:t>
      </w:r>
      <w:r w:rsidR="00192AC6" w:rsidRPr="00BB3E4F">
        <w:t xml:space="preserve">LE </w:t>
      </w:r>
      <w:r w:rsidRPr="00BB3E4F">
        <w:t>przewidywane dla lat 2025 i 2030 przed wprowadzeniem rynku mocy. Zgodnie z ERAA2023 w 2033 r. L</w:t>
      </w:r>
      <w:r w:rsidR="00192AC6">
        <w:t>O</w:t>
      </w:r>
      <w:r w:rsidRPr="00BB3E4F">
        <w:t>LE jest prognozowane na poziomie 8,5</w:t>
      </w:r>
      <w:r w:rsidR="00B979A2">
        <w:t>–</w:t>
      </w:r>
      <w:r w:rsidRPr="00BB3E4F">
        <w:t>12,3 h/rok, a zgodnie z oceną wystarczalności zasobów na poziomie krajowym stanowiącą załącznik nr 1, w latach 2031</w:t>
      </w:r>
      <w:r w:rsidR="00B979A2">
        <w:t>–</w:t>
      </w:r>
      <w:r w:rsidRPr="00BB3E4F">
        <w:t xml:space="preserve">2040 </w:t>
      </w:r>
      <w:r w:rsidR="00192AC6" w:rsidRPr="00BB3E4F">
        <w:t>L</w:t>
      </w:r>
      <w:r w:rsidR="00192AC6">
        <w:t>O</w:t>
      </w:r>
      <w:r w:rsidR="00192AC6" w:rsidRPr="00BB3E4F">
        <w:t xml:space="preserve">LE </w:t>
      </w:r>
      <w:r w:rsidRPr="00BB3E4F">
        <w:t>nie powinno przekroczyć 15 godzin na rok. Są to wartości wielokrotnie niższe niż prognozy przedstawione Komisji Europejskiej w toku notyfikacji obecnego rynku mocy (176,4 i 101,7 h/rok), przy czym w obu przypadkach przekraczają one wielkości akceptowalne i uznawane za bezpieczne.</w:t>
      </w:r>
    </w:p>
    <w:p w14:paraId="09BCA9BC" w14:textId="77777777" w:rsidR="006741FC" w:rsidRPr="00BB3E4F" w:rsidRDefault="006741FC" w:rsidP="006741FC">
      <w:pPr>
        <w:pStyle w:val="Nagwek3"/>
      </w:pPr>
      <w:bookmarkStart w:id="110" w:name="_Toc183753349"/>
      <w:bookmarkStart w:id="111" w:name="_Toc188008615"/>
      <w:r w:rsidRPr="00BB3E4F">
        <w:lastRenderedPageBreak/>
        <w:t>Wpływ na środowisko</w:t>
      </w:r>
      <w:bookmarkEnd w:id="110"/>
      <w:bookmarkEnd w:id="111"/>
    </w:p>
    <w:p w14:paraId="25C84BAB" w14:textId="76D38A7C" w:rsidR="006741FC" w:rsidRPr="00BB3E4F" w:rsidRDefault="006741FC" w:rsidP="006741FC">
      <w:r w:rsidRPr="00BB3E4F">
        <w:t>Jednostki wytwórcze centralnie dysponowane jako instalacje przemysłowe, które mogą powodować znaczne zanieczyszczenie poszczególnych elementów przyrodniczych albo środowiska jako całości, aby funkcjonować muszą posiadać pozwolenia zintegrowane, w</w:t>
      </w:r>
      <w:r>
        <w:t> </w:t>
      </w:r>
      <w:r w:rsidRPr="00BB3E4F">
        <w:t>związku z powyższym spełniają wymagane nimi standardy dot. wpływu na środowisko.</w:t>
      </w:r>
    </w:p>
    <w:p w14:paraId="100BA5B5" w14:textId="77777777" w:rsidR="006741FC" w:rsidRPr="00BB3E4F" w:rsidRDefault="006741FC" w:rsidP="006741FC">
      <w:r w:rsidRPr="00BB3E4F">
        <w:t>Poniżej przedstawiono poziom emisji z elektrowni i elektrociepłowni zawodowych w Polsce. W</w:t>
      </w:r>
      <w:r>
        <w:t> </w:t>
      </w:r>
      <w:r w:rsidRPr="00BB3E4F">
        <w:t>2023 r. w porównaniu z 2018 r. emisja:</w:t>
      </w:r>
    </w:p>
    <w:p w14:paraId="29E0C847" w14:textId="4A09F293" w:rsidR="006741FC" w:rsidRPr="00BB3E4F" w:rsidRDefault="006741FC" w:rsidP="006741FC">
      <w:pPr>
        <w:pStyle w:val="Akapitzlist"/>
        <w:numPr>
          <w:ilvl w:val="0"/>
          <w:numId w:val="14"/>
        </w:numPr>
      </w:pPr>
      <w:r w:rsidRPr="00BB3E4F">
        <w:t>popiołu lotnego w energetyce zawodowej zmniejszyła się w 2023 r. o 67,7</w:t>
      </w:r>
      <w:r w:rsidR="00C210E6">
        <w:t xml:space="preserve"> </w:t>
      </w:r>
      <w:r w:rsidRPr="00BB3E4F">
        <w:t>% względem 2018 r. (w elektrowniach stosujących jako paliwo węgiel brunatny o 78</w:t>
      </w:r>
      <w:r w:rsidR="00C210E6">
        <w:t xml:space="preserve"> </w:t>
      </w:r>
      <w:r w:rsidRPr="00BB3E4F">
        <w:t>%, a w elektrowniach i elektrociepłowniach stosujących jako paliwo węgiel kamienny o 65,4</w:t>
      </w:r>
      <w:r w:rsidR="00C210E6">
        <w:t xml:space="preserve"> </w:t>
      </w:r>
      <w:r w:rsidR="00C210E6" w:rsidRPr="00BB3E4F">
        <w:t>%)</w:t>
      </w:r>
      <w:r w:rsidR="00C210E6">
        <w:t>;</w:t>
      </w:r>
    </w:p>
    <w:p w14:paraId="2F701620" w14:textId="7AABD5BA" w:rsidR="006741FC" w:rsidRPr="00BB3E4F" w:rsidRDefault="006741FC" w:rsidP="006741FC">
      <w:pPr>
        <w:pStyle w:val="Akapitzlist"/>
        <w:numPr>
          <w:ilvl w:val="0"/>
          <w:numId w:val="14"/>
        </w:numPr>
      </w:pPr>
      <w:r w:rsidRPr="00BB3E4F">
        <w:t>dwutlenku siarki (SO</w:t>
      </w:r>
      <w:r w:rsidRPr="00BB3E4F">
        <w:rPr>
          <w:vertAlign w:val="subscript"/>
        </w:rPr>
        <w:t>2</w:t>
      </w:r>
      <w:r w:rsidRPr="00BB3E4F">
        <w:t>) o 60,7</w:t>
      </w:r>
      <w:r w:rsidR="00826A6D">
        <w:t xml:space="preserve"> </w:t>
      </w:r>
      <w:r w:rsidRPr="00BB3E4F">
        <w:t>% (w elektrowniach stosujących jako paliwo węgiel brunatny 68,1</w:t>
      </w:r>
      <w:r w:rsidR="00826A6D">
        <w:t xml:space="preserve"> </w:t>
      </w:r>
      <w:r w:rsidRPr="00BB3E4F">
        <w:t>%, a w elektrowniach i elektrociepłowniach stosujących jako paliwo węgiel kamienny o 56,5</w:t>
      </w:r>
      <w:r w:rsidR="00C210E6">
        <w:t xml:space="preserve"> </w:t>
      </w:r>
      <w:r w:rsidR="00C210E6" w:rsidRPr="00BB3E4F">
        <w:t>%)</w:t>
      </w:r>
      <w:r w:rsidR="00C210E6">
        <w:t>;</w:t>
      </w:r>
    </w:p>
    <w:p w14:paraId="7A0D844A" w14:textId="2D334917" w:rsidR="006741FC" w:rsidRPr="00BB3E4F" w:rsidRDefault="006741FC" w:rsidP="006741FC">
      <w:pPr>
        <w:pStyle w:val="Akapitzlist"/>
        <w:numPr>
          <w:ilvl w:val="0"/>
          <w:numId w:val="14"/>
        </w:numPr>
      </w:pPr>
      <w:r w:rsidRPr="00BB3E4F">
        <w:t>tlenków azotu (NO</w:t>
      </w:r>
      <w:r w:rsidRPr="00BB3E4F">
        <w:rPr>
          <w:vertAlign w:val="subscript"/>
        </w:rPr>
        <w:t>x</w:t>
      </w:r>
      <w:r w:rsidRPr="00BB3E4F">
        <w:t>) o 39,7</w:t>
      </w:r>
      <w:r w:rsidR="00826A6D">
        <w:t xml:space="preserve"> </w:t>
      </w:r>
      <w:r w:rsidRPr="00BB3E4F">
        <w:t>% (w elektrowniach stosujących jako paliwo węgiel brunatny o 40,9</w:t>
      </w:r>
      <w:r w:rsidR="00826A6D">
        <w:t xml:space="preserve"> </w:t>
      </w:r>
      <w:r w:rsidRPr="00BB3E4F">
        <w:t>%, a w elektrowniach i elektrociepłowniach stosujących jako paliwo węgiel kamienny o 42,7</w:t>
      </w:r>
      <w:r w:rsidR="00C210E6">
        <w:t xml:space="preserve"> </w:t>
      </w:r>
      <w:r w:rsidR="00C210E6" w:rsidRPr="00BB3E4F">
        <w:t>%)</w:t>
      </w:r>
      <w:r w:rsidR="00C210E6">
        <w:t>;</w:t>
      </w:r>
    </w:p>
    <w:p w14:paraId="739913B3" w14:textId="2387CF66" w:rsidR="006741FC" w:rsidRPr="00BB3E4F" w:rsidRDefault="006741FC" w:rsidP="006741FC">
      <w:pPr>
        <w:pStyle w:val="Akapitzlist"/>
        <w:numPr>
          <w:ilvl w:val="0"/>
          <w:numId w:val="14"/>
        </w:numPr>
      </w:pPr>
      <w:r w:rsidRPr="00BB3E4F">
        <w:t>tlenku węgla (CO) o 42,1</w:t>
      </w:r>
      <w:r w:rsidR="00826A6D">
        <w:t xml:space="preserve"> </w:t>
      </w:r>
      <w:r w:rsidRPr="00BB3E4F">
        <w:t>% (w elektrowniach stosujących jako paliwo węgiel brunatny, o 57,7</w:t>
      </w:r>
      <w:r w:rsidR="00826A6D">
        <w:t xml:space="preserve"> </w:t>
      </w:r>
      <w:r w:rsidRPr="00BB3E4F">
        <w:t>% a w elektrowniach i elektrociepłowniach stosujących jako paliwo węgiel kamienny o 25,9</w:t>
      </w:r>
      <w:r w:rsidR="00C210E6">
        <w:t xml:space="preserve"> </w:t>
      </w:r>
      <w:r w:rsidR="00C210E6" w:rsidRPr="00BB3E4F">
        <w:t>%)</w:t>
      </w:r>
      <w:r w:rsidR="00C210E6">
        <w:t>;</w:t>
      </w:r>
    </w:p>
    <w:p w14:paraId="5295ADF1" w14:textId="319B53AF" w:rsidR="006741FC" w:rsidRPr="00BB3E4F" w:rsidRDefault="006741FC" w:rsidP="006741FC">
      <w:pPr>
        <w:pStyle w:val="Akapitzlist"/>
        <w:numPr>
          <w:ilvl w:val="0"/>
          <w:numId w:val="14"/>
        </w:numPr>
      </w:pPr>
      <w:r w:rsidRPr="00BB3E4F">
        <w:t>dwutlenku węgla (CO</w:t>
      </w:r>
      <w:r w:rsidRPr="00BB3E4F">
        <w:rPr>
          <w:vertAlign w:val="subscript"/>
        </w:rPr>
        <w:t>2</w:t>
      </w:r>
      <w:r w:rsidRPr="00BB3E4F">
        <w:t>) o 23,6</w:t>
      </w:r>
      <w:r w:rsidR="00C210E6">
        <w:t xml:space="preserve"> </w:t>
      </w:r>
      <w:r w:rsidRPr="00BB3E4F">
        <w:t>% (w elektrowniach stosujących jako paliwo węgiel brunatny o 30,3</w:t>
      </w:r>
      <w:r w:rsidR="00C210E6">
        <w:t xml:space="preserve"> </w:t>
      </w:r>
      <w:r w:rsidRPr="00BB3E4F">
        <w:t>%, a w elektrowniach i elektrociepłowniach stosujących jako paliwo węgiel kamienny o 23,5</w:t>
      </w:r>
      <w:r w:rsidR="00332212">
        <w:t xml:space="preserve"> %</w:t>
      </w:r>
      <w:r w:rsidRPr="00BB3E4F">
        <w:t>).</w:t>
      </w:r>
    </w:p>
    <w:p w14:paraId="6E4EA56D" w14:textId="77777777" w:rsidR="00192AC6" w:rsidRDefault="00192AC6">
      <w:pPr>
        <w:jc w:val="left"/>
        <w:rPr>
          <w:rFonts w:eastAsiaTheme="minorEastAsia"/>
          <w:i/>
          <w:iCs/>
          <w:color w:val="0E2841" w:themeColor="text2"/>
          <w:kern w:val="0"/>
          <w:sz w:val="18"/>
          <w:szCs w:val="18"/>
          <w14:ligatures w14:val="none"/>
        </w:rPr>
      </w:pPr>
      <w:r>
        <w:br w:type="page"/>
      </w:r>
    </w:p>
    <w:p w14:paraId="533ED064" w14:textId="4D73CB64" w:rsidR="006741FC" w:rsidRPr="00BB3E4F" w:rsidRDefault="006741FC" w:rsidP="006741FC">
      <w:pPr>
        <w:pStyle w:val="Legenda"/>
        <w:keepNext/>
      </w:pPr>
      <w:bookmarkStart w:id="112" w:name="_Toc188209322"/>
      <w:r w:rsidRPr="00BB3E4F">
        <w:lastRenderedPageBreak/>
        <w:t xml:space="preserve">Tabela </w:t>
      </w:r>
      <w:fldSimple w:instr=" SEQ Tabela \* ARABIC ">
        <w:r w:rsidRPr="00BB3E4F">
          <w:rPr>
            <w:noProof/>
          </w:rPr>
          <w:t>1</w:t>
        </w:r>
      </w:fldSimple>
      <w:r w:rsidRPr="00BB3E4F">
        <w:t xml:space="preserve"> Poprawa wpływu energetyki na środowisko</w:t>
      </w:r>
      <w:bookmarkEnd w:id="112"/>
    </w:p>
    <w:tbl>
      <w:tblPr>
        <w:tblStyle w:val="Tabela-Siatka"/>
        <w:tblW w:w="0" w:type="auto"/>
        <w:tblLook w:val="04A0" w:firstRow="1" w:lastRow="0" w:firstColumn="1" w:lastColumn="0" w:noHBand="0" w:noVBand="1"/>
      </w:tblPr>
      <w:tblGrid>
        <w:gridCol w:w="5524"/>
        <w:gridCol w:w="1166"/>
        <w:gridCol w:w="1166"/>
        <w:gridCol w:w="1166"/>
      </w:tblGrid>
      <w:tr w:rsidR="006741FC" w:rsidRPr="00BB3E4F" w14:paraId="17845D33" w14:textId="77777777" w:rsidTr="0028603C">
        <w:tc>
          <w:tcPr>
            <w:tcW w:w="5524" w:type="dxa"/>
          </w:tcPr>
          <w:p w14:paraId="2BCD5E00" w14:textId="77777777" w:rsidR="006741FC" w:rsidRPr="00BB3E4F" w:rsidRDefault="006741FC" w:rsidP="0028603C"/>
        </w:tc>
        <w:tc>
          <w:tcPr>
            <w:tcW w:w="1166" w:type="dxa"/>
          </w:tcPr>
          <w:p w14:paraId="009BFF65" w14:textId="77777777" w:rsidR="006741FC" w:rsidRPr="00BB3E4F" w:rsidRDefault="006741FC" w:rsidP="0028603C">
            <w:pPr>
              <w:jc w:val="right"/>
            </w:pPr>
            <w:r w:rsidRPr="00BB3E4F">
              <w:t>2018</w:t>
            </w:r>
          </w:p>
        </w:tc>
        <w:tc>
          <w:tcPr>
            <w:tcW w:w="1166" w:type="dxa"/>
          </w:tcPr>
          <w:p w14:paraId="7BA16D8D" w14:textId="77777777" w:rsidR="006741FC" w:rsidRPr="00BB3E4F" w:rsidRDefault="006741FC" w:rsidP="0028603C">
            <w:pPr>
              <w:jc w:val="right"/>
            </w:pPr>
            <w:r w:rsidRPr="00BB3E4F">
              <w:t>2021</w:t>
            </w:r>
          </w:p>
        </w:tc>
        <w:tc>
          <w:tcPr>
            <w:tcW w:w="1166" w:type="dxa"/>
          </w:tcPr>
          <w:p w14:paraId="7AF4AC56" w14:textId="77777777" w:rsidR="006741FC" w:rsidRPr="00BB3E4F" w:rsidRDefault="006741FC" w:rsidP="0028603C">
            <w:pPr>
              <w:jc w:val="right"/>
            </w:pPr>
            <w:r w:rsidRPr="00BB3E4F">
              <w:t>2023</w:t>
            </w:r>
          </w:p>
        </w:tc>
      </w:tr>
      <w:tr w:rsidR="006741FC" w:rsidRPr="00BB3E4F" w14:paraId="352109B8" w14:textId="77777777" w:rsidTr="0028603C">
        <w:tc>
          <w:tcPr>
            <w:tcW w:w="5524" w:type="dxa"/>
          </w:tcPr>
          <w:p w14:paraId="4BF82E0A" w14:textId="77777777" w:rsidR="006741FC" w:rsidRPr="00BB3E4F" w:rsidRDefault="006741FC" w:rsidP="0028603C">
            <w:r w:rsidRPr="00BB3E4F">
              <w:t>Popiół lotny [t], w tym:</w:t>
            </w:r>
          </w:p>
        </w:tc>
        <w:tc>
          <w:tcPr>
            <w:tcW w:w="1166" w:type="dxa"/>
          </w:tcPr>
          <w:p w14:paraId="0B0B1E89" w14:textId="77777777" w:rsidR="006741FC" w:rsidRPr="00BB3E4F" w:rsidRDefault="006741FC" w:rsidP="0028603C">
            <w:pPr>
              <w:jc w:val="right"/>
            </w:pPr>
            <w:r w:rsidRPr="00BB3E4F">
              <w:t>7 934</w:t>
            </w:r>
          </w:p>
        </w:tc>
        <w:tc>
          <w:tcPr>
            <w:tcW w:w="1166" w:type="dxa"/>
          </w:tcPr>
          <w:p w14:paraId="449F2CA2" w14:textId="77777777" w:rsidR="006741FC" w:rsidRPr="00BB3E4F" w:rsidRDefault="006741FC" w:rsidP="0028603C">
            <w:pPr>
              <w:jc w:val="right"/>
            </w:pPr>
            <w:r w:rsidRPr="00BB3E4F">
              <w:t>4 743</w:t>
            </w:r>
          </w:p>
        </w:tc>
        <w:tc>
          <w:tcPr>
            <w:tcW w:w="1166" w:type="dxa"/>
          </w:tcPr>
          <w:p w14:paraId="29802BE7" w14:textId="77777777" w:rsidR="006741FC" w:rsidRPr="00BB3E4F" w:rsidRDefault="006741FC" w:rsidP="0028603C">
            <w:pPr>
              <w:jc w:val="right"/>
            </w:pPr>
            <w:r w:rsidRPr="00BB3E4F">
              <w:t>2 563</w:t>
            </w:r>
          </w:p>
        </w:tc>
      </w:tr>
      <w:tr w:rsidR="006741FC" w:rsidRPr="00BB3E4F" w14:paraId="5E0F04E2" w14:textId="77777777" w:rsidTr="0028603C">
        <w:tc>
          <w:tcPr>
            <w:tcW w:w="5524" w:type="dxa"/>
          </w:tcPr>
          <w:p w14:paraId="4F7EB8A7" w14:textId="77777777" w:rsidR="006741FC" w:rsidRPr="00BB3E4F" w:rsidRDefault="006741FC" w:rsidP="0028603C">
            <w:pPr>
              <w:ind w:left="708"/>
            </w:pPr>
            <w:r w:rsidRPr="00BB3E4F">
              <w:t>el. na węgiel brunatny</w:t>
            </w:r>
          </w:p>
        </w:tc>
        <w:tc>
          <w:tcPr>
            <w:tcW w:w="1166" w:type="dxa"/>
          </w:tcPr>
          <w:p w14:paraId="4B7EAC38" w14:textId="77777777" w:rsidR="006741FC" w:rsidRPr="00BB3E4F" w:rsidRDefault="006741FC" w:rsidP="0028603C">
            <w:pPr>
              <w:jc w:val="right"/>
            </w:pPr>
            <w:r w:rsidRPr="00BB3E4F">
              <w:t>2 421</w:t>
            </w:r>
          </w:p>
        </w:tc>
        <w:tc>
          <w:tcPr>
            <w:tcW w:w="1166" w:type="dxa"/>
          </w:tcPr>
          <w:p w14:paraId="55A1BA1B" w14:textId="77777777" w:rsidR="006741FC" w:rsidRPr="00BB3E4F" w:rsidRDefault="006741FC" w:rsidP="0028603C">
            <w:pPr>
              <w:jc w:val="right"/>
            </w:pPr>
            <w:r w:rsidRPr="00BB3E4F">
              <w:t>1 284</w:t>
            </w:r>
          </w:p>
        </w:tc>
        <w:tc>
          <w:tcPr>
            <w:tcW w:w="1166" w:type="dxa"/>
          </w:tcPr>
          <w:p w14:paraId="386D8EE0" w14:textId="77777777" w:rsidR="006741FC" w:rsidRPr="00BB3E4F" w:rsidRDefault="006741FC" w:rsidP="0028603C">
            <w:pPr>
              <w:jc w:val="right"/>
            </w:pPr>
            <w:r w:rsidRPr="00BB3E4F">
              <w:t>532</w:t>
            </w:r>
          </w:p>
        </w:tc>
      </w:tr>
      <w:tr w:rsidR="006741FC" w:rsidRPr="00BB3E4F" w14:paraId="1DD1138E" w14:textId="77777777" w:rsidTr="0028603C">
        <w:tc>
          <w:tcPr>
            <w:tcW w:w="5524" w:type="dxa"/>
          </w:tcPr>
          <w:p w14:paraId="013B4652" w14:textId="77777777" w:rsidR="006741FC" w:rsidRPr="00BB3E4F" w:rsidRDefault="006741FC" w:rsidP="0028603C">
            <w:pPr>
              <w:ind w:left="708"/>
            </w:pPr>
            <w:r w:rsidRPr="00BB3E4F">
              <w:t>el. i ec. na węgiel kamienny</w:t>
            </w:r>
          </w:p>
        </w:tc>
        <w:tc>
          <w:tcPr>
            <w:tcW w:w="1166" w:type="dxa"/>
          </w:tcPr>
          <w:p w14:paraId="5A0560B3" w14:textId="77777777" w:rsidR="006741FC" w:rsidRPr="00BB3E4F" w:rsidRDefault="006741FC" w:rsidP="0028603C">
            <w:pPr>
              <w:jc w:val="right"/>
            </w:pPr>
            <w:r w:rsidRPr="00BB3E4F">
              <w:t>5 175</w:t>
            </w:r>
          </w:p>
        </w:tc>
        <w:tc>
          <w:tcPr>
            <w:tcW w:w="1166" w:type="dxa"/>
          </w:tcPr>
          <w:p w14:paraId="1B5B939D" w14:textId="77777777" w:rsidR="006741FC" w:rsidRPr="00BB3E4F" w:rsidRDefault="006741FC" w:rsidP="0028603C">
            <w:pPr>
              <w:jc w:val="right"/>
            </w:pPr>
            <w:r w:rsidRPr="00BB3E4F">
              <w:t>3 088</w:t>
            </w:r>
          </w:p>
        </w:tc>
        <w:tc>
          <w:tcPr>
            <w:tcW w:w="1166" w:type="dxa"/>
          </w:tcPr>
          <w:p w14:paraId="233AB226" w14:textId="77777777" w:rsidR="006741FC" w:rsidRPr="00BB3E4F" w:rsidRDefault="006741FC" w:rsidP="0028603C">
            <w:pPr>
              <w:jc w:val="right"/>
            </w:pPr>
            <w:r w:rsidRPr="00BB3E4F">
              <w:t>1792</w:t>
            </w:r>
          </w:p>
        </w:tc>
      </w:tr>
      <w:tr w:rsidR="006741FC" w:rsidRPr="00BB3E4F" w14:paraId="2564940F" w14:textId="77777777" w:rsidTr="0028603C">
        <w:tc>
          <w:tcPr>
            <w:tcW w:w="5524" w:type="dxa"/>
          </w:tcPr>
          <w:p w14:paraId="78E7E774" w14:textId="77777777" w:rsidR="006741FC" w:rsidRPr="00BB3E4F" w:rsidRDefault="006741FC" w:rsidP="0028603C">
            <w:r w:rsidRPr="00BB3E4F">
              <w:t>Dwutlenek siarki [t] , w tym:</w:t>
            </w:r>
          </w:p>
        </w:tc>
        <w:tc>
          <w:tcPr>
            <w:tcW w:w="1166" w:type="dxa"/>
          </w:tcPr>
          <w:p w14:paraId="73A7482C" w14:textId="77777777" w:rsidR="006741FC" w:rsidRPr="00BB3E4F" w:rsidRDefault="006741FC" w:rsidP="0028603C">
            <w:pPr>
              <w:jc w:val="right"/>
            </w:pPr>
            <w:r w:rsidRPr="00BB3E4F">
              <w:t>136 892</w:t>
            </w:r>
          </w:p>
        </w:tc>
        <w:tc>
          <w:tcPr>
            <w:tcW w:w="1166" w:type="dxa"/>
          </w:tcPr>
          <w:p w14:paraId="7388A3B6" w14:textId="77777777" w:rsidR="006741FC" w:rsidRPr="00BB3E4F" w:rsidRDefault="006741FC" w:rsidP="0028603C">
            <w:pPr>
              <w:jc w:val="right"/>
            </w:pPr>
            <w:r w:rsidRPr="00BB3E4F">
              <w:t>101 431</w:t>
            </w:r>
          </w:p>
        </w:tc>
        <w:tc>
          <w:tcPr>
            <w:tcW w:w="1166" w:type="dxa"/>
          </w:tcPr>
          <w:p w14:paraId="5BFD7454" w14:textId="77777777" w:rsidR="006741FC" w:rsidRPr="00BB3E4F" w:rsidRDefault="006741FC" w:rsidP="0028603C">
            <w:pPr>
              <w:jc w:val="right"/>
            </w:pPr>
            <w:r w:rsidRPr="00BB3E4F">
              <w:t>53 795</w:t>
            </w:r>
          </w:p>
        </w:tc>
      </w:tr>
      <w:tr w:rsidR="006741FC" w:rsidRPr="00BB3E4F" w14:paraId="27AD15A0" w14:textId="77777777" w:rsidTr="0028603C">
        <w:tc>
          <w:tcPr>
            <w:tcW w:w="5524" w:type="dxa"/>
          </w:tcPr>
          <w:p w14:paraId="1E90B940" w14:textId="77777777" w:rsidR="006741FC" w:rsidRPr="00BB3E4F" w:rsidRDefault="006741FC" w:rsidP="0028603C">
            <w:pPr>
              <w:ind w:left="708"/>
            </w:pPr>
            <w:r w:rsidRPr="00BB3E4F">
              <w:t>el. na węgiel brunatny</w:t>
            </w:r>
          </w:p>
        </w:tc>
        <w:tc>
          <w:tcPr>
            <w:tcW w:w="1166" w:type="dxa"/>
          </w:tcPr>
          <w:p w14:paraId="311F8FC3" w14:textId="77777777" w:rsidR="006741FC" w:rsidRPr="00BB3E4F" w:rsidRDefault="006741FC" w:rsidP="0028603C">
            <w:pPr>
              <w:jc w:val="right"/>
            </w:pPr>
            <w:r w:rsidRPr="00BB3E4F">
              <w:t>56 287</w:t>
            </w:r>
          </w:p>
        </w:tc>
        <w:tc>
          <w:tcPr>
            <w:tcW w:w="1166" w:type="dxa"/>
          </w:tcPr>
          <w:p w14:paraId="22DAF892" w14:textId="77777777" w:rsidR="006741FC" w:rsidRPr="00BB3E4F" w:rsidRDefault="006741FC" w:rsidP="0028603C">
            <w:pPr>
              <w:jc w:val="right"/>
            </w:pPr>
            <w:r w:rsidRPr="00BB3E4F">
              <w:t>48 822</w:t>
            </w:r>
          </w:p>
        </w:tc>
        <w:tc>
          <w:tcPr>
            <w:tcW w:w="1166" w:type="dxa"/>
          </w:tcPr>
          <w:p w14:paraId="457EAC84" w14:textId="77777777" w:rsidR="006741FC" w:rsidRPr="00BB3E4F" w:rsidRDefault="006741FC" w:rsidP="0028603C">
            <w:pPr>
              <w:jc w:val="right"/>
            </w:pPr>
            <w:r w:rsidRPr="00BB3E4F">
              <w:t>17 953</w:t>
            </w:r>
          </w:p>
        </w:tc>
      </w:tr>
      <w:tr w:rsidR="006741FC" w:rsidRPr="00BB3E4F" w14:paraId="31F12123" w14:textId="77777777" w:rsidTr="0028603C">
        <w:tc>
          <w:tcPr>
            <w:tcW w:w="5524" w:type="dxa"/>
          </w:tcPr>
          <w:p w14:paraId="36237484" w14:textId="77777777" w:rsidR="006741FC" w:rsidRPr="00BB3E4F" w:rsidRDefault="006741FC" w:rsidP="0028603C">
            <w:pPr>
              <w:ind w:left="708"/>
            </w:pPr>
            <w:r w:rsidRPr="00BB3E4F">
              <w:t>el. i ec. na węgiel kamienny</w:t>
            </w:r>
          </w:p>
        </w:tc>
        <w:tc>
          <w:tcPr>
            <w:tcW w:w="1166" w:type="dxa"/>
          </w:tcPr>
          <w:p w14:paraId="0939BA2F" w14:textId="77777777" w:rsidR="006741FC" w:rsidRPr="00BB3E4F" w:rsidRDefault="006741FC" w:rsidP="0028603C">
            <w:pPr>
              <w:jc w:val="right"/>
            </w:pPr>
            <w:r w:rsidRPr="00BB3E4F">
              <w:t>77 933</w:t>
            </w:r>
          </w:p>
        </w:tc>
        <w:tc>
          <w:tcPr>
            <w:tcW w:w="1166" w:type="dxa"/>
          </w:tcPr>
          <w:p w14:paraId="06A84278" w14:textId="77777777" w:rsidR="006741FC" w:rsidRPr="00BB3E4F" w:rsidRDefault="006741FC" w:rsidP="0028603C">
            <w:pPr>
              <w:jc w:val="right"/>
            </w:pPr>
            <w:r w:rsidRPr="00BB3E4F">
              <w:t>49 956</w:t>
            </w:r>
          </w:p>
        </w:tc>
        <w:tc>
          <w:tcPr>
            <w:tcW w:w="1166" w:type="dxa"/>
          </w:tcPr>
          <w:p w14:paraId="000A9B36" w14:textId="77777777" w:rsidR="006741FC" w:rsidRPr="00BB3E4F" w:rsidRDefault="006741FC" w:rsidP="0028603C">
            <w:pPr>
              <w:jc w:val="right"/>
            </w:pPr>
            <w:r w:rsidRPr="00BB3E4F">
              <w:t>33 910</w:t>
            </w:r>
          </w:p>
        </w:tc>
      </w:tr>
      <w:tr w:rsidR="006741FC" w:rsidRPr="00BB3E4F" w14:paraId="6AD85354" w14:textId="77777777" w:rsidTr="0028603C">
        <w:tc>
          <w:tcPr>
            <w:tcW w:w="5524" w:type="dxa"/>
          </w:tcPr>
          <w:p w14:paraId="0A91103D" w14:textId="77777777" w:rsidR="006741FC" w:rsidRPr="00BB3E4F" w:rsidRDefault="006741FC" w:rsidP="0028603C">
            <w:r w:rsidRPr="00BB3E4F">
              <w:t>Tlenki azotu [t] , w tym:</w:t>
            </w:r>
          </w:p>
        </w:tc>
        <w:tc>
          <w:tcPr>
            <w:tcW w:w="1166" w:type="dxa"/>
          </w:tcPr>
          <w:p w14:paraId="7A28B113" w14:textId="77777777" w:rsidR="006741FC" w:rsidRPr="00BB3E4F" w:rsidRDefault="006741FC" w:rsidP="0028603C">
            <w:pPr>
              <w:jc w:val="right"/>
            </w:pPr>
            <w:r w:rsidRPr="00BB3E4F">
              <w:t>117 689</w:t>
            </w:r>
          </w:p>
        </w:tc>
        <w:tc>
          <w:tcPr>
            <w:tcW w:w="1166" w:type="dxa"/>
          </w:tcPr>
          <w:p w14:paraId="061E1998" w14:textId="77777777" w:rsidR="006741FC" w:rsidRPr="00BB3E4F" w:rsidRDefault="006741FC" w:rsidP="0028603C">
            <w:pPr>
              <w:jc w:val="right"/>
            </w:pPr>
            <w:r w:rsidRPr="00BB3E4F">
              <w:t>97 804</w:t>
            </w:r>
          </w:p>
        </w:tc>
        <w:tc>
          <w:tcPr>
            <w:tcW w:w="1166" w:type="dxa"/>
          </w:tcPr>
          <w:p w14:paraId="4BC8A114" w14:textId="77777777" w:rsidR="006741FC" w:rsidRPr="00BB3E4F" w:rsidRDefault="006741FC" w:rsidP="0028603C">
            <w:pPr>
              <w:jc w:val="right"/>
            </w:pPr>
            <w:r w:rsidRPr="00BB3E4F">
              <w:t>70 986</w:t>
            </w:r>
          </w:p>
        </w:tc>
      </w:tr>
      <w:tr w:rsidR="006741FC" w:rsidRPr="00BB3E4F" w14:paraId="14BE24AB" w14:textId="77777777" w:rsidTr="0028603C">
        <w:tc>
          <w:tcPr>
            <w:tcW w:w="5524" w:type="dxa"/>
          </w:tcPr>
          <w:p w14:paraId="0801C045" w14:textId="77777777" w:rsidR="006741FC" w:rsidRPr="00BB3E4F" w:rsidRDefault="006741FC" w:rsidP="0028603C">
            <w:pPr>
              <w:ind w:left="708"/>
            </w:pPr>
            <w:r w:rsidRPr="00BB3E4F">
              <w:t>el. na węgiel brunatny</w:t>
            </w:r>
          </w:p>
        </w:tc>
        <w:tc>
          <w:tcPr>
            <w:tcW w:w="1166" w:type="dxa"/>
          </w:tcPr>
          <w:p w14:paraId="4639C932" w14:textId="77777777" w:rsidR="006741FC" w:rsidRPr="00BB3E4F" w:rsidRDefault="006741FC" w:rsidP="0028603C">
            <w:pPr>
              <w:jc w:val="right"/>
            </w:pPr>
            <w:r w:rsidRPr="00BB3E4F">
              <w:t>42 713</w:t>
            </w:r>
          </w:p>
        </w:tc>
        <w:tc>
          <w:tcPr>
            <w:tcW w:w="1166" w:type="dxa"/>
          </w:tcPr>
          <w:p w14:paraId="31E84A7F" w14:textId="77777777" w:rsidR="006741FC" w:rsidRPr="00BB3E4F" w:rsidRDefault="006741FC" w:rsidP="0028603C">
            <w:pPr>
              <w:jc w:val="right"/>
            </w:pPr>
            <w:r w:rsidRPr="00BB3E4F">
              <w:t>35 628</w:t>
            </w:r>
          </w:p>
        </w:tc>
        <w:tc>
          <w:tcPr>
            <w:tcW w:w="1166" w:type="dxa"/>
          </w:tcPr>
          <w:p w14:paraId="377EC0FB" w14:textId="77777777" w:rsidR="006741FC" w:rsidRPr="00BB3E4F" w:rsidRDefault="006741FC" w:rsidP="0028603C">
            <w:pPr>
              <w:jc w:val="right"/>
            </w:pPr>
            <w:r w:rsidRPr="00BB3E4F">
              <w:t>25 259</w:t>
            </w:r>
          </w:p>
        </w:tc>
      </w:tr>
      <w:tr w:rsidR="006741FC" w:rsidRPr="00BB3E4F" w14:paraId="6413457B" w14:textId="77777777" w:rsidTr="0028603C">
        <w:tc>
          <w:tcPr>
            <w:tcW w:w="5524" w:type="dxa"/>
          </w:tcPr>
          <w:p w14:paraId="5D917289" w14:textId="77777777" w:rsidR="006741FC" w:rsidRPr="00BB3E4F" w:rsidRDefault="006741FC" w:rsidP="0028603C">
            <w:pPr>
              <w:ind w:left="708"/>
            </w:pPr>
            <w:r w:rsidRPr="00BB3E4F">
              <w:t>el. i ec. na węgiel kamienny</w:t>
            </w:r>
          </w:p>
        </w:tc>
        <w:tc>
          <w:tcPr>
            <w:tcW w:w="1166" w:type="dxa"/>
          </w:tcPr>
          <w:p w14:paraId="2FE3D760" w14:textId="77777777" w:rsidR="006741FC" w:rsidRPr="00BB3E4F" w:rsidRDefault="006741FC" w:rsidP="0028603C">
            <w:pPr>
              <w:jc w:val="right"/>
            </w:pPr>
            <w:r w:rsidRPr="00BB3E4F">
              <w:t>69 773</w:t>
            </w:r>
          </w:p>
        </w:tc>
        <w:tc>
          <w:tcPr>
            <w:tcW w:w="1166" w:type="dxa"/>
          </w:tcPr>
          <w:p w14:paraId="52CA3D0A" w14:textId="77777777" w:rsidR="006741FC" w:rsidRPr="00BB3E4F" w:rsidRDefault="006741FC" w:rsidP="0028603C">
            <w:pPr>
              <w:jc w:val="right"/>
            </w:pPr>
            <w:r w:rsidRPr="00BB3E4F">
              <w:t>56 334</w:t>
            </w:r>
          </w:p>
        </w:tc>
        <w:tc>
          <w:tcPr>
            <w:tcW w:w="1166" w:type="dxa"/>
          </w:tcPr>
          <w:p w14:paraId="33948732" w14:textId="77777777" w:rsidR="006741FC" w:rsidRPr="00BB3E4F" w:rsidRDefault="006741FC" w:rsidP="0028603C">
            <w:pPr>
              <w:jc w:val="right"/>
            </w:pPr>
            <w:r w:rsidRPr="00BB3E4F">
              <w:t>39 992</w:t>
            </w:r>
          </w:p>
        </w:tc>
      </w:tr>
      <w:tr w:rsidR="006741FC" w:rsidRPr="00BB3E4F" w14:paraId="5E4E5FCB" w14:textId="77777777" w:rsidTr="0028603C">
        <w:tc>
          <w:tcPr>
            <w:tcW w:w="5524" w:type="dxa"/>
          </w:tcPr>
          <w:p w14:paraId="525D61FD" w14:textId="77777777" w:rsidR="006741FC" w:rsidRPr="00BB3E4F" w:rsidRDefault="006741FC" w:rsidP="0028603C">
            <w:r w:rsidRPr="00BB3E4F">
              <w:t>Tlenek węgla [t] , w tym:</w:t>
            </w:r>
          </w:p>
        </w:tc>
        <w:tc>
          <w:tcPr>
            <w:tcW w:w="1166" w:type="dxa"/>
          </w:tcPr>
          <w:p w14:paraId="63850CBC" w14:textId="77777777" w:rsidR="006741FC" w:rsidRPr="00BB3E4F" w:rsidRDefault="006741FC" w:rsidP="0028603C">
            <w:pPr>
              <w:jc w:val="right"/>
            </w:pPr>
            <w:r w:rsidRPr="00BB3E4F">
              <w:t>48 693</w:t>
            </w:r>
          </w:p>
        </w:tc>
        <w:tc>
          <w:tcPr>
            <w:tcW w:w="1166" w:type="dxa"/>
          </w:tcPr>
          <w:p w14:paraId="024682BC" w14:textId="77777777" w:rsidR="006741FC" w:rsidRPr="00BB3E4F" w:rsidRDefault="006741FC" w:rsidP="0028603C">
            <w:pPr>
              <w:jc w:val="right"/>
            </w:pPr>
            <w:r w:rsidRPr="00BB3E4F">
              <w:t>43 678</w:t>
            </w:r>
          </w:p>
        </w:tc>
        <w:tc>
          <w:tcPr>
            <w:tcW w:w="1166" w:type="dxa"/>
          </w:tcPr>
          <w:p w14:paraId="66121221" w14:textId="77777777" w:rsidR="006741FC" w:rsidRPr="00BB3E4F" w:rsidRDefault="006741FC" w:rsidP="0028603C">
            <w:pPr>
              <w:jc w:val="right"/>
            </w:pPr>
            <w:r w:rsidRPr="00BB3E4F">
              <w:t>28 172</w:t>
            </w:r>
          </w:p>
        </w:tc>
      </w:tr>
      <w:tr w:rsidR="006741FC" w:rsidRPr="00BB3E4F" w14:paraId="5B4A8CFF" w14:textId="77777777" w:rsidTr="0028603C">
        <w:tc>
          <w:tcPr>
            <w:tcW w:w="5524" w:type="dxa"/>
          </w:tcPr>
          <w:p w14:paraId="7FBDDD7D" w14:textId="77777777" w:rsidR="006741FC" w:rsidRPr="00BB3E4F" w:rsidRDefault="006741FC" w:rsidP="0028603C">
            <w:pPr>
              <w:ind w:left="708"/>
            </w:pPr>
            <w:r w:rsidRPr="00BB3E4F">
              <w:t>el. na węgiel brunatny</w:t>
            </w:r>
          </w:p>
        </w:tc>
        <w:tc>
          <w:tcPr>
            <w:tcW w:w="1166" w:type="dxa"/>
          </w:tcPr>
          <w:p w14:paraId="31E6F015" w14:textId="77777777" w:rsidR="006741FC" w:rsidRPr="00BB3E4F" w:rsidRDefault="006741FC" w:rsidP="0028603C">
            <w:pPr>
              <w:jc w:val="right"/>
            </w:pPr>
            <w:r w:rsidRPr="00BB3E4F">
              <w:t>27 466</w:t>
            </w:r>
          </w:p>
        </w:tc>
        <w:tc>
          <w:tcPr>
            <w:tcW w:w="1166" w:type="dxa"/>
          </w:tcPr>
          <w:p w14:paraId="03953039" w14:textId="77777777" w:rsidR="006741FC" w:rsidRPr="00BB3E4F" w:rsidRDefault="006741FC" w:rsidP="0028603C">
            <w:pPr>
              <w:jc w:val="right"/>
            </w:pPr>
            <w:r w:rsidRPr="00BB3E4F">
              <w:t>24 074</w:t>
            </w:r>
          </w:p>
        </w:tc>
        <w:tc>
          <w:tcPr>
            <w:tcW w:w="1166" w:type="dxa"/>
          </w:tcPr>
          <w:p w14:paraId="0D679EFA" w14:textId="77777777" w:rsidR="006741FC" w:rsidRPr="00BB3E4F" w:rsidRDefault="006741FC" w:rsidP="0028603C">
            <w:pPr>
              <w:jc w:val="right"/>
            </w:pPr>
            <w:r w:rsidRPr="00BB3E4F">
              <w:t>11 622</w:t>
            </w:r>
          </w:p>
        </w:tc>
      </w:tr>
      <w:tr w:rsidR="006741FC" w:rsidRPr="00BB3E4F" w14:paraId="116FDB7C" w14:textId="77777777" w:rsidTr="0028603C">
        <w:tc>
          <w:tcPr>
            <w:tcW w:w="5524" w:type="dxa"/>
          </w:tcPr>
          <w:p w14:paraId="56100AF8" w14:textId="77777777" w:rsidR="006741FC" w:rsidRPr="00BB3E4F" w:rsidRDefault="006741FC" w:rsidP="0028603C">
            <w:pPr>
              <w:ind w:left="708"/>
            </w:pPr>
            <w:r w:rsidRPr="00BB3E4F">
              <w:t>el. i ec. na węgiel kamienny</w:t>
            </w:r>
          </w:p>
        </w:tc>
        <w:tc>
          <w:tcPr>
            <w:tcW w:w="1166" w:type="dxa"/>
          </w:tcPr>
          <w:p w14:paraId="4081C15B" w14:textId="77777777" w:rsidR="006741FC" w:rsidRPr="00BB3E4F" w:rsidRDefault="006741FC" w:rsidP="0028603C">
            <w:pPr>
              <w:jc w:val="right"/>
            </w:pPr>
            <w:r w:rsidRPr="00BB3E4F">
              <w:t>19 008</w:t>
            </w:r>
          </w:p>
        </w:tc>
        <w:tc>
          <w:tcPr>
            <w:tcW w:w="1166" w:type="dxa"/>
          </w:tcPr>
          <w:p w14:paraId="4CE3A42A" w14:textId="77777777" w:rsidR="006741FC" w:rsidRPr="00BB3E4F" w:rsidRDefault="006741FC" w:rsidP="0028603C">
            <w:pPr>
              <w:jc w:val="right"/>
            </w:pPr>
            <w:r w:rsidRPr="00BB3E4F">
              <w:t>17 807</w:t>
            </w:r>
          </w:p>
        </w:tc>
        <w:tc>
          <w:tcPr>
            <w:tcW w:w="1166" w:type="dxa"/>
          </w:tcPr>
          <w:p w14:paraId="541DAC82" w14:textId="77777777" w:rsidR="006741FC" w:rsidRPr="00BB3E4F" w:rsidRDefault="006741FC" w:rsidP="0028603C">
            <w:pPr>
              <w:jc w:val="right"/>
            </w:pPr>
            <w:r w:rsidRPr="00BB3E4F">
              <w:t>14 091</w:t>
            </w:r>
          </w:p>
        </w:tc>
      </w:tr>
      <w:tr w:rsidR="006741FC" w:rsidRPr="00BB3E4F" w14:paraId="597D51E3" w14:textId="77777777" w:rsidTr="0028603C">
        <w:tc>
          <w:tcPr>
            <w:tcW w:w="5524" w:type="dxa"/>
          </w:tcPr>
          <w:p w14:paraId="0B43D8E0" w14:textId="77777777" w:rsidR="006741FC" w:rsidRPr="00BB3E4F" w:rsidRDefault="006741FC" w:rsidP="0028603C">
            <w:r w:rsidRPr="00BB3E4F">
              <w:t>Dwutlenek węgla [tys. t] , w tym:</w:t>
            </w:r>
          </w:p>
        </w:tc>
        <w:tc>
          <w:tcPr>
            <w:tcW w:w="1166" w:type="dxa"/>
          </w:tcPr>
          <w:p w14:paraId="44E3BF06" w14:textId="77777777" w:rsidR="006741FC" w:rsidRPr="00BB3E4F" w:rsidRDefault="006741FC" w:rsidP="0028603C">
            <w:pPr>
              <w:jc w:val="right"/>
            </w:pPr>
            <w:r w:rsidRPr="00BB3E4F">
              <w:t>140 001</w:t>
            </w:r>
          </w:p>
        </w:tc>
        <w:tc>
          <w:tcPr>
            <w:tcW w:w="1166" w:type="dxa"/>
          </w:tcPr>
          <w:p w14:paraId="7024251D" w14:textId="77777777" w:rsidR="006741FC" w:rsidRPr="00BB3E4F" w:rsidRDefault="006741FC" w:rsidP="0028603C">
            <w:pPr>
              <w:jc w:val="right"/>
            </w:pPr>
            <w:r w:rsidRPr="00BB3E4F">
              <w:t>136 044</w:t>
            </w:r>
          </w:p>
        </w:tc>
        <w:tc>
          <w:tcPr>
            <w:tcW w:w="1166" w:type="dxa"/>
          </w:tcPr>
          <w:p w14:paraId="35B0C4DE" w14:textId="77777777" w:rsidR="006741FC" w:rsidRPr="00BB3E4F" w:rsidRDefault="006741FC" w:rsidP="0028603C">
            <w:pPr>
              <w:jc w:val="right"/>
            </w:pPr>
            <w:r w:rsidRPr="00BB3E4F">
              <w:t>106 941</w:t>
            </w:r>
          </w:p>
        </w:tc>
      </w:tr>
      <w:tr w:rsidR="006741FC" w:rsidRPr="00BB3E4F" w14:paraId="49B9077A" w14:textId="77777777" w:rsidTr="0028603C">
        <w:tc>
          <w:tcPr>
            <w:tcW w:w="5524" w:type="dxa"/>
          </w:tcPr>
          <w:p w14:paraId="37BB581E" w14:textId="77777777" w:rsidR="006741FC" w:rsidRPr="00BB3E4F" w:rsidRDefault="006741FC" w:rsidP="0028603C">
            <w:pPr>
              <w:ind w:left="708"/>
            </w:pPr>
            <w:r w:rsidRPr="00BB3E4F">
              <w:t>el. na węgiel brunatny</w:t>
            </w:r>
          </w:p>
        </w:tc>
        <w:tc>
          <w:tcPr>
            <w:tcW w:w="1166" w:type="dxa"/>
          </w:tcPr>
          <w:p w14:paraId="29304AE5" w14:textId="77777777" w:rsidR="006741FC" w:rsidRPr="00BB3E4F" w:rsidRDefault="006741FC" w:rsidP="0028603C">
            <w:pPr>
              <w:jc w:val="right"/>
            </w:pPr>
            <w:r w:rsidRPr="00BB3E4F">
              <w:t>52 691</w:t>
            </w:r>
          </w:p>
        </w:tc>
        <w:tc>
          <w:tcPr>
            <w:tcW w:w="1166" w:type="dxa"/>
          </w:tcPr>
          <w:p w14:paraId="3CB5FE6C" w14:textId="77777777" w:rsidR="006741FC" w:rsidRPr="00BB3E4F" w:rsidRDefault="006741FC" w:rsidP="0028603C">
            <w:pPr>
              <w:jc w:val="right"/>
            </w:pPr>
            <w:r w:rsidRPr="00BB3E4F">
              <w:t>49 310</w:t>
            </w:r>
          </w:p>
        </w:tc>
        <w:tc>
          <w:tcPr>
            <w:tcW w:w="1166" w:type="dxa"/>
          </w:tcPr>
          <w:p w14:paraId="2CEE36CC" w14:textId="77777777" w:rsidR="006741FC" w:rsidRPr="00BB3E4F" w:rsidRDefault="006741FC" w:rsidP="0028603C">
            <w:pPr>
              <w:jc w:val="right"/>
            </w:pPr>
            <w:r w:rsidRPr="00BB3E4F">
              <w:t>36 738</w:t>
            </w:r>
          </w:p>
        </w:tc>
      </w:tr>
      <w:tr w:rsidR="006741FC" w:rsidRPr="00BB3E4F" w14:paraId="21F3FF0F" w14:textId="77777777" w:rsidTr="0028603C">
        <w:tc>
          <w:tcPr>
            <w:tcW w:w="5524" w:type="dxa"/>
          </w:tcPr>
          <w:p w14:paraId="5A60A537" w14:textId="77777777" w:rsidR="006741FC" w:rsidRPr="00BB3E4F" w:rsidRDefault="006741FC" w:rsidP="0028603C">
            <w:pPr>
              <w:ind w:left="708"/>
            </w:pPr>
            <w:r w:rsidRPr="00BB3E4F">
              <w:t>el. i ec. na węgiel kamienny</w:t>
            </w:r>
          </w:p>
        </w:tc>
        <w:tc>
          <w:tcPr>
            <w:tcW w:w="1166" w:type="dxa"/>
          </w:tcPr>
          <w:p w14:paraId="48AF1D46" w14:textId="77777777" w:rsidR="006741FC" w:rsidRPr="00BB3E4F" w:rsidRDefault="006741FC" w:rsidP="0028603C">
            <w:pPr>
              <w:jc w:val="right"/>
            </w:pPr>
            <w:r w:rsidRPr="00BB3E4F">
              <w:t>83 378</w:t>
            </w:r>
          </w:p>
        </w:tc>
        <w:tc>
          <w:tcPr>
            <w:tcW w:w="1166" w:type="dxa"/>
          </w:tcPr>
          <w:p w14:paraId="0102EEA9" w14:textId="77777777" w:rsidR="006741FC" w:rsidRPr="00BB3E4F" w:rsidRDefault="006741FC" w:rsidP="0028603C">
            <w:pPr>
              <w:jc w:val="right"/>
            </w:pPr>
            <w:r w:rsidRPr="00BB3E4F">
              <w:t>80 886</w:t>
            </w:r>
          </w:p>
        </w:tc>
        <w:tc>
          <w:tcPr>
            <w:tcW w:w="1166" w:type="dxa"/>
          </w:tcPr>
          <w:p w14:paraId="688A6FE8" w14:textId="77777777" w:rsidR="006741FC" w:rsidRPr="00BB3E4F" w:rsidRDefault="006741FC" w:rsidP="0028603C">
            <w:pPr>
              <w:jc w:val="right"/>
            </w:pPr>
            <w:r w:rsidRPr="00BB3E4F">
              <w:t>63 809</w:t>
            </w:r>
          </w:p>
        </w:tc>
      </w:tr>
    </w:tbl>
    <w:p w14:paraId="288CB758" w14:textId="77777777" w:rsidR="006741FC" w:rsidRPr="00BB3E4F" w:rsidRDefault="006741FC" w:rsidP="006741FC">
      <w:pPr>
        <w:rPr>
          <w:rFonts w:eastAsiaTheme="minorEastAsia"/>
          <w:i/>
          <w:iCs/>
          <w:color w:val="0E2841" w:themeColor="text2"/>
          <w:kern w:val="0"/>
          <w:sz w:val="18"/>
          <w:szCs w:val="18"/>
          <w14:ligatures w14:val="none"/>
        </w:rPr>
      </w:pPr>
      <w:r w:rsidRPr="00BB3E4F">
        <w:rPr>
          <w:rFonts w:eastAsiaTheme="minorEastAsia"/>
          <w:i/>
          <w:iCs/>
          <w:color w:val="0E2841" w:themeColor="text2"/>
          <w:kern w:val="0"/>
          <w:sz w:val="18"/>
          <w:szCs w:val="18"/>
          <w14:ligatures w14:val="none"/>
        </w:rPr>
        <w:t>Źródło: ARE S.A., EMITOR 2023 Emisja zanieczyszczeń środowiska w elektrowniach i elektrociepłowniach zawodowych</w:t>
      </w:r>
    </w:p>
    <w:p w14:paraId="39627D17" w14:textId="77777777" w:rsidR="006741FC" w:rsidRPr="00BB3E4F" w:rsidRDefault="006741FC" w:rsidP="006741FC">
      <w:pPr>
        <w:pStyle w:val="Nagwek3"/>
      </w:pPr>
      <w:bookmarkStart w:id="113" w:name="_Toc183753350"/>
      <w:bookmarkStart w:id="114" w:name="_Toc188008616"/>
      <w:r w:rsidRPr="00BB3E4F">
        <w:t>Wpływ na rozwój OZE</w:t>
      </w:r>
      <w:bookmarkEnd w:id="113"/>
      <w:bookmarkEnd w:id="114"/>
    </w:p>
    <w:p w14:paraId="1265B832" w14:textId="2C2C3FF1" w:rsidR="006741FC" w:rsidRPr="00BB3E4F" w:rsidRDefault="006741FC" w:rsidP="006741FC">
      <w:r w:rsidRPr="00BB3E4F">
        <w:t>Rynek mocy zapewnia produkcję energii elektrycznej ze źródeł sterowalnych, dostępnych również w przypadku ograniczonej dostępności odnawialnych źródeł wytwórczych oraz zapewniających możliwości regulacyjne, niezbędne do czasu realizacji istotnych wolumenów mocy dostępnej w magazynach energii elektrycznej. Obecnie głównymi ograniczeniami w</w:t>
      </w:r>
      <w:r>
        <w:t> </w:t>
      </w:r>
      <w:r w:rsidRPr="00BB3E4F">
        <w:t>przyłączeniu OZE nie jest brak mocy pozostających w rezerwie na wypadek niskiej produkcji z</w:t>
      </w:r>
      <w:r>
        <w:t> </w:t>
      </w:r>
      <w:r w:rsidRPr="00BB3E4F">
        <w:t>OZE, a raczej ograniczona zdolność tych źródeł do zwiększania i obniżania zapotrzebowania w</w:t>
      </w:r>
      <w:r w:rsidR="002631C8">
        <w:t> </w:t>
      </w:r>
      <w:r w:rsidRPr="00BB3E4F">
        <w:t>związku ze zmianami produkcji OZE oraz coraz częściej zdarzające się okresy</w:t>
      </w:r>
      <w:r w:rsidR="00247A2C">
        <w:t>,</w:t>
      </w:r>
      <w:r w:rsidRPr="00BB3E4F">
        <w:t xml:space="preserve"> w których generacja z OZE istotnie przewyższa zapotrzebowanie odbiorców energii elektrycznej. Od czasu wprowadzenia rynku mocy moce zainstalowane w fotowoltaice wzrosły ponad dwudziestokrotnie, a w elektrowniach wiatrowych na lądzie o ponad 40</w:t>
      </w:r>
      <w:r w:rsidR="00C210E6">
        <w:t xml:space="preserve"> </w:t>
      </w:r>
      <w:r w:rsidRPr="00BB3E4F">
        <w:t xml:space="preserve">%. </w:t>
      </w:r>
      <w:r w:rsidR="00C516EC">
        <w:t>M</w:t>
      </w:r>
      <w:r w:rsidR="00C516EC" w:rsidRPr="00BB3E4F">
        <w:t xml:space="preserve">imo </w:t>
      </w:r>
      <w:r w:rsidRPr="00BB3E4F">
        <w:t>tak znaczącego wzrostu mocy zainstalowanej ze źródeł niesterowalnych, rynek mocy pozwolił na utrzymanie w systemie źródeł sterowalnych pozwalając na finansowanie ich kosztów stałych oraz budowy nowych mocy. Na rysunku poniżej przedstawiono moc zainstalowaną w</w:t>
      </w:r>
      <w:r>
        <w:t> </w:t>
      </w:r>
      <w:r w:rsidRPr="00BB3E4F">
        <w:t>niesterowalnych technologiach OZE.</w:t>
      </w:r>
    </w:p>
    <w:p w14:paraId="63580BA9" w14:textId="3E3AD9D2" w:rsidR="006741FC" w:rsidRPr="00BB3E4F" w:rsidRDefault="006741FC" w:rsidP="006741FC">
      <w:pPr>
        <w:pStyle w:val="Legenda"/>
        <w:keepNext/>
        <w:jc w:val="left"/>
      </w:pPr>
      <w:bookmarkStart w:id="115" w:name="_Toc188209364"/>
      <w:r w:rsidRPr="00BB3E4F">
        <w:lastRenderedPageBreak/>
        <w:t xml:space="preserve">Rysunek </w:t>
      </w:r>
      <w:fldSimple w:instr=" SEQ Rysunek \* ARABIC ">
        <w:r w:rsidRPr="00BB3E4F">
          <w:rPr>
            <w:noProof/>
          </w:rPr>
          <w:t>13</w:t>
        </w:r>
      </w:fldSimple>
      <w:r w:rsidRPr="00BB3E4F">
        <w:t>. Moc zainstalowana w niesterowalnych odnawialnych źródłach energii elektrycznej</w:t>
      </w:r>
      <w:bookmarkEnd w:id="115"/>
    </w:p>
    <w:p w14:paraId="43C446C2" w14:textId="77777777" w:rsidR="006741FC" w:rsidRPr="00BB3E4F" w:rsidRDefault="006741FC" w:rsidP="006741FC">
      <w:pPr>
        <w:jc w:val="center"/>
        <w:rPr>
          <w:rFonts w:eastAsiaTheme="minorEastAsia"/>
          <w:i/>
          <w:iCs/>
          <w:color w:val="0E2841" w:themeColor="text2"/>
          <w:kern w:val="0"/>
          <w:sz w:val="18"/>
          <w:szCs w:val="18"/>
          <w14:ligatures w14:val="none"/>
        </w:rPr>
      </w:pPr>
      <w:r w:rsidRPr="00BB3E4F">
        <w:rPr>
          <w:noProof/>
          <w:lang w:eastAsia="pl-PL"/>
        </w:rPr>
        <w:drawing>
          <wp:inline distT="0" distB="0" distL="0" distR="0" wp14:anchorId="71652C37" wp14:editId="515E3BAE">
            <wp:extent cx="4435813" cy="5542810"/>
            <wp:effectExtent l="0" t="0" r="3175" b="1270"/>
            <wp:docPr id="1463147765" name="Obraz 1" descr="Zdję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jęc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043" cy="5569338"/>
                    </a:xfrm>
                    <a:prstGeom prst="rect">
                      <a:avLst/>
                    </a:prstGeom>
                    <a:noFill/>
                    <a:ln>
                      <a:noFill/>
                    </a:ln>
                  </pic:spPr>
                </pic:pic>
              </a:graphicData>
            </a:graphic>
          </wp:inline>
        </w:drawing>
      </w:r>
    </w:p>
    <w:p w14:paraId="5BDB5DB0" w14:textId="77777777" w:rsidR="006741FC" w:rsidRPr="00BB3E4F" w:rsidRDefault="006741FC" w:rsidP="006741FC">
      <w:pPr>
        <w:rPr>
          <w:rFonts w:eastAsiaTheme="minorEastAsia"/>
          <w:i/>
          <w:iCs/>
          <w:vanish/>
          <w:color w:val="0E2841" w:themeColor="text2"/>
          <w:kern w:val="0"/>
          <w:sz w:val="18"/>
          <w:szCs w:val="18"/>
          <w:specVanish/>
          <w14:ligatures w14:val="none"/>
        </w:rPr>
      </w:pPr>
      <w:r w:rsidRPr="00BB3E4F">
        <w:rPr>
          <w:rFonts w:eastAsiaTheme="minorEastAsia"/>
          <w:i/>
          <w:iCs/>
          <w:color w:val="0E2841" w:themeColor="text2"/>
          <w:kern w:val="0"/>
          <w:sz w:val="18"/>
          <w:szCs w:val="18"/>
          <w14:ligatures w14:val="none"/>
        </w:rPr>
        <w:t>Źródło: Dane za PSE, https://twitter.com/pse_pl/status/1846062280275882298</w:t>
      </w:r>
    </w:p>
    <w:p w14:paraId="09A60148" w14:textId="72C31212" w:rsidR="006741FC" w:rsidRPr="00BB3E4F" w:rsidRDefault="006741FC" w:rsidP="006741FC">
      <w:pPr>
        <w:jc w:val="center"/>
        <w:rPr>
          <w:rFonts w:eastAsiaTheme="minorEastAsia"/>
          <w:color w:val="0E2841" w:themeColor="text2"/>
          <w:kern w:val="0"/>
          <w:sz w:val="18"/>
          <w:szCs w:val="18"/>
          <w14:ligatures w14:val="none"/>
        </w:rPr>
      </w:pPr>
    </w:p>
    <w:p w14:paraId="408BE08D" w14:textId="6194E0B4" w:rsidR="006741FC" w:rsidRPr="00BB3E4F" w:rsidRDefault="006741FC" w:rsidP="006741FC">
      <w:bookmarkStart w:id="116" w:name="_Hlk184033028"/>
      <w:r w:rsidRPr="00BB3E4F">
        <w:t>Jak widać na wykresie powyżej</w:t>
      </w:r>
      <w:r w:rsidR="00247A2C">
        <w:t>,</w:t>
      </w:r>
      <w:r w:rsidRPr="00BB3E4F">
        <w:t xml:space="preserve"> moc zainstalowana w niesterowalnych technologiach OZE wzrosła niemal trzykrotnie od czasu wprowadzenia rynku mocy</w:t>
      </w:r>
      <w:bookmarkEnd w:id="116"/>
      <w:r w:rsidRPr="00BB3E4F">
        <w:t>. W 2024 r. moc zainstalowana w</w:t>
      </w:r>
      <w:r>
        <w:t> </w:t>
      </w:r>
      <w:r w:rsidRPr="00BB3E4F">
        <w:t>tych technologiach przekroczyła 30 GW. Dla porównania szczytowe zapotrzebowanie na moc w 2023 r. wyniosło 27,3 GW, czyli nieznacznie więcej niż moc zainstalowana w niesterowalnych OZE na koniec 2023 r., a minimalne zapotrzebowanie na moc w 2023 r. wynosiło 11,3 GW. Tak wysoka moc zainstalowana w niesterowalnych OZE będzie skutkowała w kolejnych latach koniecznością coraz większych redukcji produkcji z OZE, w szczególności w okresach niskiego zapotrzebowania oraz korzystnych dla OZE warunków atmosferycznych. Rozwiązaniem tych problemów może być zapewnienie odpowiedniej elastyczności z wykorzystaniem aktywnego udziału strony popytowej i ciepłownictwa oraz rozwój magazynów energii elektrycznej.</w:t>
      </w:r>
    </w:p>
    <w:p w14:paraId="5132604E" w14:textId="77777777" w:rsidR="006741FC" w:rsidRPr="00BB3E4F" w:rsidRDefault="006741FC" w:rsidP="006741FC">
      <w:pPr>
        <w:pStyle w:val="Nagwek3"/>
      </w:pPr>
      <w:bookmarkStart w:id="117" w:name="_Toc183753351"/>
      <w:bookmarkStart w:id="118" w:name="_Toc188008617"/>
      <w:r w:rsidRPr="00BB3E4F">
        <w:lastRenderedPageBreak/>
        <w:t>Finansowanie rynku mocy</w:t>
      </w:r>
      <w:bookmarkEnd w:id="117"/>
      <w:bookmarkEnd w:id="118"/>
    </w:p>
    <w:p w14:paraId="14A57D6F" w14:textId="0ABF8AD8" w:rsidR="006741FC" w:rsidRPr="00BB3E4F" w:rsidRDefault="006741FC" w:rsidP="006741FC">
      <w:r w:rsidRPr="00BB3E4F">
        <w:t xml:space="preserve">Obowiązek mocowy </w:t>
      </w:r>
      <w:r w:rsidR="00ED442C" w:rsidRPr="00BB3E4F">
        <w:t xml:space="preserve">jest </w:t>
      </w:r>
      <w:r w:rsidRPr="00BB3E4F">
        <w:t>realizowany w zamian za wynagrodzenie, proporcjonalne do</w:t>
      </w:r>
      <w:r w:rsidR="007E16BF">
        <w:t> </w:t>
      </w:r>
      <w:r w:rsidRPr="00BB3E4F">
        <w:t>zakontraktowanego obowiązku mocowego oraz ceny zamknięcia aukcji, w której została zawarta umowa mocowa. Rozliczeń finansowych na rynku mocy, zgodnie z art. 61 ustawy</w:t>
      </w:r>
      <w:r w:rsidR="007233CA">
        <w:t xml:space="preserve"> o rynku mocy</w:t>
      </w:r>
      <w:r w:rsidRPr="00BB3E4F">
        <w:t>, dokonuje Zarządca Rozliczeń S.A. Zgodnie z art. 60 ust. 4 ustawy o rynku mocy cena obowiązku mocowego dla wieloletnich umów mocowych podlega corocznej waloryzacji średniorocznym wskaźnikiem cen towarów i usług konsumpcyjnych ogółem, określonym w</w:t>
      </w:r>
      <w:r w:rsidR="007E16BF">
        <w:t> </w:t>
      </w:r>
      <w:r w:rsidRPr="00BB3E4F">
        <w:t xml:space="preserve">komunikacie Prezesa Głównego Urzędu Statystycznego. Wartość umów mocowych zawartych w toku dotychczasowych aukcji mocy (bez uwzględnienia waloryzacji) przedstawiono na wykresie poniżej. </w:t>
      </w:r>
    </w:p>
    <w:p w14:paraId="2BC9D0C9" w14:textId="713E4A0C" w:rsidR="006741FC" w:rsidRPr="00BB3E4F" w:rsidRDefault="006741FC" w:rsidP="006741FC">
      <w:pPr>
        <w:pStyle w:val="Legenda"/>
        <w:keepNext/>
      </w:pPr>
      <w:bookmarkStart w:id="119" w:name="_Toc188209365"/>
      <w:r w:rsidRPr="00BB3E4F">
        <w:t xml:space="preserve">Rysunek </w:t>
      </w:r>
      <w:fldSimple w:instr=" SEQ Rysunek \* ARABIC ">
        <w:r w:rsidRPr="00BB3E4F">
          <w:rPr>
            <w:noProof/>
          </w:rPr>
          <w:t>14</w:t>
        </w:r>
      </w:fldSimple>
      <w:r w:rsidRPr="00BB3E4F">
        <w:t>. Wartość nominalna umów mocowych zawartych w</w:t>
      </w:r>
      <w:r w:rsidR="00192AC6">
        <w:t xml:space="preserve"> </w:t>
      </w:r>
      <w:r w:rsidRPr="00BB3E4F">
        <w:t>toku dotychczasowych aukcji mocy</w:t>
      </w:r>
      <w:bookmarkEnd w:id="119"/>
    </w:p>
    <w:p w14:paraId="785B711A" w14:textId="77777777" w:rsidR="006741FC" w:rsidRPr="00BB3E4F" w:rsidRDefault="006741FC" w:rsidP="006741FC">
      <w:r w:rsidRPr="00BB3E4F">
        <w:rPr>
          <w:noProof/>
          <w:lang w:eastAsia="pl-PL"/>
        </w:rPr>
        <w:drawing>
          <wp:inline distT="0" distB="0" distL="0" distR="0" wp14:anchorId="27246C3C" wp14:editId="3B591476">
            <wp:extent cx="5760000" cy="2263366"/>
            <wp:effectExtent l="0" t="0" r="0" b="3810"/>
            <wp:docPr id="22" name="Wykres 22">
              <a:extLst xmlns:a="http://schemas.openxmlformats.org/drawingml/2006/main">
                <a:ext uri="{FF2B5EF4-FFF2-40B4-BE49-F238E27FC236}">
                  <a16:creationId xmlns:a16="http://schemas.microsoft.com/office/drawing/2014/main" id="{D99E8A62-DA2F-2682-8D33-038CFDF99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0EFA97" w14:textId="7C0BCC73" w:rsidR="006741FC" w:rsidRPr="00BB3E4F" w:rsidRDefault="006741FC" w:rsidP="006741FC">
      <w:pPr>
        <w:pStyle w:val="Legenda"/>
      </w:pPr>
      <w:r w:rsidRPr="00BB3E4F">
        <w:t xml:space="preserve">Źródło: Opracowanie własne na podstawie ostatecznych wyników aukcji mocy </w:t>
      </w:r>
      <w:r w:rsidR="007233CA">
        <w:t>ogłoszonych</w:t>
      </w:r>
      <w:r w:rsidR="007233CA" w:rsidRPr="00BB3E4F">
        <w:t xml:space="preserve"> </w:t>
      </w:r>
      <w:r w:rsidRPr="00BB3E4F">
        <w:t>zgodnie z art. 39 ust. 3 ustawy o</w:t>
      </w:r>
      <w:r w:rsidR="004F006B">
        <w:t> </w:t>
      </w:r>
      <w:r w:rsidRPr="00BB3E4F">
        <w:t>rynku mocy</w:t>
      </w:r>
    </w:p>
    <w:p w14:paraId="44B04E58" w14:textId="1A629B17" w:rsidR="006741FC" w:rsidRPr="00BB3E4F" w:rsidRDefault="006741FC" w:rsidP="006741FC">
      <w:r w:rsidRPr="00BB3E4F">
        <w:t>Rynek mocy zapewnił finansowanie dla wielu technologii. W aukcjach głównych na okresy dostaw 2021</w:t>
      </w:r>
      <w:r w:rsidR="00B979A2">
        <w:t>–</w:t>
      </w:r>
      <w:r w:rsidRPr="00BB3E4F">
        <w:t>2025 głównym beneficjentem środków z tytułu rynku mocy były elektrownie węglowe (75</w:t>
      </w:r>
      <w:r w:rsidR="00B979A2">
        <w:t>–</w:t>
      </w:r>
      <w:r w:rsidRPr="00BB3E4F">
        <w:t>85</w:t>
      </w:r>
      <w:r w:rsidR="00C210E6">
        <w:t xml:space="preserve"> </w:t>
      </w:r>
      <w:r w:rsidRPr="00BB3E4F">
        <w:t>% środków, bez uwzględnienia waloryzacji umów długoterminowych), w latach 2026</w:t>
      </w:r>
      <w:r w:rsidR="00B979A2">
        <w:t>–</w:t>
      </w:r>
      <w:r w:rsidRPr="00BB3E4F">
        <w:t>2028 udział ten spadł poniżej 40</w:t>
      </w:r>
      <w:r w:rsidR="00C210E6">
        <w:t xml:space="preserve"> </w:t>
      </w:r>
      <w:r w:rsidRPr="00BB3E4F">
        <w:t>%</w:t>
      </w:r>
      <w:r w:rsidRPr="00BB3E4F">
        <w:rPr>
          <w:rStyle w:val="Odwoanieprzypisudolnego"/>
        </w:rPr>
        <w:footnoteReference w:id="20"/>
      </w:r>
      <w:r w:rsidR="00BD2475" w:rsidRPr="00163405">
        <w:rPr>
          <w:vertAlign w:val="superscript"/>
        </w:rPr>
        <w:t>)</w:t>
      </w:r>
      <w:r w:rsidRPr="00BB3E4F">
        <w:t>. Udział nominalnej wysokości środków należnych jednostkom węglowym w wyniku zawartych kontraktów mocowych we wszystkich aukcjach głównych, względem nominalnej wartości wszystkich zawartych kontraktów mocowych we</w:t>
      </w:r>
      <w:r w:rsidR="007E16BF">
        <w:t> </w:t>
      </w:r>
      <w:r w:rsidRPr="00BB3E4F">
        <w:t>wszystkich aukcjach głównych</w:t>
      </w:r>
      <w:r w:rsidRPr="00BB3E4F">
        <w:rPr>
          <w:rStyle w:val="Odwoanieprzypisudolnego"/>
        </w:rPr>
        <w:footnoteReference w:id="21"/>
      </w:r>
      <w:r w:rsidR="00BD2475" w:rsidRPr="00163405">
        <w:rPr>
          <w:vertAlign w:val="superscript"/>
        </w:rPr>
        <w:t>)</w:t>
      </w:r>
      <w:r w:rsidRPr="00BB3E4F">
        <w:t xml:space="preserve"> stanowi 39,4</w:t>
      </w:r>
      <w:r w:rsidR="00826A6D">
        <w:t xml:space="preserve"> </w:t>
      </w:r>
      <w:r w:rsidRPr="00BB3E4F">
        <w:t>%, dla porównania wartość kontraktów jednostek gazowych stanowi 39,2% wartości wszystkich kontraktów, magazynów elektrochemicznych 10</w:t>
      </w:r>
      <w:r w:rsidR="00826A6D">
        <w:t xml:space="preserve"> </w:t>
      </w:r>
      <w:r w:rsidRPr="00BB3E4F">
        <w:t>%, DSR 2,9 %, a elektrowni szczytowo-pompowych 3,2</w:t>
      </w:r>
      <w:r w:rsidR="00C210E6">
        <w:t xml:space="preserve"> </w:t>
      </w:r>
      <w:r w:rsidRPr="00BB3E4F">
        <w:t>%. Na wykresie poniżej przedstawiono koszt umów mocowych zawartych w wyniku aukcji głównych w podziale na paliwa.</w:t>
      </w:r>
    </w:p>
    <w:p w14:paraId="3ABA577E" w14:textId="6BAF5E1F" w:rsidR="006741FC" w:rsidRPr="00BB3E4F" w:rsidRDefault="006741FC" w:rsidP="006741FC">
      <w:pPr>
        <w:pStyle w:val="Legenda"/>
        <w:keepNext/>
        <w:jc w:val="center"/>
      </w:pPr>
      <w:bookmarkStart w:id="120" w:name="_Toc188209366"/>
      <w:r w:rsidRPr="00BB3E4F">
        <w:lastRenderedPageBreak/>
        <w:t xml:space="preserve">Rysunek </w:t>
      </w:r>
      <w:fldSimple w:instr=" SEQ Rysunek \* ARABIC ">
        <w:r w:rsidRPr="00BB3E4F">
          <w:rPr>
            <w:noProof/>
          </w:rPr>
          <w:t>15</w:t>
        </w:r>
      </w:fldSimple>
      <w:r w:rsidRPr="00BB3E4F">
        <w:t>. Koszt umów mocowych zawartych w wyniku aukcji głównych w podziale na paliwa</w:t>
      </w:r>
      <w:bookmarkEnd w:id="120"/>
    </w:p>
    <w:p w14:paraId="19BB483B" w14:textId="77777777" w:rsidR="006741FC" w:rsidRPr="00BB3E4F" w:rsidRDefault="006741FC" w:rsidP="006741FC">
      <w:pPr>
        <w:jc w:val="center"/>
      </w:pPr>
      <w:r w:rsidRPr="00BB3E4F">
        <w:rPr>
          <w:noProof/>
          <w:lang w:eastAsia="pl-PL"/>
        </w:rPr>
        <w:drawing>
          <wp:inline distT="0" distB="0" distL="0" distR="0" wp14:anchorId="6372C476" wp14:editId="44E7DBA7">
            <wp:extent cx="4572000" cy="2743200"/>
            <wp:effectExtent l="0" t="0" r="0" b="0"/>
            <wp:docPr id="37570715" name="Wykres 1">
              <a:extLst xmlns:a="http://schemas.openxmlformats.org/drawingml/2006/main">
                <a:ext uri="{FF2B5EF4-FFF2-40B4-BE49-F238E27FC236}">
                  <a16:creationId xmlns:a16="http://schemas.microsoft.com/office/drawing/2014/main" id="{4B81D73F-194A-920F-D475-965E66FCD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CEAF8A" w14:textId="5EA3F9B8" w:rsidR="006741FC" w:rsidRPr="00BB3E4F" w:rsidRDefault="006741FC" w:rsidP="006741FC">
      <w:pPr>
        <w:pStyle w:val="Legenda"/>
      </w:pPr>
      <w:r w:rsidRPr="00BB3E4F">
        <w:t xml:space="preserve">Źródło: Opracowanie własne na podstawie ostatecznych wyników aukcji mocy </w:t>
      </w:r>
      <w:r w:rsidR="007233CA">
        <w:t>ogłoszonych</w:t>
      </w:r>
      <w:r w:rsidR="007233CA" w:rsidRPr="00BB3E4F">
        <w:t xml:space="preserve"> </w:t>
      </w:r>
      <w:r w:rsidRPr="00BB3E4F">
        <w:t xml:space="preserve">zgodnie z art. 39 ust. 3 ustawy o rynku mocy </w:t>
      </w:r>
      <w:r w:rsidR="007233CA" w:rsidRPr="00BB3E4F">
        <w:t>oraz danych zawartych w rejestrze rynku mocy</w:t>
      </w:r>
    </w:p>
    <w:p w14:paraId="54310C23" w14:textId="344ABAEE" w:rsidR="006741FC" w:rsidRPr="00BB3E4F" w:rsidRDefault="006741FC" w:rsidP="006741FC">
      <w:r w:rsidRPr="00BB3E4F">
        <w:t>Koszt rynku mocy jest pokrywany z uiszczanej przez odbiorców końcowych energii elektrycznej opłaty mocowej, o której mowa w art. 69 ustawy o rynku mocy. Wysokość stawek opłaty mocowej kalkulowanych i publikowanych przez Prezesa URE została zaprezentowana na</w:t>
      </w:r>
      <w:r w:rsidR="004F006B">
        <w:t> </w:t>
      </w:r>
      <w:r w:rsidRPr="00BB3E4F">
        <w:t xml:space="preserve">wykresach poniżej. </w:t>
      </w:r>
    </w:p>
    <w:p w14:paraId="78AB6DBB" w14:textId="77777777" w:rsidR="006741FC" w:rsidRPr="00BB3E4F" w:rsidRDefault="006741FC" w:rsidP="006741FC">
      <w:pPr>
        <w:pStyle w:val="Legenda"/>
        <w:keepNext/>
      </w:pPr>
      <w:bookmarkStart w:id="121" w:name="_Toc188209367"/>
      <w:r w:rsidRPr="00BB3E4F">
        <w:t xml:space="preserve">Rysunek </w:t>
      </w:r>
      <w:fldSimple w:instr=" SEQ Rysunek \* ARABIC ">
        <w:r w:rsidRPr="00BB3E4F">
          <w:rPr>
            <w:noProof/>
          </w:rPr>
          <w:t>16</w:t>
        </w:r>
      </w:fldSimple>
      <w:r w:rsidRPr="00BB3E4F">
        <w:t>. Stawki opłaty mocowej dla odbiorców ryczałtowych.</w:t>
      </w:r>
      <w:bookmarkEnd w:id="121"/>
    </w:p>
    <w:p w14:paraId="639DA906" w14:textId="77777777" w:rsidR="006741FC" w:rsidRPr="00BB3E4F" w:rsidRDefault="006741FC" w:rsidP="006741FC">
      <w:r w:rsidRPr="00BB3E4F">
        <w:rPr>
          <w:noProof/>
          <w:lang w:eastAsia="pl-PL"/>
        </w:rPr>
        <w:drawing>
          <wp:inline distT="0" distB="0" distL="0" distR="0" wp14:anchorId="0DE26804" wp14:editId="41BD2CD5">
            <wp:extent cx="5760000" cy="2164080"/>
            <wp:effectExtent l="0" t="0" r="12700" b="7620"/>
            <wp:docPr id="9" name="Wykres 9">
              <a:extLst xmlns:a="http://schemas.openxmlformats.org/drawingml/2006/main">
                <a:ext uri="{FF2B5EF4-FFF2-40B4-BE49-F238E27FC236}">
                  <a16:creationId xmlns:a16="http://schemas.microsoft.com/office/drawing/2014/main" id="{9A5440F2-6D9C-3C95-CC5D-17E4D0705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6A4264" w14:textId="31F205E4" w:rsidR="006741FC" w:rsidRPr="00BB3E4F" w:rsidRDefault="006741FC" w:rsidP="006741FC">
      <w:pPr>
        <w:pStyle w:val="Legenda"/>
      </w:pPr>
      <w:r w:rsidRPr="00BB3E4F">
        <w:t>Źródło: Opracowanie własne na podstawie stawek opłaty mocowej publikowanych przez Prezesa URE zgodnie z art. 74 ust. 4 ustawy o rynku mocy</w:t>
      </w:r>
    </w:p>
    <w:p w14:paraId="3181CFCB" w14:textId="2CD8D5F8" w:rsidR="006741FC" w:rsidRPr="00BB3E4F" w:rsidRDefault="006741FC" w:rsidP="006741FC">
      <w:pPr>
        <w:pStyle w:val="Legenda"/>
        <w:keepNext/>
      </w:pPr>
      <w:bookmarkStart w:id="122" w:name="_Toc188209368"/>
      <w:r w:rsidRPr="00BB3E4F">
        <w:lastRenderedPageBreak/>
        <w:t xml:space="preserve">Rysunek </w:t>
      </w:r>
      <w:fldSimple w:instr=" SEQ Rysunek \* ARABIC ">
        <w:r w:rsidRPr="00BB3E4F">
          <w:rPr>
            <w:noProof/>
          </w:rPr>
          <w:t>17</w:t>
        </w:r>
      </w:fldSimple>
      <w:r w:rsidRPr="00BB3E4F">
        <w:t>. Stawki opłaty mocowej dla pozostałych odbiorców</w:t>
      </w:r>
      <w:bookmarkEnd w:id="122"/>
    </w:p>
    <w:p w14:paraId="5C0D73F0" w14:textId="77777777" w:rsidR="006741FC" w:rsidRPr="00BB3E4F" w:rsidRDefault="006741FC" w:rsidP="006741FC">
      <w:r w:rsidRPr="00BB3E4F">
        <w:rPr>
          <w:noProof/>
          <w:lang w:eastAsia="pl-PL"/>
        </w:rPr>
        <w:drawing>
          <wp:inline distT="0" distB="0" distL="0" distR="0" wp14:anchorId="116DB6E2" wp14:editId="390DA4DD">
            <wp:extent cx="5759450" cy="2455334"/>
            <wp:effectExtent l="0" t="0" r="12700" b="2540"/>
            <wp:docPr id="11" name="Wykres 11">
              <a:extLst xmlns:a="http://schemas.openxmlformats.org/drawingml/2006/main">
                <a:ext uri="{FF2B5EF4-FFF2-40B4-BE49-F238E27FC236}">
                  <a16:creationId xmlns:a16="http://schemas.microsoft.com/office/drawing/2014/main" id="{9174AD54-6A20-D5D7-FC36-95C4DD422F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25AC30" w14:textId="15955247" w:rsidR="006741FC" w:rsidRPr="00BB3E4F" w:rsidRDefault="006741FC" w:rsidP="006741FC">
      <w:pPr>
        <w:pStyle w:val="Legenda"/>
      </w:pPr>
      <w:r w:rsidRPr="00BB3E4F">
        <w:t>Źródło: Opracowanie własne na podstawie stawek opłaty mocowej publikowanych przez Prezesa URE zgodnie z art. 74 ust. 4 ustawy o rynku mocy</w:t>
      </w:r>
    </w:p>
    <w:p w14:paraId="3F4B536D" w14:textId="56682D20" w:rsidR="006741FC" w:rsidRPr="00BB3E4F" w:rsidRDefault="00180F7F" w:rsidP="006741FC">
      <w:r>
        <w:t>N</w:t>
      </w:r>
      <w:r w:rsidR="006741FC" w:rsidRPr="00BB3E4F">
        <w:t xml:space="preserve">ależy podkreślić, </w:t>
      </w:r>
      <w:r>
        <w:t xml:space="preserve">że </w:t>
      </w:r>
      <w:r w:rsidR="006741FC" w:rsidRPr="00BB3E4F">
        <w:t>stawki opłaty mocowej są różne w zależności od typu odbiorcy końcowego. Część odbiorców końcowych – głównie gospodarstwa domowe – są podmiotami, dla których do</w:t>
      </w:r>
      <w:r w:rsidR="004F006B">
        <w:t> </w:t>
      </w:r>
      <w:r w:rsidR="006741FC" w:rsidRPr="00BB3E4F">
        <w:t xml:space="preserve">2028 r. stawka opłaty mocowej jest ustalana ryczałtowo. Tzw. odbiorcy ryczałtowi </w:t>
      </w:r>
      <w:r w:rsidR="00C210E6" w:rsidRPr="00BB3E4F">
        <w:t>są</w:t>
      </w:r>
      <w:r w:rsidR="004F006B">
        <w:t> </w:t>
      </w:r>
      <w:r w:rsidR="006741FC" w:rsidRPr="00BB3E4F">
        <w:t>podzieleni wewnętrznie na 4 grupy w zależności od wielkości ich zapotrzebowania na energię elektryczną. Dla odbiorców końcowych innych niż w gospodarstwach domowych opłata mocowa jest kalkulowana proporcjonalnie do ich indywidualnego zużycia energii elektrycznej w</w:t>
      </w:r>
      <w:r w:rsidR="004F006B">
        <w:t> </w:t>
      </w:r>
      <w:r w:rsidR="006741FC" w:rsidRPr="00BB3E4F">
        <w:t>godzinach szczytowego zapotrzebowania na energię elektryczną (stawka razy indywidualne zużycie). Dodatkowo, przedsiębiorstwa energochłonne korzystają z obniżenia opłaty mocowej w związku ze swoim płaskim profilem zużycia energii elektrycznej.</w:t>
      </w:r>
    </w:p>
    <w:p w14:paraId="47CC59F5" w14:textId="77777777" w:rsidR="006741FC" w:rsidRPr="00BB3E4F" w:rsidRDefault="006741FC" w:rsidP="006741FC">
      <w:pPr>
        <w:pStyle w:val="Nagwek2"/>
      </w:pPr>
      <w:bookmarkStart w:id="123" w:name="_Toc181118261"/>
      <w:bookmarkStart w:id="124" w:name="_Toc181118262"/>
      <w:bookmarkStart w:id="125" w:name="_Toc181118263"/>
      <w:bookmarkStart w:id="126" w:name="_Toc178058982"/>
      <w:bookmarkStart w:id="127" w:name="_Toc183753352"/>
      <w:bookmarkStart w:id="128" w:name="_Toc188008618"/>
      <w:bookmarkEnd w:id="123"/>
      <w:bookmarkEnd w:id="124"/>
      <w:bookmarkEnd w:id="125"/>
      <w:r w:rsidRPr="00BB3E4F">
        <w:t>Ocena funkcjonowania rynku mocy</w:t>
      </w:r>
      <w:bookmarkEnd w:id="126"/>
      <w:bookmarkEnd w:id="127"/>
      <w:bookmarkEnd w:id="128"/>
    </w:p>
    <w:p w14:paraId="05A3F249" w14:textId="0AC86A79" w:rsidR="006741FC" w:rsidRPr="00BB3E4F" w:rsidRDefault="006741FC" w:rsidP="006741FC">
      <w:r w:rsidRPr="00BB3E4F">
        <w:t xml:space="preserve">Rynek mocy stanowi brakujący segment w architekturze rynku energii elektrycznej, uprzednio funkcjonującego w Polsce jako rynek jednotowarowy (ang. </w:t>
      </w:r>
      <w:r w:rsidRPr="00BB3E4F">
        <w:rPr>
          <w:i/>
          <w:iCs/>
        </w:rPr>
        <w:t>energy-only market</w:t>
      </w:r>
      <w:r w:rsidRPr="00BB3E4F">
        <w:t>). Stworzył on</w:t>
      </w:r>
      <w:r w:rsidR="004F006B">
        <w:t> </w:t>
      </w:r>
      <w:r w:rsidRPr="00BB3E4F">
        <w:t>odpowiednie zachęty do utrzymania, modernizacji i budowy nowych mocy wytwórczych i</w:t>
      </w:r>
      <w:r>
        <w:t> </w:t>
      </w:r>
      <w:r w:rsidRPr="00BB3E4F">
        <w:t>magazynów energii oraz aktywizacji odbiorców gotowych do redukcji zapotrzebowania na</w:t>
      </w:r>
      <w:r w:rsidR="004F006B">
        <w:t> </w:t>
      </w:r>
      <w:r w:rsidRPr="00BB3E4F">
        <w:t xml:space="preserve">polecenie OSP. Z uwagi na charakter usługi świadczonej na rynku mocy, obejmującej płatność za gotowość, dostawcy mocy otrzymali możliwość uzyskania stabilnego strumienia przychodów adresującego problem tzw. </w:t>
      </w:r>
      <w:r w:rsidRPr="00BB3E4F">
        <w:rPr>
          <w:i/>
          <w:iCs/>
        </w:rPr>
        <w:t>missing money</w:t>
      </w:r>
      <w:r w:rsidRPr="00BB3E4F">
        <w:t>. W przeprowadzanych od 2018 r. aukcjach mocy zakontraktowane zostały 103 jednostki wytwórcze, które poddane zostały modernizacjom (17</w:t>
      </w:r>
      <w:r w:rsidR="004F006B">
        <w:t> </w:t>
      </w:r>
      <w:r w:rsidRPr="00BB3E4F">
        <w:t>609 MW), na skutek których zwiększyły swoją moc o 234 MW. Zakontraktowano 27 nowych jednostek wytwórczych (8 581MW) i 38 magazynów energii (1 899 MW), z czego 20 (nie licząc magazynów energii) to jednostki o emisyjności poniżej 550 gCO</w:t>
      </w:r>
      <w:r w:rsidRPr="00BB3E4F">
        <w:rPr>
          <w:vertAlign w:val="subscript"/>
        </w:rPr>
        <w:t>2</w:t>
      </w:r>
      <w:r w:rsidRPr="00BB3E4F">
        <w:t xml:space="preserve">/kWh. Kontraktami objętych zostało również wiele jednostek DSR o wolumenie dochodzącym do ok. 1 600 </w:t>
      </w:r>
      <w:r w:rsidRPr="00BB3E4F">
        <w:lastRenderedPageBreak/>
        <w:t>MW, których udział w rynku mocy skutecznie zastąpił wycofane usługi dotyczące redukcji zapotrzebowania.</w:t>
      </w:r>
    </w:p>
    <w:p w14:paraId="7D928BAB" w14:textId="5BF1F633" w:rsidR="006741FC" w:rsidRPr="00BB3E4F" w:rsidRDefault="006741FC" w:rsidP="006741FC">
      <w:r w:rsidRPr="00BB3E4F">
        <w:t>Jak wskazano w sekcji „</w:t>
      </w:r>
      <w:r w:rsidR="00052C5B">
        <w:fldChar w:fldCharType="begin"/>
      </w:r>
      <w:r w:rsidR="00052C5B">
        <w:instrText xml:space="preserve"> REF _Ref180756682 \h </w:instrText>
      </w:r>
      <w:r w:rsidR="00052C5B">
        <w:fldChar w:fldCharType="separate"/>
      </w:r>
      <w:r w:rsidR="00052C5B" w:rsidRPr="00BB3E4F">
        <w:t>Wpływ na bezpieczeństwo dostaw</w:t>
      </w:r>
      <w:r w:rsidR="00052C5B">
        <w:fldChar w:fldCharType="end"/>
      </w:r>
      <w:r w:rsidRPr="00BB3E4F">
        <w:t>” sytuacja w zakresie wystarczalności zasobów wytwórczych, od czasu uruchomienia rynku mocy, uległa istotnej poprawie w perspektywie 2025 r. W zakresie lat późniejszych sytuacja ta może jeszcze ulec zmianie w związku z wynikami przeprowadzonych aukcji mocy i aukcji OZE, a także w związku z oddawaniem do eksploatacji nowych źródeł wytwórczych i trwałym odstawianiem istniejących jednostek wytwórczych.</w:t>
      </w:r>
    </w:p>
    <w:p w14:paraId="7A052550" w14:textId="5B294AC2" w:rsidR="006741FC" w:rsidRPr="00BB3E4F" w:rsidRDefault="006741FC" w:rsidP="006741FC">
      <w:r w:rsidRPr="00BB3E4F">
        <w:t xml:space="preserve">Powyższe świadczy o tym, że wprowadzenie rynku mocy pozytywnie wpłynęło na dostępność w KSE mocy pozwalających na pokrycie zapotrzebowania i zachowanie wymaganych poziomów rezerw, na co wskazuje brak konieczności ogłaszania ograniczeń w dostarczaniu i poborze energii elektrycznej oraz zaledwie </w:t>
      </w:r>
      <w:r w:rsidR="00E03111">
        <w:t>pięciokrotna</w:t>
      </w:r>
      <w:r w:rsidR="001E093A">
        <w:t xml:space="preserve"> (tj. pięć godzin objął okres przywołania na rynku mocy)</w:t>
      </w:r>
      <w:r w:rsidR="00E03111" w:rsidRPr="00BB3E4F">
        <w:t xml:space="preserve"> </w:t>
      </w:r>
      <w:r w:rsidRPr="00BB3E4F">
        <w:t>konieczność skorzystania z mechanizmu okresów przywołania na rynku mocy. Ma</w:t>
      </w:r>
      <w:r w:rsidR="004F006B">
        <w:t> </w:t>
      </w:r>
      <w:r w:rsidRPr="00BB3E4F">
        <w:t>to</w:t>
      </w:r>
      <w:r w:rsidR="004F006B">
        <w:t> </w:t>
      </w:r>
      <w:r w:rsidRPr="00BB3E4F">
        <w:t>również odzwierciedlenie w wynikach analiz wystarczalności zasobów wytwórczych wskazujących na poprawę sytuacji w okresie pomiędzy wystąpieniem o zgodę na wdrożenie rynku mocy a czasem obecnym.</w:t>
      </w:r>
    </w:p>
    <w:p w14:paraId="32757A8E" w14:textId="77777777" w:rsidR="006741FC" w:rsidRPr="00BB3E4F" w:rsidRDefault="006741FC" w:rsidP="006741FC">
      <w:pPr>
        <w:pStyle w:val="Nagwek3"/>
      </w:pPr>
      <w:bookmarkStart w:id="129" w:name="_Toc180663607"/>
      <w:bookmarkStart w:id="130" w:name="_Toc180755057"/>
      <w:bookmarkStart w:id="131" w:name="_Toc180756297"/>
      <w:bookmarkStart w:id="132" w:name="_Toc180663608"/>
      <w:bookmarkStart w:id="133" w:name="_Toc180755058"/>
      <w:bookmarkStart w:id="134" w:name="_Toc180756298"/>
      <w:bookmarkStart w:id="135" w:name="_Toc183753353"/>
      <w:bookmarkStart w:id="136" w:name="_Toc188008619"/>
      <w:bookmarkEnd w:id="129"/>
      <w:bookmarkEnd w:id="130"/>
      <w:bookmarkEnd w:id="131"/>
      <w:bookmarkEnd w:id="132"/>
      <w:bookmarkEnd w:id="133"/>
      <w:bookmarkEnd w:id="134"/>
      <w:r w:rsidRPr="00BB3E4F">
        <w:t>Ocena rynku mocy przez uczestników ankiety MKiŚ</w:t>
      </w:r>
      <w:bookmarkEnd w:id="135"/>
      <w:bookmarkEnd w:id="136"/>
    </w:p>
    <w:p w14:paraId="5FEB633D" w14:textId="5715592F" w:rsidR="006741FC" w:rsidRPr="00BB3E4F" w:rsidRDefault="006741FC" w:rsidP="006741FC">
      <w:r w:rsidRPr="00BB3E4F">
        <w:t>Poniżej przedstawiono opinie respondentów dot. funkcjonowania rynku mocy, które MKiŚ pozyskało w wyniki przeprowadzenia badania ankietowego</w:t>
      </w:r>
      <w:r w:rsidRPr="00BB3E4F">
        <w:rPr>
          <w:rStyle w:val="Odwoanieprzypisudolnego"/>
        </w:rPr>
        <w:footnoteReference w:id="22"/>
      </w:r>
      <w:r w:rsidR="00BD2475" w:rsidRPr="00163405">
        <w:rPr>
          <w:vertAlign w:val="superscript"/>
        </w:rPr>
        <w:t>)</w:t>
      </w:r>
      <w:r w:rsidRPr="00BB3E4F">
        <w:t>.</w:t>
      </w:r>
    </w:p>
    <w:p w14:paraId="644B0A34" w14:textId="78AABC9C" w:rsidR="006741FC" w:rsidRPr="00BB3E4F" w:rsidRDefault="006741FC" w:rsidP="006741FC">
      <w:pPr>
        <w:spacing w:line="276" w:lineRule="auto"/>
      </w:pPr>
      <w:r w:rsidRPr="00BB3E4F">
        <w:rPr>
          <w:szCs w:val="20"/>
        </w:rPr>
        <w:t xml:space="preserve">Rynek mocy, w stosunku do rynku energii, został oceniony znacznie bardziej przychylnie przez badanych. </w:t>
      </w:r>
      <w:r w:rsidRPr="00BB3E4F">
        <w:t xml:space="preserve">Respondenci pozytywnie ocenili wszystkie aspekty funkcjonowania rynku mocy </w:t>
      </w:r>
      <w:r w:rsidRPr="00BB3E4F">
        <w:rPr>
          <w:szCs w:val="20"/>
        </w:rPr>
        <w:t>z</w:t>
      </w:r>
      <w:r>
        <w:rPr>
          <w:szCs w:val="20"/>
        </w:rPr>
        <w:t> </w:t>
      </w:r>
      <w:r w:rsidRPr="00BB3E4F">
        <w:rPr>
          <w:szCs w:val="20"/>
        </w:rPr>
        <w:t>wyjątkiem roli jednostek zagranicznych w gwarantowaniu bezpieczeństwa energetycznego</w:t>
      </w:r>
      <w:r w:rsidRPr="00BB3E4F">
        <w:t>. Do najważniejszych efektów rynku mocy, zdaniem ankietowanych, należały: zapobiegni</w:t>
      </w:r>
      <w:r w:rsidR="00192AC6">
        <w:t>ę</w:t>
      </w:r>
      <w:r w:rsidRPr="00BB3E4F">
        <w:t xml:space="preserve">cie wycofaniom ekonomicznym z rynku, wsparcie rozwoju DSR oraz zapewnienie niedyskryminacyjnego udziału jednostek zagranicznych. W następnej kolejności badani wskazywali możliwość uczestnictwa różnych typów jednostek oraz zapewnienie sygnałów cenowych do modernizacji istniejących mocy. Respondenci podnosili również szereg propozycji zmian w ramach rynku, w tym obniżenie kar, wydłużenie kontraktów mocowych oraz </w:t>
      </w:r>
      <w:r w:rsidRPr="00BB3E4F">
        <w:rPr>
          <w:szCs w:val="20"/>
        </w:rPr>
        <w:t xml:space="preserve">wprowadzenie różnych wartości korekcyjnych współczynników dyspozycyjności (KWD) w ramach jednej technologii w zależności od dodatkowych kryteriów. W szczególności </w:t>
      </w:r>
      <w:r w:rsidR="00192AC6" w:rsidRPr="00192AC6">
        <w:rPr>
          <w:szCs w:val="20"/>
        </w:rPr>
        <w:t xml:space="preserve">istotną byłaby zmiana polegająca na </w:t>
      </w:r>
      <w:r w:rsidRPr="00BB3E4F">
        <w:t>wydłużenie czasu wyprzedzenia kontraktacji z obecnych 5 lat, co</w:t>
      </w:r>
      <w:r w:rsidR="004F006B">
        <w:t> </w:t>
      </w:r>
      <w:r w:rsidRPr="00BB3E4F">
        <w:t xml:space="preserve">pozwoliłoby na zapewnienie finansowania dla jednostek w technologiach charakteryzujących się </w:t>
      </w:r>
      <w:r w:rsidRPr="00BB3E4F">
        <w:lastRenderedPageBreak/>
        <w:t>dłuższym cyklem inwestycyjnym (np. elektrownie szczytowo-pompowe lub modułowe elektrownie jądrowe).</w:t>
      </w:r>
    </w:p>
    <w:p w14:paraId="2DD34E13" w14:textId="14879A7E" w:rsidR="006741FC" w:rsidRPr="00BB3E4F" w:rsidRDefault="006741FC" w:rsidP="006741FC">
      <w:pPr>
        <w:spacing w:line="276" w:lineRule="auto"/>
        <w:rPr>
          <w:szCs w:val="20"/>
        </w:rPr>
      </w:pPr>
      <w:r w:rsidRPr="00BB3E4F">
        <w:t xml:space="preserve">Rynek mocy </w:t>
      </w:r>
      <w:r w:rsidRPr="00BB3E4F">
        <w:rPr>
          <w:szCs w:val="20"/>
        </w:rPr>
        <w:t xml:space="preserve">jest również wskazywany przez respondentów jako jedyne rozwiązanie, które powinno być wykorzystywane do zapewnienia bezpieczeństwa dostaw po 2030 r., niemniej z pewnymi zmianami. Zważywszy na fakt, że zgodnie z analizami </w:t>
      </w:r>
      <w:r w:rsidR="00B47094" w:rsidRPr="00BB3E4F">
        <w:rPr>
          <w:szCs w:val="20"/>
        </w:rPr>
        <w:t xml:space="preserve">jest </w:t>
      </w:r>
      <w:r w:rsidRPr="00BB3E4F">
        <w:rPr>
          <w:szCs w:val="20"/>
        </w:rPr>
        <w:t xml:space="preserve">widoczne ryzyko przekroczenia standardu bezpieczeństwa, które wpłynie negatywnie na bezpieczeństwo dostaw energii w Polsce, </w:t>
      </w:r>
      <w:r w:rsidR="00B47094" w:rsidRPr="00BB3E4F">
        <w:rPr>
          <w:szCs w:val="20"/>
        </w:rPr>
        <w:t xml:space="preserve">jest </w:t>
      </w:r>
      <w:r w:rsidRPr="00BB3E4F">
        <w:rPr>
          <w:szCs w:val="20"/>
        </w:rPr>
        <w:t xml:space="preserve">konieczne wprowadzanie dodatkowych zachęt do budowy nowych mocy wytwórczych oraz rozwoju technologii związanych z magazynowaniem energii oraz redukcją zapotrzebowania. W związku z tym </w:t>
      </w:r>
      <w:r w:rsidR="00B47094" w:rsidRPr="00BB3E4F">
        <w:rPr>
          <w:szCs w:val="20"/>
        </w:rPr>
        <w:t xml:space="preserve">jest </w:t>
      </w:r>
      <w:r w:rsidRPr="00BB3E4F">
        <w:rPr>
          <w:szCs w:val="20"/>
        </w:rPr>
        <w:t xml:space="preserve">rekomendowane przedłużenie funkcjonowania rynku mocy na kolejne lata. </w:t>
      </w:r>
    </w:p>
    <w:p w14:paraId="1E66F8EF" w14:textId="6C3FA1F7" w:rsidR="006741FC" w:rsidRPr="00BB3E4F" w:rsidRDefault="006741FC" w:rsidP="006741FC">
      <w:pPr>
        <w:spacing w:line="276" w:lineRule="auto"/>
        <w:rPr>
          <w:szCs w:val="20"/>
        </w:rPr>
      </w:pPr>
      <w:r w:rsidRPr="00BB3E4F">
        <w:rPr>
          <w:szCs w:val="20"/>
        </w:rPr>
        <w:t>Jednakże równocześnie Ministerstwo Klimatu i Środowiska</w:t>
      </w:r>
      <w:r w:rsidR="00247A2C">
        <w:rPr>
          <w:szCs w:val="20"/>
        </w:rPr>
        <w:t>,</w:t>
      </w:r>
      <w:r w:rsidRPr="00BB3E4F">
        <w:rPr>
          <w:szCs w:val="20"/>
        </w:rPr>
        <w:t xml:space="preserve"> jak i respondenci ankiety wskazują na pewien zakres możliwych zmian. Najczęściej wskazywanymi dodatkowymi mechanizmami na</w:t>
      </w:r>
      <w:r w:rsidR="004F006B">
        <w:rPr>
          <w:szCs w:val="20"/>
        </w:rPr>
        <w:t> </w:t>
      </w:r>
      <w:r w:rsidRPr="00BB3E4F">
        <w:rPr>
          <w:szCs w:val="20"/>
        </w:rPr>
        <w:t>rynku energii elektrycznej, uzupełniającymi obecny rynek, były produkty obniżające zapotrzebowanie szczytowe oraz kontrakty różnicowe na technologie zapewniające bezpieczeństwo systemu. Jednocześnie przeważająca liczba respondentów negatywnie oceniła możliwość wdrożenia alternatywnych rozwiązań (np. mechanizmu rezerwy strategicznej). Rynek mocy będzie wymagał dostosowania do nowych warunków funkcjonowania jednostek, jak również może występować konieczność uzupełniania tego rozwiązania innymi mechanizmami wspierającymi rozwój konkretnych technologii czy utrzymania istniejących jednostek węglowych. Do głównych wyzwań związanych z rynkiem mocy należy zapewnienie odpowiednich sygnałów inwestycyjnych dla nowych jednostek, ułatwienie transformacji energetycznej oraz wprowadzenie usprawnień w funkcjonowaniu tego mechanizmu. Często podnoszonym zagadnieniem przez ankietowanych była też zgodność tego mechanizmu z ambicjami transformacji energetycznej.</w:t>
      </w:r>
    </w:p>
    <w:p w14:paraId="6F68ADFB" w14:textId="77777777" w:rsidR="006741FC" w:rsidRPr="00BB3E4F" w:rsidRDefault="006741FC" w:rsidP="006741FC">
      <w:pPr>
        <w:pStyle w:val="Nagwek3"/>
      </w:pPr>
      <w:bookmarkStart w:id="137" w:name="_Toc183753354"/>
      <w:bookmarkStart w:id="138" w:name="_Toc188008620"/>
      <w:r w:rsidRPr="00BB3E4F">
        <w:t>Ocena uczestników ankiety Prezesa URE</w:t>
      </w:r>
      <w:bookmarkEnd w:id="137"/>
      <w:bookmarkEnd w:id="138"/>
    </w:p>
    <w:p w14:paraId="1DE76920" w14:textId="207CA388" w:rsidR="006741FC" w:rsidRPr="00BB3E4F" w:rsidRDefault="006741FC" w:rsidP="006741FC">
      <w:r w:rsidRPr="00BB3E4F">
        <w:t>Prezes URE przygotował badanie ankietowe, którego celem było zebranie opinii uczestników rynku energii elektrycznej oraz ewentualnych propozycji zmian w polskim mechanizmie mocowym</w:t>
      </w:r>
      <w:r w:rsidRPr="00BB3E4F">
        <w:rPr>
          <w:rStyle w:val="Odwoanieprzypisudolnego"/>
        </w:rPr>
        <w:footnoteReference w:id="23"/>
      </w:r>
      <w:r w:rsidR="00BD2475" w:rsidRPr="00163405">
        <w:rPr>
          <w:vertAlign w:val="superscript"/>
        </w:rPr>
        <w:t>)</w:t>
      </w:r>
      <w:r w:rsidRPr="00BB3E4F">
        <w:t xml:space="preserve">. Ankieta, skierowana do wszystkich uczestników rynku energii elektrycznej, składała się z 25 pytań podzielonych na pięć bloków tematycznych, została opublikowana na stronie internetowej Urzędu Regulacji Energetyki. Badanie obejmowało następujące obszary tematyczne: </w:t>
      </w:r>
    </w:p>
    <w:p w14:paraId="51B8BCAD" w14:textId="313E8B5F" w:rsidR="006741FC" w:rsidRPr="00BB3E4F" w:rsidRDefault="006741FC" w:rsidP="006741FC">
      <w:pPr>
        <w:pStyle w:val="Akapitzlist"/>
        <w:numPr>
          <w:ilvl w:val="0"/>
          <w:numId w:val="3"/>
        </w:numPr>
      </w:pPr>
      <w:r w:rsidRPr="00BB3E4F">
        <w:t>realizacja założonych celów wdrożenia mechanizmu mocowego</w:t>
      </w:r>
      <w:r w:rsidR="00C210E6">
        <w:t>;</w:t>
      </w:r>
    </w:p>
    <w:p w14:paraId="372B20B3" w14:textId="47758CCF" w:rsidR="006741FC" w:rsidRPr="00BB3E4F" w:rsidRDefault="006741FC" w:rsidP="006741FC">
      <w:pPr>
        <w:pStyle w:val="Akapitzlist"/>
        <w:numPr>
          <w:ilvl w:val="0"/>
          <w:numId w:val="3"/>
        </w:numPr>
      </w:pPr>
      <w:r w:rsidRPr="00BB3E4F">
        <w:t>organizacja i funkcjonowanie rynku mocy w Polsce</w:t>
      </w:r>
      <w:r w:rsidR="00C210E6">
        <w:t>;</w:t>
      </w:r>
    </w:p>
    <w:p w14:paraId="0C92436E" w14:textId="03A7BE1D" w:rsidR="006741FC" w:rsidRPr="00BB3E4F" w:rsidRDefault="006741FC" w:rsidP="006741FC">
      <w:pPr>
        <w:pStyle w:val="Akapitzlist"/>
        <w:numPr>
          <w:ilvl w:val="0"/>
          <w:numId w:val="3"/>
        </w:numPr>
      </w:pPr>
      <w:r w:rsidRPr="00BB3E4F">
        <w:lastRenderedPageBreak/>
        <w:t>wpływ na rynek energii oraz jego uczestników</w:t>
      </w:r>
      <w:r w:rsidR="00C210E6">
        <w:t>;</w:t>
      </w:r>
    </w:p>
    <w:p w14:paraId="6231829D" w14:textId="55351B00" w:rsidR="006741FC" w:rsidRPr="00BB3E4F" w:rsidRDefault="006741FC" w:rsidP="006741FC">
      <w:pPr>
        <w:pStyle w:val="Akapitzlist"/>
        <w:numPr>
          <w:ilvl w:val="0"/>
          <w:numId w:val="3"/>
        </w:numPr>
      </w:pPr>
      <w:r w:rsidRPr="00BB3E4F">
        <w:t>rynek wtórny</w:t>
      </w:r>
      <w:r w:rsidR="00C210E6">
        <w:t>;</w:t>
      </w:r>
    </w:p>
    <w:p w14:paraId="206CAEF5" w14:textId="77777777" w:rsidR="006741FC" w:rsidRPr="00BB3E4F" w:rsidRDefault="006741FC" w:rsidP="006741FC">
      <w:pPr>
        <w:pStyle w:val="Akapitzlist"/>
        <w:numPr>
          <w:ilvl w:val="0"/>
          <w:numId w:val="3"/>
        </w:numPr>
      </w:pPr>
      <w:r w:rsidRPr="00BB3E4F">
        <w:t xml:space="preserve">perspektywy dalszego funkcjonowania rynku mocy w Polsce. </w:t>
      </w:r>
    </w:p>
    <w:p w14:paraId="0480B264" w14:textId="7CF12167" w:rsidR="006741FC" w:rsidRPr="00BB3E4F" w:rsidRDefault="006741FC" w:rsidP="006741FC">
      <w:r w:rsidRPr="00BB3E4F">
        <w:t>Uczestników ankiety poproszono również o wskazanie kwestii nie objętych pytaniami, a które są</w:t>
      </w:r>
      <w:r w:rsidR="004F006B">
        <w:t> </w:t>
      </w:r>
      <w:r w:rsidRPr="00BB3E4F">
        <w:t xml:space="preserve">istotne w ich opinii w badanym obszarze. </w:t>
      </w:r>
    </w:p>
    <w:p w14:paraId="58486172" w14:textId="77777777" w:rsidR="006741FC" w:rsidRPr="00BB3E4F" w:rsidRDefault="006741FC" w:rsidP="006741FC">
      <w:r w:rsidRPr="00BB3E4F">
        <w:t>W badaniu wzięły udział zarówno podmioty, które zawarły kontrakty na rynku mocy jak i te, które nie uczestniczyły w aukcjach. Reprezentują one sektor wytwarzania energii elektrycznej, agregatorów jednostek DSR, odbiorców końcowych, przedsiębiorstwa obrotu energią, sektor magazynowania energii elektrycznej oraz organizacje non-profit zajmujące się transformacją energetyczną w Polsce.</w:t>
      </w:r>
    </w:p>
    <w:p w14:paraId="6BCF3850" w14:textId="7159BF3D" w:rsidR="006741FC" w:rsidRPr="00BB3E4F" w:rsidRDefault="006741FC" w:rsidP="006741FC">
      <w:r w:rsidRPr="00BB3E4F">
        <w:t>Większość podmiotów, które wzięły udział w badaniu, pozytywnie ocenia efekty wdrożenia rynku mocy w Polsce. Mechanizm mocowy, zdaniem respondentów wpłynął na poprawę bezpieczeństwa dostaw energii elektrycznej przez zapewnienie stabilnych przychodów dostawcom mocy, które ograniczając ryzyko inwestycyjne ułatwiły pozyskanie finansowania inwestycji. Szacowany spadek kosztu premii za ryzyko wynosił od 2 do 2,5 punktu procentowego. Zwrócono uwagę, że rynek mocy wspierał inwestycj</w:t>
      </w:r>
      <w:r w:rsidR="00192AC6">
        <w:t>e</w:t>
      </w:r>
      <w:r w:rsidRPr="00BB3E4F">
        <w:t xml:space="preserve"> w nowe i modernizacje istniejących mocy wytwórczych, wspierał rozwój w instalacje magazynowania, czy rozwój usług DSR. Zdaniem jednak niektórych respondentów poprawa bezpieczeństwa dostaw nastąpiła w horyzoncie krótkoterminowym, a obecna konstrukcja rynku mocy preferuje źródła konwencjonalne i w niewystarczającym stopniu wspiera rozwój DSR, magazynowania energii oraz źródeł OZE, jak również inwestycje w nowe moce. </w:t>
      </w:r>
    </w:p>
    <w:p w14:paraId="07B05678" w14:textId="77777777" w:rsidR="006741FC" w:rsidRPr="00BB3E4F" w:rsidRDefault="006741FC" w:rsidP="006741FC">
      <w:r w:rsidRPr="00BB3E4F">
        <w:t xml:space="preserve">Wpływ na rynek energii został również oceniony pozytywnie przez większą część uczestników badania, którzy wskazywali, że mechanizm mocowy przyczynił się do ograniczenia wzrostu hurtowych cen energii elektrycznej oraz ich stabilizacji. Zdecydowana większość respondentów opowiedziała się za pozostawieniem mechanizmu mocowego jako trwałego elementu uzupełniającego rynek energii w Polsce. Większość również nie akceptuje obniżenia bezpieczeństwa dostaw energii elektrycznej, które mogłoby być skutkiem likwidacji rynku mocy. </w:t>
      </w:r>
    </w:p>
    <w:p w14:paraId="12F1E162" w14:textId="77777777" w:rsidR="006741FC" w:rsidRPr="00BB3E4F" w:rsidRDefault="006741FC" w:rsidP="00C26DE8">
      <w:pPr>
        <w:spacing w:after="60"/>
      </w:pPr>
      <w:r w:rsidRPr="00BB3E4F">
        <w:t>Zdaniem respondentów funkcjonowanie rynku mocy poprawiłoby:</w:t>
      </w:r>
    </w:p>
    <w:p w14:paraId="64603162" w14:textId="1B0A8B1D" w:rsidR="006741FC" w:rsidRPr="00BB3E4F" w:rsidRDefault="006741FC" w:rsidP="006741FC">
      <w:pPr>
        <w:pStyle w:val="Akapitzlist"/>
        <w:numPr>
          <w:ilvl w:val="0"/>
          <w:numId w:val="4"/>
        </w:numPr>
      </w:pPr>
      <w:r w:rsidRPr="00BB3E4F">
        <w:t>zapewnienie nowych inwestycji zwiększających elastyczność w KSE w kolejnych aukcjach mocy</w:t>
      </w:r>
      <w:r w:rsidR="00C210E6">
        <w:t>;</w:t>
      </w:r>
    </w:p>
    <w:p w14:paraId="59537310" w14:textId="7E878610" w:rsidR="006741FC" w:rsidRPr="00BB3E4F" w:rsidRDefault="006741FC" w:rsidP="006741FC">
      <w:pPr>
        <w:pStyle w:val="Akapitzlist"/>
        <w:numPr>
          <w:ilvl w:val="0"/>
          <w:numId w:val="4"/>
        </w:numPr>
      </w:pPr>
      <w:r w:rsidRPr="00BB3E4F">
        <w:t>umożliwienie łączenia wsparcia z rynku mocy ze wsparciem dla źródeł odnawialnych</w:t>
      </w:r>
      <w:r w:rsidR="00C210E6">
        <w:t>;</w:t>
      </w:r>
    </w:p>
    <w:p w14:paraId="71720D51" w14:textId="302F0C4C" w:rsidR="006741FC" w:rsidRPr="00BB3E4F" w:rsidRDefault="006741FC" w:rsidP="006741FC">
      <w:pPr>
        <w:pStyle w:val="Akapitzlist"/>
        <w:numPr>
          <w:ilvl w:val="0"/>
          <w:numId w:val="4"/>
        </w:numPr>
      </w:pPr>
      <w:r w:rsidRPr="00BB3E4F">
        <w:t>dostosowanie mechanizmu do rozwoju technologicznego i zmian prawnych (V2G, cable-pooling, submetering, zmiana dostawcy mocy/agregatora, poprawa warunków udziału DSR</w:t>
      </w:r>
      <w:r w:rsidR="00C210E6" w:rsidRPr="00BB3E4F">
        <w:t>)</w:t>
      </w:r>
      <w:r w:rsidR="00C210E6">
        <w:t>;</w:t>
      </w:r>
    </w:p>
    <w:p w14:paraId="3F75DAD5" w14:textId="17F79C73" w:rsidR="006741FC" w:rsidRPr="00BB3E4F" w:rsidRDefault="006741FC" w:rsidP="006741FC">
      <w:pPr>
        <w:pStyle w:val="Akapitzlist"/>
        <w:numPr>
          <w:ilvl w:val="0"/>
          <w:numId w:val="4"/>
        </w:numPr>
      </w:pPr>
      <w:r w:rsidRPr="00BB3E4F">
        <w:lastRenderedPageBreak/>
        <w:t>zwiększenie przejrzystości i przewidywalności przepisów prawa, wydłużenie terminów dla dostawców mocy, w tym czasu na zrealizowanie inwestycji kapitałochłonnej, optymalizacja procesów regulacyjnych, ograniczenie wymogów regulacyjnych i kar</w:t>
      </w:r>
      <w:r w:rsidR="00C210E6">
        <w:t>;</w:t>
      </w:r>
    </w:p>
    <w:p w14:paraId="2758E157" w14:textId="11399D48" w:rsidR="006741FC" w:rsidRPr="00BB3E4F" w:rsidRDefault="006741FC" w:rsidP="006741FC">
      <w:pPr>
        <w:pStyle w:val="Akapitzlist"/>
        <w:numPr>
          <w:ilvl w:val="0"/>
          <w:numId w:val="4"/>
        </w:numPr>
      </w:pPr>
      <w:r w:rsidRPr="00BB3E4F">
        <w:t>wprowadzenie wcześniejszej waloryzacji umów mocowych</w:t>
      </w:r>
      <w:r w:rsidR="00C210E6">
        <w:t>;</w:t>
      </w:r>
    </w:p>
    <w:p w14:paraId="17C996C8" w14:textId="6A537ACB" w:rsidR="006741FC" w:rsidRPr="00BB3E4F" w:rsidRDefault="006741FC" w:rsidP="006741FC">
      <w:pPr>
        <w:pStyle w:val="Akapitzlist"/>
        <w:numPr>
          <w:ilvl w:val="0"/>
          <w:numId w:val="4"/>
        </w:numPr>
      </w:pPr>
      <w:r w:rsidRPr="00BB3E4F">
        <w:t>rozszerzenie możliwości stosowania indywidualnych korekcyjnych współczynników dyspozycyjności oraz wprowadzenie indywidualnych korekcyjnych współczynników dyspozycyjności dla magazynów o różnych możliwościach pracy w trybie rozładowania</w:t>
      </w:r>
      <w:r w:rsidR="00C210E6">
        <w:t>;</w:t>
      </w:r>
    </w:p>
    <w:p w14:paraId="2BAA37C5" w14:textId="77777777" w:rsidR="006741FC" w:rsidRPr="00BB3E4F" w:rsidRDefault="006741FC" w:rsidP="006741FC">
      <w:pPr>
        <w:pStyle w:val="Akapitzlist"/>
        <w:numPr>
          <w:ilvl w:val="0"/>
          <w:numId w:val="4"/>
        </w:numPr>
      </w:pPr>
      <w:r w:rsidRPr="00BB3E4F">
        <w:t>zmiana zasad udziału jednostek zagranicznych w rynku mocy, tak aby zagraniczny OSP był zobowiązany do faktycznej dostawy mocy do polskiego systemu.</w:t>
      </w:r>
    </w:p>
    <w:p w14:paraId="3C2A547D" w14:textId="77777777" w:rsidR="006741FC" w:rsidRPr="00BB3E4F" w:rsidRDefault="006741FC" w:rsidP="006741FC">
      <w:r w:rsidRPr="00BB3E4F">
        <w:t>Niezależnie od powyższego Prezes Urzędu Regulacji Energetyki przekazał Ministrowi Klimatu i Środowiska własne rekomendacje zmian w rynku mocy, które obejmowały:</w:t>
      </w:r>
    </w:p>
    <w:p w14:paraId="3EF803AC" w14:textId="1F9A9AF6" w:rsidR="006741FC" w:rsidRPr="00BB3E4F" w:rsidRDefault="006741FC" w:rsidP="006741FC">
      <w:pPr>
        <w:pStyle w:val="Akapitzlist"/>
        <w:numPr>
          <w:ilvl w:val="0"/>
          <w:numId w:val="15"/>
        </w:numPr>
      </w:pPr>
      <w:r w:rsidRPr="00BB3E4F">
        <w:t>zmianę sposobu kształtowania ceny obowiązków mocowych dla istniejących jednostek wytwórczych</w:t>
      </w:r>
      <w:r w:rsidR="00C210E6">
        <w:t>;</w:t>
      </w:r>
    </w:p>
    <w:p w14:paraId="4BB1A32B" w14:textId="09378159" w:rsidR="006741FC" w:rsidRPr="00BB3E4F" w:rsidRDefault="006741FC" w:rsidP="006741FC">
      <w:pPr>
        <w:pStyle w:val="Akapitzlist"/>
        <w:numPr>
          <w:ilvl w:val="0"/>
          <w:numId w:val="15"/>
        </w:numPr>
      </w:pPr>
      <w:r w:rsidRPr="00BB3E4F">
        <w:t>modyfikację procedur związanych z ustanawianiem zabezpieczeń</w:t>
      </w:r>
      <w:r w:rsidR="00C210E6">
        <w:t>;</w:t>
      </w:r>
    </w:p>
    <w:p w14:paraId="78CD7F9C" w14:textId="3169ECBA" w:rsidR="006741FC" w:rsidRPr="00BB3E4F" w:rsidRDefault="006741FC" w:rsidP="006741FC">
      <w:pPr>
        <w:pStyle w:val="Akapitzlist"/>
        <w:numPr>
          <w:ilvl w:val="0"/>
          <w:numId w:val="15"/>
        </w:numPr>
      </w:pPr>
      <w:r w:rsidRPr="00BB3E4F">
        <w:t>wprowadzenie oddzielnych koszyk</w:t>
      </w:r>
      <w:r w:rsidR="00192AC6">
        <w:t>ów</w:t>
      </w:r>
      <w:r w:rsidRPr="00BB3E4F">
        <w:t xml:space="preserve"> aukcyjn</w:t>
      </w:r>
      <w:r w:rsidR="00192AC6">
        <w:t>ych</w:t>
      </w:r>
      <w:r w:rsidRPr="00BB3E4F">
        <w:t xml:space="preserve"> dla jednostek wytwórczych oraz źródeł zapewniających elastyczność systemu (magazyny energii, usługi DSR</w:t>
      </w:r>
      <w:r w:rsidR="00C210E6" w:rsidRPr="00BB3E4F">
        <w:t>)</w:t>
      </w:r>
      <w:r w:rsidR="00C210E6">
        <w:t>;</w:t>
      </w:r>
    </w:p>
    <w:p w14:paraId="7EA57F73" w14:textId="77777777" w:rsidR="006741FC" w:rsidRPr="00BB3E4F" w:rsidRDefault="006741FC" w:rsidP="006741FC">
      <w:pPr>
        <w:pStyle w:val="Akapitzlist"/>
        <w:numPr>
          <w:ilvl w:val="0"/>
          <w:numId w:val="15"/>
        </w:numPr>
      </w:pPr>
      <w:r w:rsidRPr="00BB3E4F">
        <w:t>zmianę podejścia do wyznaczania współczynników KWD dla magazynów energii.</w:t>
      </w:r>
    </w:p>
    <w:p w14:paraId="2E1761AE" w14:textId="77777777" w:rsidR="006741FC" w:rsidRPr="00BB3E4F" w:rsidRDefault="006741FC" w:rsidP="006741FC">
      <w:pPr>
        <w:pStyle w:val="Nagwek2"/>
      </w:pPr>
      <w:bookmarkStart w:id="139" w:name="_Toc183753355"/>
      <w:bookmarkStart w:id="140" w:name="_Toc188008621"/>
      <w:r w:rsidRPr="00BB3E4F">
        <w:t>Propozycje zmian przekazywane przez uczestników rynku</w:t>
      </w:r>
      <w:bookmarkEnd w:id="139"/>
      <w:bookmarkEnd w:id="140"/>
    </w:p>
    <w:p w14:paraId="520B1046" w14:textId="501A3368" w:rsidR="006741FC" w:rsidRPr="00BB3E4F" w:rsidRDefault="006741FC" w:rsidP="006741FC">
      <w:r w:rsidRPr="00BB3E4F">
        <w:t>Dnia 2 października 2024 r. w Ministerstwie Klimatu i Środowiska, odbyło się spotkanie z przedstawicielami organizacji wytwórców, magazynów, odbiorców oraz think-tankami. Na</w:t>
      </w:r>
      <w:r w:rsidR="004F006B">
        <w:t> </w:t>
      </w:r>
      <w:r w:rsidRPr="00BB3E4F">
        <w:t>spotkaniu większość uczestników spotkania zgodziła się, że rynek mocy spełnił swoje główne cele w zakresie zapewnienia bezpieczeństwa dostaw oraz powinien być kontynuowany w</w:t>
      </w:r>
      <w:r>
        <w:t> </w:t>
      </w:r>
      <w:r w:rsidRPr="00BB3E4F">
        <w:t>przyszłości, choć uważają za zasadne wprowadzenie pewnych zmian w mechanizmie i</w:t>
      </w:r>
      <w:r>
        <w:t> </w:t>
      </w:r>
      <w:r w:rsidRPr="00BB3E4F">
        <w:t>dostosowanie go do nowych wyzwań związanych z transformacją energetyczną. Zmiany te</w:t>
      </w:r>
      <w:r w:rsidR="004F006B">
        <w:t> </w:t>
      </w:r>
      <w:r w:rsidRPr="00BB3E4F">
        <w:t xml:space="preserve">powinny w szczególności promować budowę nowych mocy, wprowadzić elementy mocniej premiujące elastyczność zasobów mocowych pozyskiwanych w ramach mechanizmu oraz zwiększyć efektywność kosztową mechanizmu. Wskazano również na konieczność zwiększenia efektu zachęty dla zakupu w ramach aukcji większej ilości mocy o parametrach dopasowanych do systemu elektroenergetycznego z dużą penetracją źródeł wytwórczych o niestabilnej generacji. W ramach dyskusji poddano także pod rozwagę wprowadzenie rozwiązań, które wsparłyby udział zasobów elastyczności (takich jak DSR i magazyny energii) i OZE w </w:t>
      </w:r>
      <w:r w:rsidRPr="00BB3E4F">
        <w:lastRenderedPageBreak/>
        <w:t>rynku energii, rynku bilansującym, rynku usług systemowych i usług elastyczności, tak aby jak najlepiej uwzględnić wyzwania przyszłego miksu energetycznego. Pojawiły się również głosy podkreślające szczególną sytuację odbiorców przemysłowych, którzy mogą być zarówno beneficjentami mechanizmu jako dostawcy usług w ramach zasobów DSR, jak i płatnikami narażonymi na wysokie koszty. Podkreślono konieczność zapewnienia efektywności kosztowej mechanizmu oraz wskazano, że najważniejszymi beneficjentami rynku mocy są odbiorcy końcowi, którzy w ramach płatności za mechanizm muszą mieć zapewnione długoterminowe bezpieczeństwo energetyczne. Po spotkaniu uczestnicy mieli możliwość przesłania szczegółowych uwag, które będą analizowane podczas przygotowania ram funkcjonalnych rynku mocy po 2030 r.</w:t>
      </w:r>
    </w:p>
    <w:p w14:paraId="0D7C32E3" w14:textId="77777777" w:rsidR="006741FC" w:rsidRPr="00BB3E4F" w:rsidRDefault="006741FC" w:rsidP="006741FC">
      <w:pPr>
        <w:pStyle w:val="Nagwek1"/>
      </w:pPr>
      <w:bookmarkStart w:id="141" w:name="_Toc180663611"/>
      <w:bookmarkStart w:id="142" w:name="_Toc180755061"/>
      <w:bookmarkStart w:id="143" w:name="_Toc180756301"/>
      <w:bookmarkStart w:id="144" w:name="_Toc178058984"/>
      <w:bookmarkEnd w:id="141"/>
      <w:bookmarkEnd w:id="142"/>
      <w:bookmarkEnd w:id="143"/>
      <w:r w:rsidRPr="00BB3E4F">
        <w:t xml:space="preserve"> </w:t>
      </w:r>
      <w:bookmarkStart w:id="145" w:name="_Toc183753356"/>
      <w:bookmarkStart w:id="146" w:name="_Toc188008622"/>
      <w:r w:rsidRPr="00BB3E4F">
        <w:t>Analiza wystarczalności zasobów</w:t>
      </w:r>
      <w:bookmarkEnd w:id="144"/>
      <w:bookmarkEnd w:id="145"/>
      <w:bookmarkEnd w:id="146"/>
    </w:p>
    <w:p w14:paraId="70B8DFB1" w14:textId="47AB7AA7" w:rsidR="006741FC" w:rsidRPr="00BB3E4F" w:rsidRDefault="006741FC" w:rsidP="006741FC">
      <w:r w:rsidRPr="00BB3E4F">
        <w:t>Zgodnie z art. 20 ust 1</w:t>
      </w:r>
      <w:r w:rsidR="00826A6D">
        <w:t>–</w:t>
      </w:r>
      <w:r w:rsidRPr="00BB3E4F">
        <w:t>3 oraz 21 ust. 1 rozporządzenia rynkowego podstawą do wprowadzenia mechanizmów wystarczalności zasobów jest stwierdzenie problemów z wystarczalnością zasobów w:</w:t>
      </w:r>
    </w:p>
    <w:p w14:paraId="7F6A7019" w14:textId="77777777" w:rsidR="006741FC" w:rsidRPr="00BB3E4F" w:rsidRDefault="006741FC" w:rsidP="006741FC">
      <w:pPr>
        <w:pStyle w:val="Akapitzlist"/>
        <w:numPr>
          <w:ilvl w:val="0"/>
          <w:numId w:val="5"/>
        </w:numPr>
      </w:pPr>
      <w:r w:rsidRPr="00BB3E4F">
        <w:t>ocenie wystarczalności zasobów na poziomie europejskim lub</w:t>
      </w:r>
    </w:p>
    <w:p w14:paraId="315B7761" w14:textId="77777777" w:rsidR="006741FC" w:rsidRPr="00BB3E4F" w:rsidRDefault="006741FC" w:rsidP="006741FC">
      <w:pPr>
        <w:pStyle w:val="Akapitzlist"/>
        <w:numPr>
          <w:ilvl w:val="0"/>
          <w:numId w:val="5"/>
        </w:numPr>
      </w:pPr>
      <w:r w:rsidRPr="00BB3E4F">
        <w:t>ocenie wystarczalności zasobów na poziomie krajowym.</w:t>
      </w:r>
    </w:p>
    <w:p w14:paraId="1CFF874D" w14:textId="282DA426" w:rsidR="006741FC" w:rsidRPr="00BB3E4F" w:rsidRDefault="006741FC" w:rsidP="006741FC">
      <w:r w:rsidRPr="00BB3E4F">
        <w:t>Ocena wystarczalności zasobów na poziomie europejskim identyfikuje problemy z wystarczalnością zasobów przez ocenę ogólnej zdolności systemu elektroenergetycznego do</w:t>
      </w:r>
      <w:r w:rsidR="0094621D">
        <w:t> </w:t>
      </w:r>
      <w:r w:rsidRPr="00BB3E4F">
        <w:t>zaspokajania obecnego i przewidywanego zapotrzebowania na energię elektryczną, odpowiednio, na poziomie Unii i na poziomie państw członkowskich. Ocena wystarczalności zasobów na poziomie europejskim obejmuje każdy rok w okresie 10 lat od daty tej oceny. Jest ona opracowywana w oparciu o dane przekazywane przez operatorów systemów przesyłowych.</w:t>
      </w:r>
    </w:p>
    <w:p w14:paraId="11F65E41" w14:textId="7EBA35A8" w:rsidR="006741FC" w:rsidRPr="00BB3E4F" w:rsidRDefault="006741FC" w:rsidP="006741FC">
      <w:r w:rsidRPr="00BB3E4F">
        <w:t xml:space="preserve">Ocena wystarczalności zasobów na poziomie europejskim wykorzystuje centralne scenariusze referencyjne prognozowanego popytu i podaży, w tym ocenę ekonomicznej prawdopodobieństwa wycofania z eksploatacji aktywów wytwórczych, ich czasowego zamknięcia, wprowadzenia do eksploatacji nowych aktywów wytwórczych oraz środków służących osiągnięciu docelowych poziomów efektywności energetycznej i połączeń wzajemnych energii elektrycznej oraz odpowiednich poziomów wrażliwości dotyczących ekstremalnych zdarzeń meteorologicznych, warunków hydrologicznych, cen hurtowych oraz zmian cen emisji dwutlenku węgla. Ocena ta zawiera również odrębne scenariusze odzwierciedlające różne prawdopodobieństwo wystąpienia problemów z wystarczalnością mocy wytwórczych, </w:t>
      </w:r>
      <w:r w:rsidR="00E03111" w:rsidRPr="00BB3E4F">
        <w:t>któr</w:t>
      </w:r>
      <w:r w:rsidR="00E03111">
        <w:t>e</w:t>
      </w:r>
      <w:r w:rsidR="00E03111" w:rsidRPr="00BB3E4F">
        <w:t xml:space="preserve"> </w:t>
      </w:r>
      <w:r w:rsidR="009E1BA1">
        <w:t xml:space="preserve">są rozwiązywane przez </w:t>
      </w:r>
      <w:r w:rsidRPr="00BB3E4F">
        <w:t>różne rodzaje mechanizmów zdolności wytwórczych, czy warianty bez istniejących lub planowanych mechanizmów zdolności wytwórczych. Wyniki powinny być prezentowane z użyciem wielkości „oczekiwanej ilości niedostarczonej energii tzw. EENS” oraz „oczekiwanego czas</w:t>
      </w:r>
      <w:r w:rsidR="00192AC6">
        <w:t>u</w:t>
      </w:r>
      <w:r w:rsidRPr="00BB3E4F">
        <w:t xml:space="preserve"> braku dostaw energii elektrycznej </w:t>
      </w:r>
      <w:r w:rsidR="00826A6D">
        <w:t>–</w:t>
      </w:r>
      <w:r w:rsidR="00826A6D" w:rsidRPr="00BB3E4F">
        <w:t xml:space="preserve"> </w:t>
      </w:r>
      <w:r w:rsidR="00192AC6" w:rsidRPr="00BB3E4F">
        <w:t>L</w:t>
      </w:r>
      <w:r w:rsidR="00192AC6">
        <w:t>O</w:t>
      </w:r>
      <w:r w:rsidR="00192AC6" w:rsidRPr="00BB3E4F">
        <w:t>LE</w:t>
      </w:r>
      <w:r w:rsidRPr="00BB3E4F">
        <w:t>”.</w:t>
      </w:r>
    </w:p>
    <w:p w14:paraId="338AAFD1" w14:textId="77777777" w:rsidR="006741FC" w:rsidRPr="00BB3E4F" w:rsidRDefault="006741FC" w:rsidP="006741FC">
      <w:r w:rsidRPr="00BB3E4F">
        <w:lastRenderedPageBreak/>
        <w:t>Oceny wystarczalności zasobów na poziomie krajowym mają zasięg regionalny i opierają się na tej samej metodzie, co ocena wystarczalności zasobów na poziomie europejskim. Obejmuje ona centralne scenariusze referencyjne z oceny wystarczalności zasobów na poziomie europejskim. Oceny krajowe mogą również uwzględniać dodatkowe poziomy wrażliwości oprócz tych, przyjętych w ocenie na poziomie Europejskim, w szczególności mogą:</w:t>
      </w:r>
    </w:p>
    <w:p w14:paraId="6A87B459" w14:textId="77777777" w:rsidR="006741FC" w:rsidRPr="00BB3E4F" w:rsidRDefault="006741FC" w:rsidP="006741FC">
      <w:pPr>
        <w:pStyle w:val="Akapitzlist"/>
        <w:numPr>
          <w:ilvl w:val="0"/>
          <w:numId w:val="6"/>
        </w:numPr>
      </w:pPr>
      <w:r w:rsidRPr="00BB3E4F">
        <w:t>przyjmować założenia uwzględniające specyfikę krajowego popytu i podaży na energię elektryczną;</w:t>
      </w:r>
    </w:p>
    <w:p w14:paraId="731EA8D9" w14:textId="77777777" w:rsidR="006741FC" w:rsidRPr="00BB3E4F" w:rsidRDefault="006741FC" w:rsidP="006741FC">
      <w:pPr>
        <w:pStyle w:val="Akapitzlist"/>
        <w:numPr>
          <w:ilvl w:val="0"/>
          <w:numId w:val="6"/>
        </w:numPr>
      </w:pPr>
      <w:r w:rsidRPr="00BB3E4F">
        <w:t>korzystać z narzędzi i spójnych najnowszych danych uzupełniających te wykorzystywane na potrzeby oceny wystarczalności zasobów na poziomie europejskim.</w:t>
      </w:r>
    </w:p>
    <w:p w14:paraId="7A4089F6" w14:textId="77777777" w:rsidR="006741FC" w:rsidRPr="00BB3E4F" w:rsidRDefault="006741FC" w:rsidP="006741FC">
      <w:r w:rsidRPr="00BB3E4F">
        <w:t>Oceny wystarczalności zasobów na poziomie europejskim i krajowym podlegają publikacji oraz przedłożeniu ACER. Organ odpowiedzialny za ocenę wystarczalności zasobów należycie uwzględnia opinię ACER i w razie konieczności zmienia swoją ocenę, lub publikuje sprawozdanie ze szczegółowym uzasadnieniem.</w:t>
      </w:r>
    </w:p>
    <w:p w14:paraId="18F98965" w14:textId="77777777" w:rsidR="006741FC" w:rsidRPr="00BB3E4F" w:rsidRDefault="006741FC" w:rsidP="006741FC">
      <w:pPr>
        <w:pStyle w:val="Nagwek2"/>
      </w:pPr>
      <w:bookmarkStart w:id="147" w:name="_Toc183753357"/>
      <w:bookmarkStart w:id="148" w:name="_Toc188008623"/>
      <w:r w:rsidRPr="00BB3E4F">
        <w:t>Europejska analiza wystarczalności zasobów (ERAA)</w:t>
      </w:r>
      <w:bookmarkEnd w:id="147"/>
      <w:bookmarkEnd w:id="148"/>
    </w:p>
    <w:p w14:paraId="3818B83D" w14:textId="5995C327" w:rsidR="006741FC" w:rsidRPr="00BB3E4F" w:rsidRDefault="006741FC" w:rsidP="006741FC">
      <w:r w:rsidRPr="00FE14B4">
        <w:rPr>
          <w:i/>
          <w:iCs/>
        </w:rPr>
        <w:t>European Resource Adequacy Assessment 2023 Edition</w:t>
      </w:r>
      <w:r w:rsidRPr="00BB3E4F">
        <w:rPr>
          <w:rStyle w:val="Odwoanieprzypisudolnego"/>
          <w:lang w:val="en-US"/>
        </w:rPr>
        <w:footnoteReference w:id="24"/>
      </w:r>
      <w:r w:rsidR="00BD2475" w:rsidRPr="00163405">
        <w:rPr>
          <w:i/>
          <w:iCs/>
          <w:vertAlign w:val="superscript"/>
        </w:rPr>
        <w:t>)</w:t>
      </w:r>
      <w:r w:rsidRPr="00BB3E4F">
        <w:t xml:space="preserve"> było pierwszą oceną wystarczalności zasobów na poziomie Europejskim zatwierdzoną przez ACER</w:t>
      </w:r>
      <w:r w:rsidRPr="00BB3E4F">
        <w:rPr>
          <w:rStyle w:val="Odwoanieprzypisudolnego"/>
        </w:rPr>
        <w:footnoteReference w:id="25"/>
      </w:r>
      <w:r w:rsidR="00BD2475" w:rsidRPr="00163405">
        <w:rPr>
          <w:vertAlign w:val="superscript"/>
        </w:rPr>
        <w:t>)</w:t>
      </w:r>
      <w:r w:rsidRPr="00BB3E4F">
        <w:t xml:space="preserve">. Jak wspomniano w sekcji </w:t>
      </w:r>
      <w:r w:rsidRPr="00BB3E4F">
        <w:fldChar w:fldCharType="begin"/>
      </w:r>
      <w:r w:rsidRPr="00BB3E4F">
        <w:instrText xml:space="preserve"> REF _Ref180756682 \r \h  \* MERGEFORMAT </w:instrText>
      </w:r>
      <w:r w:rsidRPr="00BB3E4F">
        <w:fldChar w:fldCharType="separate"/>
      </w:r>
      <w:r w:rsidRPr="00BB3E4F">
        <w:t>3.4.5</w:t>
      </w:r>
      <w:r w:rsidRPr="00BB3E4F">
        <w:fldChar w:fldCharType="end"/>
      </w:r>
      <w:r w:rsidRPr="00BB3E4F">
        <w:t xml:space="preserve"> wyniki tej oceny wskazują na prawdopodobne zapewnienie bezpieczeństwa dostaw energii elektrycznej w Polsce do 2030 r., czyli w okresie obowiązywania rynku mocy. Wyniki wskazują, że w 2033 standard bezpieczeństwa nie jest utrzymany zarówno w centralnym scenariuszu referencyjnym (gdzie został przekroczony niemal trzykrotnie), jak i w scenariuszu wrażliwości (w którym został przekroczony ponad czterokrotnie). Wyniki te wskazują na ryzyko niedotrzymania standardu bezpieczeństwa dostaw energii elektrycznej po 2030 r., w przypadku braku wprowadzenia mechanizmu mocowego. </w:t>
      </w:r>
    </w:p>
    <w:p w14:paraId="2760E01E" w14:textId="4B766E3A" w:rsidR="006741FC" w:rsidRPr="00BB3E4F" w:rsidRDefault="006741FC" w:rsidP="006741FC">
      <w:r w:rsidRPr="00BB3E4F">
        <w:t>Warto jednocześnie zaznaczyć, że Polska nie jest jedynym krajem</w:t>
      </w:r>
      <w:r w:rsidR="00C26DE8">
        <w:t>,</w:t>
      </w:r>
      <w:r w:rsidRPr="00BB3E4F">
        <w:t xml:space="preserve"> w którym przewiduje się, że</w:t>
      </w:r>
      <w:r w:rsidR="0094621D">
        <w:t> </w:t>
      </w:r>
      <w:r w:rsidRPr="00BB3E4F">
        <w:t xml:space="preserve">oczekiwany czas braku dostaw energii elektrycznej przekroczy 3 godziny/rok. Taka sytuacja dotyczy 13 innych państw UE w obu scenariuszach, w tym w przypadku czterech przewiduje się bardziej napięty bilans mocy niż w Polsce, a w przypadku jednego porównywalny do </w:t>
      </w:r>
      <w:r w:rsidR="00ED442C">
        <w:t>p</w:t>
      </w:r>
      <w:r w:rsidR="00ED442C" w:rsidRPr="00BB3E4F">
        <w:t>olskiego</w:t>
      </w:r>
      <w:r w:rsidRPr="00BB3E4F">
        <w:t xml:space="preserve">. W scenariuszu wrażliwości tak rozumiany </w:t>
      </w:r>
      <w:r w:rsidRPr="00BB3E4F">
        <w:lastRenderedPageBreak/>
        <w:t>standard bezpieczeństwa nie zostałby utrzymany w 16 innych państwach UE, w tym w przypadku ośmiu przewiduje się bardziej napięty bilans mocy niż w Polsce.</w:t>
      </w:r>
    </w:p>
    <w:p w14:paraId="4A829E36" w14:textId="77777777" w:rsidR="006741FC" w:rsidRPr="00BB3E4F" w:rsidRDefault="006741FC" w:rsidP="006741FC">
      <w:r w:rsidRPr="00BB3E4F">
        <w:t>Na wykresach poniżej przedstawiono „oczekiwany czas przerw w dostawach energii elektrycznej”, będący skutkiem braku wystarczającej mocy zasobów wytwórczych w</w:t>
      </w:r>
      <w:r>
        <w:t> </w:t>
      </w:r>
      <w:r w:rsidRPr="00BB3E4F">
        <w:t>poszczególnych krajach, zamieszczona we wspomnianej ocenie.</w:t>
      </w:r>
    </w:p>
    <w:tbl>
      <w:tblPr>
        <w:tblW w:w="5000" w:type="pct"/>
        <w:tblCellSpacing w:w="0" w:type="dxa"/>
        <w:tblCellMar>
          <w:left w:w="0" w:type="dxa"/>
          <w:right w:w="0" w:type="dxa"/>
        </w:tblCellMar>
        <w:tblLook w:val="04A0" w:firstRow="1" w:lastRow="0" w:firstColumn="1" w:lastColumn="0" w:noHBand="0" w:noVBand="1"/>
      </w:tblPr>
      <w:tblGrid>
        <w:gridCol w:w="4536"/>
        <w:gridCol w:w="4536"/>
      </w:tblGrid>
      <w:tr w:rsidR="006741FC" w:rsidRPr="00BB3E4F" w14:paraId="7B4E9782" w14:textId="77777777" w:rsidTr="0028603C">
        <w:trPr>
          <w:tblCellSpacing w:w="0" w:type="dxa"/>
        </w:trPr>
        <w:tc>
          <w:tcPr>
            <w:tcW w:w="0" w:type="auto"/>
            <w:hideMark/>
          </w:tcPr>
          <w:p w14:paraId="0FFC6A1E" w14:textId="77777777" w:rsidR="006741FC" w:rsidRPr="00BB3E4F" w:rsidRDefault="006741FC" w:rsidP="0028603C">
            <w:pPr>
              <w:pStyle w:val="Legenda"/>
              <w:keepNext/>
            </w:pPr>
          </w:p>
        </w:tc>
        <w:tc>
          <w:tcPr>
            <w:tcW w:w="0" w:type="auto"/>
            <w:hideMark/>
          </w:tcPr>
          <w:p w14:paraId="617FB4F9" w14:textId="77777777" w:rsidR="006741FC" w:rsidRPr="00BB3E4F" w:rsidRDefault="006741FC" w:rsidP="0028603C">
            <w:pPr>
              <w:pStyle w:val="Legenda"/>
              <w:keepNext/>
            </w:pPr>
          </w:p>
        </w:tc>
      </w:tr>
    </w:tbl>
    <w:p w14:paraId="11175B61" w14:textId="196F742D" w:rsidR="006741FC" w:rsidRPr="00BB3E4F" w:rsidRDefault="006741FC" w:rsidP="006741FC">
      <w:pPr>
        <w:pStyle w:val="Legenda"/>
        <w:keepNext/>
      </w:pPr>
      <w:bookmarkStart w:id="149" w:name="_Toc188209369"/>
      <w:r w:rsidRPr="00BB3E4F">
        <w:t xml:space="preserve">Rysunek </w:t>
      </w:r>
      <w:fldSimple w:instr=" SEQ Rysunek \* ARABIC ">
        <w:r w:rsidRPr="00BB3E4F">
          <w:rPr>
            <w:noProof/>
          </w:rPr>
          <w:t>18</w:t>
        </w:r>
      </w:fldSimple>
      <w:r w:rsidRPr="00BB3E4F">
        <w:t>. „Oczekiwany czas braku dostaw energii elektrycznej” w scenariuszu referencyjnym</w:t>
      </w:r>
      <w:bookmarkEnd w:id="149"/>
    </w:p>
    <w:p w14:paraId="4819432C" w14:textId="77777777" w:rsidR="006741FC" w:rsidRPr="00BB3E4F" w:rsidRDefault="006741FC" w:rsidP="006741FC">
      <w:r w:rsidRPr="00BB3E4F">
        <w:rPr>
          <w:noProof/>
          <w:lang w:eastAsia="pl-PL"/>
        </w:rPr>
        <w:drawing>
          <wp:inline distT="0" distB="0" distL="0" distR="0" wp14:anchorId="5B7A84EE" wp14:editId="064A85B7">
            <wp:extent cx="5760720" cy="6054725"/>
            <wp:effectExtent l="0" t="0" r="0" b="3175"/>
            <wp:docPr id="288915021" name="Obraz 1" descr="LOLE 2033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LE 2033 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6054725"/>
                    </a:xfrm>
                    <a:prstGeom prst="rect">
                      <a:avLst/>
                    </a:prstGeom>
                    <a:noFill/>
                    <a:ln>
                      <a:noFill/>
                    </a:ln>
                  </pic:spPr>
                </pic:pic>
              </a:graphicData>
            </a:graphic>
          </wp:inline>
        </w:drawing>
      </w:r>
    </w:p>
    <w:p w14:paraId="0C32CBE6" w14:textId="2219A3BF" w:rsidR="006741FC" w:rsidRPr="00BB3E4F" w:rsidRDefault="006741FC" w:rsidP="006741FC">
      <w:pPr>
        <w:pStyle w:val="Legenda"/>
        <w:rPr>
          <w:lang w:val="en-US"/>
        </w:rPr>
      </w:pPr>
      <w:r w:rsidRPr="00BB3E4F">
        <w:rPr>
          <w:lang w:val="en-US"/>
        </w:rPr>
        <w:t>Źródło: European Resource Adequacy Assessment 2023 Edition</w:t>
      </w:r>
      <w:r w:rsidRPr="00BB3E4F">
        <w:rPr>
          <w:rStyle w:val="Odwoanieprzypisudolnego"/>
          <w:lang w:val="en-US"/>
        </w:rPr>
        <w:footnoteReference w:id="26"/>
      </w:r>
      <w:r w:rsidR="00BD2475" w:rsidRPr="00163405">
        <w:rPr>
          <w:vertAlign w:val="superscript"/>
          <w:lang w:val="en-US"/>
        </w:rPr>
        <w:t>)</w:t>
      </w:r>
    </w:p>
    <w:p w14:paraId="13C4F306" w14:textId="72871534" w:rsidR="006741FC" w:rsidRPr="00BB3E4F" w:rsidRDefault="006741FC" w:rsidP="006741FC">
      <w:pPr>
        <w:pStyle w:val="Legenda"/>
        <w:keepNext/>
      </w:pPr>
      <w:bookmarkStart w:id="150" w:name="_Toc188209370"/>
      <w:r w:rsidRPr="00BB3E4F">
        <w:lastRenderedPageBreak/>
        <w:t xml:space="preserve">Rysunek </w:t>
      </w:r>
      <w:fldSimple w:instr=" SEQ Rysunek \* ARABIC ">
        <w:r w:rsidRPr="00BB3E4F">
          <w:rPr>
            <w:noProof/>
          </w:rPr>
          <w:t>19</w:t>
        </w:r>
      </w:fldSimple>
      <w:r w:rsidRPr="00BB3E4F">
        <w:t>. „Oczekiwany czas braku dostaw energii elektrycznej” w scenariuszu wrażliwości</w:t>
      </w:r>
      <w:bookmarkEnd w:id="150"/>
    </w:p>
    <w:p w14:paraId="05ABF710" w14:textId="77777777" w:rsidR="006741FC" w:rsidRPr="00BB3E4F" w:rsidRDefault="006741FC" w:rsidP="006741FC">
      <w:pPr>
        <w:rPr>
          <w:lang w:val="en-US"/>
        </w:rPr>
      </w:pPr>
      <w:r w:rsidRPr="00BB3E4F">
        <w:rPr>
          <w:noProof/>
          <w:lang w:eastAsia="pl-PL"/>
        </w:rPr>
        <w:drawing>
          <wp:inline distT="0" distB="0" distL="0" distR="0" wp14:anchorId="73F87C7E" wp14:editId="04120109">
            <wp:extent cx="5681133" cy="5689600"/>
            <wp:effectExtent l="0" t="0" r="0" b="6350"/>
            <wp:docPr id="1178611219" name="Obraz 2" descr="LOLE 2033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LE 2033 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91514" cy="5699996"/>
                    </a:xfrm>
                    <a:prstGeom prst="rect">
                      <a:avLst/>
                    </a:prstGeom>
                    <a:noFill/>
                    <a:ln>
                      <a:noFill/>
                    </a:ln>
                  </pic:spPr>
                </pic:pic>
              </a:graphicData>
            </a:graphic>
          </wp:inline>
        </w:drawing>
      </w:r>
    </w:p>
    <w:p w14:paraId="3131D809" w14:textId="59DA2E4A" w:rsidR="006741FC" w:rsidRPr="00BB3E4F" w:rsidRDefault="006741FC" w:rsidP="006741FC">
      <w:pPr>
        <w:pStyle w:val="Legenda"/>
        <w:rPr>
          <w:lang w:val="en-US"/>
        </w:rPr>
      </w:pPr>
      <w:r w:rsidRPr="00BB3E4F">
        <w:rPr>
          <w:lang w:val="en-US"/>
        </w:rPr>
        <w:t>Źródło: European Resource Adequacy Assessment 2023 Edition</w:t>
      </w:r>
      <w:r w:rsidRPr="00BB3E4F">
        <w:rPr>
          <w:rStyle w:val="Odwoanieprzypisudolnego"/>
          <w:lang w:val="en-US"/>
        </w:rPr>
        <w:footnoteReference w:id="27"/>
      </w:r>
      <w:r w:rsidR="00BD2475" w:rsidRPr="00163405">
        <w:rPr>
          <w:vertAlign w:val="superscript"/>
          <w:lang w:val="en-US"/>
        </w:rPr>
        <w:t>)</w:t>
      </w:r>
    </w:p>
    <w:p w14:paraId="6039A616" w14:textId="77777777" w:rsidR="006741FC" w:rsidRPr="00BB3E4F" w:rsidRDefault="006741FC" w:rsidP="006741FC">
      <w:pPr>
        <w:pStyle w:val="Nagwek2"/>
      </w:pPr>
      <w:bookmarkStart w:id="151" w:name="_Toc183753358"/>
      <w:bookmarkStart w:id="152" w:name="_Toc188008624"/>
      <w:r w:rsidRPr="00BB3E4F">
        <w:t>Krajowa analiza wystarczalności zasobów (NRAA)</w:t>
      </w:r>
      <w:bookmarkEnd w:id="151"/>
      <w:bookmarkEnd w:id="152"/>
    </w:p>
    <w:p w14:paraId="1EA58B83" w14:textId="29274C67" w:rsidR="006741FC" w:rsidRPr="00BB3E4F" w:rsidRDefault="006741FC" w:rsidP="00BD159B">
      <w:pPr>
        <w:tabs>
          <w:tab w:val="left" w:pos="3402"/>
        </w:tabs>
      </w:pPr>
      <w:r w:rsidRPr="00BB3E4F">
        <w:t xml:space="preserve">Zgodnie z art. 15i </w:t>
      </w:r>
      <w:r w:rsidR="00102467" w:rsidRPr="00102467">
        <w:t>ustawy z dnia 10 kwietnia 1997 r.</w:t>
      </w:r>
      <w:r w:rsidR="00102467">
        <w:t xml:space="preserve"> </w:t>
      </w:r>
      <w:r w:rsidR="00102467" w:rsidRPr="00102467">
        <w:t>– Prawo energetyczne</w:t>
      </w:r>
      <w:r w:rsidR="00102467" w:rsidRPr="00102467" w:rsidDel="00102467">
        <w:t xml:space="preserve"> </w:t>
      </w:r>
      <w:r w:rsidRPr="00BB3E4F">
        <w:t xml:space="preserve">operator systemu przesyłowego przeprowadza krajową ocenę wystarczalności zasobów (NRAA) zgodnie z art. 24 rozporządzenia rynkowego. Metodyka wykonywania NRAA jest zgodna z europejską metodyką oceny wystarczalności zasobów (ERAA), o której mowa w art. 23 ust. 5 rozporządzenia rynkowego, stosując ją odpowiednio w takim zakresie, w jakim została zastosowana przez ENTSO w ERAA. </w:t>
      </w:r>
    </w:p>
    <w:p w14:paraId="4FE5DB2F" w14:textId="77777777" w:rsidR="006741FC" w:rsidRPr="00BB3E4F" w:rsidRDefault="006741FC" w:rsidP="00BD159B">
      <w:pPr>
        <w:tabs>
          <w:tab w:val="left" w:pos="3402"/>
        </w:tabs>
      </w:pPr>
      <w:r w:rsidRPr="00BB3E4F">
        <w:lastRenderedPageBreak/>
        <w:t xml:space="preserve">NRAA jest kluczowym elementem wspierającym podejmowanie decyzji w kwestiach strategicznych w celu utrzymania bezpieczeństwa systemu elektroenergetycznego. Celem tej oceny jest dostarczenie wglądu w oczekiwany rozwój przyszłego bezpieczeństwa dostaw energii elektrycznej w horyzoncie co najmniej średnioterminowym. </w:t>
      </w:r>
    </w:p>
    <w:p w14:paraId="40167590" w14:textId="20A17768" w:rsidR="006741FC" w:rsidRPr="00BB3E4F" w:rsidRDefault="006741FC" w:rsidP="00BD159B">
      <w:pPr>
        <w:tabs>
          <w:tab w:val="left" w:pos="3402"/>
        </w:tabs>
      </w:pPr>
      <w:r w:rsidRPr="00BB3E4F">
        <w:t>Wyniki tej oceny wskazują na prawdopodobne problemy z zapewnieniem bezpieczeństwa dostaw energii elektrycznej w Polsce w całym okresie. Najwyższy niedobór mocy prognozowany jest na lata 2026 i 2027, w których bez funkcjonowania mechanizmu mocowego standard bezpieczeństwa przekroczony jest 15-krotnie. Wynika to w szczególności z faktu, że aktualne warunki rynkowe, w związku z brakiem możliwości wsparcia w ramach rynku mocy jednostek opalanych węglem kamiennym i brunatnym, nie pozwalają na uzyskiwanie stabilnych dodatnich marż na produkcji energii elektrycznej, przez co duża część jednostek zagrożona jest odstawieniem z powodów ekonomicznych. W celu zapobieżenia wycofaniom ekonomicznym istniejących jednostek wysokoemisyjnych w wielkości niezbędnej do zapewnienia bezpieczeństwa dostaw Ministerstwo Klimatu i Środowiska wystąpiło z projektem wprowadzenia dodatkowej aukcji uzupełniającej, w ramach której możliwy byłby udział jednostek wytwórczych emitujących powyżej 550 kg CO2/MWh i ich konkurowanie z</w:t>
      </w:r>
      <w:r>
        <w:t> </w:t>
      </w:r>
      <w:r w:rsidRPr="00BB3E4F">
        <w:t xml:space="preserve">pozostałymi podmiotami, które spełniają limit (jednostki wytwórcze, magazyny energii, DSR, jednostki zagraniczne). Taką możliwość – w ograniczonym czasie i pod rygorystycznymi warunkami umożliwia </w:t>
      </w:r>
      <w:r w:rsidR="002F4F79">
        <w:t>r</w:t>
      </w:r>
      <w:r w:rsidRPr="00BB3E4F">
        <w:t>ozporządzenie Parlamentu Europejskiego i Rady (UE) 2024/1747 z dnia 13 czerwca 2024 r. zmieniające rozporządzenia (UE) 2019/942 i (UE) 2019/943 w odniesieniu do poprawy struktury unijnego rynku energii elektrycznej (</w:t>
      </w:r>
      <w:r w:rsidR="00BD15EE" w:rsidRPr="00BD15EE">
        <w:t>Dz. Urz. UE L 2024/1747 z</w:t>
      </w:r>
      <w:r w:rsidR="0094621D">
        <w:t> </w:t>
      </w:r>
      <w:r w:rsidR="00BD15EE" w:rsidRPr="00BD15EE">
        <w:t>26.06.2024</w:t>
      </w:r>
      <w:r w:rsidRPr="00BB3E4F">
        <w:t xml:space="preserve">). </w:t>
      </w:r>
    </w:p>
    <w:p w14:paraId="38A8E6D6" w14:textId="77777777" w:rsidR="006741FC" w:rsidRPr="00BB3E4F" w:rsidRDefault="006741FC" w:rsidP="006741FC">
      <w:r w:rsidRPr="00BB3E4F">
        <w:t>Wyniki NRAA udowadniają także, że bez utrzymania rynku mocy w kolejnej dekadzie, nie będzie możliwe dotrzymanie standardu bezpieczeństwa.</w:t>
      </w:r>
    </w:p>
    <w:p w14:paraId="42AC6B32" w14:textId="77777777" w:rsidR="006741FC" w:rsidRPr="00BB3E4F" w:rsidRDefault="006741FC" w:rsidP="006741FC">
      <w:r w:rsidRPr="00BB3E4F">
        <w:t>Na wykresie i w tabeli poniżej przedstawiono „oczekiwany czas przerw w dostawach energii elektrycznej”, będący skutkiem braku wystarczającej mocy zasobów wytwórczych w scenariuszu bazowym oraz scenariuszu uwzględniającym mechanizm zdolności wytwórczych, na podstawie wyników zamieszczonych we wspomnianej ocenie. Na wykresie przedstawiono również obowiązujący standard bezpieczeństwa w wysokości 3h/rok. Standard ten został obliczony zgodnie z metodą zatwierdzoną przez ACER.</w:t>
      </w:r>
    </w:p>
    <w:p w14:paraId="6B9933A1" w14:textId="6D6E85AE" w:rsidR="006741FC" w:rsidRPr="00BB3E4F" w:rsidRDefault="006741FC" w:rsidP="006741FC">
      <w:pPr>
        <w:pStyle w:val="Legenda"/>
        <w:keepNext/>
        <w:jc w:val="left"/>
      </w:pPr>
      <w:bookmarkStart w:id="153" w:name="_Toc188209371"/>
      <w:r w:rsidRPr="00BB3E4F">
        <w:lastRenderedPageBreak/>
        <w:t xml:space="preserve">Rysunek </w:t>
      </w:r>
      <w:fldSimple w:instr=" SEQ Rysunek \* ARABIC ">
        <w:r w:rsidRPr="00BB3E4F">
          <w:rPr>
            <w:noProof/>
          </w:rPr>
          <w:t>20</w:t>
        </w:r>
      </w:fldSimple>
      <w:r w:rsidRPr="00BB3E4F">
        <w:t>. „Oczekiwany czas braku dostaw energii elektrycznej” zgodnie z NRAA</w:t>
      </w:r>
      <w:bookmarkEnd w:id="153"/>
    </w:p>
    <w:p w14:paraId="6F5E98DA" w14:textId="77777777" w:rsidR="006741FC" w:rsidRPr="00BB3E4F" w:rsidRDefault="006741FC" w:rsidP="006741FC">
      <w:pPr>
        <w:jc w:val="center"/>
      </w:pPr>
      <w:r w:rsidRPr="00BB3E4F">
        <w:rPr>
          <w:noProof/>
          <w:lang w:eastAsia="pl-PL"/>
        </w:rPr>
        <w:drawing>
          <wp:inline distT="0" distB="0" distL="0" distR="0" wp14:anchorId="3570D166" wp14:editId="441E179D">
            <wp:extent cx="4495800" cy="2497667"/>
            <wp:effectExtent l="0" t="0" r="0" b="17145"/>
            <wp:docPr id="1345801370" name="Wykres 1">
              <a:extLst xmlns:a="http://schemas.openxmlformats.org/drawingml/2006/main">
                <a:ext uri="{FF2B5EF4-FFF2-40B4-BE49-F238E27FC236}">
                  <a16:creationId xmlns:a16="http://schemas.microsoft.com/office/drawing/2014/main" id="{7527C435-227C-D780-A331-19FCC4FB5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B1ADCA8" w14:textId="2ABD2E18" w:rsidR="006741FC" w:rsidRPr="00BB3E4F" w:rsidRDefault="006741FC" w:rsidP="006741FC">
      <w:pPr>
        <w:pStyle w:val="Legenda"/>
      </w:pPr>
      <w:r w:rsidRPr="00BB3E4F">
        <w:t>Źródło: Opracowanie własne na podstawie oceny wystarczalności zasobów na poziomie krajowym 2025</w:t>
      </w:r>
      <w:r w:rsidR="0013450D">
        <w:t>–</w:t>
      </w:r>
      <w:r w:rsidRPr="00BB3E4F">
        <w:t>2040 listopad 2024</w:t>
      </w:r>
    </w:p>
    <w:p w14:paraId="708FDD70" w14:textId="77777777" w:rsidR="006741FC" w:rsidRPr="00BB3E4F" w:rsidRDefault="006741FC" w:rsidP="006741FC">
      <w:pPr>
        <w:pStyle w:val="Legenda"/>
        <w:keepNext/>
      </w:pPr>
      <w:bookmarkStart w:id="154" w:name="_Toc188209323"/>
      <w:r w:rsidRPr="00BB3E4F">
        <w:t xml:space="preserve">Tabela </w:t>
      </w:r>
      <w:fldSimple w:instr=" SEQ Tabela \* ARABIC ">
        <w:r w:rsidRPr="00BB3E4F">
          <w:rPr>
            <w:noProof/>
          </w:rPr>
          <w:t>2</w:t>
        </w:r>
      </w:fldSimple>
      <w:r w:rsidRPr="00BB3E4F">
        <w:t xml:space="preserve"> „Oczekiwany czas braku dostaw energii elektrycznej” zgodnie z NRAA</w:t>
      </w:r>
      <w:bookmarkEnd w:id="154"/>
    </w:p>
    <w:tbl>
      <w:tblPr>
        <w:tblStyle w:val="Siatkatabelijasna1"/>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875"/>
        <w:gridCol w:w="4957"/>
      </w:tblGrid>
      <w:tr w:rsidR="006741FC" w:rsidRPr="005C3F6A" w14:paraId="3C40B439" w14:textId="77777777" w:rsidTr="0028603C">
        <w:trPr>
          <w:trHeight w:val="290"/>
          <w:jc w:val="center"/>
        </w:trPr>
        <w:tc>
          <w:tcPr>
            <w:tcW w:w="960" w:type="dxa"/>
            <w:noWrap/>
            <w:hideMark/>
          </w:tcPr>
          <w:p w14:paraId="5A2F0BAB" w14:textId="77777777" w:rsidR="006741FC" w:rsidRPr="005C3F6A" w:rsidRDefault="006741FC" w:rsidP="0028603C">
            <w:pPr>
              <w:jc w:val="left"/>
              <w:rPr>
                <w:rFonts w:eastAsia="Times New Roman" w:cs="Times New Roman"/>
                <w:sz w:val="20"/>
                <w:szCs w:val="20"/>
                <w:lang w:eastAsia="pl-PL"/>
              </w:rPr>
            </w:pPr>
          </w:p>
        </w:tc>
        <w:tc>
          <w:tcPr>
            <w:tcW w:w="1875" w:type="dxa"/>
            <w:noWrap/>
            <w:hideMark/>
          </w:tcPr>
          <w:p w14:paraId="59DF943C" w14:textId="77777777" w:rsidR="006741FC" w:rsidRPr="005C3F6A" w:rsidRDefault="006741FC" w:rsidP="0028603C">
            <w:pPr>
              <w:jc w:val="left"/>
              <w:rPr>
                <w:rFonts w:eastAsia="Times New Roman" w:cs="Times New Roman"/>
                <w:color w:val="000000"/>
                <w:sz w:val="20"/>
                <w:szCs w:val="20"/>
                <w:lang w:eastAsia="pl-PL"/>
              </w:rPr>
            </w:pPr>
            <w:r w:rsidRPr="005C3F6A">
              <w:rPr>
                <w:rFonts w:eastAsia="Times New Roman" w:cs="Times New Roman"/>
                <w:color w:val="000000"/>
                <w:sz w:val="20"/>
                <w:szCs w:val="20"/>
                <w:lang w:eastAsia="pl-PL"/>
              </w:rPr>
              <w:t>Scenariusz bazowy</w:t>
            </w:r>
          </w:p>
        </w:tc>
        <w:tc>
          <w:tcPr>
            <w:tcW w:w="4957" w:type="dxa"/>
            <w:noWrap/>
            <w:hideMark/>
          </w:tcPr>
          <w:p w14:paraId="714697F6" w14:textId="29E3F7AF" w:rsidR="006741FC" w:rsidRPr="005C3F6A" w:rsidRDefault="006741FC" w:rsidP="0028603C">
            <w:pPr>
              <w:jc w:val="left"/>
              <w:rPr>
                <w:rFonts w:eastAsia="Times New Roman" w:cs="Times New Roman"/>
                <w:color w:val="000000"/>
                <w:sz w:val="20"/>
                <w:szCs w:val="20"/>
                <w:lang w:eastAsia="pl-PL"/>
              </w:rPr>
            </w:pPr>
            <w:r w:rsidRPr="005C3F6A">
              <w:rPr>
                <w:rFonts w:eastAsia="Times New Roman" w:cs="Times New Roman"/>
                <w:color w:val="000000"/>
                <w:sz w:val="20"/>
                <w:szCs w:val="20"/>
                <w:lang w:eastAsia="pl-PL"/>
              </w:rPr>
              <w:t>Scenariusz z mechanizmem zdolności wytwórczych</w:t>
            </w:r>
            <w:r w:rsidRPr="005C3F6A">
              <w:rPr>
                <w:rStyle w:val="Odwoanieprzypisudolnego"/>
                <w:rFonts w:eastAsia="Times New Roman" w:cs="Times New Roman"/>
                <w:color w:val="000000"/>
                <w:sz w:val="20"/>
                <w:szCs w:val="20"/>
                <w:lang w:eastAsia="pl-PL"/>
              </w:rPr>
              <w:footnoteReference w:id="28"/>
            </w:r>
            <w:r w:rsidR="00BD2475" w:rsidRPr="00163405">
              <w:rPr>
                <w:rFonts w:eastAsia="Times New Roman" w:cs="Times New Roman"/>
                <w:color w:val="000000"/>
                <w:sz w:val="20"/>
                <w:szCs w:val="20"/>
                <w:vertAlign w:val="superscript"/>
                <w:lang w:eastAsia="pl-PL"/>
              </w:rPr>
              <w:t>)</w:t>
            </w:r>
          </w:p>
        </w:tc>
      </w:tr>
      <w:tr w:rsidR="006741FC" w:rsidRPr="005C3F6A" w14:paraId="698940C4" w14:textId="77777777" w:rsidTr="0028603C">
        <w:trPr>
          <w:trHeight w:val="290"/>
          <w:jc w:val="center"/>
        </w:trPr>
        <w:tc>
          <w:tcPr>
            <w:tcW w:w="960" w:type="dxa"/>
            <w:noWrap/>
            <w:hideMark/>
          </w:tcPr>
          <w:p w14:paraId="194ED24A"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2025</w:t>
            </w:r>
          </w:p>
        </w:tc>
        <w:tc>
          <w:tcPr>
            <w:tcW w:w="1875" w:type="dxa"/>
            <w:noWrap/>
            <w:hideMark/>
          </w:tcPr>
          <w:p w14:paraId="7FE623B7"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7,6</w:t>
            </w:r>
          </w:p>
        </w:tc>
        <w:tc>
          <w:tcPr>
            <w:tcW w:w="4957" w:type="dxa"/>
            <w:noWrap/>
            <w:hideMark/>
          </w:tcPr>
          <w:p w14:paraId="3AF52495"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2,9</w:t>
            </w:r>
          </w:p>
        </w:tc>
      </w:tr>
      <w:tr w:rsidR="006741FC" w:rsidRPr="005C3F6A" w14:paraId="13E07C44" w14:textId="77777777" w:rsidTr="0028603C">
        <w:trPr>
          <w:trHeight w:val="290"/>
          <w:jc w:val="center"/>
        </w:trPr>
        <w:tc>
          <w:tcPr>
            <w:tcW w:w="960" w:type="dxa"/>
            <w:noWrap/>
            <w:hideMark/>
          </w:tcPr>
          <w:p w14:paraId="51869AD6"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2026</w:t>
            </w:r>
          </w:p>
        </w:tc>
        <w:tc>
          <w:tcPr>
            <w:tcW w:w="1875" w:type="dxa"/>
            <w:noWrap/>
            <w:hideMark/>
          </w:tcPr>
          <w:p w14:paraId="33EED258"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40,8</w:t>
            </w:r>
          </w:p>
        </w:tc>
        <w:tc>
          <w:tcPr>
            <w:tcW w:w="4957" w:type="dxa"/>
            <w:noWrap/>
            <w:hideMark/>
          </w:tcPr>
          <w:p w14:paraId="6C084232"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3</w:t>
            </w:r>
          </w:p>
        </w:tc>
      </w:tr>
      <w:tr w:rsidR="006741FC" w:rsidRPr="005C3F6A" w14:paraId="11BC74D5" w14:textId="77777777" w:rsidTr="0028603C">
        <w:trPr>
          <w:trHeight w:val="290"/>
          <w:jc w:val="center"/>
        </w:trPr>
        <w:tc>
          <w:tcPr>
            <w:tcW w:w="960" w:type="dxa"/>
            <w:noWrap/>
            <w:hideMark/>
          </w:tcPr>
          <w:p w14:paraId="260BF92C"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2027</w:t>
            </w:r>
          </w:p>
        </w:tc>
        <w:tc>
          <w:tcPr>
            <w:tcW w:w="1875" w:type="dxa"/>
            <w:noWrap/>
            <w:hideMark/>
          </w:tcPr>
          <w:p w14:paraId="3462D6DD"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50,2</w:t>
            </w:r>
          </w:p>
        </w:tc>
        <w:tc>
          <w:tcPr>
            <w:tcW w:w="4957" w:type="dxa"/>
            <w:noWrap/>
            <w:hideMark/>
          </w:tcPr>
          <w:p w14:paraId="4ED9B9DF"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3,9</w:t>
            </w:r>
          </w:p>
        </w:tc>
      </w:tr>
      <w:tr w:rsidR="006741FC" w:rsidRPr="005C3F6A" w14:paraId="4C6221F4" w14:textId="77777777" w:rsidTr="0028603C">
        <w:trPr>
          <w:trHeight w:val="290"/>
          <w:jc w:val="center"/>
        </w:trPr>
        <w:tc>
          <w:tcPr>
            <w:tcW w:w="960" w:type="dxa"/>
            <w:noWrap/>
            <w:hideMark/>
          </w:tcPr>
          <w:p w14:paraId="05DADA89"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2028</w:t>
            </w:r>
          </w:p>
        </w:tc>
        <w:tc>
          <w:tcPr>
            <w:tcW w:w="1875" w:type="dxa"/>
            <w:noWrap/>
            <w:hideMark/>
          </w:tcPr>
          <w:p w14:paraId="37FE745D"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33,3</w:t>
            </w:r>
          </w:p>
        </w:tc>
        <w:tc>
          <w:tcPr>
            <w:tcW w:w="4957" w:type="dxa"/>
            <w:noWrap/>
            <w:hideMark/>
          </w:tcPr>
          <w:p w14:paraId="37C2EF46"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2,3</w:t>
            </w:r>
          </w:p>
        </w:tc>
      </w:tr>
      <w:tr w:rsidR="006741FC" w:rsidRPr="005C3F6A" w14:paraId="7EE2F1CF" w14:textId="77777777" w:rsidTr="0028603C">
        <w:trPr>
          <w:trHeight w:val="290"/>
          <w:jc w:val="center"/>
        </w:trPr>
        <w:tc>
          <w:tcPr>
            <w:tcW w:w="960" w:type="dxa"/>
            <w:noWrap/>
            <w:hideMark/>
          </w:tcPr>
          <w:p w14:paraId="6BBD5917"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2029</w:t>
            </w:r>
          </w:p>
        </w:tc>
        <w:tc>
          <w:tcPr>
            <w:tcW w:w="1875" w:type="dxa"/>
            <w:noWrap/>
            <w:hideMark/>
          </w:tcPr>
          <w:p w14:paraId="5A0FC42F"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20,5</w:t>
            </w:r>
          </w:p>
        </w:tc>
        <w:tc>
          <w:tcPr>
            <w:tcW w:w="4957" w:type="dxa"/>
            <w:noWrap/>
            <w:hideMark/>
          </w:tcPr>
          <w:p w14:paraId="29E63098"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3,1</w:t>
            </w:r>
          </w:p>
        </w:tc>
      </w:tr>
      <w:tr w:rsidR="006741FC" w:rsidRPr="005C3F6A" w14:paraId="4739DDF7" w14:textId="77777777" w:rsidTr="0028603C">
        <w:trPr>
          <w:trHeight w:val="290"/>
          <w:jc w:val="center"/>
        </w:trPr>
        <w:tc>
          <w:tcPr>
            <w:tcW w:w="960" w:type="dxa"/>
            <w:noWrap/>
            <w:hideMark/>
          </w:tcPr>
          <w:p w14:paraId="6363940C"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2030</w:t>
            </w:r>
          </w:p>
        </w:tc>
        <w:tc>
          <w:tcPr>
            <w:tcW w:w="1875" w:type="dxa"/>
            <w:noWrap/>
            <w:hideMark/>
          </w:tcPr>
          <w:p w14:paraId="7E338851"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9,6</w:t>
            </w:r>
          </w:p>
        </w:tc>
        <w:tc>
          <w:tcPr>
            <w:tcW w:w="4957" w:type="dxa"/>
            <w:noWrap/>
            <w:hideMark/>
          </w:tcPr>
          <w:p w14:paraId="1A018436"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2,2</w:t>
            </w:r>
          </w:p>
        </w:tc>
      </w:tr>
      <w:tr w:rsidR="006741FC" w:rsidRPr="005C3F6A" w14:paraId="5C369551" w14:textId="77777777" w:rsidTr="0028603C">
        <w:trPr>
          <w:trHeight w:val="290"/>
          <w:jc w:val="center"/>
        </w:trPr>
        <w:tc>
          <w:tcPr>
            <w:tcW w:w="960" w:type="dxa"/>
            <w:noWrap/>
            <w:hideMark/>
          </w:tcPr>
          <w:p w14:paraId="1205181D"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2031</w:t>
            </w:r>
          </w:p>
        </w:tc>
        <w:tc>
          <w:tcPr>
            <w:tcW w:w="1875" w:type="dxa"/>
            <w:noWrap/>
            <w:hideMark/>
          </w:tcPr>
          <w:p w14:paraId="687AB9AB"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6,6</w:t>
            </w:r>
          </w:p>
        </w:tc>
        <w:tc>
          <w:tcPr>
            <w:tcW w:w="4957" w:type="dxa"/>
            <w:noWrap/>
            <w:hideMark/>
          </w:tcPr>
          <w:p w14:paraId="4731CA9C"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2,5</w:t>
            </w:r>
          </w:p>
        </w:tc>
      </w:tr>
      <w:tr w:rsidR="006741FC" w:rsidRPr="005C3F6A" w14:paraId="7F720738" w14:textId="77777777" w:rsidTr="0028603C">
        <w:trPr>
          <w:trHeight w:val="290"/>
          <w:jc w:val="center"/>
        </w:trPr>
        <w:tc>
          <w:tcPr>
            <w:tcW w:w="960" w:type="dxa"/>
            <w:noWrap/>
            <w:hideMark/>
          </w:tcPr>
          <w:p w14:paraId="350B2BAE"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2032</w:t>
            </w:r>
          </w:p>
        </w:tc>
        <w:tc>
          <w:tcPr>
            <w:tcW w:w="1875" w:type="dxa"/>
            <w:noWrap/>
            <w:hideMark/>
          </w:tcPr>
          <w:p w14:paraId="0897713B"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14,3</w:t>
            </w:r>
          </w:p>
        </w:tc>
        <w:tc>
          <w:tcPr>
            <w:tcW w:w="4957" w:type="dxa"/>
            <w:noWrap/>
            <w:hideMark/>
          </w:tcPr>
          <w:p w14:paraId="34DF8EB2"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3,1</w:t>
            </w:r>
          </w:p>
        </w:tc>
      </w:tr>
      <w:tr w:rsidR="006741FC" w:rsidRPr="005C3F6A" w14:paraId="00B36201" w14:textId="77777777" w:rsidTr="0028603C">
        <w:trPr>
          <w:trHeight w:val="290"/>
          <w:jc w:val="center"/>
        </w:trPr>
        <w:tc>
          <w:tcPr>
            <w:tcW w:w="960" w:type="dxa"/>
            <w:noWrap/>
            <w:hideMark/>
          </w:tcPr>
          <w:p w14:paraId="548BF743"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2033</w:t>
            </w:r>
          </w:p>
        </w:tc>
        <w:tc>
          <w:tcPr>
            <w:tcW w:w="1875" w:type="dxa"/>
            <w:noWrap/>
            <w:hideMark/>
          </w:tcPr>
          <w:p w14:paraId="1899B25D"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15,0</w:t>
            </w:r>
          </w:p>
        </w:tc>
        <w:tc>
          <w:tcPr>
            <w:tcW w:w="4957" w:type="dxa"/>
            <w:noWrap/>
            <w:hideMark/>
          </w:tcPr>
          <w:p w14:paraId="5B5C5846"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w:t>
            </w:r>
          </w:p>
        </w:tc>
      </w:tr>
      <w:tr w:rsidR="006741FC" w:rsidRPr="005C3F6A" w14:paraId="558CA74F" w14:textId="77777777" w:rsidTr="0028603C">
        <w:trPr>
          <w:trHeight w:val="290"/>
          <w:jc w:val="center"/>
        </w:trPr>
        <w:tc>
          <w:tcPr>
            <w:tcW w:w="960" w:type="dxa"/>
            <w:noWrap/>
            <w:hideMark/>
          </w:tcPr>
          <w:p w14:paraId="7CC37B67"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2034</w:t>
            </w:r>
          </w:p>
        </w:tc>
        <w:tc>
          <w:tcPr>
            <w:tcW w:w="1875" w:type="dxa"/>
            <w:noWrap/>
            <w:hideMark/>
          </w:tcPr>
          <w:p w14:paraId="726223B7"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14,4</w:t>
            </w:r>
          </w:p>
        </w:tc>
        <w:tc>
          <w:tcPr>
            <w:tcW w:w="4957" w:type="dxa"/>
            <w:noWrap/>
            <w:hideMark/>
          </w:tcPr>
          <w:p w14:paraId="3A010E41"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3,1</w:t>
            </w:r>
          </w:p>
        </w:tc>
      </w:tr>
      <w:tr w:rsidR="006741FC" w:rsidRPr="005C3F6A" w14:paraId="3AF29A25" w14:textId="77777777" w:rsidTr="0028603C">
        <w:trPr>
          <w:trHeight w:val="290"/>
          <w:jc w:val="center"/>
        </w:trPr>
        <w:tc>
          <w:tcPr>
            <w:tcW w:w="960" w:type="dxa"/>
            <w:noWrap/>
            <w:hideMark/>
          </w:tcPr>
          <w:p w14:paraId="0FFB576C"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2035</w:t>
            </w:r>
          </w:p>
        </w:tc>
        <w:tc>
          <w:tcPr>
            <w:tcW w:w="1875" w:type="dxa"/>
            <w:noWrap/>
            <w:hideMark/>
          </w:tcPr>
          <w:p w14:paraId="385575EB"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10,9</w:t>
            </w:r>
          </w:p>
        </w:tc>
        <w:tc>
          <w:tcPr>
            <w:tcW w:w="4957" w:type="dxa"/>
            <w:noWrap/>
            <w:hideMark/>
          </w:tcPr>
          <w:p w14:paraId="41998E3D"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2,7</w:t>
            </w:r>
          </w:p>
        </w:tc>
      </w:tr>
      <w:tr w:rsidR="006741FC" w:rsidRPr="005C3F6A" w14:paraId="79701F1A" w14:textId="77777777" w:rsidTr="0028603C">
        <w:trPr>
          <w:trHeight w:val="290"/>
          <w:jc w:val="center"/>
        </w:trPr>
        <w:tc>
          <w:tcPr>
            <w:tcW w:w="960" w:type="dxa"/>
            <w:noWrap/>
            <w:hideMark/>
          </w:tcPr>
          <w:p w14:paraId="08104B12"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2036</w:t>
            </w:r>
          </w:p>
        </w:tc>
        <w:tc>
          <w:tcPr>
            <w:tcW w:w="1875" w:type="dxa"/>
            <w:noWrap/>
            <w:hideMark/>
          </w:tcPr>
          <w:p w14:paraId="741CABE8"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10,8</w:t>
            </w:r>
          </w:p>
        </w:tc>
        <w:tc>
          <w:tcPr>
            <w:tcW w:w="4957" w:type="dxa"/>
            <w:noWrap/>
            <w:hideMark/>
          </w:tcPr>
          <w:p w14:paraId="0AFBD03B"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3,4</w:t>
            </w:r>
          </w:p>
        </w:tc>
      </w:tr>
      <w:tr w:rsidR="006741FC" w:rsidRPr="005C3F6A" w14:paraId="5909F65D" w14:textId="77777777" w:rsidTr="0028603C">
        <w:trPr>
          <w:trHeight w:val="290"/>
          <w:jc w:val="center"/>
        </w:trPr>
        <w:tc>
          <w:tcPr>
            <w:tcW w:w="960" w:type="dxa"/>
            <w:noWrap/>
            <w:hideMark/>
          </w:tcPr>
          <w:p w14:paraId="5D662713"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2037</w:t>
            </w:r>
          </w:p>
        </w:tc>
        <w:tc>
          <w:tcPr>
            <w:tcW w:w="1875" w:type="dxa"/>
            <w:noWrap/>
            <w:hideMark/>
          </w:tcPr>
          <w:p w14:paraId="32F5DCD8"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12,5</w:t>
            </w:r>
          </w:p>
        </w:tc>
        <w:tc>
          <w:tcPr>
            <w:tcW w:w="4957" w:type="dxa"/>
            <w:noWrap/>
            <w:hideMark/>
          </w:tcPr>
          <w:p w14:paraId="1D261540"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4,4</w:t>
            </w:r>
          </w:p>
        </w:tc>
      </w:tr>
      <w:tr w:rsidR="006741FC" w:rsidRPr="005C3F6A" w14:paraId="40BFEDD1" w14:textId="77777777" w:rsidTr="0028603C">
        <w:trPr>
          <w:trHeight w:val="290"/>
          <w:jc w:val="center"/>
        </w:trPr>
        <w:tc>
          <w:tcPr>
            <w:tcW w:w="960" w:type="dxa"/>
            <w:noWrap/>
            <w:hideMark/>
          </w:tcPr>
          <w:p w14:paraId="6E3D3DE0"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2038</w:t>
            </w:r>
          </w:p>
        </w:tc>
        <w:tc>
          <w:tcPr>
            <w:tcW w:w="1875" w:type="dxa"/>
            <w:noWrap/>
            <w:hideMark/>
          </w:tcPr>
          <w:p w14:paraId="3E7BB063"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10,4</w:t>
            </w:r>
          </w:p>
        </w:tc>
        <w:tc>
          <w:tcPr>
            <w:tcW w:w="4957" w:type="dxa"/>
            <w:noWrap/>
            <w:hideMark/>
          </w:tcPr>
          <w:p w14:paraId="2A2AA31A"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2,5</w:t>
            </w:r>
          </w:p>
        </w:tc>
      </w:tr>
      <w:tr w:rsidR="006741FC" w:rsidRPr="005C3F6A" w14:paraId="11C4AE9A" w14:textId="77777777" w:rsidTr="0028603C">
        <w:trPr>
          <w:trHeight w:val="290"/>
          <w:jc w:val="center"/>
        </w:trPr>
        <w:tc>
          <w:tcPr>
            <w:tcW w:w="960" w:type="dxa"/>
            <w:noWrap/>
            <w:hideMark/>
          </w:tcPr>
          <w:p w14:paraId="1E134ECF"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2039</w:t>
            </w:r>
          </w:p>
        </w:tc>
        <w:tc>
          <w:tcPr>
            <w:tcW w:w="1875" w:type="dxa"/>
            <w:noWrap/>
            <w:hideMark/>
          </w:tcPr>
          <w:p w14:paraId="65C3138B"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5,8</w:t>
            </w:r>
          </w:p>
        </w:tc>
        <w:tc>
          <w:tcPr>
            <w:tcW w:w="4957" w:type="dxa"/>
            <w:noWrap/>
            <w:hideMark/>
          </w:tcPr>
          <w:p w14:paraId="07D1AC1E"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4,1</w:t>
            </w:r>
          </w:p>
        </w:tc>
      </w:tr>
      <w:tr w:rsidR="006741FC" w:rsidRPr="005C3F6A" w14:paraId="53F1D12E" w14:textId="77777777" w:rsidTr="0028603C">
        <w:trPr>
          <w:trHeight w:val="290"/>
          <w:jc w:val="center"/>
        </w:trPr>
        <w:tc>
          <w:tcPr>
            <w:tcW w:w="960" w:type="dxa"/>
            <w:noWrap/>
            <w:hideMark/>
          </w:tcPr>
          <w:p w14:paraId="416B0A29"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2040</w:t>
            </w:r>
          </w:p>
        </w:tc>
        <w:tc>
          <w:tcPr>
            <w:tcW w:w="1875" w:type="dxa"/>
            <w:noWrap/>
            <w:hideMark/>
          </w:tcPr>
          <w:p w14:paraId="427193EC"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14,2</w:t>
            </w:r>
          </w:p>
        </w:tc>
        <w:tc>
          <w:tcPr>
            <w:tcW w:w="4957" w:type="dxa"/>
            <w:noWrap/>
            <w:hideMark/>
          </w:tcPr>
          <w:p w14:paraId="1A449416" w14:textId="77777777" w:rsidR="006741FC" w:rsidRPr="005C3F6A" w:rsidRDefault="006741FC" w:rsidP="0028603C">
            <w:pPr>
              <w:jc w:val="right"/>
              <w:rPr>
                <w:rFonts w:eastAsia="Times New Roman" w:cs="Times New Roman"/>
                <w:color w:val="000000"/>
                <w:sz w:val="20"/>
                <w:szCs w:val="20"/>
                <w:lang w:eastAsia="pl-PL"/>
              </w:rPr>
            </w:pPr>
            <w:r w:rsidRPr="005C3F6A">
              <w:rPr>
                <w:rFonts w:eastAsia="Times New Roman" w:cs="Times New Roman"/>
                <w:color w:val="000000"/>
                <w:sz w:val="20"/>
                <w:szCs w:val="20"/>
                <w:lang w:eastAsia="pl-PL"/>
              </w:rPr>
              <w:t>2,2</w:t>
            </w:r>
          </w:p>
        </w:tc>
      </w:tr>
    </w:tbl>
    <w:p w14:paraId="7EF2AC98" w14:textId="6B19B80B" w:rsidR="006741FC" w:rsidRPr="00BB3E4F" w:rsidRDefault="006741FC" w:rsidP="006741FC">
      <w:pPr>
        <w:pStyle w:val="Legenda"/>
      </w:pPr>
      <w:r w:rsidRPr="00BB3E4F">
        <w:t>Źródło: Opracowanie własne na podstawie oceny wystarczalności zasobów na poziomie krajowym 2025</w:t>
      </w:r>
      <w:r w:rsidR="0013450D">
        <w:t>–</w:t>
      </w:r>
      <w:r w:rsidRPr="00BB3E4F">
        <w:t>2040 listopad 2024</w:t>
      </w:r>
    </w:p>
    <w:p w14:paraId="3ED45016" w14:textId="7FB6FAB0" w:rsidR="006741FC" w:rsidRPr="00BB3E4F" w:rsidRDefault="006741FC" w:rsidP="006741FC">
      <w:r w:rsidRPr="00BB3E4F">
        <w:t>Jak widać na wykresie oraz w tabeli powyżej</w:t>
      </w:r>
      <w:r w:rsidR="002F4F79">
        <w:t>,</w:t>
      </w:r>
      <w:r w:rsidRPr="00BB3E4F">
        <w:t xml:space="preserve"> pokrycie kosztów ponoszonych przez jednostki sterowalne, które nie są pokrywane przez rynek energii pozwoli na utrzymanie wartości LoLE na</w:t>
      </w:r>
      <w:r w:rsidR="0094621D">
        <w:t> </w:t>
      </w:r>
      <w:r w:rsidRPr="00BB3E4F">
        <w:t>poziomie zgodnym z przyjętym standardem bezpieczeństwa.</w:t>
      </w:r>
    </w:p>
    <w:p w14:paraId="7211220C" w14:textId="343B3C7C" w:rsidR="006741FC" w:rsidRPr="00BB3E4F" w:rsidRDefault="00184491" w:rsidP="00AC019B">
      <w:r>
        <w:t>Z</w:t>
      </w:r>
      <w:r w:rsidR="00AC019B">
        <w:t>godnie z art. 103 ust. 1 ustawy o rynku mocy Rada Ministrów, dokona oceny funkcjonowania rynku mocy na podstawie analiz bilansowych krajowego systemu elektroenergetycznego</w:t>
      </w:r>
      <w:r>
        <w:t>. Ze</w:t>
      </w:r>
      <w:r w:rsidR="0094621D">
        <w:t> </w:t>
      </w:r>
      <w:r>
        <w:t>względu na to, że wyniki</w:t>
      </w:r>
      <w:r w:rsidR="00AC019B" w:rsidRPr="00AC019B">
        <w:t xml:space="preserve"> </w:t>
      </w:r>
      <w:r>
        <w:t xml:space="preserve">oceny </w:t>
      </w:r>
      <w:r w:rsidR="00AC019B" w:rsidRPr="00AC019B">
        <w:t>wystarczalności zasobów na pozio</w:t>
      </w:r>
      <w:r w:rsidR="00AC019B" w:rsidRPr="00AC019B">
        <w:lastRenderedPageBreak/>
        <w:t>mie krajowym</w:t>
      </w:r>
      <w:r>
        <w:t xml:space="preserve"> bezpośrednio determinują możliwość lub brak możliwości zastosowania różnych mechanizmów mocowych</w:t>
      </w:r>
      <w:r w:rsidR="00AC019B">
        <w:t xml:space="preserve">, ocenę funkcjonowania rynku mocy należy rozpatrywać łącznie z analizą wystarczalności zasobów. </w:t>
      </w:r>
      <w:r w:rsidR="00E03111">
        <w:t>Dlatego właśnie</w:t>
      </w:r>
      <w:r w:rsidR="00AC019B">
        <w:t xml:space="preserve"> </w:t>
      </w:r>
      <w:r w:rsidR="006741FC" w:rsidRPr="00BB3E4F">
        <w:t xml:space="preserve">NRAA stanowi załącznik nr. </w:t>
      </w:r>
      <w:r w:rsidR="006741FC" w:rsidRPr="00BB3E4F">
        <w:fldChar w:fldCharType="begin"/>
      </w:r>
      <w:r w:rsidR="006741FC" w:rsidRPr="00BB3E4F">
        <w:instrText xml:space="preserve"> REF _Ref180759011 \n \h  \* MERGEFORMAT </w:instrText>
      </w:r>
      <w:r w:rsidR="006741FC" w:rsidRPr="00BB3E4F">
        <w:fldChar w:fldCharType="separate"/>
      </w:r>
      <w:r w:rsidR="006741FC" w:rsidRPr="00BB3E4F">
        <w:t>1</w:t>
      </w:r>
      <w:r w:rsidR="006741FC" w:rsidRPr="00BB3E4F">
        <w:fldChar w:fldCharType="end"/>
      </w:r>
      <w:r w:rsidR="006741FC" w:rsidRPr="00BB3E4F">
        <w:t xml:space="preserve"> do niniejszego dokumentu.</w:t>
      </w:r>
    </w:p>
    <w:p w14:paraId="16542032" w14:textId="77777777" w:rsidR="006741FC" w:rsidRPr="00BB3E4F" w:rsidRDefault="006741FC" w:rsidP="006741FC">
      <w:pPr>
        <w:jc w:val="left"/>
      </w:pPr>
      <w:r w:rsidRPr="00BB3E4F">
        <w:t xml:space="preserve"> </w:t>
      </w:r>
      <w:r w:rsidRPr="00BB3E4F">
        <w:rPr>
          <w:highlight w:val="yellow"/>
        </w:rPr>
        <w:t xml:space="preserve"> </w:t>
      </w:r>
      <w:r w:rsidRPr="00BB3E4F">
        <w:t xml:space="preserve">  </w:t>
      </w:r>
      <w:r w:rsidRPr="00BB3E4F">
        <w:br w:type="page"/>
      </w:r>
    </w:p>
    <w:p w14:paraId="3463DF21" w14:textId="1E88ACFF" w:rsidR="006741FC" w:rsidRPr="00BB3E4F" w:rsidRDefault="006741FC" w:rsidP="00D04770">
      <w:pPr>
        <w:pStyle w:val="Nagwek1"/>
      </w:pPr>
      <w:bookmarkStart w:id="155" w:name="_Toc178058986"/>
      <w:bookmarkStart w:id="156" w:name="_Toc183753359"/>
      <w:bookmarkStart w:id="157" w:name="_Toc188008625"/>
      <w:r w:rsidRPr="00BB3E4F">
        <w:lastRenderedPageBreak/>
        <w:t xml:space="preserve">Podsumowanie i </w:t>
      </w:r>
      <w:bookmarkEnd w:id="155"/>
      <w:r w:rsidRPr="00BB3E4F">
        <w:t xml:space="preserve">rekomendacje </w:t>
      </w:r>
      <w:r w:rsidR="00826A6D">
        <w:t>–</w:t>
      </w:r>
      <w:r w:rsidR="00826A6D" w:rsidRPr="00BB3E4F">
        <w:t xml:space="preserve"> </w:t>
      </w:r>
      <w:r w:rsidRPr="00BB3E4F">
        <w:t>rynek mocy po</w:t>
      </w:r>
      <w:r w:rsidR="0094621D">
        <w:t> </w:t>
      </w:r>
      <w:r w:rsidRPr="00BB3E4F">
        <w:t>2030 r.</w:t>
      </w:r>
      <w:bookmarkStart w:id="158" w:name="_Hlk179490005"/>
      <w:bookmarkEnd w:id="156"/>
      <w:bookmarkEnd w:id="157"/>
    </w:p>
    <w:bookmarkEnd w:id="158"/>
    <w:p w14:paraId="7673BAF8" w14:textId="15DE9673" w:rsidR="006741FC" w:rsidRPr="00BB3E4F" w:rsidRDefault="006741FC" w:rsidP="00C26DE8">
      <w:pPr>
        <w:spacing w:after="120"/>
      </w:pPr>
      <w:r w:rsidRPr="00BB3E4F">
        <w:t xml:space="preserve">Mając na względzie analizy bilansowe KSE i ocenę stopnia rozwoju rynku energii oraz ocenę dotychczasowego funkcjonowania rynku mocy, </w:t>
      </w:r>
      <w:r w:rsidR="002F4F79">
        <w:t xml:space="preserve">należy stwierdzić, że </w:t>
      </w:r>
      <w:r w:rsidR="00C26DE8">
        <w:t>istnieje</w:t>
      </w:r>
      <w:r w:rsidRPr="00BB3E4F">
        <w:t xml:space="preserve"> </w:t>
      </w:r>
      <w:r w:rsidRPr="00BB3E4F">
        <w:rPr>
          <w:b/>
          <w:bCs/>
        </w:rPr>
        <w:t>potrzeb</w:t>
      </w:r>
      <w:r w:rsidR="00C26DE8">
        <w:rPr>
          <w:b/>
          <w:bCs/>
        </w:rPr>
        <w:t>a</w:t>
      </w:r>
      <w:r w:rsidRPr="00BB3E4F">
        <w:rPr>
          <w:b/>
          <w:bCs/>
        </w:rPr>
        <w:t xml:space="preserve"> kontynuowania, w formule dostosowanej do obecnych wyzwań systemu elektroenergetycznego, mechanizmu wspierającego zapewnienie wystarczalności zasobów wytwórczych o charakterze ogólnorynkowym</w:t>
      </w:r>
      <w:r w:rsidRPr="00BB3E4F">
        <w:t>. Rynek mocy powinien pozostać neutralny technologicznie, przy czym powinien on zapewniać otwartość na nowoczesne rozwiązania techniczne, technologiczne i organizacyjne (np. tzw. cable-pooling, technologie mieszane, konwersje technologii w kierunku nisko i zeroemisyjnych etc.).</w:t>
      </w:r>
    </w:p>
    <w:p w14:paraId="50D8AEF5" w14:textId="4F254459" w:rsidR="006741FC" w:rsidRPr="00BB3E4F" w:rsidRDefault="006741FC" w:rsidP="00C26DE8">
      <w:pPr>
        <w:spacing w:after="120"/>
      </w:pPr>
      <w:r w:rsidRPr="00BB3E4F">
        <w:t>Ryzyko przekroczenia standardu bezpieczeństwa w latach 2031</w:t>
      </w:r>
      <w:r w:rsidR="00826A6D">
        <w:t>–</w:t>
      </w:r>
      <w:r w:rsidRPr="00BB3E4F">
        <w:t>2040 jest istotnie niższe niż było to identyfikowane w prognozach aktualnych przed wprowadzeniem rynku mocy na lata 2021</w:t>
      </w:r>
      <w:r w:rsidR="00826A6D">
        <w:t>–</w:t>
      </w:r>
      <w:r w:rsidRPr="00BB3E4F">
        <w:t xml:space="preserve">2030. Zważywszy na fakt, że zgodnie z analizami </w:t>
      </w:r>
      <w:r w:rsidR="000105EF" w:rsidRPr="00BB3E4F">
        <w:t xml:space="preserve">jest </w:t>
      </w:r>
      <w:r w:rsidRPr="00BB3E4F">
        <w:t>widoczne jednak ryzyko niedotrzymania standardu bezpieczeństwa, które wpłyn</w:t>
      </w:r>
      <w:r w:rsidR="002F4F79">
        <w:t>ęłoby</w:t>
      </w:r>
      <w:r w:rsidRPr="00BB3E4F">
        <w:t xml:space="preserve"> negatywnie na bezpieczeństwo dostaw energii w Polsce i rozwój gospodarczy, </w:t>
      </w:r>
      <w:r w:rsidR="000105EF" w:rsidRPr="00BB3E4F">
        <w:t xml:space="preserve">jest </w:t>
      </w:r>
      <w:r w:rsidRPr="00BB3E4F">
        <w:t>konieczne wprowadzanie dodatkowych zachęt do budowy nowych mocy wytwórczych oraz rozwoju technologii związanych z</w:t>
      </w:r>
      <w:r>
        <w:t> </w:t>
      </w:r>
      <w:r w:rsidRPr="00BB3E4F">
        <w:t xml:space="preserve">magazynowaniem energii oraz redukcją zapotrzebowania. W związku z tym </w:t>
      </w:r>
      <w:r w:rsidR="000105EF" w:rsidRPr="00BB3E4F">
        <w:t xml:space="preserve">jest </w:t>
      </w:r>
      <w:r w:rsidRPr="00BB3E4F">
        <w:t xml:space="preserve">rekomendowane przedłużenie funkcjonowania rynku mocy na kolejne lata. </w:t>
      </w:r>
    </w:p>
    <w:p w14:paraId="23BCD861" w14:textId="7A60FA9B" w:rsidR="006741FC" w:rsidRPr="00BB3E4F" w:rsidRDefault="006741FC" w:rsidP="00C26DE8">
      <w:pPr>
        <w:spacing w:after="120"/>
      </w:pPr>
      <w:r w:rsidRPr="00BB3E4F">
        <w:t xml:space="preserve">W celu promowania budowy nowych elastycznych mocy, zwłaszcza w technologiach o niskiej lub zerowej emisyjności, </w:t>
      </w:r>
      <w:r w:rsidR="000105EF" w:rsidRPr="00BB3E4F">
        <w:t xml:space="preserve">jest </w:t>
      </w:r>
      <w:r w:rsidRPr="00BB3E4F">
        <w:t>zasadne wprowadzenie zmian w sposobie premiowania i</w:t>
      </w:r>
      <w:r>
        <w:t> </w:t>
      </w:r>
      <w:r w:rsidRPr="00BB3E4F">
        <w:t>kontraktowania jednostek w rynku mocy tak</w:t>
      </w:r>
      <w:r w:rsidR="00C26DE8">
        <w:t>,</w:t>
      </w:r>
      <w:r w:rsidRPr="00BB3E4F">
        <w:t xml:space="preserve"> aby premiować moc, która w krótkim czasie dostosowuje się do zmiany popytu i podaży na rynku energii elektrycznej. </w:t>
      </w:r>
    </w:p>
    <w:p w14:paraId="1EC5BFE1" w14:textId="430F703F" w:rsidR="006741FC" w:rsidRPr="00BB3E4F" w:rsidRDefault="006741FC" w:rsidP="00C26DE8">
      <w:pPr>
        <w:autoSpaceDE w:val="0"/>
        <w:autoSpaceDN w:val="0"/>
        <w:adjustRightInd w:val="0"/>
        <w:spacing w:after="120"/>
        <w:rPr>
          <w:iCs/>
          <w:szCs w:val="20"/>
        </w:rPr>
      </w:pPr>
      <w:r w:rsidRPr="00BB3E4F">
        <w:rPr>
          <w:iCs/>
          <w:szCs w:val="20"/>
        </w:rPr>
        <w:t xml:space="preserve">W zależności od postępów przygotowania nowych rozwiązań funkcjonalnych rynku mocy </w:t>
      </w:r>
      <w:r w:rsidR="000105EF" w:rsidRPr="00BB3E4F">
        <w:rPr>
          <w:iCs/>
          <w:szCs w:val="20"/>
        </w:rPr>
        <w:t xml:space="preserve">jest </w:t>
      </w:r>
      <w:r w:rsidRPr="00BB3E4F">
        <w:rPr>
          <w:iCs/>
          <w:szCs w:val="20"/>
        </w:rPr>
        <w:t>zasadne skupienie wysiłków w pierwszej kolejności na perspektywie krótko</w:t>
      </w:r>
      <w:r w:rsidR="00C26DE8">
        <w:rPr>
          <w:iCs/>
          <w:szCs w:val="20"/>
        </w:rPr>
        <w:t>-</w:t>
      </w:r>
      <w:r w:rsidRPr="00BB3E4F">
        <w:rPr>
          <w:iCs/>
          <w:szCs w:val="20"/>
        </w:rPr>
        <w:t xml:space="preserve"> i</w:t>
      </w:r>
      <w:r>
        <w:rPr>
          <w:iCs/>
          <w:szCs w:val="20"/>
        </w:rPr>
        <w:t> </w:t>
      </w:r>
      <w:r w:rsidRPr="00BB3E4F">
        <w:rPr>
          <w:iCs/>
          <w:szCs w:val="20"/>
        </w:rPr>
        <w:t>średnioterminowej oraz rozważenie przygotowania reformy rynku mocy w dwóch etapach. W</w:t>
      </w:r>
      <w:r>
        <w:rPr>
          <w:iCs/>
          <w:szCs w:val="20"/>
        </w:rPr>
        <w:t> </w:t>
      </w:r>
      <w:r w:rsidRPr="00BB3E4F">
        <w:rPr>
          <w:iCs/>
          <w:szCs w:val="20"/>
        </w:rPr>
        <w:t xml:space="preserve">pierwszym z nich może okazać się konieczne </w:t>
      </w:r>
      <w:r w:rsidRPr="00BB3E4F">
        <w:t>przygotowanie rozwiązań dla dedykowanych przetargów, które zostaną włączone w zobowiązania rynku mocy</w:t>
      </w:r>
      <w:r w:rsidRPr="00BB3E4F">
        <w:rPr>
          <w:iCs/>
          <w:szCs w:val="20"/>
        </w:rPr>
        <w:t>. Natomiast w całym okresie, w</w:t>
      </w:r>
      <w:r w:rsidR="002631C8">
        <w:rPr>
          <w:iCs/>
          <w:szCs w:val="20"/>
        </w:rPr>
        <w:t> </w:t>
      </w:r>
      <w:r w:rsidRPr="00BB3E4F">
        <w:rPr>
          <w:iCs/>
          <w:szCs w:val="20"/>
        </w:rPr>
        <w:t xml:space="preserve">zależności od tempa realizacji nowych inwestycji (np. gazowych lub wodorowych), </w:t>
      </w:r>
      <w:r w:rsidR="000105EF" w:rsidRPr="00BB3E4F">
        <w:rPr>
          <w:iCs/>
          <w:szCs w:val="20"/>
        </w:rPr>
        <w:t xml:space="preserve">jest </w:t>
      </w:r>
      <w:r w:rsidRPr="00BB3E4F">
        <w:rPr>
          <w:iCs/>
          <w:szCs w:val="20"/>
        </w:rPr>
        <w:t>zasadne rozważenie rozwiązań umożliwiających zapobieżenie wycofaniom ekonomicznym istniejących jednostek wysokoemisyjnych, w celu zmniejszenia ryzyka zakłóceń bezpieczeństwa dostaw do</w:t>
      </w:r>
      <w:r w:rsidR="0094621D">
        <w:rPr>
          <w:iCs/>
          <w:szCs w:val="20"/>
        </w:rPr>
        <w:t> </w:t>
      </w:r>
      <w:r w:rsidRPr="00BB3E4F">
        <w:rPr>
          <w:iCs/>
          <w:szCs w:val="20"/>
        </w:rPr>
        <w:t>czasu powstania nowych zasobów niskoemisyjnych</w:t>
      </w:r>
      <w:r w:rsidR="00C26DE8">
        <w:rPr>
          <w:iCs/>
          <w:szCs w:val="20"/>
        </w:rPr>
        <w:t>,</w:t>
      </w:r>
      <w:r w:rsidRPr="00BB3E4F">
        <w:rPr>
          <w:iCs/>
          <w:szCs w:val="20"/>
        </w:rPr>
        <w:t xml:space="preserve"> mając na uwadze sytuację w</w:t>
      </w:r>
      <w:r>
        <w:rPr>
          <w:iCs/>
          <w:szCs w:val="20"/>
        </w:rPr>
        <w:t> </w:t>
      </w:r>
      <w:r w:rsidRPr="00BB3E4F">
        <w:rPr>
          <w:iCs/>
          <w:szCs w:val="20"/>
        </w:rPr>
        <w:t>regionie i</w:t>
      </w:r>
      <w:r w:rsidR="002631C8">
        <w:rPr>
          <w:iCs/>
          <w:szCs w:val="20"/>
        </w:rPr>
        <w:t> </w:t>
      </w:r>
      <w:r w:rsidRPr="00BB3E4F">
        <w:rPr>
          <w:iCs/>
          <w:szCs w:val="20"/>
        </w:rPr>
        <w:t>czynniki makroekonomiczne.</w:t>
      </w:r>
    </w:p>
    <w:p w14:paraId="0BFF2D45" w14:textId="5CE190B1" w:rsidR="006741FC" w:rsidRPr="00BB3E4F" w:rsidRDefault="006741FC" w:rsidP="00C26DE8">
      <w:pPr>
        <w:spacing w:after="120"/>
      </w:pPr>
      <w:r w:rsidRPr="00BB3E4F">
        <w:t>Rynek mocy powinien być także uzupełniony</w:t>
      </w:r>
      <w:r w:rsidR="00437DFF">
        <w:t xml:space="preserve"> funkcjonującymi obok niego</w:t>
      </w:r>
      <w:r w:rsidRPr="00BB3E4F">
        <w:t xml:space="preserve"> dedykowanymi usługami wspierającymi elastyczność systemu elektroenergetycznego po stronie </w:t>
      </w:r>
      <w:r w:rsidRPr="00BB3E4F">
        <w:lastRenderedPageBreak/>
        <w:t>popytu i</w:t>
      </w:r>
      <w:r w:rsidR="002631C8">
        <w:t> </w:t>
      </w:r>
      <w:r w:rsidRPr="00BB3E4F">
        <w:t>podaży oraz systemami wsparcia dla inwestycji wysoce kapitałochłonnych w formie np.</w:t>
      </w:r>
      <w:r w:rsidR="0094621D">
        <w:t> </w:t>
      </w:r>
      <w:r w:rsidRPr="00BB3E4F">
        <w:t>dwustronnego kontraktu różnicowego.</w:t>
      </w:r>
      <w:r w:rsidR="00112A1F">
        <w:t xml:space="preserve"> </w:t>
      </w:r>
    </w:p>
    <w:p w14:paraId="57786963" w14:textId="38DAE796" w:rsidR="006741FC" w:rsidRPr="00BB3E4F" w:rsidRDefault="006741FC" w:rsidP="00C26DE8">
      <w:pPr>
        <w:spacing w:after="120"/>
      </w:pPr>
      <w:r w:rsidRPr="00BB3E4F">
        <w:t xml:space="preserve">Konieczne będzie również uelastycznienie lub dostosowanie elementów technicznych rynku mocy, takich jak zróżnicowanie korekcyjnych współczynników dyspozycyjności, do charakteru pracy źródeł oraz odpowiadającego na wyzwania związane z ich integracją w KSE, który umożliwi m.in. zaadresowanie kwestii ograniczonej pojemności magazynów i ograniczonego czasu możliwej redukcji strony popytowej. </w:t>
      </w:r>
    </w:p>
    <w:p w14:paraId="7A01977B" w14:textId="3012C042" w:rsidR="006741FC" w:rsidRPr="00BB3E4F" w:rsidRDefault="006741FC" w:rsidP="00C26DE8">
      <w:pPr>
        <w:spacing w:after="120"/>
      </w:pPr>
      <w:r w:rsidRPr="00BB3E4F">
        <w:t xml:space="preserve">W celu wywarcia pozytywnego wpływu na płynność w innych obszarach rynku energii, </w:t>
      </w:r>
      <w:r w:rsidR="000105EF" w:rsidRPr="00BB3E4F">
        <w:t xml:space="preserve">jest </w:t>
      </w:r>
      <w:r w:rsidRPr="00BB3E4F">
        <w:t>możliwe także nałożenie na część lub wszystkie jednostki rynku mocy dodatkowych obowiązków związanych np. z obowiązkiem aktywnego uczestnictwa w mechanizmie centralnego bilansowania systemu elektroenergetycznego lub jego wybranych elementach.</w:t>
      </w:r>
    </w:p>
    <w:p w14:paraId="2A1D3522" w14:textId="32427CEE" w:rsidR="006741FC" w:rsidRPr="00BB3E4F" w:rsidRDefault="006741FC" w:rsidP="00C26DE8">
      <w:pPr>
        <w:spacing w:after="120"/>
      </w:pPr>
      <w:r w:rsidRPr="00BB3E4F">
        <w:t>Ostatnia reforma rynku energii elektrycznej wskazuje na potrzebę przeprowadzenia oceny zapotrzebowania w zakresie elastyczności, zwłaszcza elastyczności nieopartej na paliwach kopalnych, oraz przeanalizowania możliwości promowania elastyczności w ramach mechanizmów zdolności wytwórczych. W związku z tym w mechanizmie rynku mocy po roku 2030 należy rozważyć elementy dotyczące elastyczności, kładąc nacisk w tym zakresie na udział magazynów energii i odpowiedzi strony popytowej. Należy rozważyć także utworzenie komplementarnego mechanizmu bazującego na rozwiązaniach istniejącego rynku mocy, dedykowanego technologiom elastyczności niebazującej na paliwach kopalnych. Pozwoli to</w:t>
      </w:r>
      <w:r w:rsidR="0094621D">
        <w:t> </w:t>
      </w:r>
      <w:r w:rsidRPr="00BB3E4F">
        <w:t>na</w:t>
      </w:r>
      <w:r w:rsidR="0094621D">
        <w:t> </w:t>
      </w:r>
      <w:r w:rsidRPr="00BB3E4F">
        <w:t xml:space="preserve">efektywniejszą transformację sektora energii elektrycznej spowodowaną zmianami technologicznymi i wyzwaniami klimatycznymi. </w:t>
      </w:r>
    </w:p>
    <w:p w14:paraId="3D8C1F1C" w14:textId="27603ED6" w:rsidR="006741FC" w:rsidRPr="00BB3E4F" w:rsidRDefault="006741FC" w:rsidP="00C26DE8">
      <w:pPr>
        <w:spacing w:after="120"/>
      </w:pPr>
      <w:r w:rsidRPr="00BB3E4F">
        <w:t xml:space="preserve">Niezależnie od powyższego, </w:t>
      </w:r>
      <w:r w:rsidR="000105EF" w:rsidRPr="00BB3E4F">
        <w:t xml:space="preserve">jest </w:t>
      </w:r>
      <w:r w:rsidRPr="00BB3E4F">
        <w:t>konieczne zapewnienie możliwie wysokiej efektywności kosztowej funkcjonowania mechanizmu, ponieważ jego funkcjonowanie jest przenoszone na odbiorców końcowych przez opłatę mocową. Zbyt wysoki poziom kosztów energii</w:t>
      </w:r>
      <w:r w:rsidR="002F4F79">
        <w:t xml:space="preserve"> elektrycznej</w:t>
      </w:r>
      <w:r w:rsidRPr="00BB3E4F">
        <w:t xml:space="preserve"> może mieć negatywny wpływ na sytuację gospodarstw domowych i przedsiębiorstw w Polsce przez negatywny wpływ na konkurencyjność polskiej gospodarki, w szczególności w</w:t>
      </w:r>
      <w:r w:rsidR="002631C8">
        <w:t> </w:t>
      </w:r>
      <w:r w:rsidRPr="00BB3E4F">
        <w:t>funkcjonowaniu przedsiębiorstw energochłonnych.</w:t>
      </w:r>
    </w:p>
    <w:p w14:paraId="43925322" w14:textId="77777777" w:rsidR="006741FC" w:rsidRPr="00BB3E4F" w:rsidRDefault="006741FC" w:rsidP="006741FC">
      <w:pPr>
        <w:jc w:val="left"/>
      </w:pPr>
      <w:r w:rsidRPr="00BB3E4F">
        <w:br w:type="page"/>
      </w:r>
    </w:p>
    <w:p w14:paraId="5F8C10A6" w14:textId="77777777" w:rsidR="006741FC" w:rsidRPr="005C3F6A" w:rsidRDefault="006741FC" w:rsidP="006741FC">
      <w:pPr>
        <w:pStyle w:val="Nagwek1"/>
      </w:pPr>
      <w:r w:rsidRPr="005C3F6A">
        <w:lastRenderedPageBreak/>
        <w:t xml:space="preserve"> </w:t>
      </w:r>
      <w:bookmarkStart w:id="159" w:name="_Toc183753360"/>
      <w:bookmarkStart w:id="160" w:name="_Toc188008626"/>
      <w:r w:rsidRPr="005C3F6A">
        <w:t>Spis ilustracji</w:t>
      </w:r>
      <w:bookmarkEnd w:id="159"/>
      <w:bookmarkEnd w:id="160"/>
    </w:p>
    <w:p w14:paraId="288CD058" w14:textId="2BDD4009" w:rsidR="00BD159B" w:rsidRDefault="006741FC">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r w:rsidRPr="005C3F6A">
        <w:rPr>
          <w:rFonts w:ascii="Lato" w:hAnsi="Lato"/>
        </w:rPr>
        <w:fldChar w:fldCharType="begin"/>
      </w:r>
      <w:r w:rsidRPr="005C3F6A">
        <w:rPr>
          <w:rFonts w:ascii="Lato" w:hAnsi="Lato"/>
        </w:rPr>
        <w:instrText xml:space="preserve"> TOC \h \z \c "Rysunek" </w:instrText>
      </w:r>
      <w:r w:rsidRPr="005C3F6A">
        <w:rPr>
          <w:rFonts w:ascii="Lato" w:hAnsi="Lato"/>
        </w:rPr>
        <w:fldChar w:fldCharType="separate"/>
      </w:r>
      <w:hyperlink w:anchor="_Toc188209352" w:history="1">
        <w:r w:rsidR="00BD159B" w:rsidRPr="00274C58">
          <w:rPr>
            <w:rStyle w:val="Hipercze"/>
            <w:noProof/>
          </w:rPr>
          <w:t>Rysunek 1. Dynamika wzrostu mocy zainstalowanej w krajowym systemie elektroenergetycznym w latach 1960-2023.</w:t>
        </w:r>
        <w:r w:rsidR="00BD159B">
          <w:rPr>
            <w:noProof/>
            <w:webHidden/>
          </w:rPr>
          <w:tab/>
        </w:r>
        <w:r w:rsidR="00BD159B">
          <w:rPr>
            <w:noProof/>
            <w:webHidden/>
          </w:rPr>
          <w:fldChar w:fldCharType="begin"/>
        </w:r>
        <w:r w:rsidR="00BD159B">
          <w:rPr>
            <w:noProof/>
            <w:webHidden/>
          </w:rPr>
          <w:instrText xml:space="preserve"> PAGEREF _Toc188209352 \h </w:instrText>
        </w:r>
        <w:r w:rsidR="00BD159B">
          <w:rPr>
            <w:noProof/>
            <w:webHidden/>
          </w:rPr>
        </w:r>
        <w:r w:rsidR="00BD159B">
          <w:rPr>
            <w:noProof/>
            <w:webHidden/>
          </w:rPr>
          <w:fldChar w:fldCharType="separate"/>
        </w:r>
        <w:r w:rsidR="00A86371">
          <w:rPr>
            <w:noProof/>
            <w:webHidden/>
          </w:rPr>
          <w:t>8</w:t>
        </w:r>
        <w:r w:rsidR="00BD159B">
          <w:rPr>
            <w:noProof/>
            <w:webHidden/>
          </w:rPr>
          <w:fldChar w:fldCharType="end"/>
        </w:r>
      </w:hyperlink>
    </w:p>
    <w:p w14:paraId="3D218B0C" w14:textId="333EBABE"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53" w:history="1">
        <w:r w:rsidR="00BD159B" w:rsidRPr="00274C58">
          <w:rPr>
            <w:rStyle w:val="Hipercze"/>
            <w:noProof/>
          </w:rPr>
          <w:t>Rysunek 2. Produkcja energii elektrycznej w latach 1950-2018.</w:t>
        </w:r>
        <w:r w:rsidR="00BD159B">
          <w:rPr>
            <w:noProof/>
            <w:webHidden/>
          </w:rPr>
          <w:tab/>
        </w:r>
        <w:r w:rsidR="00BD159B">
          <w:rPr>
            <w:noProof/>
            <w:webHidden/>
          </w:rPr>
          <w:fldChar w:fldCharType="begin"/>
        </w:r>
        <w:r w:rsidR="00BD159B">
          <w:rPr>
            <w:noProof/>
            <w:webHidden/>
          </w:rPr>
          <w:instrText xml:space="preserve"> PAGEREF _Toc188209353 \h </w:instrText>
        </w:r>
        <w:r w:rsidR="00BD159B">
          <w:rPr>
            <w:noProof/>
            <w:webHidden/>
          </w:rPr>
        </w:r>
        <w:r w:rsidR="00BD159B">
          <w:rPr>
            <w:noProof/>
            <w:webHidden/>
          </w:rPr>
          <w:fldChar w:fldCharType="separate"/>
        </w:r>
        <w:r w:rsidR="00A86371">
          <w:rPr>
            <w:noProof/>
            <w:webHidden/>
          </w:rPr>
          <w:t>9</w:t>
        </w:r>
        <w:r w:rsidR="00BD159B">
          <w:rPr>
            <w:noProof/>
            <w:webHidden/>
          </w:rPr>
          <w:fldChar w:fldCharType="end"/>
        </w:r>
      </w:hyperlink>
    </w:p>
    <w:p w14:paraId="4AE02559" w14:textId="6BE5E8EE"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54" w:history="1">
        <w:r w:rsidR="00BD159B" w:rsidRPr="00274C58">
          <w:rPr>
            <w:rStyle w:val="Hipercze"/>
            <w:noProof/>
          </w:rPr>
          <w:t>Rysunek 3. Saldo wymiany energii elektrycznej z zagranicą w latach 2014-2023 - przepływy fizyczne.</w:t>
        </w:r>
        <w:r w:rsidR="00BD159B">
          <w:rPr>
            <w:noProof/>
            <w:webHidden/>
          </w:rPr>
          <w:tab/>
        </w:r>
        <w:r w:rsidR="00BD159B">
          <w:rPr>
            <w:noProof/>
            <w:webHidden/>
          </w:rPr>
          <w:fldChar w:fldCharType="begin"/>
        </w:r>
        <w:r w:rsidR="00BD159B">
          <w:rPr>
            <w:noProof/>
            <w:webHidden/>
          </w:rPr>
          <w:instrText xml:space="preserve"> PAGEREF _Toc188209354 \h </w:instrText>
        </w:r>
        <w:r w:rsidR="00BD159B">
          <w:rPr>
            <w:noProof/>
            <w:webHidden/>
          </w:rPr>
        </w:r>
        <w:r w:rsidR="00BD159B">
          <w:rPr>
            <w:noProof/>
            <w:webHidden/>
          </w:rPr>
          <w:fldChar w:fldCharType="separate"/>
        </w:r>
        <w:r w:rsidR="00A86371">
          <w:rPr>
            <w:noProof/>
            <w:webHidden/>
          </w:rPr>
          <w:t>10</w:t>
        </w:r>
        <w:r w:rsidR="00BD159B">
          <w:rPr>
            <w:noProof/>
            <w:webHidden/>
          </w:rPr>
          <w:fldChar w:fldCharType="end"/>
        </w:r>
      </w:hyperlink>
    </w:p>
    <w:p w14:paraId="1405A6F2" w14:textId="4D3832C9"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55" w:history="1">
        <w:r w:rsidR="00BD159B" w:rsidRPr="00274C58">
          <w:rPr>
            <w:rStyle w:val="Hipercze"/>
            <w:noProof/>
          </w:rPr>
          <w:t>Rysunek 4. Wolumen DSR zakontraktowany na poszczególne okresy dostaw.</w:t>
        </w:r>
        <w:r w:rsidR="00BD159B">
          <w:rPr>
            <w:noProof/>
            <w:webHidden/>
          </w:rPr>
          <w:tab/>
        </w:r>
        <w:r w:rsidR="00BD159B">
          <w:rPr>
            <w:noProof/>
            <w:webHidden/>
          </w:rPr>
          <w:fldChar w:fldCharType="begin"/>
        </w:r>
        <w:r w:rsidR="00BD159B">
          <w:rPr>
            <w:noProof/>
            <w:webHidden/>
          </w:rPr>
          <w:instrText xml:space="preserve"> PAGEREF _Toc188209355 \h </w:instrText>
        </w:r>
        <w:r w:rsidR="00BD159B">
          <w:rPr>
            <w:noProof/>
            <w:webHidden/>
          </w:rPr>
        </w:r>
        <w:r w:rsidR="00BD159B">
          <w:rPr>
            <w:noProof/>
            <w:webHidden/>
          </w:rPr>
          <w:fldChar w:fldCharType="separate"/>
        </w:r>
        <w:r w:rsidR="00A86371">
          <w:rPr>
            <w:noProof/>
            <w:webHidden/>
          </w:rPr>
          <w:t>17</w:t>
        </w:r>
        <w:r w:rsidR="00BD159B">
          <w:rPr>
            <w:noProof/>
            <w:webHidden/>
          </w:rPr>
          <w:fldChar w:fldCharType="end"/>
        </w:r>
      </w:hyperlink>
    </w:p>
    <w:p w14:paraId="37E23CB3" w14:textId="5CA479BF"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56" w:history="1">
        <w:r w:rsidR="00BD159B" w:rsidRPr="00274C58">
          <w:rPr>
            <w:rStyle w:val="Hipercze"/>
            <w:noProof/>
          </w:rPr>
          <w:t>Rysunek 5. Moce zakontraktowane w aukcjach mocy w poszczególnych latach dla nowych jednostek wytwórczych.</w:t>
        </w:r>
        <w:r w:rsidR="00BD159B">
          <w:rPr>
            <w:noProof/>
            <w:webHidden/>
          </w:rPr>
          <w:tab/>
        </w:r>
        <w:r w:rsidR="00BD159B">
          <w:rPr>
            <w:noProof/>
            <w:webHidden/>
          </w:rPr>
          <w:fldChar w:fldCharType="begin"/>
        </w:r>
        <w:r w:rsidR="00BD159B">
          <w:rPr>
            <w:noProof/>
            <w:webHidden/>
          </w:rPr>
          <w:instrText xml:space="preserve"> PAGEREF _Toc188209356 \h </w:instrText>
        </w:r>
        <w:r w:rsidR="00BD159B">
          <w:rPr>
            <w:noProof/>
            <w:webHidden/>
          </w:rPr>
        </w:r>
        <w:r w:rsidR="00BD159B">
          <w:rPr>
            <w:noProof/>
            <w:webHidden/>
          </w:rPr>
          <w:fldChar w:fldCharType="separate"/>
        </w:r>
        <w:r w:rsidR="00A86371">
          <w:rPr>
            <w:noProof/>
            <w:webHidden/>
          </w:rPr>
          <w:t>18</w:t>
        </w:r>
        <w:r w:rsidR="00BD159B">
          <w:rPr>
            <w:noProof/>
            <w:webHidden/>
          </w:rPr>
          <w:fldChar w:fldCharType="end"/>
        </w:r>
      </w:hyperlink>
    </w:p>
    <w:p w14:paraId="7D3F6E00" w14:textId="42F59819"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57" w:history="1">
        <w:r w:rsidR="00BD159B" w:rsidRPr="00274C58">
          <w:rPr>
            <w:rStyle w:val="Hipercze"/>
            <w:noProof/>
          </w:rPr>
          <w:t>Rysunek 6 Obowiązek mocowy w magazynach energii, które zawarły umowy mocowe w aukcjach na poszczególne okresy dostaw</w:t>
        </w:r>
        <w:r w:rsidR="00BD159B">
          <w:rPr>
            <w:noProof/>
            <w:webHidden/>
          </w:rPr>
          <w:tab/>
        </w:r>
        <w:r w:rsidR="00BD159B">
          <w:rPr>
            <w:noProof/>
            <w:webHidden/>
          </w:rPr>
          <w:fldChar w:fldCharType="begin"/>
        </w:r>
        <w:r w:rsidR="00BD159B">
          <w:rPr>
            <w:noProof/>
            <w:webHidden/>
          </w:rPr>
          <w:instrText xml:space="preserve"> PAGEREF _Toc188209357 \h </w:instrText>
        </w:r>
        <w:r w:rsidR="00BD159B">
          <w:rPr>
            <w:noProof/>
            <w:webHidden/>
          </w:rPr>
        </w:r>
        <w:r w:rsidR="00BD159B">
          <w:rPr>
            <w:noProof/>
            <w:webHidden/>
          </w:rPr>
          <w:fldChar w:fldCharType="separate"/>
        </w:r>
        <w:r w:rsidR="00A86371">
          <w:rPr>
            <w:noProof/>
            <w:webHidden/>
          </w:rPr>
          <w:t>19</w:t>
        </w:r>
        <w:r w:rsidR="00BD159B">
          <w:rPr>
            <w:noProof/>
            <w:webHidden/>
          </w:rPr>
          <w:fldChar w:fldCharType="end"/>
        </w:r>
      </w:hyperlink>
    </w:p>
    <w:p w14:paraId="056BE114" w14:textId="530F7ECA"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58" w:history="1">
        <w:r w:rsidR="00BD159B" w:rsidRPr="00274C58">
          <w:rPr>
            <w:rStyle w:val="Hipercze"/>
            <w:noProof/>
          </w:rPr>
          <w:t>Rysunek 7. Moce zakontraktowane w aukcjach mocy w poszczególnych latach dla modernizowanych jednostek wytwórczych.</w:t>
        </w:r>
        <w:r w:rsidR="00BD159B">
          <w:rPr>
            <w:noProof/>
            <w:webHidden/>
          </w:rPr>
          <w:tab/>
        </w:r>
        <w:r w:rsidR="00BD159B">
          <w:rPr>
            <w:noProof/>
            <w:webHidden/>
          </w:rPr>
          <w:fldChar w:fldCharType="begin"/>
        </w:r>
        <w:r w:rsidR="00BD159B">
          <w:rPr>
            <w:noProof/>
            <w:webHidden/>
          </w:rPr>
          <w:instrText xml:space="preserve"> PAGEREF _Toc188209358 \h </w:instrText>
        </w:r>
        <w:r w:rsidR="00BD159B">
          <w:rPr>
            <w:noProof/>
            <w:webHidden/>
          </w:rPr>
        </w:r>
        <w:r w:rsidR="00BD159B">
          <w:rPr>
            <w:noProof/>
            <w:webHidden/>
          </w:rPr>
          <w:fldChar w:fldCharType="separate"/>
        </w:r>
        <w:r w:rsidR="00A86371">
          <w:rPr>
            <w:noProof/>
            <w:webHidden/>
          </w:rPr>
          <w:t>20</w:t>
        </w:r>
        <w:r w:rsidR="00BD159B">
          <w:rPr>
            <w:noProof/>
            <w:webHidden/>
          </w:rPr>
          <w:fldChar w:fldCharType="end"/>
        </w:r>
      </w:hyperlink>
    </w:p>
    <w:p w14:paraId="16A65F1C" w14:textId="1610BA82"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59" w:history="1">
        <w:r w:rsidR="00BD159B" w:rsidRPr="00274C58">
          <w:rPr>
            <w:rStyle w:val="Hipercze"/>
            <w:noProof/>
          </w:rPr>
          <w:t>Rysunek 8. Moce zakontraktowane w aukcjach mocy w poszczególnych latach przez elektrownie szczytowo-pompowe i inne elektrownie wodne z członem pompowym.</w:t>
        </w:r>
        <w:r w:rsidR="00BD159B">
          <w:rPr>
            <w:noProof/>
            <w:webHidden/>
          </w:rPr>
          <w:tab/>
        </w:r>
        <w:r w:rsidR="00BD159B">
          <w:rPr>
            <w:noProof/>
            <w:webHidden/>
          </w:rPr>
          <w:fldChar w:fldCharType="begin"/>
        </w:r>
        <w:r w:rsidR="00BD159B">
          <w:rPr>
            <w:noProof/>
            <w:webHidden/>
          </w:rPr>
          <w:instrText xml:space="preserve"> PAGEREF _Toc188209359 \h </w:instrText>
        </w:r>
        <w:r w:rsidR="00BD159B">
          <w:rPr>
            <w:noProof/>
            <w:webHidden/>
          </w:rPr>
        </w:r>
        <w:r w:rsidR="00BD159B">
          <w:rPr>
            <w:noProof/>
            <w:webHidden/>
          </w:rPr>
          <w:fldChar w:fldCharType="separate"/>
        </w:r>
        <w:r w:rsidR="00A86371">
          <w:rPr>
            <w:noProof/>
            <w:webHidden/>
          </w:rPr>
          <w:t>21</w:t>
        </w:r>
        <w:r w:rsidR="00BD159B">
          <w:rPr>
            <w:noProof/>
            <w:webHidden/>
          </w:rPr>
          <w:fldChar w:fldCharType="end"/>
        </w:r>
      </w:hyperlink>
    </w:p>
    <w:p w14:paraId="079B7A69" w14:textId="605C7D29"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0" w:history="1">
        <w:r w:rsidR="00BD159B" w:rsidRPr="00274C58">
          <w:rPr>
            <w:rStyle w:val="Hipercze"/>
            <w:noProof/>
          </w:rPr>
          <w:t>Rysunek 9. Moc zakontraktowana na aukcjach mocy w GW.</w:t>
        </w:r>
        <w:r w:rsidR="00BD159B">
          <w:rPr>
            <w:noProof/>
            <w:webHidden/>
          </w:rPr>
          <w:tab/>
        </w:r>
        <w:r w:rsidR="00BD159B">
          <w:rPr>
            <w:noProof/>
            <w:webHidden/>
          </w:rPr>
          <w:fldChar w:fldCharType="begin"/>
        </w:r>
        <w:r w:rsidR="00BD159B">
          <w:rPr>
            <w:noProof/>
            <w:webHidden/>
          </w:rPr>
          <w:instrText xml:space="preserve"> PAGEREF _Toc188209360 \h </w:instrText>
        </w:r>
        <w:r w:rsidR="00BD159B">
          <w:rPr>
            <w:noProof/>
            <w:webHidden/>
          </w:rPr>
        </w:r>
        <w:r w:rsidR="00BD159B">
          <w:rPr>
            <w:noProof/>
            <w:webHidden/>
          </w:rPr>
          <w:fldChar w:fldCharType="separate"/>
        </w:r>
        <w:r w:rsidR="00A86371">
          <w:rPr>
            <w:noProof/>
            <w:webHidden/>
          </w:rPr>
          <w:t>22</w:t>
        </w:r>
        <w:r w:rsidR="00BD159B">
          <w:rPr>
            <w:noProof/>
            <w:webHidden/>
          </w:rPr>
          <w:fldChar w:fldCharType="end"/>
        </w:r>
      </w:hyperlink>
    </w:p>
    <w:p w14:paraId="72B3BB53" w14:textId="102F3AB8"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1" w:history="1">
        <w:r w:rsidR="00BD159B" w:rsidRPr="00274C58">
          <w:rPr>
            <w:rStyle w:val="Hipercze"/>
            <w:noProof/>
          </w:rPr>
          <w:t>Rysunek 10. Moc zakontraktowana na aukcjach głównych w podziale na paliwa.</w:t>
        </w:r>
        <w:r w:rsidR="00BD159B">
          <w:rPr>
            <w:noProof/>
            <w:webHidden/>
          </w:rPr>
          <w:tab/>
        </w:r>
        <w:r w:rsidR="00BD159B">
          <w:rPr>
            <w:noProof/>
            <w:webHidden/>
          </w:rPr>
          <w:fldChar w:fldCharType="begin"/>
        </w:r>
        <w:r w:rsidR="00BD159B">
          <w:rPr>
            <w:noProof/>
            <w:webHidden/>
          </w:rPr>
          <w:instrText xml:space="preserve"> PAGEREF _Toc188209361 \h </w:instrText>
        </w:r>
        <w:r w:rsidR="00BD159B">
          <w:rPr>
            <w:noProof/>
            <w:webHidden/>
          </w:rPr>
        </w:r>
        <w:r w:rsidR="00BD159B">
          <w:rPr>
            <w:noProof/>
            <w:webHidden/>
          </w:rPr>
          <w:fldChar w:fldCharType="separate"/>
        </w:r>
        <w:r w:rsidR="00A86371">
          <w:rPr>
            <w:noProof/>
            <w:webHidden/>
          </w:rPr>
          <w:t>23</w:t>
        </w:r>
        <w:r w:rsidR="00BD159B">
          <w:rPr>
            <w:noProof/>
            <w:webHidden/>
          </w:rPr>
          <w:fldChar w:fldCharType="end"/>
        </w:r>
      </w:hyperlink>
    </w:p>
    <w:p w14:paraId="74264D4B" w14:textId="0B6733B2"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2" w:history="1">
        <w:r w:rsidR="00BD159B" w:rsidRPr="00274C58">
          <w:rPr>
            <w:rStyle w:val="Hipercze"/>
            <w:noProof/>
          </w:rPr>
          <w:t>Rysunek 11.Wykonanie skorygowanych obowiązków mocowych w okresach przywołania na rynku mocy w dniu 23 września 2022 r.</w:t>
        </w:r>
        <w:r w:rsidR="00BD159B">
          <w:rPr>
            <w:noProof/>
            <w:webHidden/>
          </w:rPr>
          <w:tab/>
        </w:r>
        <w:r w:rsidR="00BD159B">
          <w:rPr>
            <w:noProof/>
            <w:webHidden/>
          </w:rPr>
          <w:fldChar w:fldCharType="begin"/>
        </w:r>
        <w:r w:rsidR="00BD159B">
          <w:rPr>
            <w:noProof/>
            <w:webHidden/>
          </w:rPr>
          <w:instrText xml:space="preserve"> PAGEREF _Toc188209362 \h </w:instrText>
        </w:r>
        <w:r w:rsidR="00BD159B">
          <w:rPr>
            <w:noProof/>
            <w:webHidden/>
          </w:rPr>
        </w:r>
        <w:r w:rsidR="00BD159B">
          <w:rPr>
            <w:noProof/>
            <w:webHidden/>
          </w:rPr>
          <w:fldChar w:fldCharType="separate"/>
        </w:r>
        <w:r w:rsidR="00A86371">
          <w:rPr>
            <w:noProof/>
            <w:webHidden/>
          </w:rPr>
          <w:t>24</w:t>
        </w:r>
        <w:r w:rsidR="00BD159B">
          <w:rPr>
            <w:noProof/>
            <w:webHidden/>
          </w:rPr>
          <w:fldChar w:fldCharType="end"/>
        </w:r>
      </w:hyperlink>
    </w:p>
    <w:p w14:paraId="7C70370B" w14:textId="0C39FC6F"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3" w:history="1">
        <w:r w:rsidR="00BD159B" w:rsidRPr="00274C58">
          <w:rPr>
            <w:rStyle w:val="Hipercze"/>
            <w:noProof/>
          </w:rPr>
          <w:t>Rysunek 12. Wielkości nadwyżki wykonania i niewykonania w dwóch okresach przywołania na rynku mocy w dniu 23 września 2022 r.</w:t>
        </w:r>
        <w:r w:rsidR="00BD159B">
          <w:rPr>
            <w:noProof/>
            <w:webHidden/>
          </w:rPr>
          <w:tab/>
        </w:r>
        <w:r w:rsidR="00BD159B">
          <w:rPr>
            <w:noProof/>
            <w:webHidden/>
          </w:rPr>
          <w:fldChar w:fldCharType="begin"/>
        </w:r>
        <w:r w:rsidR="00BD159B">
          <w:rPr>
            <w:noProof/>
            <w:webHidden/>
          </w:rPr>
          <w:instrText xml:space="preserve"> PAGEREF _Toc188209363 \h </w:instrText>
        </w:r>
        <w:r w:rsidR="00BD159B">
          <w:rPr>
            <w:noProof/>
            <w:webHidden/>
          </w:rPr>
        </w:r>
        <w:r w:rsidR="00BD159B">
          <w:rPr>
            <w:noProof/>
            <w:webHidden/>
          </w:rPr>
          <w:fldChar w:fldCharType="separate"/>
        </w:r>
        <w:r w:rsidR="00A86371">
          <w:rPr>
            <w:noProof/>
            <w:webHidden/>
          </w:rPr>
          <w:t>25</w:t>
        </w:r>
        <w:r w:rsidR="00BD159B">
          <w:rPr>
            <w:noProof/>
            <w:webHidden/>
          </w:rPr>
          <w:fldChar w:fldCharType="end"/>
        </w:r>
      </w:hyperlink>
    </w:p>
    <w:p w14:paraId="77FCAA7D" w14:textId="15793785"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4" w:history="1">
        <w:r w:rsidR="00BD159B" w:rsidRPr="00274C58">
          <w:rPr>
            <w:rStyle w:val="Hipercze"/>
            <w:noProof/>
          </w:rPr>
          <w:t>Rysunek 13. Moc zainstalowana w niesterowalnych odnawialnych źródłach energii elektrycznej.</w:t>
        </w:r>
        <w:r w:rsidR="00BD159B">
          <w:rPr>
            <w:noProof/>
            <w:webHidden/>
          </w:rPr>
          <w:tab/>
        </w:r>
        <w:r w:rsidR="00BD159B">
          <w:rPr>
            <w:noProof/>
            <w:webHidden/>
          </w:rPr>
          <w:fldChar w:fldCharType="begin"/>
        </w:r>
        <w:r w:rsidR="00BD159B">
          <w:rPr>
            <w:noProof/>
            <w:webHidden/>
          </w:rPr>
          <w:instrText xml:space="preserve"> PAGEREF _Toc188209364 \h </w:instrText>
        </w:r>
        <w:r w:rsidR="00BD159B">
          <w:rPr>
            <w:noProof/>
            <w:webHidden/>
          </w:rPr>
        </w:r>
        <w:r w:rsidR="00BD159B">
          <w:rPr>
            <w:noProof/>
            <w:webHidden/>
          </w:rPr>
          <w:fldChar w:fldCharType="separate"/>
        </w:r>
        <w:r w:rsidR="00A86371">
          <w:rPr>
            <w:noProof/>
            <w:webHidden/>
          </w:rPr>
          <w:t>28</w:t>
        </w:r>
        <w:r w:rsidR="00BD159B">
          <w:rPr>
            <w:noProof/>
            <w:webHidden/>
          </w:rPr>
          <w:fldChar w:fldCharType="end"/>
        </w:r>
      </w:hyperlink>
    </w:p>
    <w:p w14:paraId="3325633D" w14:textId="170BB639"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5" w:history="1">
        <w:r w:rsidR="00BD159B" w:rsidRPr="00274C58">
          <w:rPr>
            <w:rStyle w:val="Hipercze"/>
            <w:noProof/>
          </w:rPr>
          <w:t>Rysunek 14. Wartość nominalna umów mocowych zawartych w toku dotychczasowych aukcji mocy.</w:t>
        </w:r>
        <w:r w:rsidR="00BD159B">
          <w:rPr>
            <w:noProof/>
            <w:webHidden/>
          </w:rPr>
          <w:tab/>
        </w:r>
        <w:r w:rsidR="00BD159B">
          <w:rPr>
            <w:noProof/>
            <w:webHidden/>
          </w:rPr>
          <w:fldChar w:fldCharType="begin"/>
        </w:r>
        <w:r w:rsidR="00BD159B">
          <w:rPr>
            <w:noProof/>
            <w:webHidden/>
          </w:rPr>
          <w:instrText xml:space="preserve"> PAGEREF _Toc188209365 \h </w:instrText>
        </w:r>
        <w:r w:rsidR="00BD159B">
          <w:rPr>
            <w:noProof/>
            <w:webHidden/>
          </w:rPr>
        </w:r>
        <w:r w:rsidR="00BD159B">
          <w:rPr>
            <w:noProof/>
            <w:webHidden/>
          </w:rPr>
          <w:fldChar w:fldCharType="separate"/>
        </w:r>
        <w:r w:rsidR="00A86371">
          <w:rPr>
            <w:noProof/>
            <w:webHidden/>
          </w:rPr>
          <w:t>29</w:t>
        </w:r>
        <w:r w:rsidR="00BD159B">
          <w:rPr>
            <w:noProof/>
            <w:webHidden/>
          </w:rPr>
          <w:fldChar w:fldCharType="end"/>
        </w:r>
      </w:hyperlink>
    </w:p>
    <w:p w14:paraId="3C5CEF4E" w14:textId="6E50D3FB"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6" w:history="1">
        <w:r w:rsidR="00BD159B" w:rsidRPr="00274C58">
          <w:rPr>
            <w:rStyle w:val="Hipercze"/>
            <w:noProof/>
          </w:rPr>
          <w:t>Rysunek 15. Koszt umów mocowych zawartych w wyniku aukcji głównych w podziale na paliwa.</w:t>
        </w:r>
        <w:r w:rsidR="00BD159B">
          <w:rPr>
            <w:noProof/>
            <w:webHidden/>
          </w:rPr>
          <w:tab/>
        </w:r>
        <w:r w:rsidR="00BD159B">
          <w:rPr>
            <w:noProof/>
            <w:webHidden/>
          </w:rPr>
          <w:fldChar w:fldCharType="begin"/>
        </w:r>
        <w:r w:rsidR="00BD159B">
          <w:rPr>
            <w:noProof/>
            <w:webHidden/>
          </w:rPr>
          <w:instrText xml:space="preserve"> PAGEREF _Toc188209366 \h </w:instrText>
        </w:r>
        <w:r w:rsidR="00BD159B">
          <w:rPr>
            <w:noProof/>
            <w:webHidden/>
          </w:rPr>
        </w:r>
        <w:r w:rsidR="00BD159B">
          <w:rPr>
            <w:noProof/>
            <w:webHidden/>
          </w:rPr>
          <w:fldChar w:fldCharType="separate"/>
        </w:r>
        <w:r w:rsidR="00A86371">
          <w:rPr>
            <w:noProof/>
            <w:webHidden/>
          </w:rPr>
          <w:t>30</w:t>
        </w:r>
        <w:r w:rsidR="00BD159B">
          <w:rPr>
            <w:noProof/>
            <w:webHidden/>
          </w:rPr>
          <w:fldChar w:fldCharType="end"/>
        </w:r>
      </w:hyperlink>
    </w:p>
    <w:p w14:paraId="54555C80" w14:textId="797380C4"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7" w:history="1">
        <w:r w:rsidR="00BD159B" w:rsidRPr="00274C58">
          <w:rPr>
            <w:rStyle w:val="Hipercze"/>
            <w:noProof/>
          </w:rPr>
          <w:t>Rysunek 16. Stawki opłaty mocowej dla odbiorców ryczałtowych.</w:t>
        </w:r>
        <w:r w:rsidR="00BD159B">
          <w:rPr>
            <w:noProof/>
            <w:webHidden/>
          </w:rPr>
          <w:tab/>
        </w:r>
        <w:r w:rsidR="00BD159B">
          <w:rPr>
            <w:noProof/>
            <w:webHidden/>
          </w:rPr>
          <w:fldChar w:fldCharType="begin"/>
        </w:r>
        <w:r w:rsidR="00BD159B">
          <w:rPr>
            <w:noProof/>
            <w:webHidden/>
          </w:rPr>
          <w:instrText xml:space="preserve"> PAGEREF _Toc188209367 \h </w:instrText>
        </w:r>
        <w:r w:rsidR="00BD159B">
          <w:rPr>
            <w:noProof/>
            <w:webHidden/>
          </w:rPr>
        </w:r>
        <w:r w:rsidR="00BD159B">
          <w:rPr>
            <w:noProof/>
            <w:webHidden/>
          </w:rPr>
          <w:fldChar w:fldCharType="separate"/>
        </w:r>
        <w:r w:rsidR="00A86371">
          <w:rPr>
            <w:noProof/>
            <w:webHidden/>
          </w:rPr>
          <w:t>30</w:t>
        </w:r>
        <w:r w:rsidR="00BD159B">
          <w:rPr>
            <w:noProof/>
            <w:webHidden/>
          </w:rPr>
          <w:fldChar w:fldCharType="end"/>
        </w:r>
      </w:hyperlink>
    </w:p>
    <w:p w14:paraId="69CA7A2E" w14:textId="210AABDA"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8" w:history="1">
        <w:r w:rsidR="00BD159B" w:rsidRPr="00274C58">
          <w:rPr>
            <w:rStyle w:val="Hipercze"/>
            <w:noProof/>
          </w:rPr>
          <w:t>Rysunek 17. Stawki opłaty mocowej dla pozostałych odbiorców.</w:t>
        </w:r>
        <w:r w:rsidR="00BD159B">
          <w:rPr>
            <w:noProof/>
            <w:webHidden/>
          </w:rPr>
          <w:tab/>
        </w:r>
        <w:r w:rsidR="00BD159B">
          <w:rPr>
            <w:noProof/>
            <w:webHidden/>
          </w:rPr>
          <w:fldChar w:fldCharType="begin"/>
        </w:r>
        <w:r w:rsidR="00BD159B">
          <w:rPr>
            <w:noProof/>
            <w:webHidden/>
          </w:rPr>
          <w:instrText xml:space="preserve"> PAGEREF _Toc188209368 \h </w:instrText>
        </w:r>
        <w:r w:rsidR="00BD159B">
          <w:rPr>
            <w:noProof/>
            <w:webHidden/>
          </w:rPr>
        </w:r>
        <w:r w:rsidR="00BD159B">
          <w:rPr>
            <w:noProof/>
            <w:webHidden/>
          </w:rPr>
          <w:fldChar w:fldCharType="separate"/>
        </w:r>
        <w:r w:rsidR="00A86371">
          <w:rPr>
            <w:noProof/>
            <w:webHidden/>
          </w:rPr>
          <w:t>31</w:t>
        </w:r>
        <w:r w:rsidR="00BD159B">
          <w:rPr>
            <w:noProof/>
            <w:webHidden/>
          </w:rPr>
          <w:fldChar w:fldCharType="end"/>
        </w:r>
      </w:hyperlink>
    </w:p>
    <w:p w14:paraId="17BE3531" w14:textId="51646B8E"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69" w:history="1">
        <w:r w:rsidR="00BD159B" w:rsidRPr="00274C58">
          <w:rPr>
            <w:rStyle w:val="Hipercze"/>
            <w:noProof/>
          </w:rPr>
          <w:t>Rysunek 18. „Oczekiwany czas braku dostaw energii elektrycznej” w scenariuszu referencyjnym.</w:t>
        </w:r>
        <w:r w:rsidR="00BD159B">
          <w:rPr>
            <w:noProof/>
            <w:webHidden/>
          </w:rPr>
          <w:tab/>
        </w:r>
        <w:r w:rsidR="00BD159B">
          <w:rPr>
            <w:noProof/>
            <w:webHidden/>
          </w:rPr>
          <w:fldChar w:fldCharType="begin"/>
        </w:r>
        <w:r w:rsidR="00BD159B">
          <w:rPr>
            <w:noProof/>
            <w:webHidden/>
          </w:rPr>
          <w:instrText xml:space="preserve"> PAGEREF _Toc188209369 \h </w:instrText>
        </w:r>
        <w:r w:rsidR="00BD159B">
          <w:rPr>
            <w:noProof/>
            <w:webHidden/>
          </w:rPr>
        </w:r>
        <w:r w:rsidR="00BD159B">
          <w:rPr>
            <w:noProof/>
            <w:webHidden/>
          </w:rPr>
          <w:fldChar w:fldCharType="separate"/>
        </w:r>
        <w:r w:rsidR="00A86371">
          <w:rPr>
            <w:noProof/>
            <w:webHidden/>
          </w:rPr>
          <w:t>37</w:t>
        </w:r>
        <w:r w:rsidR="00BD159B">
          <w:rPr>
            <w:noProof/>
            <w:webHidden/>
          </w:rPr>
          <w:fldChar w:fldCharType="end"/>
        </w:r>
      </w:hyperlink>
    </w:p>
    <w:p w14:paraId="770B63A7" w14:textId="3C07CAFC"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70" w:history="1">
        <w:r w:rsidR="00BD159B" w:rsidRPr="00274C58">
          <w:rPr>
            <w:rStyle w:val="Hipercze"/>
            <w:noProof/>
          </w:rPr>
          <w:t>Rysunek 19. „Oczekiwany czas braku dostaw energii elektrycznej” w scenariuszu wrażliwości.</w:t>
        </w:r>
        <w:r w:rsidR="00BD159B">
          <w:rPr>
            <w:noProof/>
            <w:webHidden/>
          </w:rPr>
          <w:tab/>
        </w:r>
        <w:r w:rsidR="00BD159B">
          <w:rPr>
            <w:noProof/>
            <w:webHidden/>
          </w:rPr>
          <w:fldChar w:fldCharType="begin"/>
        </w:r>
        <w:r w:rsidR="00BD159B">
          <w:rPr>
            <w:noProof/>
            <w:webHidden/>
          </w:rPr>
          <w:instrText xml:space="preserve"> PAGEREF _Toc188209370 \h </w:instrText>
        </w:r>
        <w:r w:rsidR="00BD159B">
          <w:rPr>
            <w:noProof/>
            <w:webHidden/>
          </w:rPr>
        </w:r>
        <w:r w:rsidR="00BD159B">
          <w:rPr>
            <w:noProof/>
            <w:webHidden/>
          </w:rPr>
          <w:fldChar w:fldCharType="separate"/>
        </w:r>
        <w:r w:rsidR="00A86371">
          <w:rPr>
            <w:noProof/>
            <w:webHidden/>
          </w:rPr>
          <w:t>38</w:t>
        </w:r>
        <w:r w:rsidR="00BD159B">
          <w:rPr>
            <w:noProof/>
            <w:webHidden/>
          </w:rPr>
          <w:fldChar w:fldCharType="end"/>
        </w:r>
      </w:hyperlink>
    </w:p>
    <w:p w14:paraId="0AFAE91E" w14:textId="5ABE0C6C"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71" w:history="1">
        <w:r w:rsidR="00BD159B" w:rsidRPr="00274C58">
          <w:rPr>
            <w:rStyle w:val="Hipercze"/>
            <w:noProof/>
          </w:rPr>
          <w:t>Rysunek 20. „Oczekiwany czas braku dostaw energii elektrycznej” zgodnie z NRAA.</w:t>
        </w:r>
        <w:r w:rsidR="00BD159B">
          <w:rPr>
            <w:noProof/>
            <w:webHidden/>
          </w:rPr>
          <w:tab/>
        </w:r>
        <w:r w:rsidR="00BD159B">
          <w:rPr>
            <w:noProof/>
            <w:webHidden/>
          </w:rPr>
          <w:fldChar w:fldCharType="begin"/>
        </w:r>
        <w:r w:rsidR="00BD159B">
          <w:rPr>
            <w:noProof/>
            <w:webHidden/>
          </w:rPr>
          <w:instrText xml:space="preserve"> PAGEREF _Toc188209371 \h </w:instrText>
        </w:r>
        <w:r w:rsidR="00BD159B">
          <w:rPr>
            <w:noProof/>
            <w:webHidden/>
          </w:rPr>
        </w:r>
        <w:r w:rsidR="00BD159B">
          <w:rPr>
            <w:noProof/>
            <w:webHidden/>
          </w:rPr>
          <w:fldChar w:fldCharType="separate"/>
        </w:r>
        <w:r w:rsidR="00A86371">
          <w:rPr>
            <w:noProof/>
            <w:webHidden/>
          </w:rPr>
          <w:t>40</w:t>
        </w:r>
        <w:r w:rsidR="00BD159B">
          <w:rPr>
            <w:noProof/>
            <w:webHidden/>
          </w:rPr>
          <w:fldChar w:fldCharType="end"/>
        </w:r>
      </w:hyperlink>
    </w:p>
    <w:p w14:paraId="0825B405" w14:textId="56CDE9A8" w:rsidR="006741FC" w:rsidRPr="00BB3E4F" w:rsidRDefault="006741FC" w:rsidP="006741FC">
      <w:pPr>
        <w:pStyle w:val="Nagwek1"/>
        <w:tabs>
          <w:tab w:val="right" w:leader="dot" w:pos="8505"/>
        </w:tabs>
      </w:pPr>
      <w:r w:rsidRPr="005C3F6A">
        <w:rPr>
          <w:sz w:val="20"/>
          <w:szCs w:val="20"/>
        </w:rPr>
        <w:fldChar w:fldCharType="end"/>
      </w:r>
      <w:bookmarkStart w:id="161" w:name="_Toc183753361"/>
      <w:bookmarkStart w:id="162" w:name="_Toc188008627"/>
      <w:r w:rsidRPr="00BB3E4F">
        <w:t>Spis tabel</w:t>
      </w:r>
      <w:bookmarkEnd w:id="161"/>
      <w:bookmarkEnd w:id="162"/>
    </w:p>
    <w:p w14:paraId="62C9FB0B" w14:textId="760E647D" w:rsidR="00BD159B" w:rsidRDefault="006741FC">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r w:rsidRPr="006741FC">
        <w:rPr>
          <w:rFonts w:ascii="Lato" w:hAnsi="Lato"/>
        </w:rPr>
        <w:fldChar w:fldCharType="begin"/>
      </w:r>
      <w:r w:rsidRPr="006741FC">
        <w:rPr>
          <w:rFonts w:ascii="Lato" w:hAnsi="Lato"/>
        </w:rPr>
        <w:instrText xml:space="preserve"> TOC \h \z \c "Tabela" </w:instrText>
      </w:r>
      <w:r w:rsidRPr="006741FC">
        <w:rPr>
          <w:rFonts w:ascii="Lato" w:hAnsi="Lato"/>
        </w:rPr>
        <w:fldChar w:fldCharType="separate"/>
      </w:r>
      <w:hyperlink w:anchor="_Toc188209322" w:history="1">
        <w:r w:rsidR="00BD159B" w:rsidRPr="00F2054B">
          <w:rPr>
            <w:rStyle w:val="Hipercze"/>
            <w:noProof/>
          </w:rPr>
          <w:t>Tabela 1 Poprawa wpływu energetyki na środowisko</w:t>
        </w:r>
        <w:r w:rsidR="00BD159B">
          <w:rPr>
            <w:noProof/>
            <w:webHidden/>
          </w:rPr>
          <w:tab/>
        </w:r>
        <w:r w:rsidR="00BD159B">
          <w:rPr>
            <w:noProof/>
            <w:webHidden/>
          </w:rPr>
          <w:fldChar w:fldCharType="begin"/>
        </w:r>
        <w:r w:rsidR="00BD159B">
          <w:rPr>
            <w:noProof/>
            <w:webHidden/>
          </w:rPr>
          <w:instrText xml:space="preserve"> PAGEREF _Toc188209322 \h </w:instrText>
        </w:r>
        <w:r w:rsidR="00BD159B">
          <w:rPr>
            <w:noProof/>
            <w:webHidden/>
          </w:rPr>
        </w:r>
        <w:r w:rsidR="00BD159B">
          <w:rPr>
            <w:noProof/>
            <w:webHidden/>
          </w:rPr>
          <w:fldChar w:fldCharType="separate"/>
        </w:r>
        <w:r w:rsidR="00A86371">
          <w:rPr>
            <w:noProof/>
            <w:webHidden/>
          </w:rPr>
          <w:t>27</w:t>
        </w:r>
        <w:r w:rsidR="00BD159B">
          <w:rPr>
            <w:noProof/>
            <w:webHidden/>
          </w:rPr>
          <w:fldChar w:fldCharType="end"/>
        </w:r>
      </w:hyperlink>
    </w:p>
    <w:p w14:paraId="79B0D160" w14:textId="26A519F0" w:rsidR="00BD159B" w:rsidRDefault="00E6024D">
      <w:pPr>
        <w:pStyle w:val="Spisilustracji"/>
        <w:tabs>
          <w:tab w:val="right" w:leader="dot" w:pos="9062"/>
        </w:tabs>
        <w:rPr>
          <w:rFonts w:asciiTheme="minorHAnsi" w:hAnsiTheme="minorHAnsi" w:cstheme="minorBidi"/>
          <w:i w:val="0"/>
          <w:iCs w:val="0"/>
          <w:noProof/>
          <w:kern w:val="2"/>
          <w:sz w:val="24"/>
          <w:szCs w:val="24"/>
          <w:lang w:eastAsia="pl-PL"/>
          <w14:ligatures w14:val="standardContextual"/>
        </w:rPr>
      </w:pPr>
      <w:hyperlink w:anchor="_Toc188209323" w:history="1">
        <w:r w:rsidR="00BD159B" w:rsidRPr="00F2054B">
          <w:rPr>
            <w:rStyle w:val="Hipercze"/>
            <w:noProof/>
          </w:rPr>
          <w:t>Tabela 2 „Oczekiwany czas braku dostaw energii elektrycznej” zgodnie z NRAA</w:t>
        </w:r>
        <w:r w:rsidR="00BD159B">
          <w:rPr>
            <w:noProof/>
            <w:webHidden/>
          </w:rPr>
          <w:tab/>
        </w:r>
        <w:r w:rsidR="00BD159B">
          <w:rPr>
            <w:noProof/>
            <w:webHidden/>
          </w:rPr>
          <w:fldChar w:fldCharType="begin"/>
        </w:r>
        <w:r w:rsidR="00BD159B">
          <w:rPr>
            <w:noProof/>
            <w:webHidden/>
          </w:rPr>
          <w:instrText xml:space="preserve"> PAGEREF _Toc188209323 \h </w:instrText>
        </w:r>
        <w:r w:rsidR="00BD159B">
          <w:rPr>
            <w:noProof/>
            <w:webHidden/>
          </w:rPr>
        </w:r>
        <w:r w:rsidR="00BD159B">
          <w:rPr>
            <w:noProof/>
            <w:webHidden/>
          </w:rPr>
          <w:fldChar w:fldCharType="separate"/>
        </w:r>
        <w:r w:rsidR="00A86371">
          <w:rPr>
            <w:noProof/>
            <w:webHidden/>
          </w:rPr>
          <w:t>40</w:t>
        </w:r>
        <w:r w:rsidR="00BD159B">
          <w:rPr>
            <w:noProof/>
            <w:webHidden/>
          </w:rPr>
          <w:fldChar w:fldCharType="end"/>
        </w:r>
      </w:hyperlink>
    </w:p>
    <w:p w14:paraId="7EEBFA71" w14:textId="0F5D3DCC" w:rsidR="006741FC" w:rsidRPr="00BB3E4F" w:rsidRDefault="006741FC" w:rsidP="006741FC">
      <w:pPr>
        <w:rPr>
          <w:sz w:val="20"/>
          <w:szCs w:val="20"/>
        </w:rPr>
      </w:pPr>
      <w:r w:rsidRPr="006741FC">
        <w:rPr>
          <w:sz w:val="20"/>
          <w:szCs w:val="20"/>
        </w:rPr>
        <w:fldChar w:fldCharType="end"/>
      </w:r>
    </w:p>
    <w:p w14:paraId="3DF3B09F" w14:textId="77777777" w:rsidR="006741FC" w:rsidRPr="00BB3E4F" w:rsidRDefault="006741FC" w:rsidP="006741FC">
      <w:pPr>
        <w:jc w:val="left"/>
        <w:rPr>
          <w:sz w:val="20"/>
          <w:szCs w:val="20"/>
        </w:rPr>
      </w:pPr>
      <w:r w:rsidRPr="00BB3E4F">
        <w:rPr>
          <w:sz w:val="20"/>
          <w:szCs w:val="20"/>
        </w:rPr>
        <w:br w:type="page"/>
      </w:r>
    </w:p>
    <w:p w14:paraId="48CB8912" w14:textId="77777777" w:rsidR="006741FC" w:rsidRPr="00BB3E4F" w:rsidRDefault="006741FC" w:rsidP="006741FC">
      <w:pPr>
        <w:pStyle w:val="Nagwek1"/>
      </w:pPr>
      <w:bookmarkStart w:id="163" w:name="_Toc183753362"/>
      <w:bookmarkStart w:id="164" w:name="_Toc188008628"/>
      <w:r w:rsidRPr="00BB3E4F">
        <w:lastRenderedPageBreak/>
        <w:t>Załącznik</w:t>
      </w:r>
      <w:bookmarkEnd w:id="163"/>
      <w:bookmarkEnd w:id="164"/>
    </w:p>
    <w:p w14:paraId="5A190EEA" w14:textId="2949656A" w:rsidR="009A469D" w:rsidRPr="006741FC" w:rsidRDefault="006741FC" w:rsidP="006741FC">
      <w:pPr>
        <w:pStyle w:val="Akapitzlist"/>
        <w:numPr>
          <w:ilvl w:val="0"/>
          <w:numId w:val="9"/>
        </w:numPr>
      </w:pPr>
      <w:bookmarkStart w:id="165" w:name="_Ref180759011"/>
      <w:r>
        <w:t>Ocena</w:t>
      </w:r>
      <w:r w:rsidRPr="00BB3E4F">
        <w:t xml:space="preserve"> wystarczalności zasobów</w:t>
      </w:r>
      <w:bookmarkEnd w:id="165"/>
      <w:r w:rsidRPr="00BB3E4F">
        <w:t xml:space="preserve"> wytwórczych</w:t>
      </w:r>
      <w:r>
        <w:t xml:space="preserve"> na poziomie krajowym.</w:t>
      </w:r>
    </w:p>
    <w:sectPr w:rsidR="009A469D" w:rsidRPr="006741FC" w:rsidSect="00B27DD5">
      <w:footerReference w:type="default" r:id="rId28"/>
      <w:footerReference w:type="firs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9F2B7" w14:textId="77777777" w:rsidR="00E6024D" w:rsidRDefault="00E6024D">
      <w:pPr>
        <w:spacing w:after="0" w:line="240" w:lineRule="auto"/>
      </w:pPr>
      <w:r>
        <w:separator/>
      </w:r>
    </w:p>
  </w:endnote>
  <w:endnote w:type="continuationSeparator" w:id="0">
    <w:p w14:paraId="6173ACAE" w14:textId="77777777" w:rsidR="00E6024D" w:rsidRDefault="00E60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Lato">
    <w:panose1 w:val="020F0502020204030203"/>
    <w:charset w:val="EE"/>
    <w:family w:val="swiss"/>
    <w:pitch w:val="variable"/>
    <w:sig w:usb0="800000AF" w:usb1="40006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937544"/>
      <w:docPartObj>
        <w:docPartGallery w:val="Page Numbers (Bottom of Page)"/>
        <w:docPartUnique/>
      </w:docPartObj>
    </w:sdtPr>
    <w:sdtEndPr/>
    <w:sdtContent>
      <w:p w14:paraId="256488B8" w14:textId="3CCD6F57" w:rsidR="00B27DD5" w:rsidRDefault="00B27DD5">
        <w:pPr>
          <w:pStyle w:val="Stopka"/>
          <w:jc w:val="right"/>
        </w:pPr>
        <w:r>
          <w:fldChar w:fldCharType="begin"/>
        </w:r>
        <w:r>
          <w:instrText>PAGE   \* MERGEFORMAT</w:instrText>
        </w:r>
        <w:r>
          <w:fldChar w:fldCharType="separate"/>
        </w:r>
        <w:r w:rsidR="00807D32">
          <w:rPr>
            <w:noProof/>
          </w:rPr>
          <w:t>2</w:t>
        </w:r>
        <w:r>
          <w:fldChar w:fldCharType="end"/>
        </w:r>
      </w:p>
    </w:sdtContent>
  </w:sdt>
  <w:p w14:paraId="79295790" w14:textId="77777777" w:rsidR="00BC3F01" w:rsidRDefault="00BC3F0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341776"/>
      <w:docPartObj>
        <w:docPartGallery w:val="Page Numbers (Bottom of Page)"/>
        <w:docPartUnique/>
      </w:docPartObj>
    </w:sdtPr>
    <w:sdtEndPr>
      <w:rPr>
        <w:color w:val="FFFFFF" w:themeColor="background1"/>
      </w:rPr>
    </w:sdtEndPr>
    <w:sdtContent>
      <w:p w14:paraId="6AA623EA" w14:textId="77777777" w:rsidR="00D14418" w:rsidRPr="00CF0F26" w:rsidRDefault="00D14418">
        <w:pPr>
          <w:pStyle w:val="Stopka"/>
          <w:jc w:val="center"/>
          <w:rPr>
            <w:color w:val="FFFFFF" w:themeColor="background1"/>
          </w:rPr>
        </w:pPr>
        <w:r w:rsidRPr="00CF0F26">
          <w:rPr>
            <w:color w:val="FFFFFF" w:themeColor="background1"/>
          </w:rPr>
          <w:t>23</w:t>
        </w:r>
      </w:p>
    </w:sdtContent>
  </w:sdt>
  <w:sdt>
    <w:sdtPr>
      <w:rPr>
        <w:color w:val="FFFFFF" w:themeColor="background1"/>
      </w:rPr>
      <w:id w:val="1947963792"/>
      <w:docPartObj>
        <w:docPartGallery w:val="Page Numbers (Bottom of Page)"/>
        <w:docPartUnique/>
      </w:docPartObj>
    </w:sdtPr>
    <w:sdtEndPr/>
    <w:sdtContent>
      <w:p w14:paraId="02BCA73F" w14:textId="26BDF134" w:rsidR="00D14418" w:rsidRPr="00BE437E" w:rsidRDefault="00D14418" w:rsidP="005B19C5">
        <w:pPr>
          <w:pStyle w:val="Stopka"/>
          <w:jc w:val="center"/>
          <w:rPr>
            <w:color w:val="FFFFFF" w:themeColor="background1"/>
          </w:rPr>
        </w:pPr>
        <w:r w:rsidRPr="00BE437E">
          <w:rPr>
            <w:color w:val="FFFFFF" w:themeColor="background1"/>
          </w:rPr>
          <w:fldChar w:fldCharType="begin"/>
        </w:r>
        <w:r w:rsidRPr="00BE437E">
          <w:rPr>
            <w:color w:val="FFFFFF" w:themeColor="background1"/>
          </w:rPr>
          <w:instrText>PAGE   \* MERGEFORMAT</w:instrText>
        </w:r>
        <w:r w:rsidRPr="00BE437E">
          <w:rPr>
            <w:color w:val="FFFFFF" w:themeColor="background1"/>
          </w:rPr>
          <w:fldChar w:fldCharType="separate"/>
        </w:r>
        <w:r w:rsidR="00807D32">
          <w:rPr>
            <w:noProof/>
            <w:color w:val="FFFFFF" w:themeColor="background1"/>
          </w:rPr>
          <w:t>1</w:t>
        </w:r>
        <w:r w:rsidRPr="00BE437E">
          <w:rPr>
            <w:color w:val="FFFFFF" w:themeColor="background1"/>
          </w:rPr>
          <w:fldChar w:fldCharType="end"/>
        </w:r>
      </w:p>
    </w:sdtContent>
  </w:sdt>
  <w:p w14:paraId="730594D1" w14:textId="77777777" w:rsidR="00BC3F01" w:rsidRDefault="00BC3F0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F7618" w14:textId="77777777" w:rsidR="00E6024D" w:rsidRDefault="00E6024D">
      <w:pPr>
        <w:spacing w:after="0" w:line="240" w:lineRule="auto"/>
      </w:pPr>
      <w:r>
        <w:separator/>
      </w:r>
    </w:p>
  </w:footnote>
  <w:footnote w:type="continuationSeparator" w:id="0">
    <w:p w14:paraId="5595F3AB" w14:textId="77777777" w:rsidR="00E6024D" w:rsidRDefault="00E6024D">
      <w:pPr>
        <w:spacing w:after="0" w:line="240" w:lineRule="auto"/>
      </w:pPr>
      <w:r>
        <w:continuationSeparator/>
      </w:r>
    </w:p>
  </w:footnote>
  <w:footnote w:id="1">
    <w:p w14:paraId="517CA88B" w14:textId="41725500"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BD2475" w:rsidRPr="00163405">
        <w:rPr>
          <w:sz w:val="18"/>
          <w:szCs w:val="18"/>
          <w:vertAlign w:val="superscript"/>
        </w:rPr>
        <w:t>)</w:t>
      </w:r>
      <w:r w:rsidR="004B26EB">
        <w:rPr>
          <w:sz w:val="18"/>
          <w:szCs w:val="18"/>
        </w:rPr>
        <w:tab/>
      </w:r>
      <w:r w:rsidRPr="00180F7F">
        <w:rPr>
          <w:sz w:val="18"/>
          <w:szCs w:val="18"/>
        </w:rPr>
        <w:t>Plan wdrażania reform rynku energii elektrycznej przyjęty, https://www.gov.pl/web/klimat/plan-wdrazania-reform-rynku-energii-elektrycznej-przyjety, [dostęp: 07.10.2024].</w:t>
      </w:r>
    </w:p>
  </w:footnote>
  <w:footnote w:id="2">
    <w:p w14:paraId="365AB36A" w14:textId="5A33B67E"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Sprawozdanie z realizacji Planu Wdrażania reform rynku energii elektrycznej przyjęte przez KSE, https://www.gov.pl/web/klimat/sprawozdanie-z-realizacji-planu-wdrazania-reform-rynku-energii-elektrycznej-przyjete-przez-kse, [dostęp: 07.10.2024].</w:t>
      </w:r>
    </w:p>
  </w:footnote>
  <w:footnote w:id="3">
    <w:p w14:paraId="50A1B7F5" w14:textId="0CECE348"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Ministerstwo Klimatu i Środowiska przygotowało Sprawozdanie z realizacji Polskiego Planu Wdrażania reform rynku energii elektrycznej, https://www.gov.pl/web/klimat/ministerstwo-klimatu-i-srodowiska-przygotowalo-sprawozdanie-z-realizacji-polskiego-planu-wdrazania-reform-rynku-energii-elektrycznej, [dostęp: 07.10.2024].</w:t>
      </w:r>
    </w:p>
  </w:footnote>
  <w:footnote w:id="4">
    <w:p w14:paraId="671B12A9" w14:textId="76D7FD05"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Sprawozdanie z realizacji Polskiego Planu Wdrażania reform rynku energii elektrycznej, https://www.gov.pl/web/klimat/sprawozdanie-z-realizacji-polskiego-planu-wdrazania-reform-rynku-energii-elektrycznej, [dostęp: 07.10.2024].</w:t>
      </w:r>
    </w:p>
  </w:footnote>
  <w:footnote w:id="5">
    <w:p w14:paraId="14A7C360" w14:textId="5712AE0A" w:rsidR="006741FC" w:rsidRDefault="006741FC" w:rsidP="00163405">
      <w:pPr>
        <w:pStyle w:val="Tekstprzypisudolnego"/>
        <w:ind w:left="284" w:hanging="284"/>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III. Plan reform rynku energii elektrycznej, Polski Plan Wdrażania, s. 17, https://www.gov.pl/web/klimat/plan-wdrazania-reform-rynku-energii-elektrycznej-przyjety, [dostęp:8.10.2024].</w:t>
      </w:r>
    </w:p>
  </w:footnote>
  <w:footnote w:id="6">
    <w:p w14:paraId="02FEF586" w14:textId="02AB8DFA"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Z wyłączeniem tych godzin, dla których: (i) nie są dostępne zasoby redispatchingu niezbędne do zapewnienie operacyjnego bezpieczeństwa funkcjonowania systemu elektroenergetycznego lub (ii) występują odstawienia krytycznych elementów sieci, w związku z ich utrzymaniem lub pracami w zakresie rozbudowy sieci.</w:t>
      </w:r>
    </w:p>
  </w:footnote>
  <w:footnote w:id="7">
    <w:p w14:paraId="0A1DB946" w14:textId="0A726938" w:rsidR="006741FC" w:rsidRDefault="006741FC" w:rsidP="00163405">
      <w:pPr>
        <w:pStyle w:val="Tekstprzypisudolnego"/>
        <w:ind w:left="284" w:hanging="284"/>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1) Sprawozdanie z realizacji Planu Wdrażania reform rynku energii elektrycznej przyjęte przez KSE, https://www.gov.pl/web/klimat/sprawozdanie-z-realizacji-planu-wdrazania-reform-rynku-energii-elektrycznej-przyjete-przez-kse [dostęp: 27.11.2024]; 2) Ministerstwo Klimatu i Środowiska przygotowało Sprawozdanie z realizacji Polskiego Planu Wdrażania reform rynku energii elektrycznej https://www.gov.pl/web/klimat/ministerstwo-klimatu-i-srodowiska-przygotowalo-sprawozdanie-z-realizacji-polskiego-planu-wdrazania-reform-rynku-energii-elektrycznej [dostęp: 27.11.2024], 3) Sprawozdania z realizacji Polskiego Planu Wdrażania reform rynku energii elektrycznej https://www.gov.pl/web/klimat/sprawozdanie-z-realizacji-polskiego-planu-wdrazania-reform-rynku-energii-elektrycznej [dostęp: 27.11.2024].</w:t>
      </w:r>
      <w:r w:rsidDel="00AC34A0">
        <w:t xml:space="preserve"> </w:t>
      </w:r>
    </w:p>
  </w:footnote>
  <w:footnote w:id="8">
    <w:p w14:paraId="315970A0" w14:textId="623B4211" w:rsidR="006741FC" w:rsidRPr="00180F7F" w:rsidRDefault="006741FC" w:rsidP="00163405">
      <w:pPr>
        <w:pStyle w:val="Tekstprzypisudolnego"/>
        <w:ind w:left="284" w:hanging="284"/>
        <w:rPr>
          <w:sz w:val="18"/>
          <w:szCs w:val="18"/>
          <w:lang w:val="en-US"/>
        </w:rPr>
      </w:pPr>
      <w:r w:rsidRPr="00180F7F">
        <w:rPr>
          <w:rStyle w:val="Odwoanieprzypisudolnego"/>
          <w:sz w:val="18"/>
          <w:szCs w:val="18"/>
        </w:rPr>
        <w:footnoteRef/>
      </w:r>
      <w:r w:rsidR="00896F30" w:rsidRPr="00163405">
        <w:rPr>
          <w:sz w:val="18"/>
          <w:szCs w:val="18"/>
          <w:vertAlign w:val="superscript"/>
          <w:lang w:val="en-US"/>
        </w:rPr>
        <w:t>)</w:t>
      </w:r>
      <w:r w:rsidR="004B26EB">
        <w:rPr>
          <w:sz w:val="18"/>
          <w:szCs w:val="18"/>
          <w:lang w:val="en-US"/>
        </w:rPr>
        <w:tab/>
      </w:r>
      <w:r w:rsidRPr="00180F7F">
        <w:rPr>
          <w:sz w:val="18"/>
          <w:szCs w:val="18"/>
          <w:lang w:val="en-US"/>
        </w:rPr>
        <w:t>Guidance for Member States on implementation plans pursuant Art. 20 (3</w:t>
      </w:r>
      <w:r w:rsidR="00B979A2" w:rsidRPr="00180F7F">
        <w:rPr>
          <w:sz w:val="18"/>
          <w:szCs w:val="18"/>
          <w:lang w:val="en-US"/>
        </w:rPr>
        <w:t>)</w:t>
      </w:r>
      <w:r w:rsidR="00B979A2">
        <w:rPr>
          <w:sz w:val="18"/>
          <w:szCs w:val="18"/>
          <w:lang w:val="en-US"/>
        </w:rPr>
        <w:t>–</w:t>
      </w:r>
      <w:r w:rsidR="00B979A2" w:rsidRPr="00180F7F">
        <w:rPr>
          <w:sz w:val="18"/>
          <w:szCs w:val="18"/>
          <w:lang w:val="en-US"/>
        </w:rPr>
        <w:t>(</w:t>
      </w:r>
      <w:r w:rsidRPr="00180F7F">
        <w:rPr>
          <w:sz w:val="18"/>
          <w:szCs w:val="18"/>
          <w:lang w:val="en-US"/>
        </w:rPr>
        <w:t>8) of Regulation (EU) 2019/943 (“Market Reform Plans”).</w:t>
      </w:r>
    </w:p>
  </w:footnote>
  <w:footnote w:id="9">
    <w:p w14:paraId="4F426B74" w14:textId="166263E8" w:rsidR="006741FC" w:rsidRDefault="006741FC" w:rsidP="00163405">
      <w:pPr>
        <w:pStyle w:val="Tekstprzypisudolnego"/>
        <w:ind w:left="284" w:hanging="284"/>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Dane w tym podrozdziale przywołano na podstawie raportów rocznych z funkcjonowania KSE autorstwa PSE S.A.</w:t>
      </w:r>
    </w:p>
  </w:footnote>
  <w:footnote w:id="10">
    <w:p w14:paraId="42211AB8" w14:textId="579F6863"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i/>
          <w:iCs/>
          <w:sz w:val="18"/>
          <w:szCs w:val="18"/>
          <w:vertAlign w:val="superscript"/>
        </w:rPr>
        <w:t>)</w:t>
      </w:r>
      <w:r w:rsidR="004B26EB">
        <w:rPr>
          <w:i/>
          <w:iCs/>
          <w:sz w:val="18"/>
          <w:szCs w:val="18"/>
        </w:rPr>
        <w:tab/>
      </w:r>
      <w:r w:rsidRPr="00180F7F">
        <w:rPr>
          <w:i/>
          <w:iCs/>
          <w:sz w:val="18"/>
          <w:szCs w:val="18"/>
        </w:rPr>
        <w:t>PSE SA., Raport za rok 2023,  https://www.pse.pl/dane-systemowe/funkcjonowanie-kse/raporty-roczne-z-funkcjonowania-kse-za-rok/raporty-za-rok-2023, [dostęp: 24.10.2024].</w:t>
      </w:r>
    </w:p>
  </w:footnote>
  <w:footnote w:id="11">
    <w:p w14:paraId="0B0AD146" w14:textId="19748525"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i/>
          <w:iCs/>
          <w:sz w:val="18"/>
          <w:szCs w:val="18"/>
          <w:vertAlign w:val="superscript"/>
        </w:rPr>
        <w:t>)</w:t>
      </w:r>
      <w:r w:rsidR="004B26EB">
        <w:rPr>
          <w:i/>
          <w:iCs/>
          <w:sz w:val="18"/>
          <w:szCs w:val="18"/>
        </w:rPr>
        <w:tab/>
      </w:r>
      <w:r w:rsidRPr="00180F7F">
        <w:rPr>
          <w:i/>
          <w:iCs/>
          <w:sz w:val="18"/>
          <w:szCs w:val="18"/>
        </w:rPr>
        <w:t>PSE SA., Raport za rok 2023,  https://www.pse.pl/dane-systemowe/funkcjonowanie-kse/raporty-roczne-z-funkcjonowania-kse-za-rok/raporty-za-rok-2023 [dostęp: 24.10.2024].</w:t>
      </w:r>
    </w:p>
  </w:footnote>
  <w:footnote w:id="12">
    <w:p w14:paraId="390B2865" w14:textId="2624947D"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i/>
          <w:iCs/>
          <w:sz w:val="18"/>
          <w:szCs w:val="18"/>
          <w:vertAlign w:val="superscript"/>
        </w:rPr>
        <w:t>)</w:t>
      </w:r>
      <w:r w:rsidR="004B26EB">
        <w:rPr>
          <w:i/>
          <w:iCs/>
          <w:sz w:val="18"/>
          <w:szCs w:val="18"/>
        </w:rPr>
        <w:tab/>
      </w:r>
      <w:r w:rsidRPr="00180F7F">
        <w:rPr>
          <w:i/>
          <w:iCs/>
          <w:sz w:val="18"/>
          <w:szCs w:val="18"/>
        </w:rPr>
        <w:t>PSE SA., Raport za rok 2023,  https://www.pse.pl/dane-systemowe/funkcjonowanie-kse/raporty-roczne-z-funkcjonowania-kse-za-rok/raporty-za-rok-2023, [dostęp: 24.10.2024].</w:t>
      </w:r>
    </w:p>
  </w:footnote>
  <w:footnote w:id="13">
    <w:p w14:paraId="7C198CD8" w14:textId="64615427" w:rsidR="006741FC" w:rsidRDefault="006741FC" w:rsidP="00163405">
      <w:pPr>
        <w:pStyle w:val="Tekstprzypisudolnego"/>
        <w:ind w:left="284" w:hanging="284"/>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MKiŚ, Minister Klimatu i Środowiska zaprasza do udziału w badaniu dotyczącym funkcjonowania rynku energii elektrycznej oraz rynku mocy, https://www.gov.pl/web/klimat/minister-klimatu-i-srodowiska-zaprasza-do-udzialu-w-badaniu-dotyczacym-funkcjonowania-rynku-energii-elektrycznej-oraz-rynku-mocy, [dostęp: 29.10.2024 r.].</w:t>
      </w:r>
    </w:p>
  </w:footnote>
  <w:footnote w:id="14">
    <w:p w14:paraId="7B3D38B8" w14:textId="04E646B8"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896F30" w:rsidRPr="00163405">
        <w:rPr>
          <w:sz w:val="18"/>
          <w:szCs w:val="18"/>
          <w:vertAlign w:val="superscript"/>
        </w:rPr>
        <w:t>)</w:t>
      </w:r>
      <w:r w:rsidR="004B26EB">
        <w:rPr>
          <w:sz w:val="18"/>
          <w:szCs w:val="18"/>
        </w:rPr>
        <w:tab/>
      </w:r>
      <w:r w:rsidRPr="00180F7F">
        <w:rPr>
          <w:sz w:val="18"/>
          <w:szCs w:val="18"/>
        </w:rPr>
        <w:t>PSE S.A., „</w:t>
      </w:r>
      <w:r w:rsidRPr="00180F7F">
        <w:rPr>
          <w:i/>
          <w:iCs/>
          <w:sz w:val="18"/>
          <w:szCs w:val="18"/>
        </w:rPr>
        <w:t>Prognoza pokrycia zapotrzebowania szczytowego na moc w latach 2016-2035”, źródło: https://www.pse.pl/-/prognoza-pokrycia-zapotrzebowania-szczytowego-na-moc-w-latach-2016-2035, [dostęp: 07.10.2024 r.].</w:t>
      </w:r>
    </w:p>
  </w:footnote>
  <w:footnote w:id="15">
    <w:p w14:paraId="76B5ED97" w14:textId="1A249275" w:rsidR="006741FC" w:rsidRDefault="006741FC" w:rsidP="006741FC">
      <w:pPr>
        <w:pStyle w:val="Tekstprzypisudolnego"/>
      </w:pPr>
      <w:r w:rsidRPr="00180F7F">
        <w:rPr>
          <w:rStyle w:val="Odwoanieprzypisudolnego"/>
          <w:sz w:val="18"/>
          <w:szCs w:val="18"/>
        </w:rPr>
        <w:footnoteRef/>
      </w:r>
      <w:r w:rsidR="00BD2475" w:rsidRPr="00163405">
        <w:rPr>
          <w:sz w:val="18"/>
          <w:szCs w:val="18"/>
          <w:vertAlign w:val="superscript"/>
        </w:rPr>
        <w:t>)</w:t>
      </w:r>
      <w:r w:rsidRPr="00180F7F">
        <w:rPr>
          <w:sz w:val="18"/>
          <w:szCs w:val="18"/>
        </w:rPr>
        <w:t xml:space="preserve"> PSE S.A., „</w:t>
      </w:r>
      <w:r w:rsidRPr="00180F7F">
        <w:rPr>
          <w:i/>
          <w:iCs/>
          <w:sz w:val="18"/>
          <w:szCs w:val="18"/>
        </w:rPr>
        <w:t>Prognoza pokrycia zapotrzebowania szczytowego na moc w latach 2016-2035”, źródło: https://www.pse.pl/-/prognoza-pokrycia-zapotrzebowania-szczytowego-na-moc-w-latach-2016-2035, [dostęp: 07.10.2024 r.].</w:t>
      </w:r>
    </w:p>
  </w:footnote>
  <w:footnote w:id="16">
    <w:p w14:paraId="3C68B8B6" w14:textId="1133BF90" w:rsidR="006741FC" w:rsidRPr="00180F7F" w:rsidRDefault="006741FC" w:rsidP="00163405">
      <w:pPr>
        <w:pStyle w:val="Tekstprzypisudolnego"/>
        <w:ind w:left="284" w:hanging="284"/>
        <w:rPr>
          <w:sz w:val="18"/>
          <w:szCs w:val="18"/>
        </w:rPr>
      </w:pPr>
      <w:r w:rsidRPr="00180F7F">
        <w:rPr>
          <w:rStyle w:val="Odwoanieprzypisudolnego"/>
          <w:sz w:val="18"/>
          <w:szCs w:val="18"/>
        </w:rPr>
        <w:footnoteRef/>
      </w:r>
      <w:r w:rsidR="00BD2475" w:rsidRPr="00163405">
        <w:rPr>
          <w:sz w:val="18"/>
          <w:szCs w:val="18"/>
          <w:vertAlign w:val="superscript"/>
        </w:rPr>
        <w:t>)</w:t>
      </w:r>
      <w:r w:rsidR="004B26EB">
        <w:rPr>
          <w:sz w:val="18"/>
          <w:szCs w:val="18"/>
        </w:rPr>
        <w:tab/>
      </w:r>
      <w:r w:rsidRPr="00180F7F">
        <w:rPr>
          <w:sz w:val="18"/>
          <w:szCs w:val="18"/>
        </w:rPr>
        <w:t>Ministerstwo Energii, Rozwiązania funkcjonalne rynku mocy, https://n-4-2.dcs.redcdn.pl/file/o2/tvn/web-content/m/p121/f/84f0f20482cde7e5eacaf7364a643d33/22c51182-9bba-47f7-bf11-f9f32217047e.pdf.</w:t>
      </w:r>
    </w:p>
  </w:footnote>
  <w:footnote w:id="17">
    <w:p w14:paraId="70AC237D" w14:textId="0948AC11" w:rsidR="006741FC" w:rsidRPr="00180F7F" w:rsidRDefault="006741FC" w:rsidP="00163405">
      <w:pPr>
        <w:pStyle w:val="Tekstprzypisudolnego"/>
        <w:ind w:left="284" w:hanging="284"/>
        <w:rPr>
          <w:sz w:val="18"/>
          <w:szCs w:val="18"/>
        </w:rPr>
      </w:pPr>
      <w:r w:rsidRPr="00BD2475">
        <w:rPr>
          <w:rStyle w:val="Odwoanieprzypisudolnego"/>
          <w:sz w:val="18"/>
          <w:szCs w:val="18"/>
        </w:rPr>
        <w:footnoteRef/>
      </w:r>
      <w:r w:rsidR="00BD2475" w:rsidRPr="00163405">
        <w:rPr>
          <w:sz w:val="18"/>
          <w:szCs w:val="18"/>
          <w:vertAlign w:val="superscript"/>
        </w:rPr>
        <w:t>)</w:t>
      </w:r>
      <w:r w:rsidR="004B26EB">
        <w:rPr>
          <w:sz w:val="18"/>
          <w:szCs w:val="18"/>
        </w:rPr>
        <w:tab/>
      </w:r>
      <w:r w:rsidRPr="00180F7F">
        <w:rPr>
          <w:sz w:val="18"/>
          <w:szCs w:val="18"/>
        </w:rPr>
        <w:t>Wyrok w sprawie dostępny na stronie InfoCuria Orzecznictwo, https://curia.europa.eu/juris/document/document.jsf?text=&amp;docid=249930&amp;pageIndex=0&amp;doclang=PL&amp;mode=lst&amp;dir=&amp;occ=first&amp;part=1&amp;cid=10493032, [dostęp: 28.11.2024 r.].</w:t>
      </w:r>
    </w:p>
  </w:footnote>
  <w:footnote w:id="18">
    <w:p w14:paraId="16DA5C23" w14:textId="43FDB6DB" w:rsidR="006741FC" w:rsidRPr="00C26DE8" w:rsidRDefault="006741FC" w:rsidP="00163405">
      <w:pPr>
        <w:pStyle w:val="Tekstprzypisudolnego"/>
        <w:ind w:left="284" w:hanging="284"/>
        <w:rPr>
          <w:sz w:val="18"/>
          <w:szCs w:val="18"/>
        </w:rPr>
      </w:pPr>
      <w:r w:rsidRPr="00C26DE8">
        <w:rPr>
          <w:rStyle w:val="Odwoanieprzypisudolnego"/>
          <w:sz w:val="18"/>
          <w:szCs w:val="18"/>
        </w:rPr>
        <w:footnoteRef/>
      </w:r>
      <w:r w:rsidR="00BD2475" w:rsidRPr="00163405">
        <w:rPr>
          <w:sz w:val="18"/>
          <w:szCs w:val="18"/>
          <w:vertAlign w:val="superscript"/>
        </w:rPr>
        <w:t>)</w:t>
      </w:r>
      <w:r w:rsidR="004B26EB">
        <w:rPr>
          <w:sz w:val="18"/>
          <w:szCs w:val="18"/>
        </w:rPr>
        <w:tab/>
      </w:r>
      <w:r w:rsidRPr="00C26DE8">
        <w:rPr>
          <w:sz w:val="18"/>
          <w:szCs w:val="18"/>
        </w:rPr>
        <w:t>PSE S.A., „</w:t>
      </w:r>
      <w:r w:rsidRPr="00C26DE8">
        <w:rPr>
          <w:i/>
          <w:iCs/>
          <w:sz w:val="18"/>
          <w:szCs w:val="18"/>
        </w:rPr>
        <w:t>Prognoza pokrycia zapotrzebowania szczytowego na moc w latach 2016-2035”, źródło: https://www.pse.pl/-/prognoza-pokrycia-zapotrzebowania-szczytowego-na-moc-w-latach-2016-2035, [dostęp: 07.10.2024 r.].</w:t>
      </w:r>
    </w:p>
  </w:footnote>
  <w:footnote w:id="19">
    <w:p w14:paraId="520D6994" w14:textId="775CCF9D" w:rsidR="006741FC" w:rsidRPr="00C26DE8" w:rsidRDefault="006741FC" w:rsidP="00163405">
      <w:pPr>
        <w:pStyle w:val="Tekstprzypisudolnego"/>
        <w:ind w:left="284" w:hanging="284"/>
        <w:rPr>
          <w:sz w:val="18"/>
          <w:szCs w:val="18"/>
          <w:lang w:val="en-US"/>
        </w:rPr>
      </w:pPr>
      <w:r w:rsidRPr="00C26DE8">
        <w:rPr>
          <w:rStyle w:val="Odwoanieprzypisudolnego"/>
          <w:sz w:val="18"/>
          <w:szCs w:val="18"/>
        </w:rPr>
        <w:footnoteRef/>
      </w:r>
      <w:r w:rsidR="00BD2475" w:rsidRPr="00163405">
        <w:rPr>
          <w:sz w:val="18"/>
          <w:szCs w:val="18"/>
          <w:vertAlign w:val="superscript"/>
          <w:lang w:val="en-US"/>
        </w:rPr>
        <w:t>)</w:t>
      </w:r>
      <w:r w:rsidR="004B26EB">
        <w:rPr>
          <w:sz w:val="18"/>
          <w:szCs w:val="18"/>
          <w:lang w:val="en-US"/>
        </w:rPr>
        <w:tab/>
      </w:r>
      <w:r w:rsidRPr="00C26DE8">
        <w:rPr>
          <w:sz w:val="18"/>
          <w:szCs w:val="18"/>
          <w:lang w:val="en-US"/>
        </w:rPr>
        <w:t>ENTSO-E, European Resource Adequacy Assessment 2023 Edition ACER's approved and amended version, https://www.entsoe.eu/outlooks/eraa/2023/, [dostęp: 29.10.2024]</w:t>
      </w:r>
    </w:p>
  </w:footnote>
  <w:footnote w:id="20">
    <w:p w14:paraId="67983BD0" w14:textId="3E95B4FE" w:rsidR="006741FC" w:rsidRPr="00C26DE8" w:rsidRDefault="006741FC" w:rsidP="00163405">
      <w:pPr>
        <w:pStyle w:val="Tekstprzypisudolnego"/>
        <w:ind w:left="284" w:hanging="284"/>
        <w:rPr>
          <w:sz w:val="18"/>
          <w:szCs w:val="18"/>
        </w:rPr>
      </w:pPr>
      <w:r w:rsidRPr="00C26DE8">
        <w:rPr>
          <w:rStyle w:val="Odwoanieprzypisudolnego"/>
          <w:sz w:val="18"/>
          <w:szCs w:val="18"/>
        </w:rPr>
        <w:footnoteRef/>
      </w:r>
      <w:r w:rsidR="00BD2475" w:rsidRPr="00163405">
        <w:rPr>
          <w:sz w:val="18"/>
          <w:szCs w:val="18"/>
          <w:vertAlign w:val="superscript"/>
        </w:rPr>
        <w:t>)</w:t>
      </w:r>
      <w:r w:rsidR="004B26EB">
        <w:rPr>
          <w:sz w:val="18"/>
          <w:szCs w:val="18"/>
          <w:vertAlign w:val="superscript"/>
        </w:rPr>
        <w:tab/>
      </w:r>
      <w:r w:rsidRPr="00C26DE8">
        <w:rPr>
          <w:sz w:val="18"/>
          <w:szCs w:val="18"/>
        </w:rPr>
        <w:t>Udział jednostek węglowych przedstawiony w tym akapicie nie uwzględnia bloków w Połańcu (od 2026 roku), które zadeklarowały współspalanie biomasy od 2026 roku w stopniu wystarczającym do spełnienia limitu emisji</w:t>
      </w:r>
    </w:p>
  </w:footnote>
  <w:footnote w:id="21">
    <w:p w14:paraId="563B8DBA" w14:textId="104D50F7" w:rsidR="006741FC" w:rsidRDefault="006741FC" w:rsidP="00163405">
      <w:pPr>
        <w:pStyle w:val="Tekstprzypisudolnego"/>
        <w:ind w:left="284" w:hanging="284"/>
      </w:pPr>
      <w:r w:rsidRPr="00C26DE8">
        <w:rPr>
          <w:rStyle w:val="Odwoanieprzypisudolnego"/>
          <w:sz w:val="18"/>
          <w:szCs w:val="18"/>
        </w:rPr>
        <w:footnoteRef/>
      </w:r>
      <w:r w:rsidR="00BD2475" w:rsidRPr="00163405">
        <w:rPr>
          <w:sz w:val="18"/>
          <w:szCs w:val="18"/>
          <w:vertAlign w:val="superscript"/>
        </w:rPr>
        <w:t>)</w:t>
      </w:r>
      <w:r w:rsidR="004B26EB">
        <w:rPr>
          <w:sz w:val="18"/>
          <w:szCs w:val="18"/>
        </w:rPr>
        <w:tab/>
      </w:r>
      <w:r w:rsidRPr="00C26DE8">
        <w:rPr>
          <w:sz w:val="18"/>
          <w:szCs w:val="18"/>
        </w:rPr>
        <w:t>łączna nominalna wartość umów mocowych zawartych w wyniku aukcji głównych do 2044 roku wynosi 83,2 mld PLN</w:t>
      </w:r>
    </w:p>
  </w:footnote>
  <w:footnote w:id="22">
    <w:p w14:paraId="45B8F961" w14:textId="0127BB4C" w:rsidR="006741FC" w:rsidRPr="00C26DE8" w:rsidRDefault="006741FC" w:rsidP="00163405">
      <w:pPr>
        <w:pStyle w:val="Tekstprzypisudolnego"/>
        <w:ind w:left="284" w:hanging="284"/>
        <w:rPr>
          <w:sz w:val="18"/>
          <w:szCs w:val="18"/>
        </w:rPr>
      </w:pPr>
      <w:r w:rsidRPr="00C26DE8">
        <w:rPr>
          <w:rStyle w:val="Odwoanieprzypisudolnego"/>
          <w:sz w:val="18"/>
          <w:szCs w:val="18"/>
        </w:rPr>
        <w:footnoteRef/>
      </w:r>
      <w:r w:rsidR="00BD2475" w:rsidRPr="00163405">
        <w:rPr>
          <w:sz w:val="18"/>
          <w:szCs w:val="18"/>
          <w:vertAlign w:val="superscript"/>
        </w:rPr>
        <w:t>)</w:t>
      </w:r>
      <w:r w:rsidR="004B26EB">
        <w:rPr>
          <w:sz w:val="18"/>
          <w:szCs w:val="18"/>
        </w:rPr>
        <w:tab/>
      </w:r>
      <w:r w:rsidRPr="00C26DE8">
        <w:rPr>
          <w:sz w:val="18"/>
          <w:szCs w:val="18"/>
        </w:rPr>
        <w:t>Badanie przywołane wcześniej, w części dot. rynku energii elektrycznej.</w:t>
      </w:r>
    </w:p>
  </w:footnote>
  <w:footnote w:id="23">
    <w:p w14:paraId="6443CBCA" w14:textId="6C49027C" w:rsidR="006741FC" w:rsidRPr="00C26DE8" w:rsidRDefault="006741FC" w:rsidP="00163405">
      <w:pPr>
        <w:pStyle w:val="Tekstprzypisudolnego"/>
        <w:ind w:left="284" w:hanging="284"/>
        <w:rPr>
          <w:sz w:val="18"/>
          <w:szCs w:val="18"/>
        </w:rPr>
      </w:pPr>
      <w:r w:rsidRPr="00C26DE8">
        <w:rPr>
          <w:rStyle w:val="Odwoanieprzypisudolnego"/>
          <w:sz w:val="18"/>
          <w:szCs w:val="18"/>
        </w:rPr>
        <w:footnoteRef/>
      </w:r>
      <w:r w:rsidR="00BD2475" w:rsidRPr="00163405">
        <w:rPr>
          <w:sz w:val="18"/>
          <w:szCs w:val="18"/>
          <w:vertAlign w:val="superscript"/>
        </w:rPr>
        <w:t>)</w:t>
      </w:r>
      <w:r w:rsidR="004B26EB">
        <w:rPr>
          <w:sz w:val="18"/>
          <w:szCs w:val="18"/>
        </w:rPr>
        <w:tab/>
      </w:r>
      <w:r w:rsidRPr="00C26DE8">
        <w:rPr>
          <w:sz w:val="18"/>
          <w:szCs w:val="18"/>
        </w:rPr>
        <w:t>Podsumowanie ankietowego badania dot. funkcjonowania mechanizmu pomocy publicznej - Rynek Mocy w Polsce https://www.ure.gov.pl/pl/urzad/informacje-ogolne/edukacja-i-komunikacja/publikacje/podsumowanie-ankietowego-badan/12171,Podsumowanie-ankietowego-badania-dot-funkcjonowania-mechanizmu-pomocy-publicznej.html [dostęp 27.11.2024]</w:t>
      </w:r>
    </w:p>
  </w:footnote>
  <w:footnote w:id="24">
    <w:p w14:paraId="17EDDE26" w14:textId="47F151DF" w:rsidR="006741FC" w:rsidRPr="00C26DE8" w:rsidRDefault="006741FC" w:rsidP="00163405">
      <w:pPr>
        <w:pStyle w:val="Tekstprzypisudolnego"/>
        <w:ind w:left="284" w:hanging="284"/>
        <w:rPr>
          <w:i/>
          <w:iCs/>
          <w:sz w:val="18"/>
          <w:szCs w:val="18"/>
          <w:lang w:val="en-US"/>
        </w:rPr>
      </w:pPr>
      <w:r w:rsidRPr="00C26DE8">
        <w:rPr>
          <w:rStyle w:val="Odwoanieprzypisudolnego"/>
          <w:i/>
          <w:iCs/>
          <w:sz w:val="18"/>
          <w:szCs w:val="18"/>
        </w:rPr>
        <w:footnoteRef/>
      </w:r>
      <w:r w:rsidR="00BD2475" w:rsidRPr="00163405">
        <w:rPr>
          <w:i/>
          <w:iCs/>
          <w:sz w:val="18"/>
          <w:szCs w:val="18"/>
          <w:vertAlign w:val="superscript"/>
          <w:lang w:val="en-US"/>
        </w:rPr>
        <w:t>)</w:t>
      </w:r>
      <w:r w:rsidR="004B26EB">
        <w:rPr>
          <w:i/>
          <w:iCs/>
          <w:sz w:val="18"/>
          <w:szCs w:val="18"/>
          <w:lang w:val="en-US"/>
        </w:rPr>
        <w:tab/>
      </w:r>
      <w:r w:rsidRPr="00C26DE8">
        <w:rPr>
          <w:sz w:val="18"/>
          <w:szCs w:val="18"/>
          <w:lang w:val="en-US"/>
        </w:rPr>
        <w:t>Entso-E, European Resource Adequacy Assessment 2023 Edition ACER's approved and amended version, https://www.entsoe.eu/outlooks/eraa/2023/ [dostęp: 29.10.2024].</w:t>
      </w:r>
    </w:p>
  </w:footnote>
  <w:footnote w:id="25">
    <w:p w14:paraId="1B702283" w14:textId="0FDEC2F0" w:rsidR="006741FC" w:rsidRPr="005942FB" w:rsidRDefault="006741FC" w:rsidP="00163405">
      <w:pPr>
        <w:pStyle w:val="Tekstprzypisudolnego"/>
        <w:ind w:left="284" w:hanging="284"/>
        <w:rPr>
          <w:i/>
          <w:iCs/>
          <w:lang w:val="en-US"/>
        </w:rPr>
      </w:pPr>
      <w:r w:rsidRPr="00C26DE8">
        <w:rPr>
          <w:rStyle w:val="Odwoanieprzypisudolnego"/>
          <w:i/>
          <w:iCs/>
          <w:sz w:val="18"/>
          <w:szCs w:val="18"/>
        </w:rPr>
        <w:footnoteRef/>
      </w:r>
      <w:r w:rsidR="00BD2475" w:rsidRPr="00163405">
        <w:rPr>
          <w:i/>
          <w:iCs/>
          <w:sz w:val="18"/>
          <w:szCs w:val="18"/>
          <w:vertAlign w:val="superscript"/>
          <w:lang w:val="en-US"/>
        </w:rPr>
        <w:t>)</w:t>
      </w:r>
      <w:r w:rsidR="004B26EB">
        <w:rPr>
          <w:i/>
          <w:iCs/>
          <w:sz w:val="18"/>
          <w:szCs w:val="18"/>
          <w:lang w:val="en-US"/>
        </w:rPr>
        <w:tab/>
      </w:r>
      <w:r w:rsidRPr="00C26DE8">
        <w:rPr>
          <w:i/>
          <w:iCs/>
          <w:sz w:val="18"/>
          <w:szCs w:val="18"/>
          <w:lang w:val="en-US"/>
        </w:rPr>
        <w:t>Decision No 06/2024 OF THE European Union Agency For The Cooperation Of Energy Regulators of 2 May 2024 on the European Resource Adequacy Assessment for 2023 https://www.acer.europa.eu/news-and-events/news/acer-approves-european-resource-adequacy-assessment-eraa-marking-milestone-security-electricity-supply-across-eu-member-states [dostęp: 25.10.2024].</w:t>
      </w:r>
    </w:p>
  </w:footnote>
  <w:footnote w:id="26">
    <w:p w14:paraId="37E8B2BD" w14:textId="6FE92C61" w:rsidR="006741FC" w:rsidRPr="00C26DE8" w:rsidRDefault="006741FC" w:rsidP="00163405">
      <w:pPr>
        <w:pStyle w:val="Tekstprzypisudolnego"/>
        <w:ind w:left="284" w:hanging="284"/>
        <w:rPr>
          <w:i/>
          <w:iCs/>
          <w:sz w:val="18"/>
          <w:szCs w:val="18"/>
          <w:lang w:val="en-US"/>
        </w:rPr>
      </w:pPr>
      <w:r w:rsidRPr="00C26DE8">
        <w:rPr>
          <w:rStyle w:val="Odwoanieprzypisudolnego"/>
          <w:i/>
          <w:iCs/>
          <w:sz w:val="18"/>
          <w:szCs w:val="18"/>
        </w:rPr>
        <w:footnoteRef/>
      </w:r>
      <w:r w:rsidR="00BD2475" w:rsidRPr="00163405">
        <w:rPr>
          <w:i/>
          <w:iCs/>
          <w:sz w:val="18"/>
          <w:szCs w:val="18"/>
          <w:vertAlign w:val="superscript"/>
          <w:lang w:val="en-US"/>
        </w:rPr>
        <w:t>)</w:t>
      </w:r>
      <w:r w:rsidR="004B26EB">
        <w:rPr>
          <w:i/>
          <w:iCs/>
          <w:sz w:val="18"/>
          <w:szCs w:val="18"/>
          <w:lang w:val="en-US"/>
        </w:rPr>
        <w:tab/>
      </w:r>
      <w:r w:rsidRPr="00C26DE8">
        <w:rPr>
          <w:sz w:val="18"/>
          <w:szCs w:val="18"/>
          <w:lang w:val="en-US"/>
        </w:rPr>
        <w:t>ENTSO-E, European Resource Adequacy Assessment 2023 Edition ACER's approved and amended version, https://www.entsoe.eu/outlooks/eraa/2023/ [dostęp: 29.10.2024].</w:t>
      </w:r>
    </w:p>
  </w:footnote>
  <w:footnote w:id="27">
    <w:p w14:paraId="751DCA82" w14:textId="5F58721C" w:rsidR="006741FC" w:rsidRPr="00C26DE8" w:rsidRDefault="006741FC" w:rsidP="00163405">
      <w:pPr>
        <w:pStyle w:val="Tekstprzypisudolnego"/>
        <w:ind w:left="284" w:hanging="284"/>
        <w:rPr>
          <w:i/>
          <w:iCs/>
          <w:sz w:val="18"/>
          <w:szCs w:val="18"/>
          <w:lang w:val="en-US"/>
        </w:rPr>
      </w:pPr>
      <w:r w:rsidRPr="00C26DE8">
        <w:rPr>
          <w:rStyle w:val="Odwoanieprzypisudolnego"/>
          <w:i/>
          <w:iCs/>
          <w:sz w:val="18"/>
          <w:szCs w:val="18"/>
        </w:rPr>
        <w:footnoteRef/>
      </w:r>
      <w:r w:rsidR="00BD2475" w:rsidRPr="00163405">
        <w:rPr>
          <w:i/>
          <w:iCs/>
          <w:sz w:val="18"/>
          <w:szCs w:val="18"/>
          <w:vertAlign w:val="superscript"/>
          <w:lang w:val="en-US"/>
        </w:rPr>
        <w:t>)</w:t>
      </w:r>
      <w:r w:rsidR="004B26EB">
        <w:rPr>
          <w:i/>
          <w:iCs/>
          <w:sz w:val="18"/>
          <w:szCs w:val="18"/>
          <w:lang w:val="en-US"/>
        </w:rPr>
        <w:tab/>
      </w:r>
      <w:r w:rsidRPr="00C26DE8">
        <w:rPr>
          <w:sz w:val="18"/>
          <w:szCs w:val="18"/>
          <w:lang w:val="en-US"/>
        </w:rPr>
        <w:t>Entso-E, European Resource Adequacy Assessment 2023 Edition ACER's approved and amended version, https://www.entsoe.eu/outlooks/eraa/2023/ [dostęp: 29.10.2024]</w:t>
      </w:r>
    </w:p>
  </w:footnote>
  <w:footnote w:id="28">
    <w:p w14:paraId="12EED2DE" w14:textId="5F1E7329" w:rsidR="006741FC" w:rsidRPr="00C26DE8" w:rsidRDefault="006741FC" w:rsidP="00163405">
      <w:pPr>
        <w:pStyle w:val="Tekstprzypisudolnego"/>
        <w:ind w:left="284" w:hanging="284"/>
        <w:rPr>
          <w:sz w:val="18"/>
          <w:szCs w:val="18"/>
        </w:rPr>
      </w:pPr>
      <w:r w:rsidRPr="00C26DE8">
        <w:rPr>
          <w:rStyle w:val="Odwoanieprzypisudolnego"/>
          <w:sz w:val="18"/>
          <w:szCs w:val="18"/>
        </w:rPr>
        <w:footnoteRef/>
      </w:r>
      <w:r w:rsidR="00BD2475" w:rsidRPr="00163405">
        <w:rPr>
          <w:sz w:val="18"/>
          <w:szCs w:val="18"/>
          <w:vertAlign w:val="superscript"/>
        </w:rPr>
        <w:t>)</w:t>
      </w:r>
      <w:r w:rsidR="004B26EB">
        <w:rPr>
          <w:sz w:val="18"/>
          <w:szCs w:val="18"/>
        </w:rPr>
        <w:tab/>
      </w:r>
      <w:r w:rsidRPr="00C26DE8">
        <w:rPr>
          <w:sz w:val="18"/>
          <w:szCs w:val="18"/>
        </w:rPr>
        <w:t>W scenariuszu z mechanizmem zdolności wytwórczych należy uznać, że standard bezpieczeństwa dostaw wynoszący 3h/rok będzie dotrzymany, a niewielkie różnice wynikają z konieczności kwantyfikacji mocy.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07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996D21"/>
    <w:multiLevelType w:val="hybridMultilevel"/>
    <w:tmpl w:val="B4CC65C4"/>
    <w:lvl w:ilvl="0" w:tplc="0415000F">
      <w:start w:val="1"/>
      <w:numFmt w:val="decimal"/>
      <w:lvlText w:val="%1."/>
      <w:lvlJc w:val="left"/>
      <w:pPr>
        <w:ind w:left="720" w:hanging="360"/>
      </w:pPr>
      <w:rPr>
        <w:rFonts w:hint="default"/>
      </w:rPr>
    </w:lvl>
    <w:lvl w:ilvl="1" w:tplc="7AA4742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09278B"/>
    <w:multiLevelType w:val="multilevel"/>
    <w:tmpl w:val="AA2E2F9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0BC50D1"/>
    <w:multiLevelType w:val="hybridMultilevel"/>
    <w:tmpl w:val="EB1AFE8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B34E46"/>
    <w:multiLevelType w:val="hybridMultilevel"/>
    <w:tmpl w:val="DC925F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751AE8"/>
    <w:multiLevelType w:val="hybridMultilevel"/>
    <w:tmpl w:val="B4CC65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903E66"/>
    <w:multiLevelType w:val="multilevel"/>
    <w:tmpl w:val="FE74360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EAF7276"/>
    <w:multiLevelType w:val="hybridMultilevel"/>
    <w:tmpl w:val="70529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108D9"/>
    <w:multiLevelType w:val="hybridMultilevel"/>
    <w:tmpl w:val="3DF06E54"/>
    <w:lvl w:ilvl="0" w:tplc="E458B428">
      <w:start w:val="1"/>
      <w:numFmt w:val="decimal"/>
      <w:lvlText w:val="%1."/>
      <w:lvlJc w:val="left"/>
      <w:pPr>
        <w:ind w:left="1020" w:hanging="360"/>
      </w:pPr>
    </w:lvl>
    <w:lvl w:ilvl="1" w:tplc="0B4CAE28">
      <w:start w:val="1"/>
      <w:numFmt w:val="decimal"/>
      <w:lvlText w:val="%2."/>
      <w:lvlJc w:val="left"/>
      <w:pPr>
        <w:ind w:left="1020" w:hanging="360"/>
      </w:pPr>
    </w:lvl>
    <w:lvl w:ilvl="2" w:tplc="C6785E34">
      <w:start w:val="1"/>
      <w:numFmt w:val="decimal"/>
      <w:lvlText w:val="%3."/>
      <w:lvlJc w:val="left"/>
      <w:pPr>
        <w:ind w:left="1020" w:hanging="360"/>
      </w:pPr>
    </w:lvl>
    <w:lvl w:ilvl="3" w:tplc="4446BF06">
      <w:start w:val="1"/>
      <w:numFmt w:val="decimal"/>
      <w:lvlText w:val="%4."/>
      <w:lvlJc w:val="left"/>
      <w:pPr>
        <w:ind w:left="1020" w:hanging="360"/>
      </w:pPr>
    </w:lvl>
    <w:lvl w:ilvl="4" w:tplc="FB1CE656">
      <w:start w:val="1"/>
      <w:numFmt w:val="decimal"/>
      <w:lvlText w:val="%5."/>
      <w:lvlJc w:val="left"/>
      <w:pPr>
        <w:ind w:left="1020" w:hanging="360"/>
      </w:pPr>
    </w:lvl>
    <w:lvl w:ilvl="5" w:tplc="1EE8F1B0">
      <w:start w:val="1"/>
      <w:numFmt w:val="decimal"/>
      <w:lvlText w:val="%6."/>
      <w:lvlJc w:val="left"/>
      <w:pPr>
        <w:ind w:left="1020" w:hanging="360"/>
      </w:pPr>
    </w:lvl>
    <w:lvl w:ilvl="6" w:tplc="76C6F1DA">
      <w:start w:val="1"/>
      <w:numFmt w:val="decimal"/>
      <w:lvlText w:val="%7."/>
      <w:lvlJc w:val="left"/>
      <w:pPr>
        <w:ind w:left="1020" w:hanging="360"/>
      </w:pPr>
    </w:lvl>
    <w:lvl w:ilvl="7" w:tplc="000C0EE4">
      <w:start w:val="1"/>
      <w:numFmt w:val="decimal"/>
      <w:lvlText w:val="%8."/>
      <w:lvlJc w:val="left"/>
      <w:pPr>
        <w:ind w:left="1020" w:hanging="360"/>
      </w:pPr>
    </w:lvl>
    <w:lvl w:ilvl="8" w:tplc="8D30F15C">
      <w:start w:val="1"/>
      <w:numFmt w:val="decimal"/>
      <w:lvlText w:val="%9."/>
      <w:lvlJc w:val="left"/>
      <w:pPr>
        <w:ind w:left="1020" w:hanging="360"/>
      </w:pPr>
    </w:lvl>
  </w:abstractNum>
  <w:abstractNum w:abstractNumId="9" w15:restartNumberingAfterBreak="0">
    <w:nsid w:val="4A0B4B40"/>
    <w:multiLevelType w:val="hybridMultilevel"/>
    <w:tmpl w:val="D1ECF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7408C6"/>
    <w:multiLevelType w:val="hybridMultilevel"/>
    <w:tmpl w:val="A1664B6E"/>
    <w:lvl w:ilvl="0" w:tplc="53DECF10">
      <w:start w:val="1"/>
      <w:numFmt w:val="decimal"/>
      <w:lvlText w:val="%1."/>
      <w:lvlJc w:val="left"/>
      <w:pPr>
        <w:ind w:left="720" w:hanging="360"/>
      </w:pPr>
    </w:lvl>
    <w:lvl w:ilvl="1" w:tplc="1650730C">
      <w:start w:val="1"/>
      <w:numFmt w:val="decimal"/>
      <w:lvlText w:val="%2."/>
      <w:lvlJc w:val="left"/>
      <w:pPr>
        <w:ind w:left="720" w:hanging="360"/>
      </w:pPr>
    </w:lvl>
    <w:lvl w:ilvl="2" w:tplc="16E83F82">
      <w:start w:val="1"/>
      <w:numFmt w:val="decimal"/>
      <w:lvlText w:val="%3."/>
      <w:lvlJc w:val="left"/>
      <w:pPr>
        <w:ind w:left="720" w:hanging="360"/>
      </w:pPr>
    </w:lvl>
    <w:lvl w:ilvl="3" w:tplc="CBA8714A">
      <w:start w:val="1"/>
      <w:numFmt w:val="decimal"/>
      <w:lvlText w:val="%4."/>
      <w:lvlJc w:val="left"/>
      <w:pPr>
        <w:ind w:left="720" w:hanging="360"/>
      </w:pPr>
    </w:lvl>
    <w:lvl w:ilvl="4" w:tplc="86BC45D6">
      <w:start w:val="1"/>
      <w:numFmt w:val="decimal"/>
      <w:lvlText w:val="%5."/>
      <w:lvlJc w:val="left"/>
      <w:pPr>
        <w:ind w:left="720" w:hanging="360"/>
      </w:pPr>
    </w:lvl>
    <w:lvl w:ilvl="5" w:tplc="9E9E8B7E">
      <w:start w:val="1"/>
      <w:numFmt w:val="decimal"/>
      <w:lvlText w:val="%6."/>
      <w:lvlJc w:val="left"/>
      <w:pPr>
        <w:ind w:left="720" w:hanging="360"/>
      </w:pPr>
    </w:lvl>
    <w:lvl w:ilvl="6" w:tplc="E4AA0A88">
      <w:start w:val="1"/>
      <w:numFmt w:val="decimal"/>
      <w:lvlText w:val="%7."/>
      <w:lvlJc w:val="left"/>
      <w:pPr>
        <w:ind w:left="720" w:hanging="360"/>
      </w:pPr>
    </w:lvl>
    <w:lvl w:ilvl="7" w:tplc="5434A606">
      <w:start w:val="1"/>
      <w:numFmt w:val="decimal"/>
      <w:lvlText w:val="%8."/>
      <w:lvlJc w:val="left"/>
      <w:pPr>
        <w:ind w:left="720" w:hanging="360"/>
      </w:pPr>
    </w:lvl>
    <w:lvl w:ilvl="8" w:tplc="C204D042">
      <w:start w:val="1"/>
      <w:numFmt w:val="decimal"/>
      <w:lvlText w:val="%9."/>
      <w:lvlJc w:val="left"/>
      <w:pPr>
        <w:ind w:left="720" w:hanging="360"/>
      </w:pPr>
    </w:lvl>
  </w:abstractNum>
  <w:abstractNum w:abstractNumId="11" w15:restartNumberingAfterBreak="0">
    <w:nsid w:val="65E3036A"/>
    <w:multiLevelType w:val="multilevel"/>
    <w:tmpl w:val="6BFE89A4"/>
    <w:lvl w:ilvl="0">
      <w:start w:val="1"/>
      <w:numFmt w:val="decimal"/>
      <w:pStyle w:val="Nagwek1"/>
      <w:lvlText w:val="%1."/>
      <w:lvlJc w:val="left"/>
      <w:pPr>
        <w:ind w:left="360" w:hanging="360"/>
      </w:pPr>
    </w:lvl>
    <w:lvl w:ilvl="1">
      <w:start w:val="1"/>
      <w:numFmt w:val="decimal"/>
      <w:pStyle w:val="Nagwek2"/>
      <w:lvlText w:val="%1.%2."/>
      <w:lvlJc w:val="left"/>
      <w:pPr>
        <w:ind w:left="1284" w:hanging="432"/>
      </w:pPr>
    </w:lvl>
    <w:lvl w:ilvl="2">
      <w:start w:val="1"/>
      <w:numFmt w:val="decimal"/>
      <w:pStyle w:val="Nagwek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A51BD2"/>
    <w:multiLevelType w:val="multilevel"/>
    <w:tmpl w:val="359E67C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BE2087C"/>
    <w:multiLevelType w:val="hybridMultilevel"/>
    <w:tmpl w:val="0E78892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D0594F"/>
    <w:multiLevelType w:val="hybridMultilevel"/>
    <w:tmpl w:val="FE4C420A"/>
    <w:lvl w:ilvl="0" w:tplc="FAF2CC14">
      <w:start w:val="1"/>
      <w:numFmt w:val="decimal"/>
      <w:lvlText w:val="%1)"/>
      <w:lvlJc w:val="left"/>
      <w:pPr>
        <w:ind w:left="1020" w:hanging="360"/>
      </w:pPr>
    </w:lvl>
    <w:lvl w:ilvl="1" w:tplc="CA32635E">
      <w:start w:val="1"/>
      <w:numFmt w:val="decimal"/>
      <w:lvlText w:val="%2)"/>
      <w:lvlJc w:val="left"/>
      <w:pPr>
        <w:ind w:left="1020" w:hanging="360"/>
      </w:pPr>
    </w:lvl>
    <w:lvl w:ilvl="2" w:tplc="9A4E1FEA">
      <w:start w:val="1"/>
      <w:numFmt w:val="decimal"/>
      <w:lvlText w:val="%3)"/>
      <w:lvlJc w:val="left"/>
      <w:pPr>
        <w:ind w:left="1020" w:hanging="360"/>
      </w:pPr>
    </w:lvl>
    <w:lvl w:ilvl="3" w:tplc="AFA03746">
      <w:start w:val="1"/>
      <w:numFmt w:val="decimal"/>
      <w:lvlText w:val="%4)"/>
      <w:lvlJc w:val="left"/>
      <w:pPr>
        <w:ind w:left="1020" w:hanging="360"/>
      </w:pPr>
    </w:lvl>
    <w:lvl w:ilvl="4" w:tplc="E9D05110">
      <w:start w:val="1"/>
      <w:numFmt w:val="decimal"/>
      <w:lvlText w:val="%5)"/>
      <w:lvlJc w:val="left"/>
      <w:pPr>
        <w:ind w:left="1020" w:hanging="360"/>
      </w:pPr>
    </w:lvl>
    <w:lvl w:ilvl="5" w:tplc="491AE4DA">
      <w:start w:val="1"/>
      <w:numFmt w:val="decimal"/>
      <w:lvlText w:val="%6)"/>
      <w:lvlJc w:val="left"/>
      <w:pPr>
        <w:ind w:left="1020" w:hanging="360"/>
      </w:pPr>
    </w:lvl>
    <w:lvl w:ilvl="6" w:tplc="3F4A43AA">
      <w:start w:val="1"/>
      <w:numFmt w:val="decimal"/>
      <w:lvlText w:val="%7)"/>
      <w:lvlJc w:val="left"/>
      <w:pPr>
        <w:ind w:left="1020" w:hanging="360"/>
      </w:pPr>
    </w:lvl>
    <w:lvl w:ilvl="7" w:tplc="603E8C58">
      <w:start w:val="1"/>
      <w:numFmt w:val="decimal"/>
      <w:lvlText w:val="%8)"/>
      <w:lvlJc w:val="left"/>
      <w:pPr>
        <w:ind w:left="1020" w:hanging="360"/>
      </w:pPr>
    </w:lvl>
    <w:lvl w:ilvl="8" w:tplc="867E0B36">
      <w:start w:val="1"/>
      <w:numFmt w:val="decimal"/>
      <w:lvlText w:val="%9)"/>
      <w:lvlJc w:val="left"/>
      <w:pPr>
        <w:ind w:left="1020" w:hanging="360"/>
      </w:pPr>
    </w:lvl>
  </w:abstractNum>
  <w:abstractNum w:abstractNumId="15" w15:restartNumberingAfterBreak="0">
    <w:nsid w:val="78802ACE"/>
    <w:multiLevelType w:val="multilevel"/>
    <w:tmpl w:val="6BF6521C"/>
    <w:lvl w:ilvl="0">
      <w:start w:val="1"/>
      <w:numFmt w:val="decimal"/>
      <w:pStyle w:val="Akapitzlist"/>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 "/>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3"/>
  </w:num>
  <w:num w:numId="3">
    <w:abstractNumId w:val="9"/>
  </w:num>
  <w:num w:numId="4">
    <w:abstractNumId w:val="1"/>
  </w:num>
  <w:num w:numId="5">
    <w:abstractNumId w:val="3"/>
  </w:num>
  <w:num w:numId="6">
    <w:abstractNumId w:val="5"/>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14"/>
  </w:num>
  <w:num w:numId="12">
    <w:abstractNumId w:val="15"/>
  </w:num>
  <w:num w:numId="13">
    <w:abstractNumId w:val="15"/>
    <w:lvlOverride w:ilvl="0">
      <w:lvl w:ilvl="0">
        <w:start w:val="1"/>
        <w:numFmt w:val="decimal"/>
        <w:pStyle w:val="Akapitzlist"/>
        <w:lvlText w:val="%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none"/>
        <w:lvlText w:val="-"/>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
  </w:num>
  <w:num w:numId="18">
    <w:abstractNumId w:val="6"/>
  </w:num>
  <w:num w:numId="19">
    <w:abstractNumId w:val="12"/>
  </w:num>
  <w:num w:numId="2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C97"/>
    <w:rsid w:val="000024E6"/>
    <w:rsid w:val="000105EF"/>
    <w:rsid w:val="00012889"/>
    <w:rsid w:val="00016531"/>
    <w:rsid w:val="00017F74"/>
    <w:rsid w:val="00020A4F"/>
    <w:rsid w:val="0003634C"/>
    <w:rsid w:val="000402D8"/>
    <w:rsid w:val="00042885"/>
    <w:rsid w:val="00052C5B"/>
    <w:rsid w:val="00053F4B"/>
    <w:rsid w:val="000541BA"/>
    <w:rsid w:val="000604BA"/>
    <w:rsid w:val="00066A1E"/>
    <w:rsid w:val="000706A3"/>
    <w:rsid w:val="00070ABF"/>
    <w:rsid w:val="00071936"/>
    <w:rsid w:val="000726B6"/>
    <w:rsid w:val="00072B7F"/>
    <w:rsid w:val="00075E93"/>
    <w:rsid w:val="00077A89"/>
    <w:rsid w:val="00083BBD"/>
    <w:rsid w:val="00084EE8"/>
    <w:rsid w:val="00086D9E"/>
    <w:rsid w:val="0008707B"/>
    <w:rsid w:val="0008739F"/>
    <w:rsid w:val="00091C44"/>
    <w:rsid w:val="000A2301"/>
    <w:rsid w:val="000A4886"/>
    <w:rsid w:val="000B0D6B"/>
    <w:rsid w:val="000B0EB1"/>
    <w:rsid w:val="000B2517"/>
    <w:rsid w:val="000C4183"/>
    <w:rsid w:val="000D1487"/>
    <w:rsid w:val="000E7379"/>
    <w:rsid w:val="000F0DFC"/>
    <w:rsid w:val="000F10AB"/>
    <w:rsid w:val="000F3B7E"/>
    <w:rsid w:val="00102467"/>
    <w:rsid w:val="00104CF7"/>
    <w:rsid w:val="001057F4"/>
    <w:rsid w:val="001078C8"/>
    <w:rsid w:val="00110043"/>
    <w:rsid w:val="001114F2"/>
    <w:rsid w:val="00112A1F"/>
    <w:rsid w:val="0011306D"/>
    <w:rsid w:val="001148ED"/>
    <w:rsid w:val="0012089D"/>
    <w:rsid w:val="00121AFA"/>
    <w:rsid w:val="00125AE4"/>
    <w:rsid w:val="00132C61"/>
    <w:rsid w:val="001330BB"/>
    <w:rsid w:val="001341F0"/>
    <w:rsid w:val="0013450D"/>
    <w:rsid w:val="001423CB"/>
    <w:rsid w:val="00142534"/>
    <w:rsid w:val="00143F79"/>
    <w:rsid w:val="00147473"/>
    <w:rsid w:val="00162422"/>
    <w:rsid w:val="00163405"/>
    <w:rsid w:val="0016509F"/>
    <w:rsid w:val="0017191B"/>
    <w:rsid w:val="00176B0B"/>
    <w:rsid w:val="00180F7F"/>
    <w:rsid w:val="00184491"/>
    <w:rsid w:val="00185000"/>
    <w:rsid w:val="00186AEE"/>
    <w:rsid w:val="00191791"/>
    <w:rsid w:val="00191CD5"/>
    <w:rsid w:val="00191FE9"/>
    <w:rsid w:val="00192AC6"/>
    <w:rsid w:val="001934B5"/>
    <w:rsid w:val="0019391E"/>
    <w:rsid w:val="001961F2"/>
    <w:rsid w:val="001A327A"/>
    <w:rsid w:val="001C5EA6"/>
    <w:rsid w:val="001C6427"/>
    <w:rsid w:val="001C6B01"/>
    <w:rsid w:val="001D1127"/>
    <w:rsid w:val="001D2447"/>
    <w:rsid w:val="001D7273"/>
    <w:rsid w:val="001E0212"/>
    <w:rsid w:val="001E093A"/>
    <w:rsid w:val="001E164F"/>
    <w:rsid w:val="001E25CC"/>
    <w:rsid w:val="001E3251"/>
    <w:rsid w:val="001E5AB7"/>
    <w:rsid w:val="001E5C5E"/>
    <w:rsid w:val="001E6564"/>
    <w:rsid w:val="00212C00"/>
    <w:rsid w:val="00216D52"/>
    <w:rsid w:val="002455D3"/>
    <w:rsid w:val="00247A2C"/>
    <w:rsid w:val="002511C3"/>
    <w:rsid w:val="0025316B"/>
    <w:rsid w:val="002539A6"/>
    <w:rsid w:val="00255FC9"/>
    <w:rsid w:val="0025667E"/>
    <w:rsid w:val="00256A86"/>
    <w:rsid w:val="00262444"/>
    <w:rsid w:val="0026319B"/>
    <w:rsid w:val="002631C8"/>
    <w:rsid w:val="00264E80"/>
    <w:rsid w:val="00271F43"/>
    <w:rsid w:val="00276D16"/>
    <w:rsid w:val="00281909"/>
    <w:rsid w:val="00284E35"/>
    <w:rsid w:val="00285509"/>
    <w:rsid w:val="00285E52"/>
    <w:rsid w:val="00287F43"/>
    <w:rsid w:val="002914C5"/>
    <w:rsid w:val="00291A18"/>
    <w:rsid w:val="00292999"/>
    <w:rsid w:val="0029456C"/>
    <w:rsid w:val="00297CCA"/>
    <w:rsid w:val="002A7D84"/>
    <w:rsid w:val="002B1B10"/>
    <w:rsid w:val="002B357C"/>
    <w:rsid w:val="002C23E9"/>
    <w:rsid w:val="002C2ECD"/>
    <w:rsid w:val="002D2836"/>
    <w:rsid w:val="002D5FF0"/>
    <w:rsid w:val="002F1F58"/>
    <w:rsid w:val="002F2E39"/>
    <w:rsid w:val="002F4F79"/>
    <w:rsid w:val="0031251A"/>
    <w:rsid w:val="003147C6"/>
    <w:rsid w:val="00321A02"/>
    <w:rsid w:val="003222D9"/>
    <w:rsid w:val="00326387"/>
    <w:rsid w:val="00332212"/>
    <w:rsid w:val="00335620"/>
    <w:rsid w:val="00336608"/>
    <w:rsid w:val="00341B1D"/>
    <w:rsid w:val="0034567C"/>
    <w:rsid w:val="00346198"/>
    <w:rsid w:val="00347251"/>
    <w:rsid w:val="00353E93"/>
    <w:rsid w:val="003562FF"/>
    <w:rsid w:val="00360217"/>
    <w:rsid w:val="00362E50"/>
    <w:rsid w:val="00370A51"/>
    <w:rsid w:val="00371180"/>
    <w:rsid w:val="00372F18"/>
    <w:rsid w:val="003778CC"/>
    <w:rsid w:val="003A228F"/>
    <w:rsid w:val="003B0065"/>
    <w:rsid w:val="003B1AF9"/>
    <w:rsid w:val="003B542B"/>
    <w:rsid w:val="003B7BAA"/>
    <w:rsid w:val="003C1F5E"/>
    <w:rsid w:val="003D2FCE"/>
    <w:rsid w:val="003D5C19"/>
    <w:rsid w:val="003D6011"/>
    <w:rsid w:val="003D7621"/>
    <w:rsid w:val="003E244A"/>
    <w:rsid w:val="003E4D6E"/>
    <w:rsid w:val="003E5AE7"/>
    <w:rsid w:val="003E7B06"/>
    <w:rsid w:val="003F02FA"/>
    <w:rsid w:val="003F3F16"/>
    <w:rsid w:val="003F47D3"/>
    <w:rsid w:val="004116AE"/>
    <w:rsid w:val="00411D89"/>
    <w:rsid w:val="0041285A"/>
    <w:rsid w:val="004138CD"/>
    <w:rsid w:val="00413C28"/>
    <w:rsid w:val="004160E4"/>
    <w:rsid w:val="00417180"/>
    <w:rsid w:val="00426404"/>
    <w:rsid w:val="00433CCC"/>
    <w:rsid w:val="00437DFF"/>
    <w:rsid w:val="00444AFB"/>
    <w:rsid w:val="00444C50"/>
    <w:rsid w:val="004478AA"/>
    <w:rsid w:val="00455ABF"/>
    <w:rsid w:val="00455CCF"/>
    <w:rsid w:val="004562AE"/>
    <w:rsid w:val="00457F44"/>
    <w:rsid w:val="00460A09"/>
    <w:rsid w:val="004610CD"/>
    <w:rsid w:val="004613CC"/>
    <w:rsid w:val="0046278B"/>
    <w:rsid w:val="00463FF4"/>
    <w:rsid w:val="0046588A"/>
    <w:rsid w:val="00475DBF"/>
    <w:rsid w:val="00481C5C"/>
    <w:rsid w:val="00484A8B"/>
    <w:rsid w:val="00493860"/>
    <w:rsid w:val="00494934"/>
    <w:rsid w:val="004A09CF"/>
    <w:rsid w:val="004A0EFA"/>
    <w:rsid w:val="004A5575"/>
    <w:rsid w:val="004B19F7"/>
    <w:rsid w:val="004B26EB"/>
    <w:rsid w:val="004B5B0C"/>
    <w:rsid w:val="004C2C12"/>
    <w:rsid w:val="004C5FD6"/>
    <w:rsid w:val="004D282E"/>
    <w:rsid w:val="004D5166"/>
    <w:rsid w:val="004D56D9"/>
    <w:rsid w:val="004E070C"/>
    <w:rsid w:val="004F006B"/>
    <w:rsid w:val="00511280"/>
    <w:rsid w:val="00514A9A"/>
    <w:rsid w:val="005305A5"/>
    <w:rsid w:val="005360DC"/>
    <w:rsid w:val="005425F9"/>
    <w:rsid w:val="00544123"/>
    <w:rsid w:val="00550F02"/>
    <w:rsid w:val="00551DF8"/>
    <w:rsid w:val="00553F32"/>
    <w:rsid w:val="005543BD"/>
    <w:rsid w:val="00561D1B"/>
    <w:rsid w:val="005644BE"/>
    <w:rsid w:val="005712E2"/>
    <w:rsid w:val="00572F08"/>
    <w:rsid w:val="00587C85"/>
    <w:rsid w:val="00592024"/>
    <w:rsid w:val="005942FB"/>
    <w:rsid w:val="005B19C5"/>
    <w:rsid w:val="005B696F"/>
    <w:rsid w:val="005C20E5"/>
    <w:rsid w:val="005C22ED"/>
    <w:rsid w:val="005D3344"/>
    <w:rsid w:val="005E3EFE"/>
    <w:rsid w:val="005E50D7"/>
    <w:rsid w:val="005F10BF"/>
    <w:rsid w:val="005F1262"/>
    <w:rsid w:val="005F3813"/>
    <w:rsid w:val="005F47D9"/>
    <w:rsid w:val="005F5AEE"/>
    <w:rsid w:val="005F6D2C"/>
    <w:rsid w:val="00601FE7"/>
    <w:rsid w:val="00604A94"/>
    <w:rsid w:val="00605B94"/>
    <w:rsid w:val="00613729"/>
    <w:rsid w:val="0061511F"/>
    <w:rsid w:val="006161C8"/>
    <w:rsid w:val="00625EFA"/>
    <w:rsid w:val="00630FDE"/>
    <w:rsid w:val="00633C97"/>
    <w:rsid w:val="006423ED"/>
    <w:rsid w:val="00642556"/>
    <w:rsid w:val="00646387"/>
    <w:rsid w:val="00653297"/>
    <w:rsid w:val="00672DBD"/>
    <w:rsid w:val="006741FC"/>
    <w:rsid w:val="00677A66"/>
    <w:rsid w:val="0068009B"/>
    <w:rsid w:val="0069588D"/>
    <w:rsid w:val="00695D94"/>
    <w:rsid w:val="006A0DB2"/>
    <w:rsid w:val="006A2DA5"/>
    <w:rsid w:val="006A5D6B"/>
    <w:rsid w:val="006B0EBA"/>
    <w:rsid w:val="006B1A19"/>
    <w:rsid w:val="006B35D9"/>
    <w:rsid w:val="006B4336"/>
    <w:rsid w:val="006C17B3"/>
    <w:rsid w:val="006D3C66"/>
    <w:rsid w:val="006D612F"/>
    <w:rsid w:val="006D7F89"/>
    <w:rsid w:val="006E2226"/>
    <w:rsid w:val="006E3351"/>
    <w:rsid w:val="0070150C"/>
    <w:rsid w:val="0071058E"/>
    <w:rsid w:val="00714AC2"/>
    <w:rsid w:val="00714D4C"/>
    <w:rsid w:val="0071737A"/>
    <w:rsid w:val="00720B48"/>
    <w:rsid w:val="007233CA"/>
    <w:rsid w:val="00724048"/>
    <w:rsid w:val="0072439B"/>
    <w:rsid w:val="007410FA"/>
    <w:rsid w:val="007428AE"/>
    <w:rsid w:val="0074403E"/>
    <w:rsid w:val="007464D3"/>
    <w:rsid w:val="00754207"/>
    <w:rsid w:val="007551F7"/>
    <w:rsid w:val="0076020F"/>
    <w:rsid w:val="00767615"/>
    <w:rsid w:val="00771550"/>
    <w:rsid w:val="007733DE"/>
    <w:rsid w:val="00777AC0"/>
    <w:rsid w:val="00783E80"/>
    <w:rsid w:val="0079505C"/>
    <w:rsid w:val="007A047F"/>
    <w:rsid w:val="007A307E"/>
    <w:rsid w:val="007A31D4"/>
    <w:rsid w:val="007A3A00"/>
    <w:rsid w:val="007A6544"/>
    <w:rsid w:val="007C4A26"/>
    <w:rsid w:val="007D01AD"/>
    <w:rsid w:val="007E16BF"/>
    <w:rsid w:val="007E40AF"/>
    <w:rsid w:val="007E5F5D"/>
    <w:rsid w:val="007E728F"/>
    <w:rsid w:val="007F711E"/>
    <w:rsid w:val="008002F2"/>
    <w:rsid w:val="00801C14"/>
    <w:rsid w:val="00807D32"/>
    <w:rsid w:val="00812EBE"/>
    <w:rsid w:val="008155ED"/>
    <w:rsid w:val="008172E1"/>
    <w:rsid w:val="00825674"/>
    <w:rsid w:val="00825C08"/>
    <w:rsid w:val="00826A6D"/>
    <w:rsid w:val="008347DC"/>
    <w:rsid w:val="008360F9"/>
    <w:rsid w:val="00851648"/>
    <w:rsid w:val="008550EB"/>
    <w:rsid w:val="00855CDA"/>
    <w:rsid w:val="00856045"/>
    <w:rsid w:val="00876458"/>
    <w:rsid w:val="008827C1"/>
    <w:rsid w:val="00896F30"/>
    <w:rsid w:val="008970F2"/>
    <w:rsid w:val="008A0610"/>
    <w:rsid w:val="008B62E4"/>
    <w:rsid w:val="008B6C12"/>
    <w:rsid w:val="008B714E"/>
    <w:rsid w:val="008C3D1C"/>
    <w:rsid w:val="008C6299"/>
    <w:rsid w:val="008C7393"/>
    <w:rsid w:val="008D163C"/>
    <w:rsid w:val="008D206C"/>
    <w:rsid w:val="008D36B1"/>
    <w:rsid w:val="008D3895"/>
    <w:rsid w:val="008D634A"/>
    <w:rsid w:val="008D78FA"/>
    <w:rsid w:val="008E4FB2"/>
    <w:rsid w:val="008F7BBD"/>
    <w:rsid w:val="00901AAD"/>
    <w:rsid w:val="009070F5"/>
    <w:rsid w:val="009253E5"/>
    <w:rsid w:val="00925867"/>
    <w:rsid w:val="00926476"/>
    <w:rsid w:val="00926E9F"/>
    <w:rsid w:val="00932A66"/>
    <w:rsid w:val="0093447B"/>
    <w:rsid w:val="0093732A"/>
    <w:rsid w:val="00943CDC"/>
    <w:rsid w:val="0094455F"/>
    <w:rsid w:val="0094621D"/>
    <w:rsid w:val="009468C1"/>
    <w:rsid w:val="00952C70"/>
    <w:rsid w:val="00957D40"/>
    <w:rsid w:val="00966E9A"/>
    <w:rsid w:val="00967AA5"/>
    <w:rsid w:val="00972293"/>
    <w:rsid w:val="00975F79"/>
    <w:rsid w:val="0098273A"/>
    <w:rsid w:val="009838C8"/>
    <w:rsid w:val="00985836"/>
    <w:rsid w:val="00985B8D"/>
    <w:rsid w:val="00986817"/>
    <w:rsid w:val="00986ABF"/>
    <w:rsid w:val="00994C30"/>
    <w:rsid w:val="009A421D"/>
    <w:rsid w:val="009A463C"/>
    <w:rsid w:val="009A469D"/>
    <w:rsid w:val="009B3844"/>
    <w:rsid w:val="009B54BA"/>
    <w:rsid w:val="009C06E6"/>
    <w:rsid w:val="009C7520"/>
    <w:rsid w:val="009D2D80"/>
    <w:rsid w:val="009D707B"/>
    <w:rsid w:val="009E14A3"/>
    <w:rsid w:val="009E1BA1"/>
    <w:rsid w:val="009E2033"/>
    <w:rsid w:val="009E265A"/>
    <w:rsid w:val="00A01F9D"/>
    <w:rsid w:val="00A052C5"/>
    <w:rsid w:val="00A05964"/>
    <w:rsid w:val="00A06B2E"/>
    <w:rsid w:val="00A10B6C"/>
    <w:rsid w:val="00A155EE"/>
    <w:rsid w:val="00A23429"/>
    <w:rsid w:val="00A25DC1"/>
    <w:rsid w:val="00A31021"/>
    <w:rsid w:val="00A32B2C"/>
    <w:rsid w:val="00A345D9"/>
    <w:rsid w:val="00A35BF2"/>
    <w:rsid w:val="00A40EA4"/>
    <w:rsid w:val="00A43114"/>
    <w:rsid w:val="00A445A0"/>
    <w:rsid w:val="00A5100D"/>
    <w:rsid w:val="00A61630"/>
    <w:rsid w:val="00A70609"/>
    <w:rsid w:val="00A706E3"/>
    <w:rsid w:val="00A744AA"/>
    <w:rsid w:val="00A75A0E"/>
    <w:rsid w:val="00A76537"/>
    <w:rsid w:val="00A7716E"/>
    <w:rsid w:val="00A86371"/>
    <w:rsid w:val="00AA0465"/>
    <w:rsid w:val="00AA380E"/>
    <w:rsid w:val="00AA7E98"/>
    <w:rsid w:val="00AB08BD"/>
    <w:rsid w:val="00AC019B"/>
    <w:rsid w:val="00AC66E6"/>
    <w:rsid w:val="00AC68A8"/>
    <w:rsid w:val="00AD20AF"/>
    <w:rsid w:val="00AD4119"/>
    <w:rsid w:val="00AD55CD"/>
    <w:rsid w:val="00AE1E5D"/>
    <w:rsid w:val="00AE2537"/>
    <w:rsid w:val="00AE2810"/>
    <w:rsid w:val="00AF1103"/>
    <w:rsid w:val="00AF17EE"/>
    <w:rsid w:val="00AF579A"/>
    <w:rsid w:val="00AF5F83"/>
    <w:rsid w:val="00B004B0"/>
    <w:rsid w:val="00B01BD0"/>
    <w:rsid w:val="00B02289"/>
    <w:rsid w:val="00B06DEB"/>
    <w:rsid w:val="00B07D00"/>
    <w:rsid w:val="00B12F3E"/>
    <w:rsid w:val="00B16601"/>
    <w:rsid w:val="00B20141"/>
    <w:rsid w:val="00B23D63"/>
    <w:rsid w:val="00B27DD5"/>
    <w:rsid w:val="00B42911"/>
    <w:rsid w:val="00B42C6D"/>
    <w:rsid w:val="00B47094"/>
    <w:rsid w:val="00B50880"/>
    <w:rsid w:val="00B52654"/>
    <w:rsid w:val="00B57CBF"/>
    <w:rsid w:val="00B62955"/>
    <w:rsid w:val="00B646EF"/>
    <w:rsid w:val="00B765A1"/>
    <w:rsid w:val="00B85429"/>
    <w:rsid w:val="00B87DF8"/>
    <w:rsid w:val="00B90518"/>
    <w:rsid w:val="00B9126F"/>
    <w:rsid w:val="00B93FC6"/>
    <w:rsid w:val="00B95FBC"/>
    <w:rsid w:val="00B979A2"/>
    <w:rsid w:val="00BA5074"/>
    <w:rsid w:val="00BA53E8"/>
    <w:rsid w:val="00BA625C"/>
    <w:rsid w:val="00BA67FC"/>
    <w:rsid w:val="00BB07D9"/>
    <w:rsid w:val="00BB765E"/>
    <w:rsid w:val="00BC1FE7"/>
    <w:rsid w:val="00BC3703"/>
    <w:rsid w:val="00BC3F01"/>
    <w:rsid w:val="00BD0D03"/>
    <w:rsid w:val="00BD159B"/>
    <w:rsid w:val="00BD15EE"/>
    <w:rsid w:val="00BD2475"/>
    <w:rsid w:val="00BD2F0E"/>
    <w:rsid w:val="00BD31C5"/>
    <w:rsid w:val="00BD54D5"/>
    <w:rsid w:val="00BE0144"/>
    <w:rsid w:val="00BE45AC"/>
    <w:rsid w:val="00BE570A"/>
    <w:rsid w:val="00BE6CA8"/>
    <w:rsid w:val="00BE725E"/>
    <w:rsid w:val="00BF7BF2"/>
    <w:rsid w:val="00C02691"/>
    <w:rsid w:val="00C2005A"/>
    <w:rsid w:val="00C210E6"/>
    <w:rsid w:val="00C21C3D"/>
    <w:rsid w:val="00C22465"/>
    <w:rsid w:val="00C26DE8"/>
    <w:rsid w:val="00C3356B"/>
    <w:rsid w:val="00C33835"/>
    <w:rsid w:val="00C40046"/>
    <w:rsid w:val="00C40F4C"/>
    <w:rsid w:val="00C42693"/>
    <w:rsid w:val="00C516EC"/>
    <w:rsid w:val="00C5278A"/>
    <w:rsid w:val="00C550ED"/>
    <w:rsid w:val="00C56095"/>
    <w:rsid w:val="00C56342"/>
    <w:rsid w:val="00C56EAE"/>
    <w:rsid w:val="00C6225C"/>
    <w:rsid w:val="00C62517"/>
    <w:rsid w:val="00C72011"/>
    <w:rsid w:val="00C85B06"/>
    <w:rsid w:val="00C85B0F"/>
    <w:rsid w:val="00C861E3"/>
    <w:rsid w:val="00C8706E"/>
    <w:rsid w:val="00C91061"/>
    <w:rsid w:val="00CB33C3"/>
    <w:rsid w:val="00CB38C3"/>
    <w:rsid w:val="00CB3EF1"/>
    <w:rsid w:val="00CB4127"/>
    <w:rsid w:val="00CB6548"/>
    <w:rsid w:val="00CC5CF6"/>
    <w:rsid w:val="00CC614E"/>
    <w:rsid w:val="00CD259F"/>
    <w:rsid w:val="00CD4C52"/>
    <w:rsid w:val="00CE75ED"/>
    <w:rsid w:val="00CF427F"/>
    <w:rsid w:val="00D00AC8"/>
    <w:rsid w:val="00D04770"/>
    <w:rsid w:val="00D11C34"/>
    <w:rsid w:val="00D14418"/>
    <w:rsid w:val="00D17D64"/>
    <w:rsid w:val="00D17F91"/>
    <w:rsid w:val="00D21ADA"/>
    <w:rsid w:val="00D237A3"/>
    <w:rsid w:val="00D3015D"/>
    <w:rsid w:val="00D37E33"/>
    <w:rsid w:val="00D43276"/>
    <w:rsid w:val="00D44F25"/>
    <w:rsid w:val="00D45B88"/>
    <w:rsid w:val="00D46A9A"/>
    <w:rsid w:val="00D473A2"/>
    <w:rsid w:val="00D501E5"/>
    <w:rsid w:val="00D51614"/>
    <w:rsid w:val="00D51C22"/>
    <w:rsid w:val="00D63565"/>
    <w:rsid w:val="00D643E8"/>
    <w:rsid w:val="00D6671F"/>
    <w:rsid w:val="00D755C6"/>
    <w:rsid w:val="00D831B8"/>
    <w:rsid w:val="00D876EC"/>
    <w:rsid w:val="00D87A74"/>
    <w:rsid w:val="00D87B44"/>
    <w:rsid w:val="00D9098A"/>
    <w:rsid w:val="00D93A31"/>
    <w:rsid w:val="00D958D6"/>
    <w:rsid w:val="00DA479D"/>
    <w:rsid w:val="00DA7EDC"/>
    <w:rsid w:val="00DB18E4"/>
    <w:rsid w:val="00DB298F"/>
    <w:rsid w:val="00DB54E9"/>
    <w:rsid w:val="00DC1CB0"/>
    <w:rsid w:val="00DC2A2F"/>
    <w:rsid w:val="00DD0299"/>
    <w:rsid w:val="00DD74E3"/>
    <w:rsid w:val="00DE5CDB"/>
    <w:rsid w:val="00DF5B0A"/>
    <w:rsid w:val="00E03111"/>
    <w:rsid w:val="00E03DD9"/>
    <w:rsid w:val="00E03E05"/>
    <w:rsid w:val="00E4101D"/>
    <w:rsid w:val="00E42445"/>
    <w:rsid w:val="00E42EF0"/>
    <w:rsid w:val="00E4385A"/>
    <w:rsid w:val="00E43CC8"/>
    <w:rsid w:val="00E50E33"/>
    <w:rsid w:val="00E5511F"/>
    <w:rsid w:val="00E556B9"/>
    <w:rsid w:val="00E56081"/>
    <w:rsid w:val="00E6024D"/>
    <w:rsid w:val="00E64B17"/>
    <w:rsid w:val="00E654DD"/>
    <w:rsid w:val="00E72F7F"/>
    <w:rsid w:val="00E73D2B"/>
    <w:rsid w:val="00E802BA"/>
    <w:rsid w:val="00E80698"/>
    <w:rsid w:val="00E8089A"/>
    <w:rsid w:val="00E872CF"/>
    <w:rsid w:val="00E91D87"/>
    <w:rsid w:val="00E942DE"/>
    <w:rsid w:val="00EB6530"/>
    <w:rsid w:val="00EC1EB8"/>
    <w:rsid w:val="00EC4C6C"/>
    <w:rsid w:val="00ED039A"/>
    <w:rsid w:val="00ED1AC4"/>
    <w:rsid w:val="00ED1E58"/>
    <w:rsid w:val="00ED2C4E"/>
    <w:rsid w:val="00ED442C"/>
    <w:rsid w:val="00EE1421"/>
    <w:rsid w:val="00EE2221"/>
    <w:rsid w:val="00EE3359"/>
    <w:rsid w:val="00EE4BD7"/>
    <w:rsid w:val="00EE637F"/>
    <w:rsid w:val="00EF2B68"/>
    <w:rsid w:val="00EF3369"/>
    <w:rsid w:val="00EF7DE8"/>
    <w:rsid w:val="00EF7E71"/>
    <w:rsid w:val="00F0523E"/>
    <w:rsid w:val="00F06054"/>
    <w:rsid w:val="00F13251"/>
    <w:rsid w:val="00F32621"/>
    <w:rsid w:val="00F3408D"/>
    <w:rsid w:val="00F3517D"/>
    <w:rsid w:val="00F35428"/>
    <w:rsid w:val="00F435D5"/>
    <w:rsid w:val="00F475E8"/>
    <w:rsid w:val="00F5788B"/>
    <w:rsid w:val="00F65384"/>
    <w:rsid w:val="00F760A9"/>
    <w:rsid w:val="00F82AF0"/>
    <w:rsid w:val="00F87CFC"/>
    <w:rsid w:val="00F93CEE"/>
    <w:rsid w:val="00FA0B53"/>
    <w:rsid w:val="00FB3C4F"/>
    <w:rsid w:val="00FC0DC9"/>
    <w:rsid w:val="00FC1850"/>
    <w:rsid w:val="00FC2437"/>
    <w:rsid w:val="00FC5067"/>
    <w:rsid w:val="00FE14B4"/>
    <w:rsid w:val="00FE18A9"/>
    <w:rsid w:val="00FE1BFC"/>
    <w:rsid w:val="00FE4035"/>
    <w:rsid w:val="00FE463A"/>
    <w:rsid w:val="00FE7429"/>
    <w:rsid w:val="00FF0725"/>
    <w:rsid w:val="00FF1AAC"/>
    <w:rsid w:val="00FF521B"/>
    <w:rsid w:val="00FF5EE5"/>
    <w:rsid w:val="00FF7E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EC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03E05"/>
    <w:pPr>
      <w:jc w:val="both"/>
    </w:pPr>
    <w:rPr>
      <w:rFonts w:ascii="Lato" w:hAnsi="Lato"/>
      <w:sz w:val="22"/>
    </w:rPr>
  </w:style>
  <w:style w:type="paragraph" w:styleId="Nagwek1">
    <w:name w:val="heading 1"/>
    <w:basedOn w:val="Normalny"/>
    <w:next w:val="Normalny"/>
    <w:link w:val="Nagwek1Znak"/>
    <w:uiPriority w:val="9"/>
    <w:qFormat/>
    <w:rsid w:val="000B2517"/>
    <w:pPr>
      <w:keepNext/>
      <w:keepLines/>
      <w:numPr>
        <w:numId w:val="7"/>
      </w:numPr>
      <w:spacing w:before="100" w:beforeAutospacing="1" w:after="100" w:afterAutospacing="1"/>
      <w:jc w:val="left"/>
      <w:outlineLvl w:val="0"/>
    </w:pPr>
    <w:rPr>
      <w:rFonts w:eastAsiaTheme="majorEastAsia" w:cstheme="majorBidi"/>
      <w:b/>
      <w:color w:val="0F4761" w:themeColor="accent1" w:themeShade="BF"/>
      <w:sz w:val="40"/>
      <w:szCs w:val="40"/>
    </w:rPr>
  </w:style>
  <w:style w:type="paragraph" w:styleId="Nagwek2">
    <w:name w:val="heading 2"/>
    <w:basedOn w:val="Nagwek1"/>
    <w:next w:val="Normalny"/>
    <w:link w:val="Nagwek2Znak"/>
    <w:uiPriority w:val="9"/>
    <w:unhideWhenUsed/>
    <w:qFormat/>
    <w:rsid w:val="00851648"/>
    <w:pPr>
      <w:numPr>
        <w:ilvl w:val="1"/>
      </w:numPr>
      <w:ind w:left="792"/>
      <w:outlineLvl w:val="1"/>
    </w:pPr>
    <w:rPr>
      <w:sz w:val="32"/>
      <w:szCs w:val="32"/>
    </w:rPr>
  </w:style>
  <w:style w:type="paragraph" w:styleId="Nagwek3">
    <w:name w:val="heading 3"/>
    <w:basedOn w:val="Nagwek2"/>
    <w:next w:val="Normalny"/>
    <w:link w:val="Nagwek3Znak"/>
    <w:uiPriority w:val="9"/>
    <w:unhideWhenUsed/>
    <w:qFormat/>
    <w:rsid w:val="00851648"/>
    <w:pPr>
      <w:numPr>
        <w:ilvl w:val="2"/>
      </w:numPr>
      <w:outlineLvl w:val="2"/>
    </w:pPr>
    <w:rPr>
      <w:sz w:val="28"/>
      <w:szCs w:val="28"/>
    </w:rPr>
  </w:style>
  <w:style w:type="paragraph" w:styleId="Nagwek4">
    <w:name w:val="heading 4"/>
    <w:basedOn w:val="Normalny"/>
    <w:next w:val="Normalny"/>
    <w:link w:val="Nagwek4Znak"/>
    <w:uiPriority w:val="9"/>
    <w:semiHidden/>
    <w:unhideWhenUsed/>
    <w:qFormat/>
    <w:rsid w:val="00633C9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33C9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33C9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33C9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33C9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33C9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2517"/>
    <w:rPr>
      <w:rFonts w:ascii="Lato" w:eastAsiaTheme="majorEastAsia" w:hAnsi="Lato" w:cstheme="majorBidi"/>
      <w:b/>
      <w:color w:val="0F4761" w:themeColor="accent1" w:themeShade="BF"/>
      <w:sz w:val="40"/>
      <w:szCs w:val="40"/>
    </w:rPr>
  </w:style>
  <w:style w:type="character" w:customStyle="1" w:styleId="Nagwek2Znak">
    <w:name w:val="Nagłówek 2 Znak"/>
    <w:basedOn w:val="Domylnaczcionkaakapitu"/>
    <w:link w:val="Nagwek2"/>
    <w:uiPriority w:val="9"/>
    <w:rsid w:val="00851648"/>
    <w:rPr>
      <w:rFonts w:ascii="Lato" w:eastAsiaTheme="majorEastAsia" w:hAnsi="Lato" w:cstheme="majorBidi"/>
      <w:b/>
      <w:color w:val="0F4761" w:themeColor="accent1" w:themeShade="BF"/>
      <w:sz w:val="32"/>
      <w:szCs w:val="32"/>
    </w:rPr>
  </w:style>
  <w:style w:type="character" w:customStyle="1" w:styleId="Nagwek3Znak">
    <w:name w:val="Nagłówek 3 Znak"/>
    <w:basedOn w:val="Domylnaczcionkaakapitu"/>
    <w:link w:val="Nagwek3"/>
    <w:uiPriority w:val="9"/>
    <w:rsid w:val="00851648"/>
    <w:rPr>
      <w:rFonts w:ascii="Lato" w:eastAsiaTheme="majorEastAsia" w:hAnsi="Lato" w:cstheme="majorBidi"/>
      <w:b/>
      <w:color w:val="0F4761" w:themeColor="accent1" w:themeShade="BF"/>
      <w:sz w:val="28"/>
      <w:szCs w:val="28"/>
    </w:rPr>
  </w:style>
  <w:style w:type="character" w:customStyle="1" w:styleId="Nagwek4Znak">
    <w:name w:val="Nagłówek 4 Znak"/>
    <w:basedOn w:val="Domylnaczcionkaakapitu"/>
    <w:link w:val="Nagwek4"/>
    <w:uiPriority w:val="9"/>
    <w:semiHidden/>
    <w:rsid w:val="00633C9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33C9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33C9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33C9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33C9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33C97"/>
    <w:rPr>
      <w:rFonts w:eastAsiaTheme="majorEastAsia" w:cstheme="majorBidi"/>
      <w:color w:val="272727" w:themeColor="text1" w:themeTint="D8"/>
    </w:rPr>
  </w:style>
  <w:style w:type="paragraph" w:styleId="Tytu">
    <w:name w:val="Title"/>
    <w:basedOn w:val="Normalny"/>
    <w:next w:val="Normalny"/>
    <w:link w:val="TytuZnak"/>
    <w:uiPriority w:val="10"/>
    <w:qFormat/>
    <w:rsid w:val="00362E50"/>
    <w:pPr>
      <w:spacing w:after="80" w:line="360" w:lineRule="auto"/>
      <w:contextualSpacing/>
      <w:jc w:val="center"/>
    </w:pPr>
    <w:rPr>
      <w:rFonts w:eastAsiaTheme="majorEastAsia" w:cstheme="majorBidi"/>
      <w:spacing w:val="-10"/>
      <w:kern w:val="28"/>
      <w:sz w:val="72"/>
      <w:szCs w:val="56"/>
    </w:rPr>
  </w:style>
  <w:style w:type="character" w:customStyle="1" w:styleId="TytuZnak">
    <w:name w:val="Tytuł Znak"/>
    <w:basedOn w:val="Domylnaczcionkaakapitu"/>
    <w:link w:val="Tytu"/>
    <w:uiPriority w:val="10"/>
    <w:rsid w:val="00362E50"/>
    <w:rPr>
      <w:rFonts w:ascii="Lato" w:eastAsiaTheme="majorEastAsia" w:hAnsi="Lato" w:cstheme="majorBidi"/>
      <w:spacing w:val="-10"/>
      <w:kern w:val="28"/>
      <w:sz w:val="72"/>
      <w:szCs w:val="56"/>
    </w:rPr>
  </w:style>
  <w:style w:type="paragraph" w:styleId="Podtytu">
    <w:name w:val="Subtitle"/>
    <w:basedOn w:val="Normalny"/>
    <w:next w:val="Normalny"/>
    <w:link w:val="PodtytuZnak"/>
    <w:uiPriority w:val="11"/>
    <w:qFormat/>
    <w:rsid w:val="00633C9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33C9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33C97"/>
    <w:pPr>
      <w:spacing w:before="160"/>
      <w:jc w:val="center"/>
    </w:pPr>
    <w:rPr>
      <w:i/>
      <w:iCs/>
      <w:color w:val="404040" w:themeColor="text1" w:themeTint="BF"/>
    </w:rPr>
  </w:style>
  <w:style w:type="character" w:customStyle="1" w:styleId="CytatZnak">
    <w:name w:val="Cytat Znak"/>
    <w:basedOn w:val="Domylnaczcionkaakapitu"/>
    <w:link w:val="Cytat"/>
    <w:uiPriority w:val="29"/>
    <w:rsid w:val="00633C97"/>
    <w:rPr>
      <w:i/>
      <w:iCs/>
      <w:color w:val="404040" w:themeColor="text1" w:themeTint="BF"/>
    </w:rPr>
  </w:style>
  <w:style w:type="paragraph" w:styleId="Akapitzlist">
    <w:name w:val="List Paragraph"/>
    <w:aliases w:val="Dot pt,F5 List Paragraph,List Paragraph1,Recommendation,List Paragraph11,List Paragraph,Numerowanie,Kolorowa lista — akcent 11,Akapit z listą1,Listaszerű bekezdés1,List Paragraph à moi,No Spacing1,List Paragraph Char Char Char,Bullet 1,2"/>
    <w:basedOn w:val="Normalny"/>
    <w:link w:val="AkapitzlistZnak"/>
    <w:uiPriority w:val="1"/>
    <w:qFormat/>
    <w:rsid w:val="00957D40"/>
    <w:pPr>
      <w:numPr>
        <w:numId w:val="12"/>
      </w:numPr>
      <w:contextualSpacing/>
    </w:pPr>
  </w:style>
  <w:style w:type="character" w:styleId="Wyrnienieintensywne">
    <w:name w:val="Intense Emphasis"/>
    <w:basedOn w:val="Domylnaczcionkaakapitu"/>
    <w:uiPriority w:val="21"/>
    <w:qFormat/>
    <w:rsid w:val="00633C97"/>
    <w:rPr>
      <w:i/>
      <w:iCs/>
      <w:color w:val="0F4761" w:themeColor="accent1" w:themeShade="BF"/>
    </w:rPr>
  </w:style>
  <w:style w:type="paragraph" w:styleId="Cytatintensywny">
    <w:name w:val="Intense Quote"/>
    <w:basedOn w:val="Normalny"/>
    <w:next w:val="Normalny"/>
    <w:link w:val="CytatintensywnyZnak"/>
    <w:uiPriority w:val="30"/>
    <w:qFormat/>
    <w:rsid w:val="00633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33C97"/>
    <w:rPr>
      <w:i/>
      <w:iCs/>
      <w:color w:val="0F4761" w:themeColor="accent1" w:themeShade="BF"/>
    </w:rPr>
  </w:style>
  <w:style w:type="character" w:styleId="Odwoanieintensywne">
    <w:name w:val="Intense Reference"/>
    <w:basedOn w:val="Domylnaczcionkaakapitu"/>
    <w:uiPriority w:val="32"/>
    <w:qFormat/>
    <w:rsid w:val="00633C97"/>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AC68A8"/>
    <w:rPr>
      <w:sz w:val="16"/>
      <w:szCs w:val="16"/>
    </w:rPr>
  </w:style>
  <w:style w:type="paragraph" w:styleId="Tekstkomentarza">
    <w:name w:val="annotation text"/>
    <w:basedOn w:val="Normalny"/>
    <w:link w:val="TekstkomentarzaZnak"/>
    <w:uiPriority w:val="99"/>
    <w:unhideWhenUsed/>
    <w:rsid w:val="00AC68A8"/>
    <w:pPr>
      <w:spacing w:line="240" w:lineRule="auto"/>
    </w:pPr>
    <w:rPr>
      <w:sz w:val="20"/>
      <w:szCs w:val="20"/>
    </w:rPr>
  </w:style>
  <w:style w:type="character" w:customStyle="1" w:styleId="TekstkomentarzaZnak">
    <w:name w:val="Tekst komentarza Znak"/>
    <w:basedOn w:val="Domylnaczcionkaakapitu"/>
    <w:link w:val="Tekstkomentarza"/>
    <w:uiPriority w:val="99"/>
    <w:rsid w:val="00AC68A8"/>
    <w:rPr>
      <w:sz w:val="20"/>
      <w:szCs w:val="20"/>
    </w:rPr>
  </w:style>
  <w:style w:type="paragraph" w:styleId="Tematkomentarza">
    <w:name w:val="annotation subject"/>
    <w:basedOn w:val="Tekstkomentarza"/>
    <w:next w:val="Tekstkomentarza"/>
    <w:link w:val="TematkomentarzaZnak"/>
    <w:uiPriority w:val="99"/>
    <w:semiHidden/>
    <w:unhideWhenUsed/>
    <w:rsid w:val="00AC68A8"/>
    <w:rPr>
      <w:b/>
      <w:bCs/>
    </w:rPr>
  </w:style>
  <w:style w:type="character" w:customStyle="1" w:styleId="TematkomentarzaZnak">
    <w:name w:val="Temat komentarza Znak"/>
    <w:basedOn w:val="TekstkomentarzaZnak"/>
    <w:link w:val="Tematkomentarza"/>
    <w:uiPriority w:val="99"/>
    <w:semiHidden/>
    <w:rsid w:val="00AC68A8"/>
    <w:rPr>
      <w:b/>
      <w:bCs/>
      <w:sz w:val="20"/>
      <w:szCs w:val="20"/>
    </w:rPr>
  </w:style>
  <w:style w:type="paragraph" w:styleId="Legenda">
    <w:name w:val="caption"/>
    <w:basedOn w:val="Normalny"/>
    <w:next w:val="Normalny"/>
    <w:uiPriority w:val="35"/>
    <w:unhideWhenUsed/>
    <w:qFormat/>
    <w:rsid w:val="00321A02"/>
    <w:pPr>
      <w:spacing w:after="200" w:line="240" w:lineRule="auto"/>
    </w:pPr>
    <w:rPr>
      <w:rFonts w:eastAsiaTheme="minorEastAsia"/>
      <w:i/>
      <w:iCs/>
      <w:color w:val="0E2841" w:themeColor="text2"/>
      <w:kern w:val="0"/>
      <w:sz w:val="18"/>
      <w:szCs w:val="18"/>
      <w14:ligatures w14:val="none"/>
    </w:rPr>
  </w:style>
  <w:style w:type="character" w:styleId="Pogrubienie">
    <w:name w:val="Strong"/>
    <w:basedOn w:val="Domylnaczcionkaakapitu"/>
    <w:uiPriority w:val="22"/>
    <w:qFormat/>
    <w:rsid w:val="00EE3359"/>
    <w:rPr>
      <w:b/>
      <w:bCs/>
      <w:color w:val="auto"/>
    </w:rPr>
  </w:style>
  <w:style w:type="character" w:styleId="Uwydatnienie">
    <w:name w:val="Emphasis"/>
    <w:basedOn w:val="Domylnaczcionkaakapitu"/>
    <w:uiPriority w:val="20"/>
    <w:qFormat/>
    <w:rsid w:val="00EE3359"/>
    <w:rPr>
      <w:i/>
      <w:iCs/>
      <w:color w:val="auto"/>
    </w:rPr>
  </w:style>
  <w:style w:type="paragraph" w:styleId="Bezodstpw">
    <w:name w:val="No Spacing"/>
    <w:uiPriority w:val="1"/>
    <w:qFormat/>
    <w:rsid w:val="00EE3359"/>
    <w:pPr>
      <w:spacing w:after="0" w:line="240" w:lineRule="auto"/>
    </w:pPr>
    <w:rPr>
      <w:rFonts w:eastAsiaTheme="minorEastAsia"/>
      <w:kern w:val="0"/>
      <w:sz w:val="22"/>
      <w:szCs w:val="22"/>
      <w14:ligatures w14:val="none"/>
    </w:rPr>
  </w:style>
  <w:style w:type="character" w:styleId="Wyrnieniedelikatne">
    <w:name w:val="Subtle Emphasis"/>
    <w:basedOn w:val="Domylnaczcionkaakapitu"/>
    <w:uiPriority w:val="19"/>
    <w:qFormat/>
    <w:rsid w:val="00EE3359"/>
    <w:rPr>
      <w:i/>
      <w:iCs/>
      <w:color w:val="404040" w:themeColor="text1" w:themeTint="BF"/>
    </w:rPr>
  </w:style>
  <w:style w:type="character" w:styleId="Odwoaniedelikatne">
    <w:name w:val="Subtle Reference"/>
    <w:basedOn w:val="Domylnaczcionkaakapitu"/>
    <w:uiPriority w:val="31"/>
    <w:qFormat/>
    <w:rsid w:val="00EE3359"/>
    <w:rPr>
      <w:smallCaps/>
      <w:color w:val="404040" w:themeColor="text1" w:themeTint="BF"/>
    </w:rPr>
  </w:style>
  <w:style w:type="character" w:styleId="Tytuksiki">
    <w:name w:val="Book Title"/>
    <w:basedOn w:val="Domylnaczcionkaakapitu"/>
    <w:uiPriority w:val="33"/>
    <w:qFormat/>
    <w:rsid w:val="00EE3359"/>
    <w:rPr>
      <w:b/>
      <w:bCs/>
      <w:i/>
      <w:iCs/>
      <w:spacing w:val="5"/>
    </w:rPr>
  </w:style>
  <w:style w:type="paragraph" w:styleId="Nagwekspisutreci">
    <w:name w:val="TOC Heading"/>
    <w:basedOn w:val="Nagwek1"/>
    <w:next w:val="Normalny"/>
    <w:uiPriority w:val="39"/>
    <w:unhideWhenUsed/>
    <w:qFormat/>
    <w:rsid w:val="00EE3359"/>
    <w:pPr>
      <w:spacing w:line="360" w:lineRule="auto"/>
      <w:ind w:left="720"/>
      <w:outlineLvl w:val="9"/>
    </w:pPr>
    <w:rPr>
      <w:b w:val="0"/>
      <w:color w:val="262626" w:themeColor="text1" w:themeTint="D9"/>
      <w:kern w:val="0"/>
      <w:sz w:val="22"/>
      <w:szCs w:val="32"/>
      <w14:ligatures w14:val="none"/>
    </w:rPr>
  </w:style>
  <w:style w:type="paragraph" w:styleId="Nagwek">
    <w:name w:val="header"/>
    <w:basedOn w:val="Normalny"/>
    <w:link w:val="NagwekZnak"/>
    <w:uiPriority w:val="99"/>
    <w:unhideWhenUsed/>
    <w:rsid w:val="00EE3359"/>
    <w:pPr>
      <w:tabs>
        <w:tab w:val="center" w:pos="4536"/>
        <w:tab w:val="right" w:pos="9072"/>
      </w:tabs>
      <w:spacing w:after="0" w:line="240" w:lineRule="auto"/>
    </w:pPr>
    <w:rPr>
      <w:rFonts w:ascii="Times New Roman" w:eastAsiaTheme="minorEastAsia" w:hAnsi="Times New Roman"/>
      <w:kern w:val="0"/>
      <w:szCs w:val="22"/>
      <w14:ligatures w14:val="none"/>
    </w:rPr>
  </w:style>
  <w:style w:type="character" w:customStyle="1" w:styleId="NagwekZnak">
    <w:name w:val="Nagłówek Znak"/>
    <w:basedOn w:val="Domylnaczcionkaakapitu"/>
    <w:link w:val="Nagwek"/>
    <w:uiPriority w:val="99"/>
    <w:rsid w:val="00EE3359"/>
    <w:rPr>
      <w:rFonts w:ascii="Times New Roman" w:eastAsiaTheme="minorEastAsia" w:hAnsi="Times New Roman"/>
      <w:kern w:val="0"/>
      <w:szCs w:val="22"/>
      <w14:ligatures w14:val="none"/>
    </w:rPr>
  </w:style>
  <w:style w:type="paragraph" w:styleId="Stopka">
    <w:name w:val="footer"/>
    <w:basedOn w:val="Normalny"/>
    <w:link w:val="StopkaZnak"/>
    <w:uiPriority w:val="99"/>
    <w:unhideWhenUsed/>
    <w:rsid w:val="00EE3359"/>
    <w:pPr>
      <w:tabs>
        <w:tab w:val="center" w:pos="4536"/>
        <w:tab w:val="right" w:pos="9072"/>
      </w:tabs>
      <w:spacing w:after="0" w:line="240" w:lineRule="auto"/>
    </w:pPr>
    <w:rPr>
      <w:rFonts w:ascii="Times New Roman" w:eastAsiaTheme="minorEastAsia" w:hAnsi="Times New Roman"/>
      <w:kern w:val="0"/>
      <w:szCs w:val="22"/>
      <w14:ligatures w14:val="none"/>
    </w:rPr>
  </w:style>
  <w:style w:type="character" w:customStyle="1" w:styleId="StopkaZnak">
    <w:name w:val="Stopka Znak"/>
    <w:basedOn w:val="Domylnaczcionkaakapitu"/>
    <w:link w:val="Stopka"/>
    <w:uiPriority w:val="99"/>
    <w:rsid w:val="00EE3359"/>
    <w:rPr>
      <w:rFonts w:ascii="Times New Roman" w:eastAsiaTheme="minorEastAsia" w:hAnsi="Times New Roman"/>
      <w:kern w:val="0"/>
      <w:szCs w:val="22"/>
      <w14:ligatures w14:val="none"/>
    </w:rPr>
  </w:style>
  <w:style w:type="table" w:styleId="Tabela-Siatka">
    <w:name w:val="Table Grid"/>
    <w:basedOn w:val="Standardowy"/>
    <w:uiPriority w:val="39"/>
    <w:rsid w:val="00EE335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link w:val="Spistreci1Znak"/>
    <w:autoRedefine/>
    <w:uiPriority w:val="39"/>
    <w:unhideWhenUsed/>
    <w:rsid w:val="006741FC"/>
    <w:pPr>
      <w:tabs>
        <w:tab w:val="left" w:pos="440"/>
        <w:tab w:val="right" w:leader="dot" w:pos="8647"/>
      </w:tabs>
      <w:spacing w:before="100" w:beforeAutospacing="1" w:after="0" w:line="360" w:lineRule="auto"/>
    </w:pPr>
    <w:rPr>
      <w:rFonts w:eastAsiaTheme="minorEastAsia"/>
      <w:kern w:val="0"/>
      <w:sz w:val="24"/>
      <w:szCs w:val="22"/>
      <w14:ligatures w14:val="none"/>
    </w:rPr>
  </w:style>
  <w:style w:type="character" w:styleId="Hipercze">
    <w:name w:val="Hyperlink"/>
    <w:basedOn w:val="Domylnaczcionkaakapitu"/>
    <w:uiPriority w:val="99"/>
    <w:unhideWhenUsed/>
    <w:rsid w:val="00EE3359"/>
    <w:rPr>
      <w:color w:val="467886" w:themeColor="hyperlink"/>
      <w:u w:val="single"/>
    </w:rPr>
  </w:style>
  <w:style w:type="table" w:customStyle="1" w:styleId="Zwykatabela11">
    <w:name w:val="Zwykła tabela 11"/>
    <w:basedOn w:val="Standardowy"/>
    <w:uiPriority w:val="41"/>
    <w:rsid w:val="00EE3359"/>
    <w:pPr>
      <w:spacing w:after="0" w:line="240" w:lineRule="auto"/>
    </w:pPr>
    <w:rPr>
      <w:rFonts w:eastAsiaTheme="minorEastAsia"/>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iatkatabelijasna1">
    <w:name w:val="Siatka tabeli — jasna1"/>
    <w:basedOn w:val="Standardowy"/>
    <w:uiPriority w:val="40"/>
    <w:rsid w:val="00EE3359"/>
    <w:pPr>
      <w:spacing w:after="0" w:line="240" w:lineRule="auto"/>
    </w:pPr>
    <w:rPr>
      <w:rFonts w:eastAsiaTheme="minorEastAsia"/>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dymka">
    <w:name w:val="Balloon Text"/>
    <w:basedOn w:val="Normalny"/>
    <w:link w:val="TekstdymkaZnak"/>
    <w:uiPriority w:val="99"/>
    <w:semiHidden/>
    <w:unhideWhenUsed/>
    <w:rsid w:val="00EE3359"/>
    <w:pPr>
      <w:spacing w:after="0" w:line="240" w:lineRule="auto"/>
    </w:pPr>
    <w:rPr>
      <w:rFonts w:ascii="Segoe UI" w:eastAsiaTheme="minorEastAsia" w:hAnsi="Segoe UI" w:cs="Segoe UI"/>
      <w:kern w:val="0"/>
      <w:sz w:val="18"/>
      <w:szCs w:val="18"/>
      <w14:ligatures w14:val="none"/>
    </w:rPr>
  </w:style>
  <w:style w:type="character" w:customStyle="1" w:styleId="TekstdymkaZnak">
    <w:name w:val="Tekst dymka Znak"/>
    <w:basedOn w:val="Domylnaczcionkaakapitu"/>
    <w:link w:val="Tekstdymka"/>
    <w:uiPriority w:val="99"/>
    <w:semiHidden/>
    <w:rsid w:val="00EE3359"/>
    <w:rPr>
      <w:rFonts w:ascii="Segoe UI" w:eastAsiaTheme="minorEastAsia" w:hAnsi="Segoe UI" w:cs="Segoe UI"/>
      <w:kern w:val="0"/>
      <w:sz w:val="18"/>
      <w:szCs w:val="18"/>
      <w14:ligatures w14:val="none"/>
    </w:rPr>
  </w:style>
  <w:style w:type="table" w:customStyle="1" w:styleId="Tabelasiatki1jasna1">
    <w:name w:val="Tabela siatki 1 — jasna1"/>
    <w:basedOn w:val="Standardowy"/>
    <w:uiPriority w:val="46"/>
    <w:rsid w:val="00EE3359"/>
    <w:pPr>
      <w:spacing w:after="0" w:line="240" w:lineRule="auto"/>
    </w:pPr>
    <w:rPr>
      <w:rFonts w:eastAsiaTheme="minorEastAsia"/>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ilustracji">
    <w:name w:val="table of figures"/>
    <w:basedOn w:val="Normalny"/>
    <w:next w:val="Normalny"/>
    <w:uiPriority w:val="99"/>
    <w:unhideWhenUsed/>
    <w:rsid w:val="00EE3359"/>
    <w:pPr>
      <w:spacing w:after="0" w:line="360" w:lineRule="auto"/>
      <w:jc w:val="left"/>
    </w:pPr>
    <w:rPr>
      <w:rFonts w:ascii="Times New Roman" w:eastAsiaTheme="minorEastAsia" w:hAnsi="Times New Roman" w:cstheme="minorHAnsi"/>
      <w:i/>
      <w:iCs/>
      <w:kern w:val="0"/>
      <w:sz w:val="20"/>
      <w:szCs w:val="20"/>
      <w14:ligatures w14:val="none"/>
    </w:rPr>
  </w:style>
  <w:style w:type="paragraph" w:customStyle="1" w:styleId="Default">
    <w:name w:val="Default"/>
    <w:rsid w:val="00EE3359"/>
    <w:pPr>
      <w:autoSpaceDE w:val="0"/>
      <w:autoSpaceDN w:val="0"/>
      <w:adjustRightInd w:val="0"/>
      <w:spacing w:after="0" w:line="240" w:lineRule="auto"/>
    </w:pPr>
    <w:rPr>
      <w:rFonts w:ascii="Cambria" w:eastAsiaTheme="minorEastAsia" w:hAnsi="Cambria" w:cs="Cambria"/>
      <w:color w:val="000000"/>
      <w:kern w:val="0"/>
      <w14:ligatures w14:val="none"/>
    </w:rPr>
  </w:style>
  <w:style w:type="paragraph" w:styleId="Poprawka">
    <w:name w:val="Revision"/>
    <w:hidden/>
    <w:uiPriority w:val="99"/>
    <w:semiHidden/>
    <w:rsid w:val="00EE3359"/>
    <w:pPr>
      <w:spacing w:after="0" w:line="240" w:lineRule="auto"/>
    </w:pPr>
    <w:rPr>
      <w:rFonts w:ascii="Times New Roman" w:eastAsiaTheme="minorEastAsia" w:hAnsi="Times New Roman"/>
      <w:kern w:val="0"/>
      <w:szCs w:val="22"/>
      <w14:ligatures w14:val="none"/>
    </w:rPr>
  </w:style>
  <w:style w:type="paragraph" w:styleId="Spistreci2">
    <w:name w:val="toc 2"/>
    <w:basedOn w:val="Normalny"/>
    <w:next w:val="Normalny"/>
    <w:autoRedefine/>
    <w:uiPriority w:val="39"/>
    <w:unhideWhenUsed/>
    <w:rsid w:val="001D2447"/>
    <w:pPr>
      <w:tabs>
        <w:tab w:val="left" w:pos="960"/>
        <w:tab w:val="right" w:leader="dot" w:pos="8789"/>
        <w:tab w:val="right" w:leader="dot" w:pos="9062"/>
      </w:tabs>
      <w:spacing w:after="100" w:line="259" w:lineRule="auto"/>
      <w:ind w:left="220"/>
      <w:jc w:val="left"/>
    </w:pPr>
    <w:rPr>
      <w:rFonts w:eastAsiaTheme="minorEastAsia" w:cs="Times New Roman"/>
      <w:kern w:val="0"/>
      <w:sz w:val="24"/>
      <w:szCs w:val="22"/>
      <w:lang w:eastAsia="pl-PL"/>
      <w14:ligatures w14:val="none"/>
    </w:rPr>
  </w:style>
  <w:style w:type="paragraph" w:styleId="Spistreci3">
    <w:name w:val="toc 3"/>
    <w:basedOn w:val="Normalny"/>
    <w:next w:val="Normalny"/>
    <w:autoRedefine/>
    <w:uiPriority w:val="39"/>
    <w:unhideWhenUsed/>
    <w:rsid w:val="00EE3359"/>
    <w:pPr>
      <w:spacing w:after="100" w:line="259" w:lineRule="auto"/>
      <w:ind w:left="440"/>
      <w:jc w:val="left"/>
    </w:pPr>
    <w:rPr>
      <w:rFonts w:eastAsiaTheme="minorEastAsia" w:cs="Times New Roman"/>
      <w:kern w:val="0"/>
      <w:szCs w:val="22"/>
      <w:lang w:eastAsia="pl-PL"/>
      <w14:ligatures w14:val="none"/>
    </w:rPr>
  </w:style>
  <w:style w:type="table" w:styleId="Tabelasiatki1jasna">
    <w:name w:val="Grid Table 1 Light"/>
    <w:basedOn w:val="Standardowy"/>
    <w:uiPriority w:val="46"/>
    <w:rsid w:val="00D14418"/>
    <w:pPr>
      <w:spacing w:after="0" w:line="240" w:lineRule="auto"/>
    </w:pPr>
    <w:rPr>
      <w:rFonts w:eastAsiaTheme="minorEastAsia"/>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Domylnaczcionkaakapitu"/>
    <w:uiPriority w:val="99"/>
    <w:semiHidden/>
    <w:unhideWhenUsed/>
    <w:rsid w:val="008C7393"/>
    <w:rPr>
      <w:color w:val="605E5C"/>
      <w:shd w:val="clear" w:color="auto" w:fill="E1DFDD"/>
    </w:rPr>
  </w:style>
  <w:style w:type="paragraph" w:styleId="Tekstprzypisudolnego">
    <w:name w:val="footnote text"/>
    <w:basedOn w:val="Normalny"/>
    <w:link w:val="TekstprzypisudolnegoZnak"/>
    <w:uiPriority w:val="99"/>
    <w:semiHidden/>
    <w:unhideWhenUsed/>
    <w:rsid w:val="00551DF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51DF8"/>
    <w:rPr>
      <w:rFonts w:ascii="Lato" w:hAnsi="Lato"/>
      <w:sz w:val="20"/>
      <w:szCs w:val="20"/>
    </w:rPr>
  </w:style>
  <w:style w:type="character" w:styleId="Odwoanieprzypisudolnego">
    <w:name w:val="footnote reference"/>
    <w:basedOn w:val="Domylnaczcionkaakapitu"/>
    <w:uiPriority w:val="99"/>
    <w:semiHidden/>
    <w:unhideWhenUsed/>
    <w:rsid w:val="00551DF8"/>
    <w:rPr>
      <w:vertAlign w:val="superscript"/>
    </w:rPr>
  </w:style>
  <w:style w:type="paragraph" w:styleId="NormalnyWeb">
    <w:name w:val="Normal (Web)"/>
    <w:basedOn w:val="Normalny"/>
    <w:uiPriority w:val="99"/>
    <w:semiHidden/>
    <w:unhideWhenUsed/>
    <w:rsid w:val="00F760A9"/>
    <w:rPr>
      <w:rFonts w:ascii="Times New Roman" w:hAnsi="Times New Roman" w:cs="Times New Roman"/>
      <w:sz w:val="24"/>
    </w:rPr>
  </w:style>
  <w:style w:type="paragraph" w:styleId="Tekstprzypisukocowego">
    <w:name w:val="endnote text"/>
    <w:basedOn w:val="Normalny"/>
    <w:link w:val="TekstprzypisukocowegoZnak"/>
    <w:uiPriority w:val="99"/>
    <w:semiHidden/>
    <w:unhideWhenUsed/>
    <w:rsid w:val="0069588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588D"/>
    <w:rPr>
      <w:rFonts w:ascii="Lato" w:hAnsi="Lato"/>
      <w:sz w:val="20"/>
      <w:szCs w:val="20"/>
    </w:rPr>
  </w:style>
  <w:style w:type="character" w:styleId="Odwoanieprzypisukocowego">
    <w:name w:val="endnote reference"/>
    <w:basedOn w:val="Domylnaczcionkaakapitu"/>
    <w:uiPriority w:val="99"/>
    <w:semiHidden/>
    <w:unhideWhenUsed/>
    <w:rsid w:val="0069588D"/>
    <w:rPr>
      <w:vertAlign w:val="superscript"/>
    </w:rPr>
  </w:style>
  <w:style w:type="character" w:customStyle="1" w:styleId="AkapitzlistZnak">
    <w:name w:val="Akapit z listą Znak"/>
    <w:aliases w:val="Dot pt Znak,F5 List Paragraph Znak,List Paragraph1 Znak,Recommendation Znak,List Paragraph11 Znak,List Paragraph Znak,Numerowanie Znak,Kolorowa lista — akcent 11 Znak,Akapit z listą1 Znak,Listaszerű bekezdés1 Znak,No Spacing1 Znak"/>
    <w:link w:val="Akapitzlist"/>
    <w:uiPriority w:val="1"/>
    <w:qFormat/>
    <w:locked/>
    <w:rsid w:val="00957D40"/>
    <w:rPr>
      <w:rFonts w:ascii="Lato" w:hAnsi="Lato"/>
      <w:sz w:val="22"/>
    </w:rPr>
  </w:style>
  <w:style w:type="paragraph" w:customStyle="1" w:styleId="Spistreci">
    <w:name w:val="Spis treści"/>
    <w:basedOn w:val="Spistreci1"/>
    <w:link w:val="SpistreciZnak"/>
    <w:qFormat/>
    <w:rsid w:val="008B714E"/>
    <w:pPr>
      <w:spacing w:before="0" w:beforeAutospacing="0" w:after="23" w:line="278" w:lineRule="auto"/>
    </w:pPr>
    <w:rPr>
      <w:sz w:val="16"/>
    </w:rPr>
  </w:style>
  <w:style w:type="character" w:customStyle="1" w:styleId="Spistreci1Znak">
    <w:name w:val="Spis treści 1 Znak"/>
    <w:basedOn w:val="Domylnaczcionkaakapitu"/>
    <w:link w:val="Spistreci1"/>
    <w:uiPriority w:val="39"/>
    <w:rsid w:val="006741FC"/>
    <w:rPr>
      <w:rFonts w:ascii="Lato" w:eastAsiaTheme="minorEastAsia" w:hAnsi="Lato"/>
      <w:kern w:val="0"/>
      <w:szCs w:val="22"/>
      <w14:ligatures w14:val="none"/>
    </w:rPr>
  </w:style>
  <w:style w:type="character" w:customStyle="1" w:styleId="SpistreciZnak">
    <w:name w:val="Spis treści Znak"/>
    <w:basedOn w:val="Spistreci1Znak"/>
    <w:link w:val="Spistreci"/>
    <w:rsid w:val="008B714E"/>
    <w:rPr>
      <w:rFonts w:ascii="Lato" w:eastAsiaTheme="minorEastAsia" w:hAnsi="Lato"/>
      <w:kern w:val="0"/>
      <w:sz w:val="16"/>
      <w:szCs w:val="22"/>
      <w14:ligatures w14:val="none"/>
    </w:rPr>
  </w:style>
  <w:style w:type="character" w:styleId="UyteHipercze">
    <w:name w:val="FollowedHyperlink"/>
    <w:basedOn w:val="Domylnaczcionkaakapitu"/>
    <w:uiPriority w:val="99"/>
    <w:semiHidden/>
    <w:unhideWhenUsed/>
    <w:rsid w:val="006741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9004">
      <w:bodyDiv w:val="1"/>
      <w:marLeft w:val="0"/>
      <w:marRight w:val="0"/>
      <w:marTop w:val="0"/>
      <w:marBottom w:val="0"/>
      <w:divBdr>
        <w:top w:val="none" w:sz="0" w:space="0" w:color="auto"/>
        <w:left w:val="none" w:sz="0" w:space="0" w:color="auto"/>
        <w:bottom w:val="none" w:sz="0" w:space="0" w:color="auto"/>
        <w:right w:val="none" w:sz="0" w:space="0" w:color="auto"/>
      </w:divBdr>
      <w:divsChild>
        <w:div w:id="1259288283">
          <w:marLeft w:val="0"/>
          <w:marRight w:val="0"/>
          <w:marTop w:val="0"/>
          <w:marBottom w:val="0"/>
          <w:divBdr>
            <w:top w:val="none" w:sz="0" w:space="0" w:color="auto"/>
            <w:left w:val="none" w:sz="0" w:space="0" w:color="auto"/>
            <w:bottom w:val="none" w:sz="0" w:space="0" w:color="auto"/>
            <w:right w:val="none" w:sz="0" w:space="0" w:color="auto"/>
          </w:divBdr>
          <w:divsChild>
            <w:div w:id="1755662833">
              <w:marLeft w:val="0"/>
              <w:marRight w:val="0"/>
              <w:marTop w:val="0"/>
              <w:marBottom w:val="0"/>
              <w:divBdr>
                <w:top w:val="none" w:sz="0" w:space="0" w:color="auto"/>
                <w:left w:val="none" w:sz="0" w:space="0" w:color="auto"/>
                <w:bottom w:val="none" w:sz="0" w:space="0" w:color="auto"/>
                <w:right w:val="none" w:sz="0" w:space="0" w:color="auto"/>
              </w:divBdr>
            </w:div>
            <w:div w:id="1117530590">
              <w:marLeft w:val="0"/>
              <w:marRight w:val="0"/>
              <w:marTop w:val="0"/>
              <w:marBottom w:val="0"/>
              <w:divBdr>
                <w:top w:val="none" w:sz="0" w:space="0" w:color="auto"/>
                <w:left w:val="none" w:sz="0" w:space="0" w:color="auto"/>
                <w:bottom w:val="none" w:sz="0" w:space="0" w:color="auto"/>
                <w:right w:val="none" w:sz="0" w:space="0" w:color="auto"/>
              </w:divBdr>
            </w:div>
          </w:divsChild>
        </w:div>
        <w:div w:id="577907184">
          <w:marLeft w:val="0"/>
          <w:marRight w:val="0"/>
          <w:marTop w:val="0"/>
          <w:marBottom w:val="0"/>
          <w:divBdr>
            <w:top w:val="none" w:sz="0" w:space="0" w:color="auto"/>
            <w:left w:val="none" w:sz="0" w:space="0" w:color="auto"/>
            <w:bottom w:val="none" w:sz="0" w:space="0" w:color="auto"/>
            <w:right w:val="none" w:sz="0" w:space="0" w:color="auto"/>
          </w:divBdr>
          <w:divsChild>
            <w:div w:id="15009513">
              <w:marLeft w:val="0"/>
              <w:marRight w:val="0"/>
              <w:marTop w:val="0"/>
              <w:marBottom w:val="0"/>
              <w:divBdr>
                <w:top w:val="none" w:sz="0" w:space="0" w:color="auto"/>
                <w:left w:val="none" w:sz="0" w:space="0" w:color="auto"/>
                <w:bottom w:val="none" w:sz="0" w:space="0" w:color="auto"/>
                <w:right w:val="none" w:sz="0" w:space="0" w:color="auto"/>
              </w:divBdr>
            </w:div>
            <w:div w:id="280654723">
              <w:marLeft w:val="0"/>
              <w:marRight w:val="0"/>
              <w:marTop w:val="0"/>
              <w:marBottom w:val="0"/>
              <w:divBdr>
                <w:top w:val="none" w:sz="0" w:space="0" w:color="auto"/>
                <w:left w:val="none" w:sz="0" w:space="0" w:color="auto"/>
                <w:bottom w:val="none" w:sz="0" w:space="0" w:color="auto"/>
                <w:right w:val="none" w:sz="0" w:space="0" w:color="auto"/>
              </w:divBdr>
            </w:div>
          </w:divsChild>
        </w:div>
        <w:div w:id="1477457507">
          <w:marLeft w:val="0"/>
          <w:marRight w:val="0"/>
          <w:marTop w:val="0"/>
          <w:marBottom w:val="0"/>
          <w:divBdr>
            <w:top w:val="none" w:sz="0" w:space="0" w:color="auto"/>
            <w:left w:val="none" w:sz="0" w:space="0" w:color="auto"/>
            <w:bottom w:val="none" w:sz="0" w:space="0" w:color="auto"/>
            <w:right w:val="none" w:sz="0" w:space="0" w:color="auto"/>
          </w:divBdr>
          <w:divsChild>
            <w:div w:id="1797992746">
              <w:marLeft w:val="0"/>
              <w:marRight w:val="0"/>
              <w:marTop w:val="0"/>
              <w:marBottom w:val="0"/>
              <w:divBdr>
                <w:top w:val="none" w:sz="0" w:space="0" w:color="auto"/>
                <w:left w:val="none" w:sz="0" w:space="0" w:color="auto"/>
                <w:bottom w:val="none" w:sz="0" w:space="0" w:color="auto"/>
                <w:right w:val="none" w:sz="0" w:space="0" w:color="auto"/>
              </w:divBdr>
            </w:div>
            <w:div w:id="49842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7918">
      <w:bodyDiv w:val="1"/>
      <w:marLeft w:val="0"/>
      <w:marRight w:val="0"/>
      <w:marTop w:val="0"/>
      <w:marBottom w:val="0"/>
      <w:divBdr>
        <w:top w:val="none" w:sz="0" w:space="0" w:color="auto"/>
        <w:left w:val="none" w:sz="0" w:space="0" w:color="auto"/>
        <w:bottom w:val="none" w:sz="0" w:space="0" w:color="auto"/>
        <w:right w:val="none" w:sz="0" w:space="0" w:color="auto"/>
      </w:divBdr>
    </w:div>
    <w:div w:id="93673142">
      <w:bodyDiv w:val="1"/>
      <w:marLeft w:val="0"/>
      <w:marRight w:val="0"/>
      <w:marTop w:val="0"/>
      <w:marBottom w:val="0"/>
      <w:divBdr>
        <w:top w:val="none" w:sz="0" w:space="0" w:color="auto"/>
        <w:left w:val="none" w:sz="0" w:space="0" w:color="auto"/>
        <w:bottom w:val="none" w:sz="0" w:space="0" w:color="auto"/>
        <w:right w:val="none" w:sz="0" w:space="0" w:color="auto"/>
      </w:divBdr>
    </w:div>
    <w:div w:id="95178661">
      <w:bodyDiv w:val="1"/>
      <w:marLeft w:val="0"/>
      <w:marRight w:val="0"/>
      <w:marTop w:val="0"/>
      <w:marBottom w:val="0"/>
      <w:divBdr>
        <w:top w:val="none" w:sz="0" w:space="0" w:color="auto"/>
        <w:left w:val="none" w:sz="0" w:space="0" w:color="auto"/>
        <w:bottom w:val="none" w:sz="0" w:space="0" w:color="auto"/>
        <w:right w:val="none" w:sz="0" w:space="0" w:color="auto"/>
      </w:divBdr>
      <w:divsChild>
        <w:div w:id="1132359992">
          <w:marLeft w:val="0"/>
          <w:marRight w:val="0"/>
          <w:marTop w:val="0"/>
          <w:marBottom w:val="0"/>
          <w:divBdr>
            <w:top w:val="none" w:sz="0" w:space="0" w:color="auto"/>
            <w:left w:val="none" w:sz="0" w:space="0" w:color="auto"/>
            <w:bottom w:val="none" w:sz="0" w:space="0" w:color="auto"/>
            <w:right w:val="none" w:sz="0" w:space="0" w:color="auto"/>
          </w:divBdr>
          <w:divsChild>
            <w:div w:id="1644848013">
              <w:marLeft w:val="0"/>
              <w:marRight w:val="0"/>
              <w:marTop w:val="0"/>
              <w:marBottom w:val="0"/>
              <w:divBdr>
                <w:top w:val="none" w:sz="0" w:space="0" w:color="auto"/>
                <w:left w:val="none" w:sz="0" w:space="0" w:color="auto"/>
                <w:bottom w:val="none" w:sz="0" w:space="0" w:color="auto"/>
                <w:right w:val="none" w:sz="0" w:space="0" w:color="auto"/>
              </w:divBdr>
            </w:div>
          </w:divsChild>
        </w:div>
        <w:div w:id="151718588">
          <w:marLeft w:val="0"/>
          <w:marRight w:val="0"/>
          <w:marTop w:val="0"/>
          <w:marBottom w:val="0"/>
          <w:divBdr>
            <w:top w:val="none" w:sz="0" w:space="0" w:color="auto"/>
            <w:left w:val="none" w:sz="0" w:space="0" w:color="auto"/>
            <w:bottom w:val="none" w:sz="0" w:space="0" w:color="auto"/>
            <w:right w:val="none" w:sz="0" w:space="0" w:color="auto"/>
          </w:divBdr>
          <w:divsChild>
            <w:div w:id="502551718">
              <w:marLeft w:val="0"/>
              <w:marRight w:val="0"/>
              <w:marTop w:val="0"/>
              <w:marBottom w:val="0"/>
              <w:divBdr>
                <w:top w:val="none" w:sz="0" w:space="0" w:color="auto"/>
                <w:left w:val="none" w:sz="0" w:space="0" w:color="auto"/>
                <w:bottom w:val="none" w:sz="0" w:space="0" w:color="auto"/>
                <w:right w:val="none" w:sz="0" w:space="0" w:color="auto"/>
              </w:divBdr>
            </w:div>
            <w:div w:id="38364848">
              <w:marLeft w:val="0"/>
              <w:marRight w:val="0"/>
              <w:marTop w:val="0"/>
              <w:marBottom w:val="0"/>
              <w:divBdr>
                <w:top w:val="none" w:sz="0" w:space="0" w:color="auto"/>
                <w:left w:val="none" w:sz="0" w:space="0" w:color="auto"/>
                <w:bottom w:val="none" w:sz="0" w:space="0" w:color="auto"/>
                <w:right w:val="none" w:sz="0" w:space="0" w:color="auto"/>
              </w:divBdr>
            </w:div>
          </w:divsChild>
        </w:div>
        <w:div w:id="1847204075">
          <w:marLeft w:val="0"/>
          <w:marRight w:val="0"/>
          <w:marTop w:val="0"/>
          <w:marBottom w:val="0"/>
          <w:divBdr>
            <w:top w:val="none" w:sz="0" w:space="0" w:color="auto"/>
            <w:left w:val="none" w:sz="0" w:space="0" w:color="auto"/>
            <w:bottom w:val="none" w:sz="0" w:space="0" w:color="auto"/>
            <w:right w:val="none" w:sz="0" w:space="0" w:color="auto"/>
          </w:divBdr>
          <w:divsChild>
            <w:div w:id="1415321588">
              <w:marLeft w:val="0"/>
              <w:marRight w:val="0"/>
              <w:marTop w:val="0"/>
              <w:marBottom w:val="0"/>
              <w:divBdr>
                <w:top w:val="none" w:sz="0" w:space="0" w:color="auto"/>
                <w:left w:val="none" w:sz="0" w:space="0" w:color="auto"/>
                <w:bottom w:val="none" w:sz="0" w:space="0" w:color="auto"/>
                <w:right w:val="none" w:sz="0" w:space="0" w:color="auto"/>
              </w:divBdr>
            </w:div>
            <w:div w:id="1776748194">
              <w:marLeft w:val="0"/>
              <w:marRight w:val="0"/>
              <w:marTop w:val="0"/>
              <w:marBottom w:val="0"/>
              <w:divBdr>
                <w:top w:val="none" w:sz="0" w:space="0" w:color="auto"/>
                <w:left w:val="none" w:sz="0" w:space="0" w:color="auto"/>
                <w:bottom w:val="none" w:sz="0" w:space="0" w:color="auto"/>
                <w:right w:val="none" w:sz="0" w:space="0" w:color="auto"/>
              </w:divBdr>
            </w:div>
          </w:divsChild>
        </w:div>
        <w:div w:id="216667751">
          <w:marLeft w:val="0"/>
          <w:marRight w:val="0"/>
          <w:marTop w:val="0"/>
          <w:marBottom w:val="0"/>
          <w:divBdr>
            <w:top w:val="none" w:sz="0" w:space="0" w:color="auto"/>
            <w:left w:val="none" w:sz="0" w:space="0" w:color="auto"/>
            <w:bottom w:val="none" w:sz="0" w:space="0" w:color="auto"/>
            <w:right w:val="none" w:sz="0" w:space="0" w:color="auto"/>
          </w:divBdr>
          <w:divsChild>
            <w:div w:id="2065912773">
              <w:marLeft w:val="0"/>
              <w:marRight w:val="0"/>
              <w:marTop w:val="0"/>
              <w:marBottom w:val="0"/>
              <w:divBdr>
                <w:top w:val="none" w:sz="0" w:space="0" w:color="auto"/>
                <w:left w:val="none" w:sz="0" w:space="0" w:color="auto"/>
                <w:bottom w:val="none" w:sz="0" w:space="0" w:color="auto"/>
                <w:right w:val="none" w:sz="0" w:space="0" w:color="auto"/>
              </w:divBdr>
            </w:div>
            <w:div w:id="12388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6962">
      <w:bodyDiv w:val="1"/>
      <w:marLeft w:val="0"/>
      <w:marRight w:val="0"/>
      <w:marTop w:val="0"/>
      <w:marBottom w:val="0"/>
      <w:divBdr>
        <w:top w:val="none" w:sz="0" w:space="0" w:color="auto"/>
        <w:left w:val="none" w:sz="0" w:space="0" w:color="auto"/>
        <w:bottom w:val="none" w:sz="0" w:space="0" w:color="auto"/>
        <w:right w:val="none" w:sz="0" w:space="0" w:color="auto"/>
      </w:divBdr>
    </w:div>
    <w:div w:id="97529194">
      <w:bodyDiv w:val="1"/>
      <w:marLeft w:val="0"/>
      <w:marRight w:val="0"/>
      <w:marTop w:val="0"/>
      <w:marBottom w:val="0"/>
      <w:divBdr>
        <w:top w:val="none" w:sz="0" w:space="0" w:color="auto"/>
        <w:left w:val="none" w:sz="0" w:space="0" w:color="auto"/>
        <w:bottom w:val="none" w:sz="0" w:space="0" w:color="auto"/>
        <w:right w:val="none" w:sz="0" w:space="0" w:color="auto"/>
      </w:divBdr>
    </w:div>
    <w:div w:id="107894877">
      <w:bodyDiv w:val="1"/>
      <w:marLeft w:val="0"/>
      <w:marRight w:val="0"/>
      <w:marTop w:val="0"/>
      <w:marBottom w:val="0"/>
      <w:divBdr>
        <w:top w:val="none" w:sz="0" w:space="0" w:color="auto"/>
        <w:left w:val="none" w:sz="0" w:space="0" w:color="auto"/>
        <w:bottom w:val="none" w:sz="0" w:space="0" w:color="auto"/>
        <w:right w:val="none" w:sz="0" w:space="0" w:color="auto"/>
      </w:divBdr>
    </w:div>
    <w:div w:id="162820161">
      <w:bodyDiv w:val="1"/>
      <w:marLeft w:val="0"/>
      <w:marRight w:val="0"/>
      <w:marTop w:val="0"/>
      <w:marBottom w:val="0"/>
      <w:divBdr>
        <w:top w:val="none" w:sz="0" w:space="0" w:color="auto"/>
        <w:left w:val="none" w:sz="0" w:space="0" w:color="auto"/>
        <w:bottom w:val="none" w:sz="0" w:space="0" w:color="auto"/>
        <w:right w:val="none" w:sz="0" w:space="0" w:color="auto"/>
      </w:divBdr>
      <w:divsChild>
        <w:div w:id="335884378">
          <w:marLeft w:val="0"/>
          <w:marRight w:val="0"/>
          <w:marTop w:val="0"/>
          <w:marBottom w:val="0"/>
          <w:divBdr>
            <w:top w:val="none" w:sz="0" w:space="0" w:color="auto"/>
            <w:left w:val="none" w:sz="0" w:space="0" w:color="auto"/>
            <w:bottom w:val="none" w:sz="0" w:space="0" w:color="auto"/>
            <w:right w:val="none" w:sz="0" w:space="0" w:color="auto"/>
          </w:divBdr>
        </w:div>
      </w:divsChild>
    </w:div>
    <w:div w:id="168913370">
      <w:bodyDiv w:val="1"/>
      <w:marLeft w:val="0"/>
      <w:marRight w:val="0"/>
      <w:marTop w:val="0"/>
      <w:marBottom w:val="0"/>
      <w:divBdr>
        <w:top w:val="none" w:sz="0" w:space="0" w:color="auto"/>
        <w:left w:val="none" w:sz="0" w:space="0" w:color="auto"/>
        <w:bottom w:val="none" w:sz="0" w:space="0" w:color="auto"/>
        <w:right w:val="none" w:sz="0" w:space="0" w:color="auto"/>
      </w:divBdr>
      <w:divsChild>
        <w:div w:id="18051864">
          <w:marLeft w:val="0"/>
          <w:marRight w:val="0"/>
          <w:marTop w:val="0"/>
          <w:marBottom w:val="0"/>
          <w:divBdr>
            <w:top w:val="none" w:sz="0" w:space="0" w:color="auto"/>
            <w:left w:val="none" w:sz="0" w:space="0" w:color="auto"/>
            <w:bottom w:val="none" w:sz="0" w:space="0" w:color="auto"/>
            <w:right w:val="none" w:sz="0" w:space="0" w:color="auto"/>
          </w:divBdr>
          <w:divsChild>
            <w:div w:id="1879774687">
              <w:marLeft w:val="0"/>
              <w:marRight w:val="0"/>
              <w:marTop w:val="0"/>
              <w:marBottom w:val="0"/>
              <w:divBdr>
                <w:top w:val="none" w:sz="0" w:space="0" w:color="auto"/>
                <w:left w:val="none" w:sz="0" w:space="0" w:color="auto"/>
                <w:bottom w:val="none" w:sz="0" w:space="0" w:color="auto"/>
                <w:right w:val="none" w:sz="0" w:space="0" w:color="auto"/>
              </w:divBdr>
              <w:divsChild>
                <w:div w:id="1414201666">
                  <w:marLeft w:val="0"/>
                  <w:marRight w:val="0"/>
                  <w:marTop w:val="0"/>
                  <w:marBottom w:val="0"/>
                  <w:divBdr>
                    <w:top w:val="none" w:sz="0" w:space="0" w:color="auto"/>
                    <w:left w:val="none" w:sz="0" w:space="0" w:color="auto"/>
                    <w:bottom w:val="none" w:sz="0" w:space="0" w:color="auto"/>
                    <w:right w:val="none" w:sz="0" w:space="0" w:color="auto"/>
                  </w:divBdr>
                </w:div>
                <w:div w:id="1097289840">
                  <w:marLeft w:val="0"/>
                  <w:marRight w:val="0"/>
                  <w:marTop w:val="0"/>
                  <w:marBottom w:val="0"/>
                  <w:divBdr>
                    <w:top w:val="none" w:sz="0" w:space="0" w:color="auto"/>
                    <w:left w:val="none" w:sz="0" w:space="0" w:color="auto"/>
                    <w:bottom w:val="none" w:sz="0" w:space="0" w:color="auto"/>
                    <w:right w:val="none" w:sz="0" w:space="0" w:color="auto"/>
                  </w:divBdr>
                </w:div>
              </w:divsChild>
            </w:div>
            <w:div w:id="1256860736">
              <w:marLeft w:val="0"/>
              <w:marRight w:val="0"/>
              <w:marTop w:val="0"/>
              <w:marBottom w:val="0"/>
              <w:divBdr>
                <w:top w:val="none" w:sz="0" w:space="0" w:color="auto"/>
                <w:left w:val="none" w:sz="0" w:space="0" w:color="auto"/>
                <w:bottom w:val="none" w:sz="0" w:space="0" w:color="auto"/>
                <w:right w:val="none" w:sz="0" w:space="0" w:color="auto"/>
              </w:divBdr>
              <w:divsChild>
                <w:div w:id="734281076">
                  <w:marLeft w:val="0"/>
                  <w:marRight w:val="0"/>
                  <w:marTop w:val="0"/>
                  <w:marBottom w:val="0"/>
                  <w:divBdr>
                    <w:top w:val="none" w:sz="0" w:space="0" w:color="auto"/>
                    <w:left w:val="none" w:sz="0" w:space="0" w:color="auto"/>
                    <w:bottom w:val="none" w:sz="0" w:space="0" w:color="auto"/>
                    <w:right w:val="none" w:sz="0" w:space="0" w:color="auto"/>
                  </w:divBdr>
                </w:div>
                <w:div w:id="567303173">
                  <w:marLeft w:val="0"/>
                  <w:marRight w:val="0"/>
                  <w:marTop w:val="0"/>
                  <w:marBottom w:val="0"/>
                  <w:divBdr>
                    <w:top w:val="none" w:sz="0" w:space="0" w:color="auto"/>
                    <w:left w:val="none" w:sz="0" w:space="0" w:color="auto"/>
                    <w:bottom w:val="none" w:sz="0" w:space="0" w:color="auto"/>
                    <w:right w:val="none" w:sz="0" w:space="0" w:color="auto"/>
                  </w:divBdr>
                </w:div>
              </w:divsChild>
            </w:div>
            <w:div w:id="1572889747">
              <w:marLeft w:val="0"/>
              <w:marRight w:val="0"/>
              <w:marTop w:val="0"/>
              <w:marBottom w:val="0"/>
              <w:divBdr>
                <w:top w:val="none" w:sz="0" w:space="0" w:color="auto"/>
                <w:left w:val="none" w:sz="0" w:space="0" w:color="auto"/>
                <w:bottom w:val="none" w:sz="0" w:space="0" w:color="auto"/>
                <w:right w:val="none" w:sz="0" w:space="0" w:color="auto"/>
              </w:divBdr>
              <w:divsChild>
                <w:div w:id="534394401">
                  <w:marLeft w:val="0"/>
                  <w:marRight w:val="0"/>
                  <w:marTop w:val="0"/>
                  <w:marBottom w:val="0"/>
                  <w:divBdr>
                    <w:top w:val="none" w:sz="0" w:space="0" w:color="auto"/>
                    <w:left w:val="none" w:sz="0" w:space="0" w:color="auto"/>
                    <w:bottom w:val="none" w:sz="0" w:space="0" w:color="auto"/>
                    <w:right w:val="none" w:sz="0" w:space="0" w:color="auto"/>
                  </w:divBdr>
                </w:div>
                <w:div w:id="915213188">
                  <w:marLeft w:val="0"/>
                  <w:marRight w:val="0"/>
                  <w:marTop w:val="0"/>
                  <w:marBottom w:val="0"/>
                  <w:divBdr>
                    <w:top w:val="none" w:sz="0" w:space="0" w:color="auto"/>
                    <w:left w:val="none" w:sz="0" w:space="0" w:color="auto"/>
                    <w:bottom w:val="none" w:sz="0" w:space="0" w:color="auto"/>
                    <w:right w:val="none" w:sz="0" w:space="0" w:color="auto"/>
                  </w:divBdr>
                </w:div>
              </w:divsChild>
            </w:div>
            <w:div w:id="2138643468">
              <w:marLeft w:val="0"/>
              <w:marRight w:val="0"/>
              <w:marTop w:val="0"/>
              <w:marBottom w:val="0"/>
              <w:divBdr>
                <w:top w:val="none" w:sz="0" w:space="0" w:color="auto"/>
                <w:left w:val="none" w:sz="0" w:space="0" w:color="auto"/>
                <w:bottom w:val="none" w:sz="0" w:space="0" w:color="auto"/>
                <w:right w:val="none" w:sz="0" w:space="0" w:color="auto"/>
              </w:divBdr>
              <w:divsChild>
                <w:div w:id="50614075">
                  <w:marLeft w:val="0"/>
                  <w:marRight w:val="0"/>
                  <w:marTop w:val="0"/>
                  <w:marBottom w:val="0"/>
                  <w:divBdr>
                    <w:top w:val="none" w:sz="0" w:space="0" w:color="auto"/>
                    <w:left w:val="none" w:sz="0" w:space="0" w:color="auto"/>
                    <w:bottom w:val="none" w:sz="0" w:space="0" w:color="auto"/>
                    <w:right w:val="none" w:sz="0" w:space="0" w:color="auto"/>
                  </w:divBdr>
                </w:div>
                <w:div w:id="7217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70017">
      <w:bodyDiv w:val="1"/>
      <w:marLeft w:val="0"/>
      <w:marRight w:val="0"/>
      <w:marTop w:val="0"/>
      <w:marBottom w:val="0"/>
      <w:divBdr>
        <w:top w:val="none" w:sz="0" w:space="0" w:color="auto"/>
        <w:left w:val="none" w:sz="0" w:space="0" w:color="auto"/>
        <w:bottom w:val="none" w:sz="0" w:space="0" w:color="auto"/>
        <w:right w:val="none" w:sz="0" w:space="0" w:color="auto"/>
      </w:divBdr>
    </w:div>
    <w:div w:id="271936976">
      <w:bodyDiv w:val="1"/>
      <w:marLeft w:val="0"/>
      <w:marRight w:val="0"/>
      <w:marTop w:val="0"/>
      <w:marBottom w:val="0"/>
      <w:divBdr>
        <w:top w:val="none" w:sz="0" w:space="0" w:color="auto"/>
        <w:left w:val="none" w:sz="0" w:space="0" w:color="auto"/>
        <w:bottom w:val="none" w:sz="0" w:space="0" w:color="auto"/>
        <w:right w:val="none" w:sz="0" w:space="0" w:color="auto"/>
      </w:divBdr>
      <w:divsChild>
        <w:div w:id="1100686419">
          <w:marLeft w:val="0"/>
          <w:marRight w:val="0"/>
          <w:marTop w:val="0"/>
          <w:marBottom w:val="0"/>
          <w:divBdr>
            <w:top w:val="none" w:sz="0" w:space="0" w:color="auto"/>
            <w:left w:val="none" w:sz="0" w:space="0" w:color="auto"/>
            <w:bottom w:val="none" w:sz="0" w:space="0" w:color="auto"/>
            <w:right w:val="none" w:sz="0" w:space="0" w:color="auto"/>
          </w:divBdr>
        </w:div>
      </w:divsChild>
    </w:div>
    <w:div w:id="291642681">
      <w:bodyDiv w:val="1"/>
      <w:marLeft w:val="0"/>
      <w:marRight w:val="0"/>
      <w:marTop w:val="0"/>
      <w:marBottom w:val="0"/>
      <w:divBdr>
        <w:top w:val="none" w:sz="0" w:space="0" w:color="auto"/>
        <w:left w:val="none" w:sz="0" w:space="0" w:color="auto"/>
        <w:bottom w:val="none" w:sz="0" w:space="0" w:color="auto"/>
        <w:right w:val="none" w:sz="0" w:space="0" w:color="auto"/>
      </w:divBdr>
    </w:div>
    <w:div w:id="314603406">
      <w:bodyDiv w:val="1"/>
      <w:marLeft w:val="0"/>
      <w:marRight w:val="0"/>
      <w:marTop w:val="0"/>
      <w:marBottom w:val="0"/>
      <w:divBdr>
        <w:top w:val="none" w:sz="0" w:space="0" w:color="auto"/>
        <w:left w:val="none" w:sz="0" w:space="0" w:color="auto"/>
        <w:bottom w:val="none" w:sz="0" w:space="0" w:color="auto"/>
        <w:right w:val="none" w:sz="0" w:space="0" w:color="auto"/>
      </w:divBdr>
    </w:div>
    <w:div w:id="338512327">
      <w:bodyDiv w:val="1"/>
      <w:marLeft w:val="0"/>
      <w:marRight w:val="0"/>
      <w:marTop w:val="0"/>
      <w:marBottom w:val="0"/>
      <w:divBdr>
        <w:top w:val="none" w:sz="0" w:space="0" w:color="auto"/>
        <w:left w:val="none" w:sz="0" w:space="0" w:color="auto"/>
        <w:bottom w:val="none" w:sz="0" w:space="0" w:color="auto"/>
        <w:right w:val="none" w:sz="0" w:space="0" w:color="auto"/>
      </w:divBdr>
      <w:divsChild>
        <w:div w:id="1336303006">
          <w:marLeft w:val="0"/>
          <w:marRight w:val="0"/>
          <w:marTop w:val="0"/>
          <w:marBottom w:val="0"/>
          <w:divBdr>
            <w:top w:val="none" w:sz="0" w:space="0" w:color="auto"/>
            <w:left w:val="none" w:sz="0" w:space="0" w:color="auto"/>
            <w:bottom w:val="none" w:sz="0" w:space="0" w:color="auto"/>
            <w:right w:val="none" w:sz="0" w:space="0" w:color="auto"/>
          </w:divBdr>
          <w:divsChild>
            <w:div w:id="995770069">
              <w:marLeft w:val="0"/>
              <w:marRight w:val="0"/>
              <w:marTop w:val="0"/>
              <w:marBottom w:val="0"/>
              <w:divBdr>
                <w:top w:val="none" w:sz="0" w:space="0" w:color="auto"/>
                <w:left w:val="none" w:sz="0" w:space="0" w:color="auto"/>
                <w:bottom w:val="none" w:sz="0" w:space="0" w:color="auto"/>
                <w:right w:val="none" w:sz="0" w:space="0" w:color="auto"/>
              </w:divBdr>
            </w:div>
            <w:div w:id="72508131">
              <w:marLeft w:val="0"/>
              <w:marRight w:val="0"/>
              <w:marTop w:val="0"/>
              <w:marBottom w:val="0"/>
              <w:divBdr>
                <w:top w:val="none" w:sz="0" w:space="0" w:color="auto"/>
                <w:left w:val="none" w:sz="0" w:space="0" w:color="auto"/>
                <w:bottom w:val="none" w:sz="0" w:space="0" w:color="auto"/>
                <w:right w:val="none" w:sz="0" w:space="0" w:color="auto"/>
              </w:divBdr>
            </w:div>
          </w:divsChild>
        </w:div>
        <w:div w:id="1429539122">
          <w:marLeft w:val="0"/>
          <w:marRight w:val="0"/>
          <w:marTop w:val="0"/>
          <w:marBottom w:val="0"/>
          <w:divBdr>
            <w:top w:val="none" w:sz="0" w:space="0" w:color="auto"/>
            <w:left w:val="none" w:sz="0" w:space="0" w:color="auto"/>
            <w:bottom w:val="none" w:sz="0" w:space="0" w:color="auto"/>
            <w:right w:val="none" w:sz="0" w:space="0" w:color="auto"/>
          </w:divBdr>
          <w:divsChild>
            <w:div w:id="290864031">
              <w:marLeft w:val="0"/>
              <w:marRight w:val="0"/>
              <w:marTop w:val="0"/>
              <w:marBottom w:val="0"/>
              <w:divBdr>
                <w:top w:val="none" w:sz="0" w:space="0" w:color="auto"/>
                <w:left w:val="none" w:sz="0" w:space="0" w:color="auto"/>
                <w:bottom w:val="none" w:sz="0" w:space="0" w:color="auto"/>
                <w:right w:val="none" w:sz="0" w:space="0" w:color="auto"/>
              </w:divBdr>
            </w:div>
            <w:div w:id="1369331470">
              <w:marLeft w:val="0"/>
              <w:marRight w:val="0"/>
              <w:marTop w:val="0"/>
              <w:marBottom w:val="0"/>
              <w:divBdr>
                <w:top w:val="none" w:sz="0" w:space="0" w:color="auto"/>
                <w:left w:val="none" w:sz="0" w:space="0" w:color="auto"/>
                <w:bottom w:val="none" w:sz="0" w:space="0" w:color="auto"/>
                <w:right w:val="none" w:sz="0" w:space="0" w:color="auto"/>
              </w:divBdr>
            </w:div>
          </w:divsChild>
        </w:div>
        <w:div w:id="680353697">
          <w:marLeft w:val="0"/>
          <w:marRight w:val="0"/>
          <w:marTop w:val="0"/>
          <w:marBottom w:val="0"/>
          <w:divBdr>
            <w:top w:val="none" w:sz="0" w:space="0" w:color="auto"/>
            <w:left w:val="none" w:sz="0" w:space="0" w:color="auto"/>
            <w:bottom w:val="none" w:sz="0" w:space="0" w:color="auto"/>
            <w:right w:val="none" w:sz="0" w:space="0" w:color="auto"/>
          </w:divBdr>
          <w:divsChild>
            <w:div w:id="1201819474">
              <w:marLeft w:val="0"/>
              <w:marRight w:val="0"/>
              <w:marTop w:val="0"/>
              <w:marBottom w:val="0"/>
              <w:divBdr>
                <w:top w:val="none" w:sz="0" w:space="0" w:color="auto"/>
                <w:left w:val="none" w:sz="0" w:space="0" w:color="auto"/>
                <w:bottom w:val="none" w:sz="0" w:space="0" w:color="auto"/>
                <w:right w:val="none" w:sz="0" w:space="0" w:color="auto"/>
              </w:divBdr>
            </w:div>
            <w:div w:id="427847322">
              <w:marLeft w:val="0"/>
              <w:marRight w:val="0"/>
              <w:marTop w:val="0"/>
              <w:marBottom w:val="0"/>
              <w:divBdr>
                <w:top w:val="none" w:sz="0" w:space="0" w:color="auto"/>
                <w:left w:val="none" w:sz="0" w:space="0" w:color="auto"/>
                <w:bottom w:val="none" w:sz="0" w:space="0" w:color="auto"/>
                <w:right w:val="none" w:sz="0" w:space="0" w:color="auto"/>
              </w:divBdr>
            </w:div>
          </w:divsChild>
        </w:div>
        <w:div w:id="1015691238">
          <w:marLeft w:val="0"/>
          <w:marRight w:val="0"/>
          <w:marTop w:val="0"/>
          <w:marBottom w:val="0"/>
          <w:divBdr>
            <w:top w:val="none" w:sz="0" w:space="0" w:color="auto"/>
            <w:left w:val="none" w:sz="0" w:space="0" w:color="auto"/>
            <w:bottom w:val="none" w:sz="0" w:space="0" w:color="auto"/>
            <w:right w:val="none" w:sz="0" w:space="0" w:color="auto"/>
          </w:divBdr>
          <w:divsChild>
            <w:div w:id="1195075272">
              <w:marLeft w:val="0"/>
              <w:marRight w:val="0"/>
              <w:marTop w:val="0"/>
              <w:marBottom w:val="0"/>
              <w:divBdr>
                <w:top w:val="none" w:sz="0" w:space="0" w:color="auto"/>
                <w:left w:val="none" w:sz="0" w:space="0" w:color="auto"/>
                <w:bottom w:val="none" w:sz="0" w:space="0" w:color="auto"/>
                <w:right w:val="none" w:sz="0" w:space="0" w:color="auto"/>
              </w:divBdr>
            </w:div>
            <w:div w:id="591401570">
              <w:marLeft w:val="0"/>
              <w:marRight w:val="0"/>
              <w:marTop w:val="0"/>
              <w:marBottom w:val="0"/>
              <w:divBdr>
                <w:top w:val="none" w:sz="0" w:space="0" w:color="auto"/>
                <w:left w:val="none" w:sz="0" w:space="0" w:color="auto"/>
                <w:bottom w:val="none" w:sz="0" w:space="0" w:color="auto"/>
                <w:right w:val="none" w:sz="0" w:space="0" w:color="auto"/>
              </w:divBdr>
            </w:div>
          </w:divsChild>
        </w:div>
        <w:div w:id="520121696">
          <w:marLeft w:val="0"/>
          <w:marRight w:val="0"/>
          <w:marTop w:val="0"/>
          <w:marBottom w:val="0"/>
          <w:divBdr>
            <w:top w:val="none" w:sz="0" w:space="0" w:color="auto"/>
            <w:left w:val="none" w:sz="0" w:space="0" w:color="auto"/>
            <w:bottom w:val="none" w:sz="0" w:space="0" w:color="auto"/>
            <w:right w:val="none" w:sz="0" w:space="0" w:color="auto"/>
          </w:divBdr>
          <w:divsChild>
            <w:div w:id="64226748">
              <w:marLeft w:val="0"/>
              <w:marRight w:val="0"/>
              <w:marTop w:val="0"/>
              <w:marBottom w:val="0"/>
              <w:divBdr>
                <w:top w:val="none" w:sz="0" w:space="0" w:color="auto"/>
                <w:left w:val="none" w:sz="0" w:space="0" w:color="auto"/>
                <w:bottom w:val="none" w:sz="0" w:space="0" w:color="auto"/>
                <w:right w:val="none" w:sz="0" w:space="0" w:color="auto"/>
              </w:divBdr>
            </w:div>
            <w:div w:id="4047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5255">
      <w:bodyDiv w:val="1"/>
      <w:marLeft w:val="0"/>
      <w:marRight w:val="0"/>
      <w:marTop w:val="0"/>
      <w:marBottom w:val="0"/>
      <w:divBdr>
        <w:top w:val="none" w:sz="0" w:space="0" w:color="auto"/>
        <w:left w:val="none" w:sz="0" w:space="0" w:color="auto"/>
        <w:bottom w:val="none" w:sz="0" w:space="0" w:color="auto"/>
        <w:right w:val="none" w:sz="0" w:space="0" w:color="auto"/>
      </w:divBdr>
      <w:divsChild>
        <w:div w:id="1433473436">
          <w:marLeft w:val="0"/>
          <w:marRight w:val="0"/>
          <w:marTop w:val="0"/>
          <w:marBottom w:val="0"/>
          <w:divBdr>
            <w:top w:val="none" w:sz="0" w:space="0" w:color="auto"/>
            <w:left w:val="none" w:sz="0" w:space="0" w:color="auto"/>
            <w:bottom w:val="none" w:sz="0" w:space="0" w:color="auto"/>
            <w:right w:val="none" w:sz="0" w:space="0" w:color="auto"/>
          </w:divBdr>
        </w:div>
      </w:divsChild>
    </w:div>
    <w:div w:id="355080668">
      <w:bodyDiv w:val="1"/>
      <w:marLeft w:val="0"/>
      <w:marRight w:val="0"/>
      <w:marTop w:val="0"/>
      <w:marBottom w:val="0"/>
      <w:divBdr>
        <w:top w:val="none" w:sz="0" w:space="0" w:color="auto"/>
        <w:left w:val="none" w:sz="0" w:space="0" w:color="auto"/>
        <w:bottom w:val="none" w:sz="0" w:space="0" w:color="auto"/>
        <w:right w:val="none" w:sz="0" w:space="0" w:color="auto"/>
      </w:divBdr>
    </w:div>
    <w:div w:id="361980572">
      <w:bodyDiv w:val="1"/>
      <w:marLeft w:val="0"/>
      <w:marRight w:val="0"/>
      <w:marTop w:val="0"/>
      <w:marBottom w:val="0"/>
      <w:divBdr>
        <w:top w:val="none" w:sz="0" w:space="0" w:color="auto"/>
        <w:left w:val="none" w:sz="0" w:space="0" w:color="auto"/>
        <w:bottom w:val="none" w:sz="0" w:space="0" w:color="auto"/>
        <w:right w:val="none" w:sz="0" w:space="0" w:color="auto"/>
      </w:divBdr>
    </w:div>
    <w:div w:id="367461925">
      <w:bodyDiv w:val="1"/>
      <w:marLeft w:val="0"/>
      <w:marRight w:val="0"/>
      <w:marTop w:val="0"/>
      <w:marBottom w:val="0"/>
      <w:divBdr>
        <w:top w:val="none" w:sz="0" w:space="0" w:color="auto"/>
        <w:left w:val="none" w:sz="0" w:space="0" w:color="auto"/>
        <w:bottom w:val="none" w:sz="0" w:space="0" w:color="auto"/>
        <w:right w:val="none" w:sz="0" w:space="0" w:color="auto"/>
      </w:divBdr>
    </w:div>
    <w:div w:id="372268956">
      <w:bodyDiv w:val="1"/>
      <w:marLeft w:val="0"/>
      <w:marRight w:val="0"/>
      <w:marTop w:val="0"/>
      <w:marBottom w:val="0"/>
      <w:divBdr>
        <w:top w:val="none" w:sz="0" w:space="0" w:color="auto"/>
        <w:left w:val="none" w:sz="0" w:space="0" w:color="auto"/>
        <w:bottom w:val="none" w:sz="0" w:space="0" w:color="auto"/>
        <w:right w:val="none" w:sz="0" w:space="0" w:color="auto"/>
      </w:divBdr>
      <w:divsChild>
        <w:div w:id="1962564775">
          <w:marLeft w:val="0"/>
          <w:marRight w:val="0"/>
          <w:marTop w:val="0"/>
          <w:marBottom w:val="0"/>
          <w:divBdr>
            <w:top w:val="none" w:sz="0" w:space="0" w:color="auto"/>
            <w:left w:val="none" w:sz="0" w:space="0" w:color="auto"/>
            <w:bottom w:val="none" w:sz="0" w:space="0" w:color="auto"/>
            <w:right w:val="none" w:sz="0" w:space="0" w:color="auto"/>
          </w:divBdr>
        </w:div>
      </w:divsChild>
    </w:div>
    <w:div w:id="475994676">
      <w:bodyDiv w:val="1"/>
      <w:marLeft w:val="0"/>
      <w:marRight w:val="0"/>
      <w:marTop w:val="0"/>
      <w:marBottom w:val="0"/>
      <w:divBdr>
        <w:top w:val="none" w:sz="0" w:space="0" w:color="auto"/>
        <w:left w:val="none" w:sz="0" w:space="0" w:color="auto"/>
        <w:bottom w:val="none" w:sz="0" w:space="0" w:color="auto"/>
        <w:right w:val="none" w:sz="0" w:space="0" w:color="auto"/>
      </w:divBdr>
    </w:div>
    <w:div w:id="497767190">
      <w:bodyDiv w:val="1"/>
      <w:marLeft w:val="0"/>
      <w:marRight w:val="0"/>
      <w:marTop w:val="0"/>
      <w:marBottom w:val="0"/>
      <w:divBdr>
        <w:top w:val="none" w:sz="0" w:space="0" w:color="auto"/>
        <w:left w:val="none" w:sz="0" w:space="0" w:color="auto"/>
        <w:bottom w:val="none" w:sz="0" w:space="0" w:color="auto"/>
        <w:right w:val="none" w:sz="0" w:space="0" w:color="auto"/>
      </w:divBdr>
      <w:divsChild>
        <w:div w:id="1024019208">
          <w:marLeft w:val="0"/>
          <w:marRight w:val="0"/>
          <w:marTop w:val="0"/>
          <w:marBottom w:val="0"/>
          <w:divBdr>
            <w:top w:val="none" w:sz="0" w:space="0" w:color="auto"/>
            <w:left w:val="none" w:sz="0" w:space="0" w:color="auto"/>
            <w:bottom w:val="none" w:sz="0" w:space="0" w:color="auto"/>
            <w:right w:val="none" w:sz="0" w:space="0" w:color="auto"/>
          </w:divBdr>
        </w:div>
      </w:divsChild>
    </w:div>
    <w:div w:id="511647721">
      <w:bodyDiv w:val="1"/>
      <w:marLeft w:val="0"/>
      <w:marRight w:val="0"/>
      <w:marTop w:val="0"/>
      <w:marBottom w:val="0"/>
      <w:divBdr>
        <w:top w:val="none" w:sz="0" w:space="0" w:color="auto"/>
        <w:left w:val="none" w:sz="0" w:space="0" w:color="auto"/>
        <w:bottom w:val="none" w:sz="0" w:space="0" w:color="auto"/>
        <w:right w:val="none" w:sz="0" w:space="0" w:color="auto"/>
      </w:divBdr>
      <w:divsChild>
        <w:div w:id="1078944286">
          <w:marLeft w:val="0"/>
          <w:marRight w:val="0"/>
          <w:marTop w:val="0"/>
          <w:marBottom w:val="0"/>
          <w:divBdr>
            <w:top w:val="none" w:sz="0" w:space="0" w:color="auto"/>
            <w:left w:val="none" w:sz="0" w:space="0" w:color="auto"/>
            <w:bottom w:val="none" w:sz="0" w:space="0" w:color="auto"/>
            <w:right w:val="none" w:sz="0" w:space="0" w:color="auto"/>
          </w:divBdr>
          <w:divsChild>
            <w:div w:id="14354535">
              <w:marLeft w:val="0"/>
              <w:marRight w:val="0"/>
              <w:marTop w:val="0"/>
              <w:marBottom w:val="0"/>
              <w:divBdr>
                <w:top w:val="none" w:sz="0" w:space="0" w:color="auto"/>
                <w:left w:val="none" w:sz="0" w:space="0" w:color="auto"/>
                <w:bottom w:val="none" w:sz="0" w:space="0" w:color="auto"/>
                <w:right w:val="none" w:sz="0" w:space="0" w:color="auto"/>
              </w:divBdr>
            </w:div>
            <w:div w:id="1960404821">
              <w:marLeft w:val="0"/>
              <w:marRight w:val="0"/>
              <w:marTop w:val="0"/>
              <w:marBottom w:val="0"/>
              <w:divBdr>
                <w:top w:val="none" w:sz="0" w:space="0" w:color="auto"/>
                <w:left w:val="none" w:sz="0" w:space="0" w:color="auto"/>
                <w:bottom w:val="none" w:sz="0" w:space="0" w:color="auto"/>
                <w:right w:val="none" w:sz="0" w:space="0" w:color="auto"/>
              </w:divBdr>
            </w:div>
          </w:divsChild>
        </w:div>
        <w:div w:id="750933910">
          <w:marLeft w:val="0"/>
          <w:marRight w:val="0"/>
          <w:marTop w:val="0"/>
          <w:marBottom w:val="0"/>
          <w:divBdr>
            <w:top w:val="none" w:sz="0" w:space="0" w:color="auto"/>
            <w:left w:val="none" w:sz="0" w:space="0" w:color="auto"/>
            <w:bottom w:val="none" w:sz="0" w:space="0" w:color="auto"/>
            <w:right w:val="none" w:sz="0" w:space="0" w:color="auto"/>
          </w:divBdr>
          <w:divsChild>
            <w:div w:id="761948682">
              <w:marLeft w:val="0"/>
              <w:marRight w:val="0"/>
              <w:marTop w:val="0"/>
              <w:marBottom w:val="0"/>
              <w:divBdr>
                <w:top w:val="none" w:sz="0" w:space="0" w:color="auto"/>
                <w:left w:val="none" w:sz="0" w:space="0" w:color="auto"/>
                <w:bottom w:val="none" w:sz="0" w:space="0" w:color="auto"/>
                <w:right w:val="none" w:sz="0" w:space="0" w:color="auto"/>
              </w:divBdr>
            </w:div>
            <w:div w:id="691346655">
              <w:marLeft w:val="0"/>
              <w:marRight w:val="0"/>
              <w:marTop w:val="0"/>
              <w:marBottom w:val="0"/>
              <w:divBdr>
                <w:top w:val="none" w:sz="0" w:space="0" w:color="auto"/>
                <w:left w:val="none" w:sz="0" w:space="0" w:color="auto"/>
                <w:bottom w:val="none" w:sz="0" w:space="0" w:color="auto"/>
                <w:right w:val="none" w:sz="0" w:space="0" w:color="auto"/>
              </w:divBdr>
            </w:div>
          </w:divsChild>
        </w:div>
        <w:div w:id="1056514618">
          <w:marLeft w:val="0"/>
          <w:marRight w:val="0"/>
          <w:marTop w:val="0"/>
          <w:marBottom w:val="0"/>
          <w:divBdr>
            <w:top w:val="none" w:sz="0" w:space="0" w:color="auto"/>
            <w:left w:val="none" w:sz="0" w:space="0" w:color="auto"/>
            <w:bottom w:val="none" w:sz="0" w:space="0" w:color="auto"/>
            <w:right w:val="none" w:sz="0" w:space="0" w:color="auto"/>
          </w:divBdr>
          <w:divsChild>
            <w:div w:id="777289627">
              <w:marLeft w:val="0"/>
              <w:marRight w:val="0"/>
              <w:marTop w:val="0"/>
              <w:marBottom w:val="0"/>
              <w:divBdr>
                <w:top w:val="none" w:sz="0" w:space="0" w:color="auto"/>
                <w:left w:val="none" w:sz="0" w:space="0" w:color="auto"/>
                <w:bottom w:val="none" w:sz="0" w:space="0" w:color="auto"/>
                <w:right w:val="none" w:sz="0" w:space="0" w:color="auto"/>
              </w:divBdr>
            </w:div>
            <w:div w:id="1424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5661">
      <w:bodyDiv w:val="1"/>
      <w:marLeft w:val="0"/>
      <w:marRight w:val="0"/>
      <w:marTop w:val="0"/>
      <w:marBottom w:val="0"/>
      <w:divBdr>
        <w:top w:val="none" w:sz="0" w:space="0" w:color="auto"/>
        <w:left w:val="none" w:sz="0" w:space="0" w:color="auto"/>
        <w:bottom w:val="none" w:sz="0" w:space="0" w:color="auto"/>
        <w:right w:val="none" w:sz="0" w:space="0" w:color="auto"/>
      </w:divBdr>
      <w:divsChild>
        <w:div w:id="1619021947">
          <w:marLeft w:val="0"/>
          <w:marRight w:val="0"/>
          <w:marTop w:val="0"/>
          <w:marBottom w:val="0"/>
          <w:divBdr>
            <w:top w:val="none" w:sz="0" w:space="0" w:color="auto"/>
            <w:left w:val="none" w:sz="0" w:space="0" w:color="auto"/>
            <w:bottom w:val="none" w:sz="0" w:space="0" w:color="auto"/>
            <w:right w:val="none" w:sz="0" w:space="0" w:color="auto"/>
          </w:divBdr>
        </w:div>
      </w:divsChild>
    </w:div>
    <w:div w:id="547034290">
      <w:bodyDiv w:val="1"/>
      <w:marLeft w:val="0"/>
      <w:marRight w:val="0"/>
      <w:marTop w:val="0"/>
      <w:marBottom w:val="0"/>
      <w:divBdr>
        <w:top w:val="none" w:sz="0" w:space="0" w:color="auto"/>
        <w:left w:val="none" w:sz="0" w:space="0" w:color="auto"/>
        <w:bottom w:val="none" w:sz="0" w:space="0" w:color="auto"/>
        <w:right w:val="none" w:sz="0" w:space="0" w:color="auto"/>
      </w:divBdr>
      <w:divsChild>
        <w:div w:id="1881043819">
          <w:marLeft w:val="0"/>
          <w:marRight w:val="0"/>
          <w:marTop w:val="0"/>
          <w:marBottom w:val="0"/>
          <w:divBdr>
            <w:top w:val="none" w:sz="0" w:space="0" w:color="auto"/>
            <w:left w:val="none" w:sz="0" w:space="0" w:color="auto"/>
            <w:bottom w:val="none" w:sz="0" w:space="0" w:color="auto"/>
            <w:right w:val="none" w:sz="0" w:space="0" w:color="auto"/>
          </w:divBdr>
          <w:divsChild>
            <w:div w:id="1075013172">
              <w:marLeft w:val="0"/>
              <w:marRight w:val="0"/>
              <w:marTop w:val="0"/>
              <w:marBottom w:val="0"/>
              <w:divBdr>
                <w:top w:val="none" w:sz="0" w:space="0" w:color="auto"/>
                <w:left w:val="none" w:sz="0" w:space="0" w:color="auto"/>
                <w:bottom w:val="none" w:sz="0" w:space="0" w:color="auto"/>
                <w:right w:val="none" w:sz="0" w:space="0" w:color="auto"/>
              </w:divBdr>
              <w:divsChild>
                <w:div w:id="1220827291">
                  <w:marLeft w:val="0"/>
                  <w:marRight w:val="0"/>
                  <w:marTop w:val="0"/>
                  <w:marBottom w:val="0"/>
                  <w:divBdr>
                    <w:top w:val="none" w:sz="0" w:space="0" w:color="auto"/>
                    <w:left w:val="none" w:sz="0" w:space="0" w:color="auto"/>
                    <w:bottom w:val="none" w:sz="0" w:space="0" w:color="auto"/>
                    <w:right w:val="none" w:sz="0" w:space="0" w:color="auto"/>
                  </w:divBdr>
                  <w:divsChild>
                    <w:div w:id="62409728">
                      <w:marLeft w:val="0"/>
                      <w:marRight w:val="0"/>
                      <w:marTop w:val="0"/>
                      <w:marBottom w:val="0"/>
                      <w:divBdr>
                        <w:top w:val="none" w:sz="0" w:space="0" w:color="auto"/>
                        <w:left w:val="none" w:sz="0" w:space="0" w:color="auto"/>
                        <w:bottom w:val="none" w:sz="0" w:space="0" w:color="auto"/>
                        <w:right w:val="none" w:sz="0" w:space="0" w:color="auto"/>
                      </w:divBdr>
                    </w:div>
                    <w:div w:id="1152719722">
                      <w:marLeft w:val="0"/>
                      <w:marRight w:val="0"/>
                      <w:marTop w:val="0"/>
                      <w:marBottom w:val="0"/>
                      <w:divBdr>
                        <w:top w:val="none" w:sz="0" w:space="0" w:color="auto"/>
                        <w:left w:val="none" w:sz="0" w:space="0" w:color="auto"/>
                        <w:bottom w:val="none" w:sz="0" w:space="0" w:color="auto"/>
                        <w:right w:val="none" w:sz="0" w:space="0" w:color="auto"/>
                      </w:divBdr>
                    </w:div>
                  </w:divsChild>
                </w:div>
                <w:div w:id="1238782591">
                  <w:marLeft w:val="0"/>
                  <w:marRight w:val="0"/>
                  <w:marTop w:val="0"/>
                  <w:marBottom w:val="0"/>
                  <w:divBdr>
                    <w:top w:val="none" w:sz="0" w:space="0" w:color="auto"/>
                    <w:left w:val="none" w:sz="0" w:space="0" w:color="auto"/>
                    <w:bottom w:val="none" w:sz="0" w:space="0" w:color="auto"/>
                    <w:right w:val="none" w:sz="0" w:space="0" w:color="auto"/>
                  </w:divBdr>
                  <w:divsChild>
                    <w:div w:id="1448426180">
                      <w:marLeft w:val="0"/>
                      <w:marRight w:val="0"/>
                      <w:marTop w:val="0"/>
                      <w:marBottom w:val="0"/>
                      <w:divBdr>
                        <w:top w:val="none" w:sz="0" w:space="0" w:color="auto"/>
                        <w:left w:val="none" w:sz="0" w:space="0" w:color="auto"/>
                        <w:bottom w:val="none" w:sz="0" w:space="0" w:color="auto"/>
                        <w:right w:val="none" w:sz="0" w:space="0" w:color="auto"/>
                      </w:divBdr>
                    </w:div>
                    <w:div w:id="346686196">
                      <w:marLeft w:val="0"/>
                      <w:marRight w:val="0"/>
                      <w:marTop w:val="0"/>
                      <w:marBottom w:val="0"/>
                      <w:divBdr>
                        <w:top w:val="none" w:sz="0" w:space="0" w:color="auto"/>
                        <w:left w:val="none" w:sz="0" w:space="0" w:color="auto"/>
                        <w:bottom w:val="none" w:sz="0" w:space="0" w:color="auto"/>
                        <w:right w:val="none" w:sz="0" w:space="0" w:color="auto"/>
                      </w:divBdr>
                    </w:div>
                  </w:divsChild>
                </w:div>
                <w:div w:id="994801430">
                  <w:marLeft w:val="0"/>
                  <w:marRight w:val="0"/>
                  <w:marTop w:val="0"/>
                  <w:marBottom w:val="0"/>
                  <w:divBdr>
                    <w:top w:val="none" w:sz="0" w:space="0" w:color="auto"/>
                    <w:left w:val="none" w:sz="0" w:space="0" w:color="auto"/>
                    <w:bottom w:val="none" w:sz="0" w:space="0" w:color="auto"/>
                    <w:right w:val="none" w:sz="0" w:space="0" w:color="auto"/>
                  </w:divBdr>
                  <w:divsChild>
                    <w:div w:id="63526643">
                      <w:marLeft w:val="0"/>
                      <w:marRight w:val="0"/>
                      <w:marTop w:val="0"/>
                      <w:marBottom w:val="0"/>
                      <w:divBdr>
                        <w:top w:val="none" w:sz="0" w:space="0" w:color="auto"/>
                        <w:left w:val="none" w:sz="0" w:space="0" w:color="auto"/>
                        <w:bottom w:val="none" w:sz="0" w:space="0" w:color="auto"/>
                        <w:right w:val="none" w:sz="0" w:space="0" w:color="auto"/>
                      </w:divBdr>
                    </w:div>
                    <w:div w:id="12681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1148">
          <w:marLeft w:val="0"/>
          <w:marRight w:val="0"/>
          <w:marTop w:val="0"/>
          <w:marBottom w:val="0"/>
          <w:divBdr>
            <w:top w:val="none" w:sz="0" w:space="0" w:color="auto"/>
            <w:left w:val="none" w:sz="0" w:space="0" w:color="auto"/>
            <w:bottom w:val="none" w:sz="0" w:space="0" w:color="auto"/>
            <w:right w:val="none" w:sz="0" w:space="0" w:color="auto"/>
          </w:divBdr>
          <w:divsChild>
            <w:div w:id="46343639">
              <w:marLeft w:val="0"/>
              <w:marRight w:val="0"/>
              <w:marTop w:val="0"/>
              <w:marBottom w:val="0"/>
              <w:divBdr>
                <w:top w:val="none" w:sz="0" w:space="0" w:color="auto"/>
                <w:left w:val="none" w:sz="0" w:space="0" w:color="auto"/>
                <w:bottom w:val="none" w:sz="0" w:space="0" w:color="auto"/>
                <w:right w:val="none" w:sz="0" w:space="0" w:color="auto"/>
              </w:divBdr>
            </w:div>
            <w:div w:id="845050284">
              <w:marLeft w:val="0"/>
              <w:marRight w:val="0"/>
              <w:marTop w:val="0"/>
              <w:marBottom w:val="0"/>
              <w:divBdr>
                <w:top w:val="none" w:sz="0" w:space="0" w:color="auto"/>
                <w:left w:val="none" w:sz="0" w:space="0" w:color="auto"/>
                <w:bottom w:val="none" w:sz="0" w:space="0" w:color="auto"/>
                <w:right w:val="none" w:sz="0" w:space="0" w:color="auto"/>
              </w:divBdr>
            </w:div>
          </w:divsChild>
        </w:div>
        <w:div w:id="1659577271">
          <w:marLeft w:val="0"/>
          <w:marRight w:val="0"/>
          <w:marTop w:val="0"/>
          <w:marBottom w:val="0"/>
          <w:divBdr>
            <w:top w:val="none" w:sz="0" w:space="0" w:color="auto"/>
            <w:left w:val="none" w:sz="0" w:space="0" w:color="auto"/>
            <w:bottom w:val="none" w:sz="0" w:space="0" w:color="auto"/>
            <w:right w:val="none" w:sz="0" w:space="0" w:color="auto"/>
          </w:divBdr>
          <w:divsChild>
            <w:div w:id="1368334604">
              <w:marLeft w:val="0"/>
              <w:marRight w:val="0"/>
              <w:marTop w:val="0"/>
              <w:marBottom w:val="0"/>
              <w:divBdr>
                <w:top w:val="none" w:sz="0" w:space="0" w:color="auto"/>
                <w:left w:val="none" w:sz="0" w:space="0" w:color="auto"/>
                <w:bottom w:val="none" w:sz="0" w:space="0" w:color="auto"/>
                <w:right w:val="none" w:sz="0" w:space="0" w:color="auto"/>
              </w:divBdr>
            </w:div>
            <w:div w:id="1665472252">
              <w:marLeft w:val="0"/>
              <w:marRight w:val="0"/>
              <w:marTop w:val="0"/>
              <w:marBottom w:val="0"/>
              <w:divBdr>
                <w:top w:val="none" w:sz="0" w:space="0" w:color="auto"/>
                <w:left w:val="none" w:sz="0" w:space="0" w:color="auto"/>
                <w:bottom w:val="none" w:sz="0" w:space="0" w:color="auto"/>
                <w:right w:val="none" w:sz="0" w:space="0" w:color="auto"/>
              </w:divBdr>
            </w:div>
          </w:divsChild>
        </w:div>
        <w:div w:id="1879510007">
          <w:marLeft w:val="0"/>
          <w:marRight w:val="0"/>
          <w:marTop w:val="0"/>
          <w:marBottom w:val="0"/>
          <w:divBdr>
            <w:top w:val="none" w:sz="0" w:space="0" w:color="auto"/>
            <w:left w:val="none" w:sz="0" w:space="0" w:color="auto"/>
            <w:bottom w:val="none" w:sz="0" w:space="0" w:color="auto"/>
            <w:right w:val="none" w:sz="0" w:space="0" w:color="auto"/>
          </w:divBdr>
          <w:divsChild>
            <w:div w:id="945964586">
              <w:marLeft w:val="0"/>
              <w:marRight w:val="0"/>
              <w:marTop w:val="0"/>
              <w:marBottom w:val="0"/>
              <w:divBdr>
                <w:top w:val="none" w:sz="0" w:space="0" w:color="auto"/>
                <w:left w:val="none" w:sz="0" w:space="0" w:color="auto"/>
                <w:bottom w:val="none" w:sz="0" w:space="0" w:color="auto"/>
                <w:right w:val="none" w:sz="0" w:space="0" w:color="auto"/>
              </w:divBdr>
            </w:div>
            <w:div w:id="13222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96617">
      <w:bodyDiv w:val="1"/>
      <w:marLeft w:val="0"/>
      <w:marRight w:val="0"/>
      <w:marTop w:val="0"/>
      <w:marBottom w:val="0"/>
      <w:divBdr>
        <w:top w:val="none" w:sz="0" w:space="0" w:color="auto"/>
        <w:left w:val="none" w:sz="0" w:space="0" w:color="auto"/>
        <w:bottom w:val="none" w:sz="0" w:space="0" w:color="auto"/>
        <w:right w:val="none" w:sz="0" w:space="0" w:color="auto"/>
      </w:divBdr>
    </w:div>
    <w:div w:id="579560386">
      <w:bodyDiv w:val="1"/>
      <w:marLeft w:val="0"/>
      <w:marRight w:val="0"/>
      <w:marTop w:val="0"/>
      <w:marBottom w:val="0"/>
      <w:divBdr>
        <w:top w:val="none" w:sz="0" w:space="0" w:color="auto"/>
        <w:left w:val="none" w:sz="0" w:space="0" w:color="auto"/>
        <w:bottom w:val="none" w:sz="0" w:space="0" w:color="auto"/>
        <w:right w:val="none" w:sz="0" w:space="0" w:color="auto"/>
      </w:divBdr>
    </w:div>
    <w:div w:id="602303418">
      <w:bodyDiv w:val="1"/>
      <w:marLeft w:val="0"/>
      <w:marRight w:val="0"/>
      <w:marTop w:val="0"/>
      <w:marBottom w:val="0"/>
      <w:divBdr>
        <w:top w:val="none" w:sz="0" w:space="0" w:color="auto"/>
        <w:left w:val="none" w:sz="0" w:space="0" w:color="auto"/>
        <w:bottom w:val="none" w:sz="0" w:space="0" w:color="auto"/>
        <w:right w:val="none" w:sz="0" w:space="0" w:color="auto"/>
      </w:divBdr>
    </w:div>
    <w:div w:id="618144256">
      <w:bodyDiv w:val="1"/>
      <w:marLeft w:val="0"/>
      <w:marRight w:val="0"/>
      <w:marTop w:val="0"/>
      <w:marBottom w:val="0"/>
      <w:divBdr>
        <w:top w:val="none" w:sz="0" w:space="0" w:color="auto"/>
        <w:left w:val="none" w:sz="0" w:space="0" w:color="auto"/>
        <w:bottom w:val="none" w:sz="0" w:space="0" w:color="auto"/>
        <w:right w:val="none" w:sz="0" w:space="0" w:color="auto"/>
      </w:divBdr>
    </w:div>
    <w:div w:id="625356698">
      <w:bodyDiv w:val="1"/>
      <w:marLeft w:val="0"/>
      <w:marRight w:val="0"/>
      <w:marTop w:val="0"/>
      <w:marBottom w:val="0"/>
      <w:divBdr>
        <w:top w:val="none" w:sz="0" w:space="0" w:color="auto"/>
        <w:left w:val="none" w:sz="0" w:space="0" w:color="auto"/>
        <w:bottom w:val="none" w:sz="0" w:space="0" w:color="auto"/>
        <w:right w:val="none" w:sz="0" w:space="0" w:color="auto"/>
      </w:divBdr>
    </w:div>
    <w:div w:id="634681966">
      <w:bodyDiv w:val="1"/>
      <w:marLeft w:val="0"/>
      <w:marRight w:val="0"/>
      <w:marTop w:val="0"/>
      <w:marBottom w:val="0"/>
      <w:divBdr>
        <w:top w:val="none" w:sz="0" w:space="0" w:color="auto"/>
        <w:left w:val="none" w:sz="0" w:space="0" w:color="auto"/>
        <w:bottom w:val="none" w:sz="0" w:space="0" w:color="auto"/>
        <w:right w:val="none" w:sz="0" w:space="0" w:color="auto"/>
      </w:divBdr>
    </w:div>
    <w:div w:id="661397093">
      <w:bodyDiv w:val="1"/>
      <w:marLeft w:val="0"/>
      <w:marRight w:val="0"/>
      <w:marTop w:val="0"/>
      <w:marBottom w:val="0"/>
      <w:divBdr>
        <w:top w:val="none" w:sz="0" w:space="0" w:color="auto"/>
        <w:left w:val="none" w:sz="0" w:space="0" w:color="auto"/>
        <w:bottom w:val="none" w:sz="0" w:space="0" w:color="auto"/>
        <w:right w:val="none" w:sz="0" w:space="0" w:color="auto"/>
      </w:divBdr>
    </w:div>
    <w:div w:id="691301855">
      <w:bodyDiv w:val="1"/>
      <w:marLeft w:val="0"/>
      <w:marRight w:val="0"/>
      <w:marTop w:val="0"/>
      <w:marBottom w:val="0"/>
      <w:divBdr>
        <w:top w:val="none" w:sz="0" w:space="0" w:color="auto"/>
        <w:left w:val="none" w:sz="0" w:space="0" w:color="auto"/>
        <w:bottom w:val="none" w:sz="0" w:space="0" w:color="auto"/>
        <w:right w:val="none" w:sz="0" w:space="0" w:color="auto"/>
      </w:divBdr>
      <w:divsChild>
        <w:div w:id="921838439">
          <w:marLeft w:val="0"/>
          <w:marRight w:val="0"/>
          <w:marTop w:val="0"/>
          <w:marBottom w:val="0"/>
          <w:divBdr>
            <w:top w:val="none" w:sz="0" w:space="0" w:color="auto"/>
            <w:left w:val="none" w:sz="0" w:space="0" w:color="auto"/>
            <w:bottom w:val="none" w:sz="0" w:space="0" w:color="auto"/>
            <w:right w:val="none" w:sz="0" w:space="0" w:color="auto"/>
          </w:divBdr>
        </w:div>
      </w:divsChild>
    </w:div>
    <w:div w:id="693462753">
      <w:bodyDiv w:val="1"/>
      <w:marLeft w:val="0"/>
      <w:marRight w:val="0"/>
      <w:marTop w:val="0"/>
      <w:marBottom w:val="0"/>
      <w:divBdr>
        <w:top w:val="none" w:sz="0" w:space="0" w:color="auto"/>
        <w:left w:val="none" w:sz="0" w:space="0" w:color="auto"/>
        <w:bottom w:val="none" w:sz="0" w:space="0" w:color="auto"/>
        <w:right w:val="none" w:sz="0" w:space="0" w:color="auto"/>
      </w:divBdr>
    </w:div>
    <w:div w:id="718823366">
      <w:bodyDiv w:val="1"/>
      <w:marLeft w:val="0"/>
      <w:marRight w:val="0"/>
      <w:marTop w:val="0"/>
      <w:marBottom w:val="0"/>
      <w:divBdr>
        <w:top w:val="none" w:sz="0" w:space="0" w:color="auto"/>
        <w:left w:val="none" w:sz="0" w:space="0" w:color="auto"/>
        <w:bottom w:val="none" w:sz="0" w:space="0" w:color="auto"/>
        <w:right w:val="none" w:sz="0" w:space="0" w:color="auto"/>
      </w:divBdr>
    </w:div>
    <w:div w:id="721438908">
      <w:bodyDiv w:val="1"/>
      <w:marLeft w:val="0"/>
      <w:marRight w:val="0"/>
      <w:marTop w:val="0"/>
      <w:marBottom w:val="0"/>
      <w:divBdr>
        <w:top w:val="none" w:sz="0" w:space="0" w:color="auto"/>
        <w:left w:val="none" w:sz="0" w:space="0" w:color="auto"/>
        <w:bottom w:val="none" w:sz="0" w:space="0" w:color="auto"/>
        <w:right w:val="none" w:sz="0" w:space="0" w:color="auto"/>
      </w:divBdr>
      <w:divsChild>
        <w:div w:id="1317539466">
          <w:marLeft w:val="0"/>
          <w:marRight w:val="0"/>
          <w:marTop w:val="0"/>
          <w:marBottom w:val="0"/>
          <w:divBdr>
            <w:top w:val="none" w:sz="0" w:space="0" w:color="auto"/>
            <w:left w:val="none" w:sz="0" w:space="0" w:color="auto"/>
            <w:bottom w:val="none" w:sz="0" w:space="0" w:color="auto"/>
            <w:right w:val="none" w:sz="0" w:space="0" w:color="auto"/>
          </w:divBdr>
          <w:divsChild>
            <w:div w:id="1778059400">
              <w:marLeft w:val="0"/>
              <w:marRight w:val="0"/>
              <w:marTop w:val="0"/>
              <w:marBottom w:val="0"/>
              <w:divBdr>
                <w:top w:val="none" w:sz="0" w:space="0" w:color="auto"/>
                <w:left w:val="none" w:sz="0" w:space="0" w:color="auto"/>
                <w:bottom w:val="none" w:sz="0" w:space="0" w:color="auto"/>
                <w:right w:val="none" w:sz="0" w:space="0" w:color="auto"/>
              </w:divBdr>
            </w:div>
            <w:div w:id="1709525006">
              <w:marLeft w:val="0"/>
              <w:marRight w:val="0"/>
              <w:marTop w:val="0"/>
              <w:marBottom w:val="0"/>
              <w:divBdr>
                <w:top w:val="none" w:sz="0" w:space="0" w:color="auto"/>
                <w:left w:val="none" w:sz="0" w:space="0" w:color="auto"/>
                <w:bottom w:val="none" w:sz="0" w:space="0" w:color="auto"/>
                <w:right w:val="none" w:sz="0" w:space="0" w:color="auto"/>
              </w:divBdr>
            </w:div>
          </w:divsChild>
        </w:div>
        <w:div w:id="1049308224">
          <w:marLeft w:val="0"/>
          <w:marRight w:val="0"/>
          <w:marTop w:val="0"/>
          <w:marBottom w:val="0"/>
          <w:divBdr>
            <w:top w:val="none" w:sz="0" w:space="0" w:color="auto"/>
            <w:left w:val="none" w:sz="0" w:space="0" w:color="auto"/>
            <w:bottom w:val="none" w:sz="0" w:space="0" w:color="auto"/>
            <w:right w:val="none" w:sz="0" w:space="0" w:color="auto"/>
          </w:divBdr>
          <w:divsChild>
            <w:div w:id="1227763139">
              <w:marLeft w:val="0"/>
              <w:marRight w:val="0"/>
              <w:marTop w:val="0"/>
              <w:marBottom w:val="0"/>
              <w:divBdr>
                <w:top w:val="none" w:sz="0" w:space="0" w:color="auto"/>
                <w:left w:val="none" w:sz="0" w:space="0" w:color="auto"/>
                <w:bottom w:val="none" w:sz="0" w:space="0" w:color="auto"/>
                <w:right w:val="none" w:sz="0" w:space="0" w:color="auto"/>
              </w:divBdr>
            </w:div>
            <w:div w:id="704789216">
              <w:marLeft w:val="0"/>
              <w:marRight w:val="0"/>
              <w:marTop w:val="0"/>
              <w:marBottom w:val="0"/>
              <w:divBdr>
                <w:top w:val="none" w:sz="0" w:space="0" w:color="auto"/>
                <w:left w:val="none" w:sz="0" w:space="0" w:color="auto"/>
                <w:bottom w:val="none" w:sz="0" w:space="0" w:color="auto"/>
                <w:right w:val="none" w:sz="0" w:space="0" w:color="auto"/>
              </w:divBdr>
            </w:div>
          </w:divsChild>
        </w:div>
        <w:div w:id="1535075654">
          <w:marLeft w:val="0"/>
          <w:marRight w:val="0"/>
          <w:marTop w:val="0"/>
          <w:marBottom w:val="0"/>
          <w:divBdr>
            <w:top w:val="none" w:sz="0" w:space="0" w:color="auto"/>
            <w:left w:val="none" w:sz="0" w:space="0" w:color="auto"/>
            <w:bottom w:val="none" w:sz="0" w:space="0" w:color="auto"/>
            <w:right w:val="none" w:sz="0" w:space="0" w:color="auto"/>
          </w:divBdr>
          <w:divsChild>
            <w:div w:id="452987980">
              <w:marLeft w:val="0"/>
              <w:marRight w:val="0"/>
              <w:marTop w:val="0"/>
              <w:marBottom w:val="0"/>
              <w:divBdr>
                <w:top w:val="none" w:sz="0" w:space="0" w:color="auto"/>
                <w:left w:val="none" w:sz="0" w:space="0" w:color="auto"/>
                <w:bottom w:val="none" w:sz="0" w:space="0" w:color="auto"/>
                <w:right w:val="none" w:sz="0" w:space="0" w:color="auto"/>
              </w:divBdr>
            </w:div>
            <w:div w:id="1578830954">
              <w:marLeft w:val="0"/>
              <w:marRight w:val="0"/>
              <w:marTop w:val="0"/>
              <w:marBottom w:val="0"/>
              <w:divBdr>
                <w:top w:val="none" w:sz="0" w:space="0" w:color="auto"/>
                <w:left w:val="none" w:sz="0" w:space="0" w:color="auto"/>
                <w:bottom w:val="none" w:sz="0" w:space="0" w:color="auto"/>
                <w:right w:val="none" w:sz="0" w:space="0" w:color="auto"/>
              </w:divBdr>
            </w:div>
          </w:divsChild>
        </w:div>
        <w:div w:id="126819731">
          <w:marLeft w:val="0"/>
          <w:marRight w:val="0"/>
          <w:marTop w:val="0"/>
          <w:marBottom w:val="0"/>
          <w:divBdr>
            <w:top w:val="none" w:sz="0" w:space="0" w:color="auto"/>
            <w:left w:val="none" w:sz="0" w:space="0" w:color="auto"/>
            <w:bottom w:val="none" w:sz="0" w:space="0" w:color="auto"/>
            <w:right w:val="none" w:sz="0" w:space="0" w:color="auto"/>
          </w:divBdr>
          <w:divsChild>
            <w:div w:id="1616137165">
              <w:marLeft w:val="0"/>
              <w:marRight w:val="0"/>
              <w:marTop w:val="0"/>
              <w:marBottom w:val="0"/>
              <w:divBdr>
                <w:top w:val="none" w:sz="0" w:space="0" w:color="auto"/>
                <w:left w:val="none" w:sz="0" w:space="0" w:color="auto"/>
                <w:bottom w:val="none" w:sz="0" w:space="0" w:color="auto"/>
                <w:right w:val="none" w:sz="0" w:space="0" w:color="auto"/>
              </w:divBdr>
            </w:div>
            <w:div w:id="163588706">
              <w:marLeft w:val="0"/>
              <w:marRight w:val="0"/>
              <w:marTop w:val="0"/>
              <w:marBottom w:val="0"/>
              <w:divBdr>
                <w:top w:val="none" w:sz="0" w:space="0" w:color="auto"/>
                <w:left w:val="none" w:sz="0" w:space="0" w:color="auto"/>
                <w:bottom w:val="none" w:sz="0" w:space="0" w:color="auto"/>
                <w:right w:val="none" w:sz="0" w:space="0" w:color="auto"/>
              </w:divBdr>
            </w:div>
          </w:divsChild>
        </w:div>
        <w:div w:id="806242948">
          <w:marLeft w:val="0"/>
          <w:marRight w:val="0"/>
          <w:marTop w:val="0"/>
          <w:marBottom w:val="0"/>
          <w:divBdr>
            <w:top w:val="none" w:sz="0" w:space="0" w:color="auto"/>
            <w:left w:val="none" w:sz="0" w:space="0" w:color="auto"/>
            <w:bottom w:val="none" w:sz="0" w:space="0" w:color="auto"/>
            <w:right w:val="none" w:sz="0" w:space="0" w:color="auto"/>
          </w:divBdr>
          <w:divsChild>
            <w:div w:id="410470162">
              <w:marLeft w:val="0"/>
              <w:marRight w:val="0"/>
              <w:marTop w:val="0"/>
              <w:marBottom w:val="0"/>
              <w:divBdr>
                <w:top w:val="none" w:sz="0" w:space="0" w:color="auto"/>
                <w:left w:val="none" w:sz="0" w:space="0" w:color="auto"/>
                <w:bottom w:val="none" w:sz="0" w:space="0" w:color="auto"/>
                <w:right w:val="none" w:sz="0" w:space="0" w:color="auto"/>
              </w:divBdr>
            </w:div>
            <w:div w:id="197547292">
              <w:marLeft w:val="0"/>
              <w:marRight w:val="0"/>
              <w:marTop w:val="0"/>
              <w:marBottom w:val="0"/>
              <w:divBdr>
                <w:top w:val="none" w:sz="0" w:space="0" w:color="auto"/>
                <w:left w:val="none" w:sz="0" w:space="0" w:color="auto"/>
                <w:bottom w:val="none" w:sz="0" w:space="0" w:color="auto"/>
                <w:right w:val="none" w:sz="0" w:space="0" w:color="auto"/>
              </w:divBdr>
            </w:div>
          </w:divsChild>
        </w:div>
        <w:div w:id="789398436">
          <w:marLeft w:val="0"/>
          <w:marRight w:val="0"/>
          <w:marTop w:val="0"/>
          <w:marBottom w:val="0"/>
          <w:divBdr>
            <w:top w:val="none" w:sz="0" w:space="0" w:color="auto"/>
            <w:left w:val="none" w:sz="0" w:space="0" w:color="auto"/>
            <w:bottom w:val="none" w:sz="0" w:space="0" w:color="auto"/>
            <w:right w:val="none" w:sz="0" w:space="0" w:color="auto"/>
          </w:divBdr>
          <w:divsChild>
            <w:div w:id="1330985640">
              <w:marLeft w:val="0"/>
              <w:marRight w:val="0"/>
              <w:marTop w:val="0"/>
              <w:marBottom w:val="0"/>
              <w:divBdr>
                <w:top w:val="none" w:sz="0" w:space="0" w:color="auto"/>
                <w:left w:val="none" w:sz="0" w:space="0" w:color="auto"/>
                <w:bottom w:val="none" w:sz="0" w:space="0" w:color="auto"/>
                <w:right w:val="none" w:sz="0" w:space="0" w:color="auto"/>
              </w:divBdr>
            </w:div>
            <w:div w:id="1227492951">
              <w:marLeft w:val="0"/>
              <w:marRight w:val="0"/>
              <w:marTop w:val="0"/>
              <w:marBottom w:val="0"/>
              <w:divBdr>
                <w:top w:val="none" w:sz="0" w:space="0" w:color="auto"/>
                <w:left w:val="none" w:sz="0" w:space="0" w:color="auto"/>
                <w:bottom w:val="none" w:sz="0" w:space="0" w:color="auto"/>
                <w:right w:val="none" w:sz="0" w:space="0" w:color="auto"/>
              </w:divBdr>
            </w:div>
          </w:divsChild>
        </w:div>
        <w:div w:id="244388448">
          <w:marLeft w:val="0"/>
          <w:marRight w:val="0"/>
          <w:marTop w:val="0"/>
          <w:marBottom w:val="0"/>
          <w:divBdr>
            <w:top w:val="none" w:sz="0" w:space="0" w:color="auto"/>
            <w:left w:val="none" w:sz="0" w:space="0" w:color="auto"/>
            <w:bottom w:val="none" w:sz="0" w:space="0" w:color="auto"/>
            <w:right w:val="none" w:sz="0" w:space="0" w:color="auto"/>
          </w:divBdr>
          <w:divsChild>
            <w:div w:id="159585038">
              <w:marLeft w:val="0"/>
              <w:marRight w:val="0"/>
              <w:marTop w:val="0"/>
              <w:marBottom w:val="0"/>
              <w:divBdr>
                <w:top w:val="none" w:sz="0" w:space="0" w:color="auto"/>
                <w:left w:val="none" w:sz="0" w:space="0" w:color="auto"/>
                <w:bottom w:val="none" w:sz="0" w:space="0" w:color="auto"/>
                <w:right w:val="none" w:sz="0" w:space="0" w:color="auto"/>
              </w:divBdr>
            </w:div>
            <w:div w:id="497118059">
              <w:marLeft w:val="0"/>
              <w:marRight w:val="0"/>
              <w:marTop w:val="0"/>
              <w:marBottom w:val="0"/>
              <w:divBdr>
                <w:top w:val="none" w:sz="0" w:space="0" w:color="auto"/>
                <w:left w:val="none" w:sz="0" w:space="0" w:color="auto"/>
                <w:bottom w:val="none" w:sz="0" w:space="0" w:color="auto"/>
                <w:right w:val="none" w:sz="0" w:space="0" w:color="auto"/>
              </w:divBdr>
            </w:div>
          </w:divsChild>
        </w:div>
        <w:div w:id="1921982317">
          <w:marLeft w:val="0"/>
          <w:marRight w:val="0"/>
          <w:marTop w:val="0"/>
          <w:marBottom w:val="0"/>
          <w:divBdr>
            <w:top w:val="none" w:sz="0" w:space="0" w:color="auto"/>
            <w:left w:val="none" w:sz="0" w:space="0" w:color="auto"/>
            <w:bottom w:val="none" w:sz="0" w:space="0" w:color="auto"/>
            <w:right w:val="none" w:sz="0" w:space="0" w:color="auto"/>
          </w:divBdr>
          <w:divsChild>
            <w:div w:id="169612859">
              <w:marLeft w:val="0"/>
              <w:marRight w:val="0"/>
              <w:marTop w:val="0"/>
              <w:marBottom w:val="0"/>
              <w:divBdr>
                <w:top w:val="none" w:sz="0" w:space="0" w:color="auto"/>
                <w:left w:val="none" w:sz="0" w:space="0" w:color="auto"/>
                <w:bottom w:val="none" w:sz="0" w:space="0" w:color="auto"/>
                <w:right w:val="none" w:sz="0" w:space="0" w:color="auto"/>
              </w:divBdr>
            </w:div>
            <w:div w:id="19845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44250">
      <w:bodyDiv w:val="1"/>
      <w:marLeft w:val="0"/>
      <w:marRight w:val="0"/>
      <w:marTop w:val="0"/>
      <w:marBottom w:val="0"/>
      <w:divBdr>
        <w:top w:val="none" w:sz="0" w:space="0" w:color="auto"/>
        <w:left w:val="none" w:sz="0" w:space="0" w:color="auto"/>
        <w:bottom w:val="none" w:sz="0" w:space="0" w:color="auto"/>
        <w:right w:val="none" w:sz="0" w:space="0" w:color="auto"/>
      </w:divBdr>
      <w:divsChild>
        <w:div w:id="1697804151">
          <w:marLeft w:val="0"/>
          <w:marRight w:val="0"/>
          <w:marTop w:val="0"/>
          <w:marBottom w:val="0"/>
          <w:divBdr>
            <w:top w:val="none" w:sz="0" w:space="0" w:color="auto"/>
            <w:left w:val="none" w:sz="0" w:space="0" w:color="auto"/>
            <w:bottom w:val="none" w:sz="0" w:space="0" w:color="auto"/>
            <w:right w:val="none" w:sz="0" w:space="0" w:color="auto"/>
          </w:divBdr>
          <w:divsChild>
            <w:div w:id="711928022">
              <w:marLeft w:val="0"/>
              <w:marRight w:val="0"/>
              <w:marTop w:val="0"/>
              <w:marBottom w:val="0"/>
              <w:divBdr>
                <w:top w:val="none" w:sz="0" w:space="0" w:color="auto"/>
                <w:left w:val="none" w:sz="0" w:space="0" w:color="auto"/>
                <w:bottom w:val="none" w:sz="0" w:space="0" w:color="auto"/>
                <w:right w:val="none" w:sz="0" w:space="0" w:color="auto"/>
              </w:divBdr>
            </w:div>
            <w:div w:id="473638967">
              <w:marLeft w:val="0"/>
              <w:marRight w:val="0"/>
              <w:marTop w:val="0"/>
              <w:marBottom w:val="0"/>
              <w:divBdr>
                <w:top w:val="none" w:sz="0" w:space="0" w:color="auto"/>
                <w:left w:val="none" w:sz="0" w:space="0" w:color="auto"/>
                <w:bottom w:val="none" w:sz="0" w:space="0" w:color="auto"/>
                <w:right w:val="none" w:sz="0" w:space="0" w:color="auto"/>
              </w:divBdr>
            </w:div>
          </w:divsChild>
        </w:div>
        <w:div w:id="468923">
          <w:marLeft w:val="0"/>
          <w:marRight w:val="0"/>
          <w:marTop w:val="0"/>
          <w:marBottom w:val="0"/>
          <w:divBdr>
            <w:top w:val="none" w:sz="0" w:space="0" w:color="auto"/>
            <w:left w:val="none" w:sz="0" w:space="0" w:color="auto"/>
            <w:bottom w:val="none" w:sz="0" w:space="0" w:color="auto"/>
            <w:right w:val="none" w:sz="0" w:space="0" w:color="auto"/>
          </w:divBdr>
          <w:divsChild>
            <w:div w:id="1547641852">
              <w:marLeft w:val="0"/>
              <w:marRight w:val="0"/>
              <w:marTop w:val="0"/>
              <w:marBottom w:val="0"/>
              <w:divBdr>
                <w:top w:val="none" w:sz="0" w:space="0" w:color="auto"/>
                <w:left w:val="none" w:sz="0" w:space="0" w:color="auto"/>
                <w:bottom w:val="none" w:sz="0" w:space="0" w:color="auto"/>
                <w:right w:val="none" w:sz="0" w:space="0" w:color="auto"/>
              </w:divBdr>
            </w:div>
            <w:div w:id="471826264">
              <w:marLeft w:val="0"/>
              <w:marRight w:val="0"/>
              <w:marTop w:val="0"/>
              <w:marBottom w:val="0"/>
              <w:divBdr>
                <w:top w:val="none" w:sz="0" w:space="0" w:color="auto"/>
                <w:left w:val="none" w:sz="0" w:space="0" w:color="auto"/>
                <w:bottom w:val="none" w:sz="0" w:space="0" w:color="auto"/>
                <w:right w:val="none" w:sz="0" w:space="0" w:color="auto"/>
              </w:divBdr>
            </w:div>
          </w:divsChild>
        </w:div>
        <w:div w:id="1152912668">
          <w:marLeft w:val="0"/>
          <w:marRight w:val="0"/>
          <w:marTop w:val="0"/>
          <w:marBottom w:val="0"/>
          <w:divBdr>
            <w:top w:val="none" w:sz="0" w:space="0" w:color="auto"/>
            <w:left w:val="none" w:sz="0" w:space="0" w:color="auto"/>
            <w:bottom w:val="none" w:sz="0" w:space="0" w:color="auto"/>
            <w:right w:val="none" w:sz="0" w:space="0" w:color="auto"/>
          </w:divBdr>
          <w:divsChild>
            <w:div w:id="1045252717">
              <w:marLeft w:val="0"/>
              <w:marRight w:val="0"/>
              <w:marTop w:val="0"/>
              <w:marBottom w:val="0"/>
              <w:divBdr>
                <w:top w:val="none" w:sz="0" w:space="0" w:color="auto"/>
                <w:left w:val="none" w:sz="0" w:space="0" w:color="auto"/>
                <w:bottom w:val="none" w:sz="0" w:space="0" w:color="auto"/>
                <w:right w:val="none" w:sz="0" w:space="0" w:color="auto"/>
              </w:divBdr>
            </w:div>
            <w:div w:id="1412238856">
              <w:marLeft w:val="0"/>
              <w:marRight w:val="0"/>
              <w:marTop w:val="0"/>
              <w:marBottom w:val="0"/>
              <w:divBdr>
                <w:top w:val="none" w:sz="0" w:space="0" w:color="auto"/>
                <w:left w:val="none" w:sz="0" w:space="0" w:color="auto"/>
                <w:bottom w:val="none" w:sz="0" w:space="0" w:color="auto"/>
                <w:right w:val="none" w:sz="0" w:space="0" w:color="auto"/>
              </w:divBdr>
            </w:div>
          </w:divsChild>
        </w:div>
        <w:div w:id="294797855">
          <w:marLeft w:val="0"/>
          <w:marRight w:val="0"/>
          <w:marTop w:val="0"/>
          <w:marBottom w:val="0"/>
          <w:divBdr>
            <w:top w:val="none" w:sz="0" w:space="0" w:color="auto"/>
            <w:left w:val="none" w:sz="0" w:space="0" w:color="auto"/>
            <w:bottom w:val="none" w:sz="0" w:space="0" w:color="auto"/>
            <w:right w:val="none" w:sz="0" w:space="0" w:color="auto"/>
          </w:divBdr>
          <w:divsChild>
            <w:div w:id="2141223497">
              <w:marLeft w:val="0"/>
              <w:marRight w:val="0"/>
              <w:marTop w:val="0"/>
              <w:marBottom w:val="0"/>
              <w:divBdr>
                <w:top w:val="none" w:sz="0" w:space="0" w:color="auto"/>
                <w:left w:val="none" w:sz="0" w:space="0" w:color="auto"/>
                <w:bottom w:val="none" w:sz="0" w:space="0" w:color="auto"/>
                <w:right w:val="none" w:sz="0" w:space="0" w:color="auto"/>
              </w:divBdr>
            </w:div>
            <w:div w:id="1550263139">
              <w:marLeft w:val="0"/>
              <w:marRight w:val="0"/>
              <w:marTop w:val="0"/>
              <w:marBottom w:val="0"/>
              <w:divBdr>
                <w:top w:val="none" w:sz="0" w:space="0" w:color="auto"/>
                <w:left w:val="none" w:sz="0" w:space="0" w:color="auto"/>
                <w:bottom w:val="none" w:sz="0" w:space="0" w:color="auto"/>
                <w:right w:val="none" w:sz="0" w:space="0" w:color="auto"/>
              </w:divBdr>
            </w:div>
          </w:divsChild>
        </w:div>
        <w:div w:id="1750811484">
          <w:marLeft w:val="0"/>
          <w:marRight w:val="0"/>
          <w:marTop w:val="0"/>
          <w:marBottom w:val="0"/>
          <w:divBdr>
            <w:top w:val="none" w:sz="0" w:space="0" w:color="auto"/>
            <w:left w:val="none" w:sz="0" w:space="0" w:color="auto"/>
            <w:bottom w:val="none" w:sz="0" w:space="0" w:color="auto"/>
            <w:right w:val="none" w:sz="0" w:space="0" w:color="auto"/>
          </w:divBdr>
          <w:divsChild>
            <w:div w:id="933779545">
              <w:marLeft w:val="0"/>
              <w:marRight w:val="0"/>
              <w:marTop w:val="0"/>
              <w:marBottom w:val="0"/>
              <w:divBdr>
                <w:top w:val="none" w:sz="0" w:space="0" w:color="auto"/>
                <w:left w:val="none" w:sz="0" w:space="0" w:color="auto"/>
                <w:bottom w:val="none" w:sz="0" w:space="0" w:color="auto"/>
                <w:right w:val="none" w:sz="0" w:space="0" w:color="auto"/>
              </w:divBdr>
            </w:div>
            <w:div w:id="17409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64131">
      <w:bodyDiv w:val="1"/>
      <w:marLeft w:val="0"/>
      <w:marRight w:val="0"/>
      <w:marTop w:val="0"/>
      <w:marBottom w:val="0"/>
      <w:divBdr>
        <w:top w:val="none" w:sz="0" w:space="0" w:color="auto"/>
        <w:left w:val="none" w:sz="0" w:space="0" w:color="auto"/>
        <w:bottom w:val="none" w:sz="0" w:space="0" w:color="auto"/>
        <w:right w:val="none" w:sz="0" w:space="0" w:color="auto"/>
      </w:divBdr>
      <w:divsChild>
        <w:div w:id="312491867">
          <w:marLeft w:val="0"/>
          <w:marRight w:val="0"/>
          <w:marTop w:val="0"/>
          <w:marBottom w:val="0"/>
          <w:divBdr>
            <w:top w:val="none" w:sz="0" w:space="0" w:color="auto"/>
            <w:left w:val="none" w:sz="0" w:space="0" w:color="auto"/>
            <w:bottom w:val="none" w:sz="0" w:space="0" w:color="auto"/>
            <w:right w:val="none" w:sz="0" w:space="0" w:color="auto"/>
          </w:divBdr>
          <w:divsChild>
            <w:div w:id="1432899690">
              <w:marLeft w:val="0"/>
              <w:marRight w:val="0"/>
              <w:marTop w:val="0"/>
              <w:marBottom w:val="0"/>
              <w:divBdr>
                <w:top w:val="none" w:sz="0" w:space="0" w:color="auto"/>
                <w:left w:val="none" w:sz="0" w:space="0" w:color="auto"/>
                <w:bottom w:val="none" w:sz="0" w:space="0" w:color="auto"/>
                <w:right w:val="none" w:sz="0" w:space="0" w:color="auto"/>
              </w:divBdr>
              <w:divsChild>
                <w:div w:id="1714884037">
                  <w:marLeft w:val="0"/>
                  <w:marRight w:val="0"/>
                  <w:marTop w:val="0"/>
                  <w:marBottom w:val="0"/>
                  <w:divBdr>
                    <w:top w:val="none" w:sz="0" w:space="0" w:color="auto"/>
                    <w:left w:val="none" w:sz="0" w:space="0" w:color="auto"/>
                    <w:bottom w:val="none" w:sz="0" w:space="0" w:color="auto"/>
                    <w:right w:val="none" w:sz="0" w:space="0" w:color="auto"/>
                  </w:divBdr>
                  <w:divsChild>
                    <w:div w:id="444931964">
                      <w:marLeft w:val="0"/>
                      <w:marRight w:val="0"/>
                      <w:marTop w:val="0"/>
                      <w:marBottom w:val="0"/>
                      <w:divBdr>
                        <w:top w:val="none" w:sz="0" w:space="0" w:color="auto"/>
                        <w:left w:val="none" w:sz="0" w:space="0" w:color="auto"/>
                        <w:bottom w:val="none" w:sz="0" w:space="0" w:color="auto"/>
                        <w:right w:val="none" w:sz="0" w:space="0" w:color="auto"/>
                      </w:divBdr>
                    </w:div>
                    <w:div w:id="1914316815">
                      <w:marLeft w:val="0"/>
                      <w:marRight w:val="0"/>
                      <w:marTop w:val="0"/>
                      <w:marBottom w:val="0"/>
                      <w:divBdr>
                        <w:top w:val="none" w:sz="0" w:space="0" w:color="auto"/>
                        <w:left w:val="none" w:sz="0" w:space="0" w:color="auto"/>
                        <w:bottom w:val="none" w:sz="0" w:space="0" w:color="auto"/>
                        <w:right w:val="none" w:sz="0" w:space="0" w:color="auto"/>
                      </w:divBdr>
                    </w:div>
                  </w:divsChild>
                </w:div>
                <w:div w:id="879130858">
                  <w:marLeft w:val="0"/>
                  <w:marRight w:val="0"/>
                  <w:marTop w:val="0"/>
                  <w:marBottom w:val="0"/>
                  <w:divBdr>
                    <w:top w:val="none" w:sz="0" w:space="0" w:color="auto"/>
                    <w:left w:val="none" w:sz="0" w:space="0" w:color="auto"/>
                    <w:bottom w:val="none" w:sz="0" w:space="0" w:color="auto"/>
                    <w:right w:val="none" w:sz="0" w:space="0" w:color="auto"/>
                  </w:divBdr>
                  <w:divsChild>
                    <w:div w:id="987705850">
                      <w:marLeft w:val="0"/>
                      <w:marRight w:val="0"/>
                      <w:marTop w:val="0"/>
                      <w:marBottom w:val="0"/>
                      <w:divBdr>
                        <w:top w:val="none" w:sz="0" w:space="0" w:color="auto"/>
                        <w:left w:val="none" w:sz="0" w:space="0" w:color="auto"/>
                        <w:bottom w:val="none" w:sz="0" w:space="0" w:color="auto"/>
                        <w:right w:val="none" w:sz="0" w:space="0" w:color="auto"/>
                      </w:divBdr>
                    </w:div>
                    <w:div w:id="1756434781">
                      <w:marLeft w:val="0"/>
                      <w:marRight w:val="0"/>
                      <w:marTop w:val="0"/>
                      <w:marBottom w:val="0"/>
                      <w:divBdr>
                        <w:top w:val="none" w:sz="0" w:space="0" w:color="auto"/>
                        <w:left w:val="none" w:sz="0" w:space="0" w:color="auto"/>
                        <w:bottom w:val="none" w:sz="0" w:space="0" w:color="auto"/>
                        <w:right w:val="none" w:sz="0" w:space="0" w:color="auto"/>
                      </w:divBdr>
                    </w:div>
                  </w:divsChild>
                </w:div>
                <w:div w:id="1804421510">
                  <w:marLeft w:val="0"/>
                  <w:marRight w:val="0"/>
                  <w:marTop w:val="0"/>
                  <w:marBottom w:val="0"/>
                  <w:divBdr>
                    <w:top w:val="none" w:sz="0" w:space="0" w:color="auto"/>
                    <w:left w:val="none" w:sz="0" w:space="0" w:color="auto"/>
                    <w:bottom w:val="none" w:sz="0" w:space="0" w:color="auto"/>
                    <w:right w:val="none" w:sz="0" w:space="0" w:color="auto"/>
                  </w:divBdr>
                  <w:divsChild>
                    <w:div w:id="1330214166">
                      <w:marLeft w:val="0"/>
                      <w:marRight w:val="0"/>
                      <w:marTop w:val="0"/>
                      <w:marBottom w:val="0"/>
                      <w:divBdr>
                        <w:top w:val="none" w:sz="0" w:space="0" w:color="auto"/>
                        <w:left w:val="none" w:sz="0" w:space="0" w:color="auto"/>
                        <w:bottom w:val="none" w:sz="0" w:space="0" w:color="auto"/>
                        <w:right w:val="none" w:sz="0" w:space="0" w:color="auto"/>
                      </w:divBdr>
                    </w:div>
                    <w:div w:id="2002848932">
                      <w:marLeft w:val="0"/>
                      <w:marRight w:val="0"/>
                      <w:marTop w:val="0"/>
                      <w:marBottom w:val="0"/>
                      <w:divBdr>
                        <w:top w:val="none" w:sz="0" w:space="0" w:color="auto"/>
                        <w:left w:val="none" w:sz="0" w:space="0" w:color="auto"/>
                        <w:bottom w:val="none" w:sz="0" w:space="0" w:color="auto"/>
                        <w:right w:val="none" w:sz="0" w:space="0" w:color="auto"/>
                      </w:divBdr>
                    </w:div>
                  </w:divsChild>
                </w:div>
                <w:div w:id="1824925818">
                  <w:marLeft w:val="0"/>
                  <w:marRight w:val="0"/>
                  <w:marTop w:val="0"/>
                  <w:marBottom w:val="0"/>
                  <w:divBdr>
                    <w:top w:val="none" w:sz="0" w:space="0" w:color="auto"/>
                    <w:left w:val="none" w:sz="0" w:space="0" w:color="auto"/>
                    <w:bottom w:val="none" w:sz="0" w:space="0" w:color="auto"/>
                    <w:right w:val="none" w:sz="0" w:space="0" w:color="auto"/>
                  </w:divBdr>
                  <w:divsChild>
                    <w:div w:id="917325602">
                      <w:marLeft w:val="0"/>
                      <w:marRight w:val="0"/>
                      <w:marTop w:val="0"/>
                      <w:marBottom w:val="0"/>
                      <w:divBdr>
                        <w:top w:val="none" w:sz="0" w:space="0" w:color="auto"/>
                        <w:left w:val="none" w:sz="0" w:space="0" w:color="auto"/>
                        <w:bottom w:val="none" w:sz="0" w:space="0" w:color="auto"/>
                        <w:right w:val="none" w:sz="0" w:space="0" w:color="auto"/>
                      </w:divBdr>
                    </w:div>
                    <w:div w:id="1845198743">
                      <w:marLeft w:val="0"/>
                      <w:marRight w:val="0"/>
                      <w:marTop w:val="0"/>
                      <w:marBottom w:val="0"/>
                      <w:divBdr>
                        <w:top w:val="none" w:sz="0" w:space="0" w:color="auto"/>
                        <w:left w:val="none" w:sz="0" w:space="0" w:color="auto"/>
                        <w:bottom w:val="none" w:sz="0" w:space="0" w:color="auto"/>
                        <w:right w:val="none" w:sz="0" w:space="0" w:color="auto"/>
                      </w:divBdr>
                    </w:div>
                  </w:divsChild>
                </w:div>
                <w:div w:id="956644961">
                  <w:marLeft w:val="0"/>
                  <w:marRight w:val="0"/>
                  <w:marTop w:val="0"/>
                  <w:marBottom w:val="0"/>
                  <w:divBdr>
                    <w:top w:val="none" w:sz="0" w:space="0" w:color="auto"/>
                    <w:left w:val="none" w:sz="0" w:space="0" w:color="auto"/>
                    <w:bottom w:val="none" w:sz="0" w:space="0" w:color="auto"/>
                    <w:right w:val="none" w:sz="0" w:space="0" w:color="auto"/>
                  </w:divBdr>
                  <w:divsChild>
                    <w:div w:id="1893229698">
                      <w:marLeft w:val="0"/>
                      <w:marRight w:val="0"/>
                      <w:marTop w:val="0"/>
                      <w:marBottom w:val="0"/>
                      <w:divBdr>
                        <w:top w:val="none" w:sz="0" w:space="0" w:color="auto"/>
                        <w:left w:val="none" w:sz="0" w:space="0" w:color="auto"/>
                        <w:bottom w:val="none" w:sz="0" w:space="0" w:color="auto"/>
                        <w:right w:val="none" w:sz="0" w:space="0" w:color="auto"/>
                      </w:divBdr>
                    </w:div>
                    <w:div w:id="2001427477">
                      <w:marLeft w:val="0"/>
                      <w:marRight w:val="0"/>
                      <w:marTop w:val="0"/>
                      <w:marBottom w:val="0"/>
                      <w:divBdr>
                        <w:top w:val="none" w:sz="0" w:space="0" w:color="auto"/>
                        <w:left w:val="none" w:sz="0" w:space="0" w:color="auto"/>
                        <w:bottom w:val="none" w:sz="0" w:space="0" w:color="auto"/>
                        <w:right w:val="none" w:sz="0" w:space="0" w:color="auto"/>
                      </w:divBdr>
                    </w:div>
                  </w:divsChild>
                </w:div>
                <w:div w:id="998340412">
                  <w:marLeft w:val="0"/>
                  <w:marRight w:val="0"/>
                  <w:marTop w:val="0"/>
                  <w:marBottom w:val="0"/>
                  <w:divBdr>
                    <w:top w:val="none" w:sz="0" w:space="0" w:color="auto"/>
                    <w:left w:val="none" w:sz="0" w:space="0" w:color="auto"/>
                    <w:bottom w:val="none" w:sz="0" w:space="0" w:color="auto"/>
                    <w:right w:val="none" w:sz="0" w:space="0" w:color="auto"/>
                  </w:divBdr>
                  <w:divsChild>
                    <w:div w:id="452753142">
                      <w:marLeft w:val="0"/>
                      <w:marRight w:val="0"/>
                      <w:marTop w:val="0"/>
                      <w:marBottom w:val="0"/>
                      <w:divBdr>
                        <w:top w:val="none" w:sz="0" w:space="0" w:color="auto"/>
                        <w:left w:val="none" w:sz="0" w:space="0" w:color="auto"/>
                        <w:bottom w:val="none" w:sz="0" w:space="0" w:color="auto"/>
                        <w:right w:val="none" w:sz="0" w:space="0" w:color="auto"/>
                      </w:divBdr>
                    </w:div>
                    <w:div w:id="1827240526">
                      <w:marLeft w:val="0"/>
                      <w:marRight w:val="0"/>
                      <w:marTop w:val="0"/>
                      <w:marBottom w:val="0"/>
                      <w:divBdr>
                        <w:top w:val="none" w:sz="0" w:space="0" w:color="auto"/>
                        <w:left w:val="none" w:sz="0" w:space="0" w:color="auto"/>
                        <w:bottom w:val="none" w:sz="0" w:space="0" w:color="auto"/>
                        <w:right w:val="none" w:sz="0" w:space="0" w:color="auto"/>
                      </w:divBdr>
                    </w:div>
                  </w:divsChild>
                </w:div>
                <w:div w:id="1875069115">
                  <w:marLeft w:val="0"/>
                  <w:marRight w:val="0"/>
                  <w:marTop w:val="0"/>
                  <w:marBottom w:val="0"/>
                  <w:divBdr>
                    <w:top w:val="none" w:sz="0" w:space="0" w:color="auto"/>
                    <w:left w:val="none" w:sz="0" w:space="0" w:color="auto"/>
                    <w:bottom w:val="none" w:sz="0" w:space="0" w:color="auto"/>
                    <w:right w:val="none" w:sz="0" w:space="0" w:color="auto"/>
                  </w:divBdr>
                  <w:divsChild>
                    <w:div w:id="1467890285">
                      <w:marLeft w:val="0"/>
                      <w:marRight w:val="0"/>
                      <w:marTop w:val="0"/>
                      <w:marBottom w:val="0"/>
                      <w:divBdr>
                        <w:top w:val="none" w:sz="0" w:space="0" w:color="auto"/>
                        <w:left w:val="none" w:sz="0" w:space="0" w:color="auto"/>
                        <w:bottom w:val="none" w:sz="0" w:space="0" w:color="auto"/>
                        <w:right w:val="none" w:sz="0" w:space="0" w:color="auto"/>
                      </w:divBdr>
                    </w:div>
                    <w:div w:id="20812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065678">
      <w:bodyDiv w:val="1"/>
      <w:marLeft w:val="0"/>
      <w:marRight w:val="0"/>
      <w:marTop w:val="0"/>
      <w:marBottom w:val="0"/>
      <w:divBdr>
        <w:top w:val="none" w:sz="0" w:space="0" w:color="auto"/>
        <w:left w:val="none" w:sz="0" w:space="0" w:color="auto"/>
        <w:bottom w:val="none" w:sz="0" w:space="0" w:color="auto"/>
        <w:right w:val="none" w:sz="0" w:space="0" w:color="auto"/>
      </w:divBdr>
      <w:divsChild>
        <w:div w:id="240255572">
          <w:marLeft w:val="0"/>
          <w:marRight w:val="0"/>
          <w:marTop w:val="0"/>
          <w:marBottom w:val="0"/>
          <w:divBdr>
            <w:top w:val="none" w:sz="0" w:space="0" w:color="auto"/>
            <w:left w:val="none" w:sz="0" w:space="0" w:color="auto"/>
            <w:bottom w:val="none" w:sz="0" w:space="0" w:color="auto"/>
            <w:right w:val="none" w:sz="0" w:space="0" w:color="auto"/>
          </w:divBdr>
          <w:divsChild>
            <w:div w:id="1035153822">
              <w:marLeft w:val="0"/>
              <w:marRight w:val="0"/>
              <w:marTop w:val="0"/>
              <w:marBottom w:val="0"/>
              <w:divBdr>
                <w:top w:val="none" w:sz="0" w:space="0" w:color="auto"/>
                <w:left w:val="none" w:sz="0" w:space="0" w:color="auto"/>
                <w:bottom w:val="none" w:sz="0" w:space="0" w:color="auto"/>
                <w:right w:val="none" w:sz="0" w:space="0" w:color="auto"/>
              </w:divBdr>
              <w:divsChild>
                <w:div w:id="167719034">
                  <w:marLeft w:val="0"/>
                  <w:marRight w:val="0"/>
                  <w:marTop w:val="0"/>
                  <w:marBottom w:val="0"/>
                  <w:divBdr>
                    <w:top w:val="none" w:sz="0" w:space="0" w:color="auto"/>
                    <w:left w:val="none" w:sz="0" w:space="0" w:color="auto"/>
                    <w:bottom w:val="none" w:sz="0" w:space="0" w:color="auto"/>
                    <w:right w:val="none" w:sz="0" w:space="0" w:color="auto"/>
                  </w:divBdr>
                </w:div>
              </w:divsChild>
            </w:div>
            <w:div w:id="1337882956">
              <w:marLeft w:val="0"/>
              <w:marRight w:val="0"/>
              <w:marTop w:val="0"/>
              <w:marBottom w:val="0"/>
              <w:divBdr>
                <w:top w:val="none" w:sz="0" w:space="0" w:color="auto"/>
                <w:left w:val="none" w:sz="0" w:space="0" w:color="auto"/>
                <w:bottom w:val="none" w:sz="0" w:space="0" w:color="auto"/>
                <w:right w:val="none" w:sz="0" w:space="0" w:color="auto"/>
              </w:divBdr>
              <w:divsChild>
                <w:div w:id="32199688">
                  <w:marLeft w:val="0"/>
                  <w:marRight w:val="0"/>
                  <w:marTop w:val="0"/>
                  <w:marBottom w:val="0"/>
                  <w:divBdr>
                    <w:top w:val="none" w:sz="0" w:space="0" w:color="auto"/>
                    <w:left w:val="none" w:sz="0" w:space="0" w:color="auto"/>
                    <w:bottom w:val="none" w:sz="0" w:space="0" w:color="auto"/>
                    <w:right w:val="none" w:sz="0" w:space="0" w:color="auto"/>
                  </w:divBdr>
                </w:div>
              </w:divsChild>
            </w:div>
            <w:div w:id="37047822">
              <w:marLeft w:val="0"/>
              <w:marRight w:val="0"/>
              <w:marTop w:val="0"/>
              <w:marBottom w:val="0"/>
              <w:divBdr>
                <w:top w:val="none" w:sz="0" w:space="0" w:color="auto"/>
                <w:left w:val="none" w:sz="0" w:space="0" w:color="auto"/>
                <w:bottom w:val="none" w:sz="0" w:space="0" w:color="auto"/>
                <w:right w:val="none" w:sz="0" w:space="0" w:color="auto"/>
              </w:divBdr>
              <w:divsChild>
                <w:div w:id="328682331">
                  <w:marLeft w:val="0"/>
                  <w:marRight w:val="0"/>
                  <w:marTop w:val="0"/>
                  <w:marBottom w:val="0"/>
                  <w:divBdr>
                    <w:top w:val="none" w:sz="0" w:space="0" w:color="auto"/>
                    <w:left w:val="none" w:sz="0" w:space="0" w:color="auto"/>
                    <w:bottom w:val="none" w:sz="0" w:space="0" w:color="auto"/>
                    <w:right w:val="none" w:sz="0" w:space="0" w:color="auto"/>
                  </w:divBdr>
                </w:div>
              </w:divsChild>
            </w:div>
            <w:div w:id="1798839164">
              <w:marLeft w:val="0"/>
              <w:marRight w:val="0"/>
              <w:marTop w:val="0"/>
              <w:marBottom w:val="0"/>
              <w:divBdr>
                <w:top w:val="none" w:sz="0" w:space="0" w:color="auto"/>
                <w:left w:val="none" w:sz="0" w:space="0" w:color="auto"/>
                <w:bottom w:val="none" w:sz="0" w:space="0" w:color="auto"/>
                <w:right w:val="none" w:sz="0" w:space="0" w:color="auto"/>
              </w:divBdr>
              <w:divsChild>
                <w:div w:id="147748585">
                  <w:marLeft w:val="0"/>
                  <w:marRight w:val="0"/>
                  <w:marTop w:val="0"/>
                  <w:marBottom w:val="0"/>
                  <w:divBdr>
                    <w:top w:val="none" w:sz="0" w:space="0" w:color="auto"/>
                    <w:left w:val="none" w:sz="0" w:space="0" w:color="auto"/>
                    <w:bottom w:val="none" w:sz="0" w:space="0" w:color="auto"/>
                    <w:right w:val="none" w:sz="0" w:space="0" w:color="auto"/>
                  </w:divBdr>
                </w:div>
              </w:divsChild>
            </w:div>
            <w:div w:id="1996566164">
              <w:marLeft w:val="0"/>
              <w:marRight w:val="0"/>
              <w:marTop w:val="0"/>
              <w:marBottom w:val="0"/>
              <w:divBdr>
                <w:top w:val="none" w:sz="0" w:space="0" w:color="auto"/>
                <w:left w:val="none" w:sz="0" w:space="0" w:color="auto"/>
                <w:bottom w:val="none" w:sz="0" w:space="0" w:color="auto"/>
                <w:right w:val="none" w:sz="0" w:space="0" w:color="auto"/>
              </w:divBdr>
              <w:divsChild>
                <w:div w:id="1410931603">
                  <w:marLeft w:val="0"/>
                  <w:marRight w:val="0"/>
                  <w:marTop w:val="0"/>
                  <w:marBottom w:val="0"/>
                  <w:divBdr>
                    <w:top w:val="none" w:sz="0" w:space="0" w:color="auto"/>
                    <w:left w:val="none" w:sz="0" w:space="0" w:color="auto"/>
                    <w:bottom w:val="none" w:sz="0" w:space="0" w:color="auto"/>
                    <w:right w:val="none" w:sz="0" w:space="0" w:color="auto"/>
                  </w:divBdr>
                  <w:divsChild>
                    <w:div w:id="179662256">
                      <w:marLeft w:val="0"/>
                      <w:marRight w:val="0"/>
                      <w:marTop w:val="0"/>
                      <w:marBottom w:val="0"/>
                      <w:divBdr>
                        <w:top w:val="none" w:sz="0" w:space="0" w:color="auto"/>
                        <w:left w:val="none" w:sz="0" w:space="0" w:color="auto"/>
                        <w:bottom w:val="none" w:sz="0" w:space="0" w:color="auto"/>
                        <w:right w:val="none" w:sz="0" w:space="0" w:color="auto"/>
                      </w:divBdr>
                      <w:divsChild>
                        <w:div w:id="1712532991">
                          <w:marLeft w:val="0"/>
                          <w:marRight w:val="0"/>
                          <w:marTop w:val="0"/>
                          <w:marBottom w:val="0"/>
                          <w:divBdr>
                            <w:top w:val="none" w:sz="0" w:space="0" w:color="auto"/>
                            <w:left w:val="none" w:sz="0" w:space="0" w:color="auto"/>
                            <w:bottom w:val="none" w:sz="0" w:space="0" w:color="auto"/>
                            <w:right w:val="none" w:sz="0" w:space="0" w:color="auto"/>
                          </w:divBdr>
                        </w:div>
                        <w:div w:id="785201093">
                          <w:marLeft w:val="0"/>
                          <w:marRight w:val="0"/>
                          <w:marTop w:val="0"/>
                          <w:marBottom w:val="0"/>
                          <w:divBdr>
                            <w:top w:val="none" w:sz="0" w:space="0" w:color="auto"/>
                            <w:left w:val="none" w:sz="0" w:space="0" w:color="auto"/>
                            <w:bottom w:val="none" w:sz="0" w:space="0" w:color="auto"/>
                            <w:right w:val="none" w:sz="0" w:space="0" w:color="auto"/>
                          </w:divBdr>
                        </w:div>
                      </w:divsChild>
                    </w:div>
                    <w:div w:id="422527932">
                      <w:marLeft w:val="0"/>
                      <w:marRight w:val="0"/>
                      <w:marTop w:val="0"/>
                      <w:marBottom w:val="0"/>
                      <w:divBdr>
                        <w:top w:val="none" w:sz="0" w:space="0" w:color="auto"/>
                        <w:left w:val="none" w:sz="0" w:space="0" w:color="auto"/>
                        <w:bottom w:val="none" w:sz="0" w:space="0" w:color="auto"/>
                        <w:right w:val="none" w:sz="0" w:space="0" w:color="auto"/>
                      </w:divBdr>
                      <w:divsChild>
                        <w:div w:id="294799743">
                          <w:marLeft w:val="0"/>
                          <w:marRight w:val="0"/>
                          <w:marTop w:val="0"/>
                          <w:marBottom w:val="0"/>
                          <w:divBdr>
                            <w:top w:val="none" w:sz="0" w:space="0" w:color="auto"/>
                            <w:left w:val="none" w:sz="0" w:space="0" w:color="auto"/>
                            <w:bottom w:val="none" w:sz="0" w:space="0" w:color="auto"/>
                            <w:right w:val="none" w:sz="0" w:space="0" w:color="auto"/>
                          </w:divBdr>
                        </w:div>
                        <w:div w:id="1025717539">
                          <w:marLeft w:val="0"/>
                          <w:marRight w:val="0"/>
                          <w:marTop w:val="0"/>
                          <w:marBottom w:val="0"/>
                          <w:divBdr>
                            <w:top w:val="none" w:sz="0" w:space="0" w:color="auto"/>
                            <w:left w:val="none" w:sz="0" w:space="0" w:color="auto"/>
                            <w:bottom w:val="none" w:sz="0" w:space="0" w:color="auto"/>
                            <w:right w:val="none" w:sz="0" w:space="0" w:color="auto"/>
                          </w:divBdr>
                        </w:div>
                      </w:divsChild>
                    </w:div>
                    <w:div w:id="479422273">
                      <w:marLeft w:val="0"/>
                      <w:marRight w:val="0"/>
                      <w:marTop w:val="0"/>
                      <w:marBottom w:val="0"/>
                      <w:divBdr>
                        <w:top w:val="none" w:sz="0" w:space="0" w:color="auto"/>
                        <w:left w:val="none" w:sz="0" w:space="0" w:color="auto"/>
                        <w:bottom w:val="none" w:sz="0" w:space="0" w:color="auto"/>
                        <w:right w:val="none" w:sz="0" w:space="0" w:color="auto"/>
                      </w:divBdr>
                      <w:divsChild>
                        <w:div w:id="591931292">
                          <w:marLeft w:val="0"/>
                          <w:marRight w:val="0"/>
                          <w:marTop w:val="0"/>
                          <w:marBottom w:val="0"/>
                          <w:divBdr>
                            <w:top w:val="none" w:sz="0" w:space="0" w:color="auto"/>
                            <w:left w:val="none" w:sz="0" w:space="0" w:color="auto"/>
                            <w:bottom w:val="none" w:sz="0" w:space="0" w:color="auto"/>
                            <w:right w:val="none" w:sz="0" w:space="0" w:color="auto"/>
                          </w:divBdr>
                        </w:div>
                        <w:div w:id="516309427">
                          <w:marLeft w:val="0"/>
                          <w:marRight w:val="0"/>
                          <w:marTop w:val="0"/>
                          <w:marBottom w:val="0"/>
                          <w:divBdr>
                            <w:top w:val="none" w:sz="0" w:space="0" w:color="auto"/>
                            <w:left w:val="none" w:sz="0" w:space="0" w:color="auto"/>
                            <w:bottom w:val="none" w:sz="0" w:space="0" w:color="auto"/>
                            <w:right w:val="none" w:sz="0" w:space="0" w:color="auto"/>
                          </w:divBdr>
                        </w:div>
                      </w:divsChild>
                    </w:div>
                    <w:div w:id="937983094">
                      <w:marLeft w:val="0"/>
                      <w:marRight w:val="0"/>
                      <w:marTop w:val="0"/>
                      <w:marBottom w:val="0"/>
                      <w:divBdr>
                        <w:top w:val="none" w:sz="0" w:space="0" w:color="auto"/>
                        <w:left w:val="none" w:sz="0" w:space="0" w:color="auto"/>
                        <w:bottom w:val="none" w:sz="0" w:space="0" w:color="auto"/>
                        <w:right w:val="none" w:sz="0" w:space="0" w:color="auto"/>
                      </w:divBdr>
                      <w:divsChild>
                        <w:div w:id="1063792403">
                          <w:marLeft w:val="0"/>
                          <w:marRight w:val="0"/>
                          <w:marTop w:val="0"/>
                          <w:marBottom w:val="0"/>
                          <w:divBdr>
                            <w:top w:val="none" w:sz="0" w:space="0" w:color="auto"/>
                            <w:left w:val="none" w:sz="0" w:space="0" w:color="auto"/>
                            <w:bottom w:val="none" w:sz="0" w:space="0" w:color="auto"/>
                            <w:right w:val="none" w:sz="0" w:space="0" w:color="auto"/>
                          </w:divBdr>
                        </w:div>
                        <w:div w:id="2004815070">
                          <w:marLeft w:val="0"/>
                          <w:marRight w:val="0"/>
                          <w:marTop w:val="0"/>
                          <w:marBottom w:val="0"/>
                          <w:divBdr>
                            <w:top w:val="none" w:sz="0" w:space="0" w:color="auto"/>
                            <w:left w:val="none" w:sz="0" w:space="0" w:color="auto"/>
                            <w:bottom w:val="none" w:sz="0" w:space="0" w:color="auto"/>
                            <w:right w:val="none" w:sz="0" w:space="0" w:color="auto"/>
                          </w:divBdr>
                        </w:div>
                      </w:divsChild>
                    </w:div>
                    <w:div w:id="44761549">
                      <w:marLeft w:val="0"/>
                      <w:marRight w:val="0"/>
                      <w:marTop w:val="0"/>
                      <w:marBottom w:val="0"/>
                      <w:divBdr>
                        <w:top w:val="none" w:sz="0" w:space="0" w:color="auto"/>
                        <w:left w:val="none" w:sz="0" w:space="0" w:color="auto"/>
                        <w:bottom w:val="none" w:sz="0" w:space="0" w:color="auto"/>
                        <w:right w:val="none" w:sz="0" w:space="0" w:color="auto"/>
                      </w:divBdr>
                      <w:divsChild>
                        <w:div w:id="1614434968">
                          <w:marLeft w:val="0"/>
                          <w:marRight w:val="0"/>
                          <w:marTop w:val="0"/>
                          <w:marBottom w:val="0"/>
                          <w:divBdr>
                            <w:top w:val="none" w:sz="0" w:space="0" w:color="auto"/>
                            <w:left w:val="none" w:sz="0" w:space="0" w:color="auto"/>
                            <w:bottom w:val="none" w:sz="0" w:space="0" w:color="auto"/>
                            <w:right w:val="none" w:sz="0" w:space="0" w:color="auto"/>
                          </w:divBdr>
                        </w:div>
                        <w:div w:id="730230305">
                          <w:marLeft w:val="0"/>
                          <w:marRight w:val="0"/>
                          <w:marTop w:val="0"/>
                          <w:marBottom w:val="0"/>
                          <w:divBdr>
                            <w:top w:val="none" w:sz="0" w:space="0" w:color="auto"/>
                            <w:left w:val="none" w:sz="0" w:space="0" w:color="auto"/>
                            <w:bottom w:val="none" w:sz="0" w:space="0" w:color="auto"/>
                            <w:right w:val="none" w:sz="0" w:space="0" w:color="auto"/>
                          </w:divBdr>
                        </w:div>
                      </w:divsChild>
                    </w:div>
                    <w:div w:id="726537412">
                      <w:marLeft w:val="0"/>
                      <w:marRight w:val="0"/>
                      <w:marTop w:val="0"/>
                      <w:marBottom w:val="0"/>
                      <w:divBdr>
                        <w:top w:val="none" w:sz="0" w:space="0" w:color="auto"/>
                        <w:left w:val="none" w:sz="0" w:space="0" w:color="auto"/>
                        <w:bottom w:val="none" w:sz="0" w:space="0" w:color="auto"/>
                        <w:right w:val="none" w:sz="0" w:space="0" w:color="auto"/>
                      </w:divBdr>
                      <w:divsChild>
                        <w:div w:id="742796760">
                          <w:marLeft w:val="0"/>
                          <w:marRight w:val="0"/>
                          <w:marTop w:val="0"/>
                          <w:marBottom w:val="0"/>
                          <w:divBdr>
                            <w:top w:val="none" w:sz="0" w:space="0" w:color="auto"/>
                            <w:left w:val="none" w:sz="0" w:space="0" w:color="auto"/>
                            <w:bottom w:val="none" w:sz="0" w:space="0" w:color="auto"/>
                            <w:right w:val="none" w:sz="0" w:space="0" w:color="auto"/>
                          </w:divBdr>
                        </w:div>
                        <w:div w:id="1429153239">
                          <w:marLeft w:val="0"/>
                          <w:marRight w:val="0"/>
                          <w:marTop w:val="0"/>
                          <w:marBottom w:val="0"/>
                          <w:divBdr>
                            <w:top w:val="none" w:sz="0" w:space="0" w:color="auto"/>
                            <w:left w:val="none" w:sz="0" w:space="0" w:color="auto"/>
                            <w:bottom w:val="none" w:sz="0" w:space="0" w:color="auto"/>
                            <w:right w:val="none" w:sz="0" w:space="0" w:color="auto"/>
                          </w:divBdr>
                        </w:div>
                      </w:divsChild>
                    </w:div>
                    <w:div w:id="1331176128">
                      <w:marLeft w:val="0"/>
                      <w:marRight w:val="0"/>
                      <w:marTop w:val="0"/>
                      <w:marBottom w:val="0"/>
                      <w:divBdr>
                        <w:top w:val="none" w:sz="0" w:space="0" w:color="auto"/>
                        <w:left w:val="none" w:sz="0" w:space="0" w:color="auto"/>
                        <w:bottom w:val="none" w:sz="0" w:space="0" w:color="auto"/>
                        <w:right w:val="none" w:sz="0" w:space="0" w:color="auto"/>
                      </w:divBdr>
                      <w:divsChild>
                        <w:div w:id="715201571">
                          <w:marLeft w:val="0"/>
                          <w:marRight w:val="0"/>
                          <w:marTop w:val="0"/>
                          <w:marBottom w:val="0"/>
                          <w:divBdr>
                            <w:top w:val="none" w:sz="0" w:space="0" w:color="auto"/>
                            <w:left w:val="none" w:sz="0" w:space="0" w:color="auto"/>
                            <w:bottom w:val="none" w:sz="0" w:space="0" w:color="auto"/>
                            <w:right w:val="none" w:sz="0" w:space="0" w:color="auto"/>
                          </w:divBdr>
                        </w:div>
                        <w:div w:id="1849518089">
                          <w:marLeft w:val="0"/>
                          <w:marRight w:val="0"/>
                          <w:marTop w:val="0"/>
                          <w:marBottom w:val="0"/>
                          <w:divBdr>
                            <w:top w:val="none" w:sz="0" w:space="0" w:color="auto"/>
                            <w:left w:val="none" w:sz="0" w:space="0" w:color="auto"/>
                            <w:bottom w:val="none" w:sz="0" w:space="0" w:color="auto"/>
                            <w:right w:val="none" w:sz="0" w:space="0" w:color="auto"/>
                          </w:divBdr>
                        </w:div>
                      </w:divsChild>
                    </w:div>
                    <w:div w:id="1533764686">
                      <w:marLeft w:val="0"/>
                      <w:marRight w:val="0"/>
                      <w:marTop w:val="0"/>
                      <w:marBottom w:val="0"/>
                      <w:divBdr>
                        <w:top w:val="none" w:sz="0" w:space="0" w:color="auto"/>
                        <w:left w:val="none" w:sz="0" w:space="0" w:color="auto"/>
                        <w:bottom w:val="none" w:sz="0" w:space="0" w:color="auto"/>
                        <w:right w:val="none" w:sz="0" w:space="0" w:color="auto"/>
                      </w:divBdr>
                      <w:divsChild>
                        <w:div w:id="576671837">
                          <w:marLeft w:val="0"/>
                          <w:marRight w:val="0"/>
                          <w:marTop w:val="0"/>
                          <w:marBottom w:val="0"/>
                          <w:divBdr>
                            <w:top w:val="none" w:sz="0" w:space="0" w:color="auto"/>
                            <w:left w:val="none" w:sz="0" w:space="0" w:color="auto"/>
                            <w:bottom w:val="none" w:sz="0" w:space="0" w:color="auto"/>
                            <w:right w:val="none" w:sz="0" w:space="0" w:color="auto"/>
                          </w:divBdr>
                        </w:div>
                        <w:div w:id="676617315">
                          <w:marLeft w:val="0"/>
                          <w:marRight w:val="0"/>
                          <w:marTop w:val="0"/>
                          <w:marBottom w:val="0"/>
                          <w:divBdr>
                            <w:top w:val="none" w:sz="0" w:space="0" w:color="auto"/>
                            <w:left w:val="none" w:sz="0" w:space="0" w:color="auto"/>
                            <w:bottom w:val="none" w:sz="0" w:space="0" w:color="auto"/>
                            <w:right w:val="none" w:sz="0" w:space="0" w:color="auto"/>
                          </w:divBdr>
                        </w:div>
                      </w:divsChild>
                    </w:div>
                    <w:div w:id="1718238985">
                      <w:marLeft w:val="0"/>
                      <w:marRight w:val="0"/>
                      <w:marTop w:val="0"/>
                      <w:marBottom w:val="0"/>
                      <w:divBdr>
                        <w:top w:val="none" w:sz="0" w:space="0" w:color="auto"/>
                        <w:left w:val="none" w:sz="0" w:space="0" w:color="auto"/>
                        <w:bottom w:val="none" w:sz="0" w:space="0" w:color="auto"/>
                        <w:right w:val="none" w:sz="0" w:space="0" w:color="auto"/>
                      </w:divBdr>
                      <w:divsChild>
                        <w:div w:id="895429232">
                          <w:marLeft w:val="0"/>
                          <w:marRight w:val="0"/>
                          <w:marTop w:val="0"/>
                          <w:marBottom w:val="0"/>
                          <w:divBdr>
                            <w:top w:val="none" w:sz="0" w:space="0" w:color="auto"/>
                            <w:left w:val="none" w:sz="0" w:space="0" w:color="auto"/>
                            <w:bottom w:val="none" w:sz="0" w:space="0" w:color="auto"/>
                            <w:right w:val="none" w:sz="0" w:space="0" w:color="auto"/>
                          </w:divBdr>
                        </w:div>
                        <w:div w:id="573249123">
                          <w:marLeft w:val="0"/>
                          <w:marRight w:val="0"/>
                          <w:marTop w:val="0"/>
                          <w:marBottom w:val="0"/>
                          <w:divBdr>
                            <w:top w:val="none" w:sz="0" w:space="0" w:color="auto"/>
                            <w:left w:val="none" w:sz="0" w:space="0" w:color="auto"/>
                            <w:bottom w:val="none" w:sz="0" w:space="0" w:color="auto"/>
                            <w:right w:val="none" w:sz="0" w:space="0" w:color="auto"/>
                          </w:divBdr>
                        </w:div>
                      </w:divsChild>
                    </w:div>
                    <w:div w:id="1375278125">
                      <w:marLeft w:val="0"/>
                      <w:marRight w:val="0"/>
                      <w:marTop w:val="0"/>
                      <w:marBottom w:val="0"/>
                      <w:divBdr>
                        <w:top w:val="none" w:sz="0" w:space="0" w:color="auto"/>
                        <w:left w:val="none" w:sz="0" w:space="0" w:color="auto"/>
                        <w:bottom w:val="none" w:sz="0" w:space="0" w:color="auto"/>
                        <w:right w:val="none" w:sz="0" w:space="0" w:color="auto"/>
                      </w:divBdr>
                      <w:divsChild>
                        <w:div w:id="1747216226">
                          <w:marLeft w:val="0"/>
                          <w:marRight w:val="0"/>
                          <w:marTop w:val="0"/>
                          <w:marBottom w:val="0"/>
                          <w:divBdr>
                            <w:top w:val="none" w:sz="0" w:space="0" w:color="auto"/>
                            <w:left w:val="none" w:sz="0" w:space="0" w:color="auto"/>
                            <w:bottom w:val="none" w:sz="0" w:space="0" w:color="auto"/>
                            <w:right w:val="none" w:sz="0" w:space="0" w:color="auto"/>
                          </w:divBdr>
                        </w:div>
                        <w:div w:id="1987972633">
                          <w:marLeft w:val="0"/>
                          <w:marRight w:val="0"/>
                          <w:marTop w:val="0"/>
                          <w:marBottom w:val="0"/>
                          <w:divBdr>
                            <w:top w:val="none" w:sz="0" w:space="0" w:color="auto"/>
                            <w:left w:val="none" w:sz="0" w:space="0" w:color="auto"/>
                            <w:bottom w:val="none" w:sz="0" w:space="0" w:color="auto"/>
                            <w:right w:val="none" w:sz="0" w:space="0" w:color="auto"/>
                          </w:divBdr>
                          <w:divsChild>
                            <w:div w:id="344871612">
                              <w:marLeft w:val="0"/>
                              <w:marRight w:val="0"/>
                              <w:marTop w:val="0"/>
                              <w:marBottom w:val="0"/>
                              <w:divBdr>
                                <w:top w:val="none" w:sz="0" w:space="0" w:color="auto"/>
                                <w:left w:val="none" w:sz="0" w:space="0" w:color="auto"/>
                                <w:bottom w:val="none" w:sz="0" w:space="0" w:color="auto"/>
                                <w:right w:val="none" w:sz="0" w:space="0" w:color="auto"/>
                              </w:divBdr>
                              <w:divsChild>
                                <w:div w:id="1106583255">
                                  <w:marLeft w:val="0"/>
                                  <w:marRight w:val="0"/>
                                  <w:marTop w:val="0"/>
                                  <w:marBottom w:val="0"/>
                                  <w:divBdr>
                                    <w:top w:val="none" w:sz="0" w:space="0" w:color="auto"/>
                                    <w:left w:val="none" w:sz="0" w:space="0" w:color="auto"/>
                                    <w:bottom w:val="none" w:sz="0" w:space="0" w:color="auto"/>
                                    <w:right w:val="none" w:sz="0" w:space="0" w:color="auto"/>
                                  </w:divBdr>
                                </w:div>
                                <w:div w:id="923105029">
                                  <w:marLeft w:val="0"/>
                                  <w:marRight w:val="0"/>
                                  <w:marTop w:val="0"/>
                                  <w:marBottom w:val="0"/>
                                  <w:divBdr>
                                    <w:top w:val="none" w:sz="0" w:space="0" w:color="auto"/>
                                    <w:left w:val="none" w:sz="0" w:space="0" w:color="auto"/>
                                    <w:bottom w:val="none" w:sz="0" w:space="0" w:color="auto"/>
                                    <w:right w:val="none" w:sz="0" w:space="0" w:color="auto"/>
                                  </w:divBdr>
                                  <w:divsChild>
                                    <w:div w:id="6871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5247">
                              <w:marLeft w:val="0"/>
                              <w:marRight w:val="0"/>
                              <w:marTop w:val="0"/>
                              <w:marBottom w:val="0"/>
                              <w:divBdr>
                                <w:top w:val="none" w:sz="0" w:space="0" w:color="auto"/>
                                <w:left w:val="none" w:sz="0" w:space="0" w:color="auto"/>
                                <w:bottom w:val="none" w:sz="0" w:space="0" w:color="auto"/>
                                <w:right w:val="none" w:sz="0" w:space="0" w:color="auto"/>
                              </w:divBdr>
                              <w:divsChild>
                                <w:div w:id="412556098">
                                  <w:marLeft w:val="0"/>
                                  <w:marRight w:val="0"/>
                                  <w:marTop w:val="0"/>
                                  <w:marBottom w:val="0"/>
                                  <w:divBdr>
                                    <w:top w:val="none" w:sz="0" w:space="0" w:color="auto"/>
                                    <w:left w:val="none" w:sz="0" w:space="0" w:color="auto"/>
                                    <w:bottom w:val="none" w:sz="0" w:space="0" w:color="auto"/>
                                    <w:right w:val="none" w:sz="0" w:space="0" w:color="auto"/>
                                  </w:divBdr>
                                </w:div>
                                <w:div w:id="1441603411">
                                  <w:marLeft w:val="0"/>
                                  <w:marRight w:val="0"/>
                                  <w:marTop w:val="0"/>
                                  <w:marBottom w:val="0"/>
                                  <w:divBdr>
                                    <w:top w:val="none" w:sz="0" w:space="0" w:color="auto"/>
                                    <w:left w:val="none" w:sz="0" w:space="0" w:color="auto"/>
                                    <w:bottom w:val="none" w:sz="0" w:space="0" w:color="auto"/>
                                    <w:right w:val="none" w:sz="0" w:space="0" w:color="auto"/>
                                  </w:divBdr>
                                  <w:divsChild>
                                    <w:div w:id="1291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644146">
                      <w:marLeft w:val="0"/>
                      <w:marRight w:val="0"/>
                      <w:marTop w:val="0"/>
                      <w:marBottom w:val="0"/>
                      <w:divBdr>
                        <w:top w:val="none" w:sz="0" w:space="0" w:color="auto"/>
                        <w:left w:val="none" w:sz="0" w:space="0" w:color="auto"/>
                        <w:bottom w:val="none" w:sz="0" w:space="0" w:color="auto"/>
                        <w:right w:val="none" w:sz="0" w:space="0" w:color="auto"/>
                      </w:divBdr>
                      <w:divsChild>
                        <w:div w:id="389111469">
                          <w:marLeft w:val="0"/>
                          <w:marRight w:val="0"/>
                          <w:marTop w:val="0"/>
                          <w:marBottom w:val="0"/>
                          <w:divBdr>
                            <w:top w:val="none" w:sz="0" w:space="0" w:color="auto"/>
                            <w:left w:val="none" w:sz="0" w:space="0" w:color="auto"/>
                            <w:bottom w:val="none" w:sz="0" w:space="0" w:color="auto"/>
                            <w:right w:val="none" w:sz="0" w:space="0" w:color="auto"/>
                          </w:divBdr>
                        </w:div>
                        <w:div w:id="1228496981">
                          <w:marLeft w:val="0"/>
                          <w:marRight w:val="0"/>
                          <w:marTop w:val="0"/>
                          <w:marBottom w:val="0"/>
                          <w:divBdr>
                            <w:top w:val="none" w:sz="0" w:space="0" w:color="auto"/>
                            <w:left w:val="none" w:sz="0" w:space="0" w:color="auto"/>
                            <w:bottom w:val="none" w:sz="0" w:space="0" w:color="auto"/>
                            <w:right w:val="none" w:sz="0" w:space="0" w:color="auto"/>
                          </w:divBdr>
                        </w:div>
                      </w:divsChild>
                    </w:div>
                    <w:div w:id="2075424215">
                      <w:marLeft w:val="0"/>
                      <w:marRight w:val="0"/>
                      <w:marTop w:val="0"/>
                      <w:marBottom w:val="0"/>
                      <w:divBdr>
                        <w:top w:val="none" w:sz="0" w:space="0" w:color="auto"/>
                        <w:left w:val="none" w:sz="0" w:space="0" w:color="auto"/>
                        <w:bottom w:val="none" w:sz="0" w:space="0" w:color="auto"/>
                        <w:right w:val="none" w:sz="0" w:space="0" w:color="auto"/>
                      </w:divBdr>
                      <w:divsChild>
                        <w:div w:id="2018532328">
                          <w:marLeft w:val="0"/>
                          <w:marRight w:val="0"/>
                          <w:marTop w:val="0"/>
                          <w:marBottom w:val="0"/>
                          <w:divBdr>
                            <w:top w:val="none" w:sz="0" w:space="0" w:color="auto"/>
                            <w:left w:val="none" w:sz="0" w:space="0" w:color="auto"/>
                            <w:bottom w:val="none" w:sz="0" w:space="0" w:color="auto"/>
                            <w:right w:val="none" w:sz="0" w:space="0" w:color="auto"/>
                          </w:divBdr>
                        </w:div>
                        <w:div w:id="1828208911">
                          <w:marLeft w:val="0"/>
                          <w:marRight w:val="0"/>
                          <w:marTop w:val="0"/>
                          <w:marBottom w:val="0"/>
                          <w:divBdr>
                            <w:top w:val="none" w:sz="0" w:space="0" w:color="auto"/>
                            <w:left w:val="none" w:sz="0" w:space="0" w:color="auto"/>
                            <w:bottom w:val="none" w:sz="0" w:space="0" w:color="auto"/>
                            <w:right w:val="none" w:sz="0" w:space="0" w:color="auto"/>
                          </w:divBdr>
                        </w:div>
                      </w:divsChild>
                    </w:div>
                    <w:div w:id="870529297">
                      <w:marLeft w:val="0"/>
                      <w:marRight w:val="0"/>
                      <w:marTop w:val="0"/>
                      <w:marBottom w:val="0"/>
                      <w:divBdr>
                        <w:top w:val="none" w:sz="0" w:space="0" w:color="auto"/>
                        <w:left w:val="none" w:sz="0" w:space="0" w:color="auto"/>
                        <w:bottom w:val="none" w:sz="0" w:space="0" w:color="auto"/>
                        <w:right w:val="none" w:sz="0" w:space="0" w:color="auto"/>
                      </w:divBdr>
                      <w:divsChild>
                        <w:div w:id="1845826885">
                          <w:marLeft w:val="0"/>
                          <w:marRight w:val="0"/>
                          <w:marTop w:val="0"/>
                          <w:marBottom w:val="0"/>
                          <w:divBdr>
                            <w:top w:val="none" w:sz="0" w:space="0" w:color="auto"/>
                            <w:left w:val="none" w:sz="0" w:space="0" w:color="auto"/>
                            <w:bottom w:val="none" w:sz="0" w:space="0" w:color="auto"/>
                            <w:right w:val="none" w:sz="0" w:space="0" w:color="auto"/>
                          </w:divBdr>
                        </w:div>
                        <w:div w:id="14097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3248">
              <w:marLeft w:val="0"/>
              <w:marRight w:val="0"/>
              <w:marTop w:val="0"/>
              <w:marBottom w:val="0"/>
              <w:divBdr>
                <w:top w:val="none" w:sz="0" w:space="0" w:color="auto"/>
                <w:left w:val="none" w:sz="0" w:space="0" w:color="auto"/>
                <w:bottom w:val="none" w:sz="0" w:space="0" w:color="auto"/>
                <w:right w:val="none" w:sz="0" w:space="0" w:color="auto"/>
              </w:divBdr>
              <w:divsChild>
                <w:div w:id="13464090">
                  <w:marLeft w:val="0"/>
                  <w:marRight w:val="0"/>
                  <w:marTop w:val="0"/>
                  <w:marBottom w:val="0"/>
                  <w:divBdr>
                    <w:top w:val="none" w:sz="0" w:space="0" w:color="auto"/>
                    <w:left w:val="none" w:sz="0" w:space="0" w:color="auto"/>
                    <w:bottom w:val="none" w:sz="0" w:space="0" w:color="auto"/>
                    <w:right w:val="none" w:sz="0" w:space="0" w:color="auto"/>
                  </w:divBdr>
                  <w:divsChild>
                    <w:div w:id="1457219299">
                      <w:marLeft w:val="0"/>
                      <w:marRight w:val="0"/>
                      <w:marTop w:val="0"/>
                      <w:marBottom w:val="0"/>
                      <w:divBdr>
                        <w:top w:val="none" w:sz="0" w:space="0" w:color="auto"/>
                        <w:left w:val="none" w:sz="0" w:space="0" w:color="auto"/>
                        <w:bottom w:val="none" w:sz="0" w:space="0" w:color="auto"/>
                        <w:right w:val="none" w:sz="0" w:space="0" w:color="auto"/>
                      </w:divBdr>
                      <w:divsChild>
                        <w:div w:id="2106071003">
                          <w:marLeft w:val="0"/>
                          <w:marRight w:val="0"/>
                          <w:marTop w:val="0"/>
                          <w:marBottom w:val="0"/>
                          <w:divBdr>
                            <w:top w:val="none" w:sz="0" w:space="0" w:color="auto"/>
                            <w:left w:val="none" w:sz="0" w:space="0" w:color="auto"/>
                            <w:bottom w:val="none" w:sz="0" w:space="0" w:color="auto"/>
                            <w:right w:val="none" w:sz="0" w:space="0" w:color="auto"/>
                          </w:divBdr>
                        </w:div>
                        <w:div w:id="685210378">
                          <w:marLeft w:val="0"/>
                          <w:marRight w:val="0"/>
                          <w:marTop w:val="0"/>
                          <w:marBottom w:val="0"/>
                          <w:divBdr>
                            <w:top w:val="none" w:sz="0" w:space="0" w:color="auto"/>
                            <w:left w:val="none" w:sz="0" w:space="0" w:color="auto"/>
                            <w:bottom w:val="none" w:sz="0" w:space="0" w:color="auto"/>
                            <w:right w:val="none" w:sz="0" w:space="0" w:color="auto"/>
                          </w:divBdr>
                        </w:div>
                      </w:divsChild>
                    </w:div>
                    <w:div w:id="1853761067">
                      <w:marLeft w:val="0"/>
                      <w:marRight w:val="0"/>
                      <w:marTop w:val="0"/>
                      <w:marBottom w:val="0"/>
                      <w:divBdr>
                        <w:top w:val="none" w:sz="0" w:space="0" w:color="auto"/>
                        <w:left w:val="none" w:sz="0" w:space="0" w:color="auto"/>
                        <w:bottom w:val="none" w:sz="0" w:space="0" w:color="auto"/>
                        <w:right w:val="none" w:sz="0" w:space="0" w:color="auto"/>
                      </w:divBdr>
                      <w:divsChild>
                        <w:div w:id="824711924">
                          <w:marLeft w:val="0"/>
                          <w:marRight w:val="0"/>
                          <w:marTop w:val="0"/>
                          <w:marBottom w:val="0"/>
                          <w:divBdr>
                            <w:top w:val="none" w:sz="0" w:space="0" w:color="auto"/>
                            <w:left w:val="none" w:sz="0" w:space="0" w:color="auto"/>
                            <w:bottom w:val="none" w:sz="0" w:space="0" w:color="auto"/>
                            <w:right w:val="none" w:sz="0" w:space="0" w:color="auto"/>
                          </w:divBdr>
                        </w:div>
                        <w:div w:id="500702430">
                          <w:marLeft w:val="0"/>
                          <w:marRight w:val="0"/>
                          <w:marTop w:val="0"/>
                          <w:marBottom w:val="0"/>
                          <w:divBdr>
                            <w:top w:val="none" w:sz="0" w:space="0" w:color="auto"/>
                            <w:left w:val="none" w:sz="0" w:space="0" w:color="auto"/>
                            <w:bottom w:val="none" w:sz="0" w:space="0" w:color="auto"/>
                            <w:right w:val="none" w:sz="0" w:space="0" w:color="auto"/>
                          </w:divBdr>
                        </w:div>
                      </w:divsChild>
                    </w:div>
                    <w:div w:id="850485558">
                      <w:marLeft w:val="0"/>
                      <w:marRight w:val="0"/>
                      <w:marTop w:val="0"/>
                      <w:marBottom w:val="0"/>
                      <w:divBdr>
                        <w:top w:val="none" w:sz="0" w:space="0" w:color="auto"/>
                        <w:left w:val="none" w:sz="0" w:space="0" w:color="auto"/>
                        <w:bottom w:val="none" w:sz="0" w:space="0" w:color="auto"/>
                        <w:right w:val="none" w:sz="0" w:space="0" w:color="auto"/>
                      </w:divBdr>
                      <w:divsChild>
                        <w:div w:id="1163933873">
                          <w:marLeft w:val="0"/>
                          <w:marRight w:val="0"/>
                          <w:marTop w:val="0"/>
                          <w:marBottom w:val="0"/>
                          <w:divBdr>
                            <w:top w:val="none" w:sz="0" w:space="0" w:color="auto"/>
                            <w:left w:val="none" w:sz="0" w:space="0" w:color="auto"/>
                            <w:bottom w:val="none" w:sz="0" w:space="0" w:color="auto"/>
                            <w:right w:val="none" w:sz="0" w:space="0" w:color="auto"/>
                          </w:divBdr>
                        </w:div>
                        <w:div w:id="12027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23628">
              <w:marLeft w:val="0"/>
              <w:marRight w:val="0"/>
              <w:marTop w:val="0"/>
              <w:marBottom w:val="0"/>
              <w:divBdr>
                <w:top w:val="none" w:sz="0" w:space="0" w:color="auto"/>
                <w:left w:val="none" w:sz="0" w:space="0" w:color="auto"/>
                <w:bottom w:val="none" w:sz="0" w:space="0" w:color="auto"/>
                <w:right w:val="none" w:sz="0" w:space="0" w:color="auto"/>
              </w:divBdr>
              <w:divsChild>
                <w:div w:id="10215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4868">
          <w:marLeft w:val="0"/>
          <w:marRight w:val="0"/>
          <w:marTop w:val="0"/>
          <w:marBottom w:val="0"/>
          <w:divBdr>
            <w:top w:val="none" w:sz="0" w:space="0" w:color="auto"/>
            <w:left w:val="none" w:sz="0" w:space="0" w:color="auto"/>
            <w:bottom w:val="none" w:sz="0" w:space="0" w:color="auto"/>
            <w:right w:val="none" w:sz="0" w:space="0" w:color="auto"/>
          </w:divBdr>
          <w:divsChild>
            <w:div w:id="1182865732">
              <w:marLeft w:val="0"/>
              <w:marRight w:val="0"/>
              <w:marTop w:val="0"/>
              <w:marBottom w:val="0"/>
              <w:divBdr>
                <w:top w:val="none" w:sz="0" w:space="0" w:color="auto"/>
                <w:left w:val="none" w:sz="0" w:space="0" w:color="auto"/>
                <w:bottom w:val="none" w:sz="0" w:space="0" w:color="auto"/>
                <w:right w:val="none" w:sz="0" w:space="0" w:color="auto"/>
              </w:divBdr>
            </w:div>
            <w:div w:id="1458260958">
              <w:marLeft w:val="0"/>
              <w:marRight w:val="0"/>
              <w:marTop w:val="0"/>
              <w:marBottom w:val="0"/>
              <w:divBdr>
                <w:top w:val="none" w:sz="0" w:space="0" w:color="auto"/>
                <w:left w:val="none" w:sz="0" w:space="0" w:color="auto"/>
                <w:bottom w:val="none" w:sz="0" w:space="0" w:color="auto"/>
                <w:right w:val="none" w:sz="0" w:space="0" w:color="auto"/>
              </w:divBdr>
              <w:divsChild>
                <w:div w:id="1501696477">
                  <w:marLeft w:val="0"/>
                  <w:marRight w:val="0"/>
                  <w:marTop w:val="0"/>
                  <w:marBottom w:val="0"/>
                  <w:divBdr>
                    <w:top w:val="none" w:sz="0" w:space="0" w:color="auto"/>
                    <w:left w:val="none" w:sz="0" w:space="0" w:color="auto"/>
                    <w:bottom w:val="none" w:sz="0" w:space="0" w:color="auto"/>
                    <w:right w:val="none" w:sz="0" w:space="0" w:color="auto"/>
                  </w:divBdr>
                </w:div>
              </w:divsChild>
            </w:div>
            <w:div w:id="1073964846">
              <w:marLeft w:val="0"/>
              <w:marRight w:val="0"/>
              <w:marTop w:val="0"/>
              <w:marBottom w:val="0"/>
              <w:divBdr>
                <w:top w:val="none" w:sz="0" w:space="0" w:color="auto"/>
                <w:left w:val="none" w:sz="0" w:space="0" w:color="auto"/>
                <w:bottom w:val="none" w:sz="0" w:space="0" w:color="auto"/>
                <w:right w:val="none" w:sz="0" w:space="0" w:color="auto"/>
              </w:divBdr>
              <w:divsChild>
                <w:div w:id="638532134">
                  <w:marLeft w:val="0"/>
                  <w:marRight w:val="0"/>
                  <w:marTop w:val="0"/>
                  <w:marBottom w:val="0"/>
                  <w:divBdr>
                    <w:top w:val="none" w:sz="0" w:space="0" w:color="auto"/>
                    <w:left w:val="none" w:sz="0" w:space="0" w:color="auto"/>
                    <w:bottom w:val="none" w:sz="0" w:space="0" w:color="auto"/>
                    <w:right w:val="none" w:sz="0" w:space="0" w:color="auto"/>
                  </w:divBdr>
                </w:div>
                <w:div w:id="1297687322">
                  <w:marLeft w:val="0"/>
                  <w:marRight w:val="0"/>
                  <w:marTop w:val="0"/>
                  <w:marBottom w:val="0"/>
                  <w:divBdr>
                    <w:top w:val="none" w:sz="0" w:space="0" w:color="auto"/>
                    <w:left w:val="none" w:sz="0" w:space="0" w:color="auto"/>
                    <w:bottom w:val="none" w:sz="0" w:space="0" w:color="auto"/>
                    <w:right w:val="none" w:sz="0" w:space="0" w:color="auto"/>
                  </w:divBdr>
                </w:div>
              </w:divsChild>
            </w:div>
            <w:div w:id="1729958696">
              <w:marLeft w:val="0"/>
              <w:marRight w:val="0"/>
              <w:marTop w:val="0"/>
              <w:marBottom w:val="0"/>
              <w:divBdr>
                <w:top w:val="none" w:sz="0" w:space="0" w:color="auto"/>
                <w:left w:val="none" w:sz="0" w:space="0" w:color="auto"/>
                <w:bottom w:val="none" w:sz="0" w:space="0" w:color="auto"/>
                <w:right w:val="none" w:sz="0" w:space="0" w:color="auto"/>
              </w:divBdr>
              <w:divsChild>
                <w:div w:id="1673096889">
                  <w:marLeft w:val="0"/>
                  <w:marRight w:val="0"/>
                  <w:marTop w:val="0"/>
                  <w:marBottom w:val="0"/>
                  <w:divBdr>
                    <w:top w:val="none" w:sz="0" w:space="0" w:color="auto"/>
                    <w:left w:val="none" w:sz="0" w:space="0" w:color="auto"/>
                    <w:bottom w:val="none" w:sz="0" w:space="0" w:color="auto"/>
                    <w:right w:val="none" w:sz="0" w:space="0" w:color="auto"/>
                  </w:divBdr>
                </w:div>
                <w:div w:id="1252809924">
                  <w:marLeft w:val="0"/>
                  <w:marRight w:val="0"/>
                  <w:marTop w:val="0"/>
                  <w:marBottom w:val="0"/>
                  <w:divBdr>
                    <w:top w:val="none" w:sz="0" w:space="0" w:color="auto"/>
                    <w:left w:val="none" w:sz="0" w:space="0" w:color="auto"/>
                    <w:bottom w:val="none" w:sz="0" w:space="0" w:color="auto"/>
                    <w:right w:val="none" w:sz="0" w:space="0" w:color="auto"/>
                  </w:divBdr>
                </w:div>
              </w:divsChild>
            </w:div>
            <w:div w:id="2103139791">
              <w:marLeft w:val="0"/>
              <w:marRight w:val="0"/>
              <w:marTop w:val="0"/>
              <w:marBottom w:val="0"/>
              <w:divBdr>
                <w:top w:val="none" w:sz="0" w:space="0" w:color="auto"/>
                <w:left w:val="none" w:sz="0" w:space="0" w:color="auto"/>
                <w:bottom w:val="none" w:sz="0" w:space="0" w:color="auto"/>
                <w:right w:val="none" w:sz="0" w:space="0" w:color="auto"/>
              </w:divBdr>
              <w:divsChild>
                <w:div w:id="1612590803">
                  <w:marLeft w:val="0"/>
                  <w:marRight w:val="0"/>
                  <w:marTop w:val="0"/>
                  <w:marBottom w:val="0"/>
                  <w:divBdr>
                    <w:top w:val="none" w:sz="0" w:space="0" w:color="auto"/>
                    <w:left w:val="none" w:sz="0" w:space="0" w:color="auto"/>
                    <w:bottom w:val="none" w:sz="0" w:space="0" w:color="auto"/>
                    <w:right w:val="none" w:sz="0" w:space="0" w:color="auto"/>
                  </w:divBdr>
                </w:div>
              </w:divsChild>
            </w:div>
            <w:div w:id="65812182">
              <w:marLeft w:val="0"/>
              <w:marRight w:val="0"/>
              <w:marTop w:val="0"/>
              <w:marBottom w:val="0"/>
              <w:divBdr>
                <w:top w:val="none" w:sz="0" w:space="0" w:color="auto"/>
                <w:left w:val="none" w:sz="0" w:space="0" w:color="auto"/>
                <w:bottom w:val="none" w:sz="0" w:space="0" w:color="auto"/>
                <w:right w:val="none" w:sz="0" w:space="0" w:color="auto"/>
              </w:divBdr>
              <w:divsChild>
                <w:div w:id="17164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1791">
      <w:bodyDiv w:val="1"/>
      <w:marLeft w:val="0"/>
      <w:marRight w:val="0"/>
      <w:marTop w:val="0"/>
      <w:marBottom w:val="0"/>
      <w:divBdr>
        <w:top w:val="none" w:sz="0" w:space="0" w:color="auto"/>
        <w:left w:val="none" w:sz="0" w:space="0" w:color="auto"/>
        <w:bottom w:val="none" w:sz="0" w:space="0" w:color="auto"/>
        <w:right w:val="none" w:sz="0" w:space="0" w:color="auto"/>
      </w:divBdr>
    </w:div>
    <w:div w:id="816920093">
      <w:bodyDiv w:val="1"/>
      <w:marLeft w:val="0"/>
      <w:marRight w:val="0"/>
      <w:marTop w:val="0"/>
      <w:marBottom w:val="0"/>
      <w:divBdr>
        <w:top w:val="none" w:sz="0" w:space="0" w:color="auto"/>
        <w:left w:val="none" w:sz="0" w:space="0" w:color="auto"/>
        <w:bottom w:val="none" w:sz="0" w:space="0" w:color="auto"/>
        <w:right w:val="none" w:sz="0" w:space="0" w:color="auto"/>
      </w:divBdr>
    </w:div>
    <w:div w:id="834301478">
      <w:bodyDiv w:val="1"/>
      <w:marLeft w:val="0"/>
      <w:marRight w:val="0"/>
      <w:marTop w:val="0"/>
      <w:marBottom w:val="0"/>
      <w:divBdr>
        <w:top w:val="none" w:sz="0" w:space="0" w:color="auto"/>
        <w:left w:val="none" w:sz="0" w:space="0" w:color="auto"/>
        <w:bottom w:val="none" w:sz="0" w:space="0" w:color="auto"/>
        <w:right w:val="none" w:sz="0" w:space="0" w:color="auto"/>
      </w:divBdr>
    </w:div>
    <w:div w:id="836387562">
      <w:bodyDiv w:val="1"/>
      <w:marLeft w:val="0"/>
      <w:marRight w:val="0"/>
      <w:marTop w:val="0"/>
      <w:marBottom w:val="0"/>
      <w:divBdr>
        <w:top w:val="none" w:sz="0" w:space="0" w:color="auto"/>
        <w:left w:val="none" w:sz="0" w:space="0" w:color="auto"/>
        <w:bottom w:val="none" w:sz="0" w:space="0" w:color="auto"/>
        <w:right w:val="none" w:sz="0" w:space="0" w:color="auto"/>
      </w:divBdr>
      <w:divsChild>
        <w:div w:id="909462286">
          <w:marLeft w:val="0"/>
          <w:marRight w:val="0"/>
          <w:marTop w:val="0"/>
          <w:marBottom w:val="0"/>
          <w:divBdr>
            <w:top w:val="none" w:sz="0" w:space="0" w:color="auto"/>
            <w:left w:val="none" w:sz="0" w:space="0" w:color="auto"/>
            <w:bottom w:val="none" w:sz="0" w:space="0" w:color="auto"/>
            <w:right w:val="none" w:sz="0" w:space="0" w:color="auto"/>
          </w:divBdr>
          <w:divsChild>
            <w:div w:id="990446340">
              <w:marLeft w:val="0"/>
              <w:marRight w:val="0"/>
              <w:marTop w:val="0"/>
              <w:marBottom w:val="0"/>
              <w:divBdr>
                <w:top w:val="none" w:sz="0" w:space="0" w:color="auto"/>
                <w:left w:val="none" w:sz="0" w:space="0" w:color="auto"/>
                <w:bottom w:val="none" w:sz="0" w:space="0" w:color="auto"/>
                <w:right w:val="none" w:sz="0" w:space="0" w:color="auto"/>
              </w:divBdr>
            </w:div>
            <w:div w:id="739837950">
              <w:marLeft w:val="0"/>
              <w:marRight w:val="0"/>
              <w:marTop w:val="0"/>
              <w:marBottom w:val="0"/>
              <w:divBdr>
                <w:top w:val="none" w:sz="0" w:space="0" w:color="auto"/>
                <w:left w:val="none" w:sz="0" w:space="0" w:color="auto"/>
                <w:bottom w:val="none" w:sz="0" w:space="0" w:color="auto"/>
                <w:right w:val="none" w:sz="0" w:space="0" w:color="auto"/>
              </w:divBdr>
            </w:div>
          </w:divsChild>
        </w:div>
        <w:div w:id="1830750226">
          <w:marLeft w:val="0"/>
          <w:marRight w:val="0"/>
          <w:marTop w:val="0"/>
          <w:marBottom w:val="0"/>
          <w:divBdr>
            <w:top w:val="none" w:sz="0" w:space="0" w:color="auto"/>
            <w:left w:val="none" w:sz="0" w:space="0" w:color="auto"/>
            <w:bottom w:val="none" w:sz="0" w:space="0" w:color="auto"/>
            <w:right w:val="none" w:sz="0" w:space="0" w:color="auto"/>
          </w:divBdr>
          <w:divsChild>
            <w:div w:id="1879663346">
              <w:marLeft w:val="0"/>
              <w:marRight w:val="0"/>
              <w:marTop w:val="0"/>
              <w:marBottom w:val="0"/>
              <w:divBdr>
                <w:top w:val="none" w:sz="0" w:space="0" w:color="auto"/>
                <w:left w:val="none" w:sz="0" w:space="0" w:color="auto"/>
                <w:bottom w:val="none" w:sz="0" w:space="0" w:color="auto"/>
                <w:right w:val="none" w:sz="0" w:space="0" w:color="auto"/>
              </w:divBdr>
            </w:div>
            <w:div w:id="20200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628">
      <w:bodyDiv w:val="1"/>
      <w:marLeft w:val="0"/>
      <w:marRight w:val="0"/>
      <w:marTop w:val="0"/>
      <w:marBottom w:val="0"/>
      <w:divBdr>
        <w:top w:val="none" w:sz="0" w:space="0" w:color="auto"/>
        <w:left w:val="none" w:sz="0" w:space="0" w:color="auto"/>
        <w:bottom w:val="none" w:sz="0" w:space="0" w:color="auto"/>
        <w:right w:val="none" w:sz="0" w:space="0" w:color="auto"/>
      </w:divBdr>
      <w:divsChild>
        <w:div w:id="1825198410">
          <w:marLeft w:val="0"/>
          <w:marRight w:val="0"/>
          <w:marTop w:val="0"/>
          <w:marBottom w:val="0"/>
          <w:divBdr>
            <w:top w:val="none" w:sz="0" w:space="0" w:color="auto"/>
            <w:left w:val="none" w:sz="0" w:space="0" w:color="auto"/>
            <w:bottom w:val="none" w:sz="0" w:space="0" w:color="auto"/>
            <w:right w:val="none" w:sz="0" w:space="0" w:color="auto"/>
          </w:divBdr>
        </w:div>
      </w:divsChild>
    </w:div>
    <w:div w:id="947355118">
      <w:bodyDiv w:val="1"/>
      <w:marLeft w:val="0"/>
      <w:marRight w:val="0"/>
      <w:marTop w:val="0"/>
      <w:marBottom w:val="0"/>
      <w:divBdr>
        <w:top w:val="none" w:sz="0" w:space="0" w:color="auto"/>
        <w:left w:val="none" w:sz="0" w:space="0" w:color="auto"/>
        <w:bottom w:val="none" w:sz="0" w:space="0" w:color="auto"/>
        <w:right w:val="none" w:sz="0" w:space="0" w:color="auto"/>
      </w:divBdr>
    </w:div>
    <w:div w:id="979961030">
      <w:bodyDiv w:val="1"/>
      <w:marLeft w:val="0"/>
      <w:marRight w:val="0"/>
      <w:marTop w:val="0"/>
      <w:marBottom w:val="0"/>
      <w:divBdr>
        <w:top w:val="none" w:sz="0" w:space="0" w:color="auto"/>
        <w:left w:val="none" w:sz="0" w:space="0" w:color="auto"/>
        <w:bottom w:val="none" w:sz="0" w:space="0" w:color="auto"/>
        <w:right w:val="none" w:sz="0" w:space="0" w:color="auto"/>
      </w:divBdr>
    </w:div>
    <w:div w:id="984166754">
      <w:bodyDiv w:val="1"/>
      <w:marLeft w:val="0"/>
      <w:marRight w:val="0"/>
      <w:marTop w:val="0"/>
      <w:marBottom w:val="0"/>
      <w:divBdr>
        <w:top w:val="none" w:sz="0" w:space="0" w:color="auto"/>
        <w:left w:val="none" w:sz="0" w:space="0" w:color="auto"/>
        <w:bottom w:val="none" w:sz="0" w:space="0" w:color="auto"/>
        <w:right w:val="none" w:sz="0" w:space="0" w:color="auto"/>
      </w:divBdr>
    </w:div>
    <w:div w:id="1021468462">
      <w:bodyDiv w:val="1"/>
      <w:marLeft w:val="0"/>
      <w:marRight w:val="0"/>
      <w:marTop w:val="0"/>
      <w:marBottom w:val="0"/>
      <w:divBdr>
        <w:top w:val="none" w:sz="0" w:space="0" w:color="auto"/>
        <w:left w:val="none" w:sz="0" w:space="0" w:color="auto"/>
        <w:bottom w:val="none" w:sz="0" w:space="0" w:color="auto"/>
        <w:right w:val="none" w:sz="0" w:space="0" w:color="auto"/>
      </w:divBdr>
    </w:div>
    <w:div w:id="1050960064">
      <w:bodyDiv w:val="1"/>
      <w:marLeft w:val="0"/>
      <w:marRight w:val="0"/>
      <w:marTop w:val="0"/>
      <w:marBottom w:val="0"/>
      <w:divBdr>
        <w:top w:val="none" w:sz="0" w:space="0" w:color="auto"/>
        <w:left w:val="none" w:sz="0" w:space="0" w:color="auto"/>
        <w:bottom w:val="none" w:sz="0" w:space="0" w:color="auto"/>
        <w:right w:val="none" w:sz="0" w:space="0" w:color="auto"/>
      </w:divBdr>
    </w:div>
    <w:div w:id="1095324704">
      <w:bodyDiv w:val="1"/>
      <w:marLeft w:val="0"/>
      <w:marRight w:val="0"/>
      <w:marTop w:val="0"/>
      <w:marBottom w:val="0"/>
      <w:divBdr>
        <w:top w:val="none" w:sz="0" w:space="0" w:color="auto"/>
        <w:left w:val="none" w:sz="0" w:space="0" w:color="auto"/>
        <w:bottom w:val="none" w:sz="0" w:space="0" w:color="auto"/>
        <w:right w:val="none" w:sz="0" w:space="0" w:color="auto"/>
      </w:divBdr>
    </w:div>
    <w:div w:id="1114137634">
      <w:bodyDiv w:val="1"/>
      <w:marLeft w:val="0"/>
      <w:marRight w:val="0"/>
      <w:marTop w:val="0"/>
      <w:marBottom w:val="0"/>
      <w:divBdr>
        <w:top w:val="none" w:sz="0" w:space="0" w:color="auto"/>
        <w:left w:val="none" w:sz="0" w:space="0" w:color="auto"/>
        <w:bottom w:val="none" w:sz="0" w:space="0" w:color="auto"/>
        <w:right w:val="none" w:sz="0" w:space="0" w:color="auto"/>
      </w:divBdr>
      <w:divsChild>
        <w:div w:id="2075424112">
          <w:marLeft w:val="0"/>
          <w:marRight w:val="0"/>
          <w:marTop w:val="0"/>
          <w:marBottom w:val="0"/>
          <w:divBdr>
            <w:top w:val="none" w:sz="0" w:space="0" w:color="auto"/>
            <w:left w:val="none" w:sz="0" w:space="0" w:color="auto"/>
            <w:bottom w:val="none" w:sz="0" w:space="0" w:color="auto"/>
            <w:right w:val="none" w:sz="0" w:space="0" w:color="auto"/>
          </w:divBdr>
          <w:divsChild>
            <w:div w:id="1417090593">
              <w:marLeft w:val="0"/>
              <w:marRight w:val="0"/>
              <w:marTop w:val="0"/>
              <w:marBottom w:val="0"/>
              <w:divBdr>
                <w:top w:val="none" w:sz="0" w:space="0" w:color="auto"/>
                <w:left w:val="none" w:sz="0" w:space="0" w:color="auto"/>
                <w:bottom w:val="none" w:sz="0" w:space="0" w:color="auto"/>
                <w:right w:val="none" w:sz="0" w:space="0" w:color="auto"/>
              </w:divBdr>
              <w:divsChild>
                <w:div w:id="928544515">
                  <w:marLeft w:val="0"/>
                  <w:marRight w:val="0"/>
                  <w:marTop w:val="0"/>
                  <w:marBottom w:val="0"/>
                  <w:divBdr>
                    <w:top w:val="none" w:sz="0" w:space="0" w:color="auto"/>
                    <w:left w:val="none" w:sz="0" w:space="0" w:color="auto"/>
                    <w:bottom w:val="none" w:sz="0" w:space="0" w:color="auto"/>
                    <w:right w:val="none" w:sz="0" w:space="0" w:color="auto"/>
                  </w:divBdr>
                  <w:divsChild>
                    <w:div w:id="1607424705">
                      <w:marLeft w:val="0"/>
                      <w:marRight w:val="0"/>
                      <w:marTop w:val="0"/>
                      <w:marBottom w:val="0"/>
                      <w:divBdr>
                        <w:top w:val="none" w:sz="0" w:space="0" w:color="auto"/>
                        <w:left w:val="none" w:sz="0" w:space="0" w:color="auto"/>
                        <w:bottom w:val="none" w:sz="0" w:space="0" w:color="auto"/>
                        <w:right w:val="none" w:sz="0" w:space="0" w:color="auto"/>
                      </w:divBdr>
                    </w:div>
                  </w:divsChild>
                </w:div>
                <w:div w:id="1901674374">
                  <w:marLeft w:val="0"/>
                  <w:marRight w:val="0"/>
                  <w:marTop w:val="0"/>
                  <w:marBottom w:val="0"/>
                  <w:divBdr>
                    <w:top w:val="none" w:sz="0" w:space="0" w:color="auto"/>
                    <w:left w:val="none" w:sz="0" w:space="0" w:color="auto"/>
                    <w:bottom w:val="none" w:sz="0" w:space="0" w:color="auto"/>
                    <w:right w:val="none" w:sz="0" w:space="0" w:color="auto"/>
                  </w:divBdr>
                  <w:divsChild>
                    <w:div w:id="1611546675">
                      <w:marLeft w:val="0"/>
                      <w:marRight w:val="0"/>
                      <w:marTop w:val="0"/>
                      <w:marBottom w:val="0"/>
                      <w:divBdr>
                        <w:top w:val="none" w:sz="0" w:space="0" w:color="auto"/>
                        <w:left w:val="none" w:sz="0" w:space="0" w:color="auto"/>
                        <w:bottom w:val="none" w:sz="0" w:space="0" w:color="auto"/>
                        <w:right w:val="none" w:sz="0" w:space="0" w:color="auto"/>
                      </w:divBdr>
                    </w:div>
                    <w:div w:id="1862013749">
                      <w:marLeft w:val="0"/>
                      <w:marRight w:val="0"/>
                      <w:marTop w:val="0"/>
                      <w:marBottom w:val="0"/>
                      <w:divBdr>
                        <w:top w:val="none" w:sz="0" w:space="0" w:color="auto"/>
                        <w:left w:val="none" w:sz="0" w:space="0" w:color="auto"/>
                        <w:bottom w:val="none" w:sz="0" w:space="0" w:color="auto"/>
                        <w:right w:val="none" w:sz="0" w:space="0" w:color="auto"/>
                      </w:divBdr>
                    </w:div>
                  </w:divsChild>
                </w:div>
                <w:div w:id="1794443859">
                  <w:marLeft w:val="0"/>
                  <w:marRight w:val="0"/>
                  <w:marTop w:val="0"/>
                  <w:marBottom w:val="0"/>
                  <w:divBdr>
                    <w:top w:val="none" w:sz="0" w:space="0" w:color="auto"/>
                    <w:left w:val="none" w:sz="0" w:space="0" w:color="auto"/>
                    <w:bottom w:val="none" w:sz="0" w:space="0" w:color="auto"/>
                    <w:right w:val="none" w:sz="0" w:space="0" w:color="auto"/>
                  </w:divBdr>
                  <w:divsChild>
                    <w:div w:id="414479261">
                      <w:marLeft w:val="0"/>
                      <w:marRight w:val="0"/>
                      <w:marTop w:val="0"/>
                      <w:marBottom w:val="0"/>
                      <w:divBdr>
                        <w:top w:val="none" w:sz="0" w:space="0" w:color="auto"/>
                        <w:left w:val="none" w:sz="0" w:space="0" w:color="auto"/>
                        <w:bottom w:val="none" w:sz="0" w:space="0" w:color="auto"/>
                        <w:right w:val="none" w:sz="0" w:space="0" w:color="auto"/>
                      </w:divBdr>
                    </w:div>
                    <w:div w:id="1958439109">
                      <w:marLeft w:val="0"/>
                      <w:marRight w:val="0"/>
                      <w:marTop w:val="0"/>
                      <w:marBottom w:val="0"/>
                      <w:divBdr>
                        <w:top w:val="none" w:sz="0" w:space="0" w:color="auto"/>
                        <w:left w:val="none" w:sz="0" w:space="0" w:color="auto"/>
                        <w:bottom w:val="none" w:sz="0" w:space="0" w:color="auto"/>
                        <w:right w:val="none" w:sz="0" w:space="0" w:color="auto"/>
                      </w:divBdr>
                    </w:div>
                  </w:divsChild>
                </w:div>
                <w:div w:id="1857962856">
                  <w:marLeft w:val="0"/>
                  <w:marRight w:val="0"/>
                  <w:marTop w:val="0"/>
                  <w:marBottom w:val="0"/>
                  <w:divBdr>
                    <w:top w:val="none" w:sz="0" w:space="0" w:color="auto"/>
                    <w:left w:val="none" w:sz="0" w:space="0" w:color="auto"/>
                    <w:bottom w:val="none" w:sz="0" w:space="0" w:color="auto"/>
                    <w:right w:val="none" w:sz="0" w:space="0" w:color="auto"/>
                  </w:divBdr>
                  <w:divsChild>
                    <w:div w:id="468790887">
                      <w:marLeft w:val="0"/>
                      <w:marRight w:val="0"/>
                      <w:marTop w:val="0"/>
                      <w:marBottom w:val="0"/>
                      <w:divBdr>
                        <w:top w:val="none" w:sz="0" w:space="0" w:color="auto"/>
                        <w:left w:val="none" w:sz="0" w:space="0" w:color="auto"/>
                        <w:bottom w:val="none" w:sz="0" w:space="0" w:color="auto"/>
                        <w:right w:val="none" w:sz="0" w:space="0" w:color="auto"/>
                      </w:divBdr>
                    </w:div>
                    <w:div w:id="1107654073">
                      <w:marLeft w:val="0"/>
                      <w:marRight w:val="0"/>
                      <w:marTop w:val="0"/>
                      <w:marBottom w:val="0"/>
                      <w:divBdr>
                        <w:top w:val="none" w:sz="0" w:space="0" w:color="auto"/>
                        <w:left w:val="none" w:sz="0" w:space="0" w:color="auto"/>
                        <w:bottom w:val="none" w:sz="0" w:space="0" w:color="auto"/>
                        <w:right w:val="none" w:sz="0" w:space="0" w:color="auto"/>
                      </w:divBdr>
                    </w:div>
                  </w:divsChild>
                </w:div>
                <w:div w:id="1822036818">
                  <w:marLeft w:val="0"/>
                  <w:marRight w:val="0"/>
                  <w:marTop w:val="0"/>
                  <w:marBottom w:val="0"/>
                  <w:divBdr>
                    <w:top w:val="none" w:sz="0" w:space="0" w:color="auto"/>
                    <w:left w:val="none" w:sz="0" w:space="0" w:color="auto"/>
                    <w:bottom w:val="none" w:sz="0" w:space="0" w:color="auto"/>
                    <w:right w:val="none" w:sz="0" w:space="0" w:color="auto"/>
                  </w:divBdr>
                  <w:divsChild>
                    <w:div w:id="221646757">
                      <w:marLeft w:val="0"/>
                      <w:marRight w:val="0"/>
                      <w:marTop w:val="0"/>
                      <w:marBottom w:val="0"/>
                      <w:divBdr>
                        <w:top w:val="none" w:sz="0" w:space="0" w:color="auto"/>
                        <w:left w:val="none" w:sz="0" w:space="0" w:color="auto"/>
                        <w:bottom w:val="none" w:sz="0" w:space="0" w:color="auto"/>
                        <w:right w:val="none" w:sz="0" w:space="0" w:color="auto"/>
                      </w:divBdr>
                    </w:div>
                    <w:div w:id="1078283202">
                      <w:marLeft w:val="0"/>
                      <w:marRight w:val="0"/>
                      <w:marTop w:val="0"/>
                      <w:marBottom w:val="0"/>
                      <w:divBdr>
                        <w:top w:val="none" w:sz="0" w:space="0" w:color="auto"/>
                        <w:left w:val="none" w:sz="0" w:space="0" w:color="auto"/>
                        <w:bottom w:val="none" w:sz="0" w:space="0" w:color="auto"/>
                        <w:right w:val="none" w:sz="0" w:space="0" w:color="auto"/>
                      </w:divBdr>
                    </w:div>
                  </w:divsChild>
                </w:div>
                <w:div w:id="1177310089">
                  <w:marLeft w:val="0"/>
                  <w:marRight w:val="0"/>
                  <w:marTop w:val="0"/>
                  <w:marBottom w:val="0"/>
                  <w:divBdr>
                    <w:top w:val="none" w:sz="0" w:space="0" w:color="auto"/>
                    <w:left w:val="none" w:sz="0" w:space="0" w:color="auto"/>
                    <w:bottom w:val="none" w:sz="0" w:space="0" w:color="auto"/>
                    <w:right w:val="none" w:sz="0" w:space="0" w:color="auto"/>
                  </w:divBdr>
                  <w:divsChild>
                    <w:div w:id="1275401425">
                      <w:marLeft w:val="0"/>
                      <w:marRight w:val="0"/>
                      <w:marTop w:val="0"/>
                      <w:marBottom w:val="0"/>
                      <w:divBdr>
                        <w:top w:val="none" w:sz="0" w:space="0" w:color="auto"/>
                        <w:left w:val="none" w:sz="0" w:space="0" w:color="auto"/>
                        <w:bottom w:val="none" w:sz="0" w:space="0" w:color="auto"/>
                        <w:right w:val="none" w:sz="0" w:space="0" w:color="auto"/>
                      </w:divBdr>
                    </w:div>
                    <w:div w:id="416054509">
                      <w:marLeft w:val="0"/>
                      <w:marRight w:val="0"/>
                      <w:marTop w:val="0"/>
                      <w:marBottom w:val="0"/>
                      <w:divBdr>
                        <w:top w:val="none" w:sz="0" w:space="0" w:color="auto"/>
                        <w:left w:val="none" w:sz="0" w:space="0" w:color="auto"/>
                        <w:bottom w:val="none" w:sz="0" w:space="0" w:color="auto"/>
                        <w:right w:val="none" w:sz="0" w:space="0" w:color="auto"/>
                      </w:divBdr>
                    </w:div>
                  </w:divsChild>
                </w:div>
                <w:div w:id="638999733">
                  <w:marLeft w:val="0"/>
                  <w:marRight w:val="0"/>
                  <w:marTop w:val="0"/>
                  <w:marBottom w:val="0"/>
                  <w:divBdr>
                    <w:top w:val="none" w:sz="0" w:space="0" w:color="auto"/>
                    <w:left w:val="none" w:sz="0" w:space="0" w:color="auto"/>
                    <w:bottom w:val="none" w:sz="0" w:space="0" w:color="auto"/>
                    <w:right w:val="none" w:sz="0" w:space="0" w:color="auto"/>
                  </w:divBdr>
                  <w:divsChild>
                    <w:div w:id="1177689743">
                      <w:marLeft w:val="0"/>
                      <w:marRight w:val="0"/>
                      <w:marTop w:val="0"/>
                      <w:marBottom w:val="0"/>
                      <w:divBdr>
                        <w:top w:val="none" w:sz="0" w:space="0" w:color="auto"/>
                        <w:left w:val="none" w:sz="0" w:space="0" w:color="auto"/>
                        <w:bottom w:val="none" w:sz="0" w:space="0" w:color="auto"/>
                        <w:right w:val="none" w:sz="0" w:space="0" w:color="auto"/>
                      </w:divBdr>
                    </w:div>
                    <w:div w:id="1483352221">
                      <w:marLeft w:val="0"/>
                      <w:marRight w:val="0"/>
                      <w:marTop w:val="0"/>
                      <w:marBottom w:val="0"/>
                      <w:divBdr>
                        <w:top w:val="none" w:sz="0" w:space="0" w:color="auto"/>
                        <w:left w:val="none" w:sz="0" w:space="0" w:color="auto"/>
                        <w:bottom w:val="none" w:sz="0" w:space="0" w:color="auto"/>
                        <w:right w:val="none" w:sz="0" w:space="0" w:color="auto"/>
                      </w:divBdr>
                    </w:div>
                  </w:divsChild>
                </w:div>
                <w:div w:id="540019591">
                  <w:marLeft w:val="0"/>
                  <w:marRight w:val="0"/>
                  <w:marTop w:val="0"/>
                  <w:marBottom w:val="0"/>
                  <w:divBdr>
                    <w:top w:val="none" w:sz="0" w:space="0" w:color="auto"/>
                    <w:left w:val="none" w:sz="0" w:space="0" w:color="auto"/>
                    <w:bottom w:val="none" w:sz="0" w:space="0" w:color="auto"/>
                    <w:right w:val="none" w:sz="0" w:space="0" w:color="auto"/>
                  </w:divBdr>
                  <w:divsChild>
                    <w:div w:id="569002178">
                      <w:marLeft w:val="0"/>
                      <w:marRight w:val="0"/>
                      <w:marTop w:val="0"/>
                      <w:marBottom w:val="0"/>
                      <w:divBdr>
                        <w:top w:val="none" w:sz="0" w:space="0" w:color="auto"/>
                        <w:left w:val="none" w:sz="0" w:space="0" w:color="auto"/>
                        <w:bottom w:val="none" w:sz="0" w:space="0" w:color="auto"/>
                        <w:right w:val="none" w:sz="0" w:space="0" w:color="auto"/>
                      </w:divBdr>
                    </w:div>
                    <w:div w:id="17616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89079">
          <w:marLeft w:val="0"/>
          <w:marRight w:val="0"/>
          <w:marTop w:val="0"/>
          <w:marBottom w:val="0"/>
          <w:divBdr>
            <w:top w:val="none" w:sz="0" w:space="0" w:color="auto"/>
            <w:left w:val="none" w:sz="0" w:space="0" w:color="auto"/>
            <w:bottom w:val="none" w:sz="0" w:space="0" w:color="auto"/>
            <w:right w:val="none" w:sz="0" w:space="0" w:color="auto"/>
          </w:divBdr>
          <w:divsChild>
            <w:div w:id="469129186">
              <w:marLeft w:val="0"/>
              <w:marRight w:val="0"/>
              <w:marTop w:val="0"/>
              <w:marBottom w:val="0"/>
              <w:divBdr>
                <w:top w:val="none" w:sz="0" w:space="0" w:color="auto"/>
                <w:left w:val="none" w:sz="0" w:space="0" w:color="auto"/>
                <w:bottom w:val="none" w:sz="0" w:space="0" w:color="auto"/>
                <w:right w:val="none" w:sz="0" w:space="0" w:color="auto"/>
              </w:divBdr>
              <w:divsChild>
                <w:div w:id="738673606">
                  <w:marLeft w:val="0"/>
                  <w:marRight w:val="0"/>
                  <w:marTop w:val="0"/>
                  <w:marBottom w:val="0"/>
                  <w:divBdr>
                    <w:top w:val="none" w:sz="0" w:space="0" w:color="auto"/>
                    <w:left w:val="none" w:sz="0" w:space="0" w:color="auto"/>
                    <w:bottom w:val="none" w:sz="0" w:space="0" w:color="auto"/>
                    <w:right w:val="none" w:sz="0" w:space="0" w:color="auto"/>
                  </w:divBdr>
                  <w:divsChild>
                    <w:div w:id="1687557111">
                      <w:marLeft w:val="0"/>
                      <w:marRight w:val="0"/>
                      <w:marTop w:val="0"/>
                      <w:marBottom w:val="0"/>
                      <w:divBdr>
                        <w:top w:val="none" w:sz="0" w:space="0" w:color="auto"/>
                        <w:left w:val="none" w:sz="0" w:space="0" w:color="auto"/>
                        <w:bottom w:val="none" w:sz="0" w:space="0" w:color="auto"/>
                        <w:right w:val="none" w:sz="0" w:space="0" w:color="auto"/>
                      </w:divBdr>
                    </w:div>
                    <w:div w:id="108821430">
                      <w:marLeft w:val="0"/>
                      <w:marRight w:val="0"/>
                      <w:marTop w:val="0"/>
                      <w:marBottom w:val="0"/>
                      <w:divBdr>
                        <w:top w:val="none" w:sz="0" w:space="0" w:color="auto"/>
                        <w:left w:val="none" w:sz="0" w:space="0" w:color="auto"/>
                        <w:bottom w:val="none" w:sz="0" w:space="0" w:color="auto"/>
                        <w:right w:val="none" w:sz="0" w:space="0" w:color="auto"/>
                      </w:divBdr>
                    </w:div>
                  </w:divsChild>
                </w:div>
                <w:div w:id="1392381778">
                  <w:marLeft w:val="0"/>
                  <w:marRight w:val="0"/>
                  <w:marTop w:val="0"/>
                  <w:marBottom w:val="0"/>
                  <w:divBdr>
                    <w:top w:val="none" w:sz="0" w:space="0" w:color="auto"/>
                    <w:left w:val="none" w:sz="0" w:space="0" w:color="auto"/>
                    <w:bottom w:val="none" w:sz="0" w:space="0" w:color="auto"/>
                    <w:right w:val="none" w:sz="0" w:space="0" w:color="auto"/>
                  </w:divBdr>
                  <w:divsChild>
                    <w:div w:id="658383286">
                      <w:marLeft w:val="0"/>
                      <w:marRight w:val="0"/>
                      <w:marTop w:val="0"/>
                      <w:marBottom w:val="0"/>
                      <w:divBdr>
                        <w:top w:val="none" w:sz="0" w:space="0" w:color="auto"/>
                        <w:left w:val="none" w:sz="0" w:space="0" w:color="auto"/>
                        <w:bottom w:val="none" w:sz="0" w:space="0" w:color="auto"/>
                        <w:right w:val="none" w:sz="0" w:space="0" w:color="auto"/>
                      </w:divBdr>
                    </w:div>
                    <w:div w:id="1664774377">
                      <w:marLeft w:val="0"/>
                      <w:marRight w:val="0"/>
                      <w:marTop w:val="0"/>
                      <w:marBottom w:val="0"/>
                      <w:divBdr>
                        <w:top w:val="none" w:sz="0" w:space="0" w:color="auto"/>
                        <w:left w:val="none" w:sz="0" w:space="0" w:color="auto"/>
                        <w:bottom w:val="none" w:sz="0" w:space="0" w:color="auto"/>
                        <w:right w:val="none" w:sz="0" w:space="0" w:color="auto"/>
                      </w:divBdr>
                    </w:div>
                  </w:divsChild>
                </w:div>
                <w:div w:id="487599820">
                  <w:marLeft w:val="0"/>
                  <w:marRight w:val="0"/>
                  <w:marTop w:val="0"/>
                  <w:marBottom w:val="0"/>
                  <w:divBdr>
                    <w:top w:val="none" w:sz="0" w:space="0" w:color="auto"/>
                    <w:left w:val="none" w:sz="0" w:space="0" w:color="auto"/>
                    <w:bottom w:val="none" w:sz="0" w:space="0" w:color="auto"/>
                    <w:right w:val="none" w:sz="0" w:space="0" w:color="auto"/>
                  </w:divBdr>
                  <w:divsChild>
                    <w:div w:id="1218855410">
                      <w:marLeft w:val="0"/>
                      <w:marRight w:val="0"/>
                      <w:marTop w:val="0"/>
                      <w:marBottom w:val="0"/>
                      <w:divBdr>
                        <w:top w:val="none" w:sz="0" w:space="0" w:color="auto"/>
                        <w:left w:val="none" w:sz="0" w:space="0" w:color="auto"/>
                        <w:bottom w:val="none" w:sz="0" w:space="0" w:color="auto"/>
                        <w:right w:val="none" w:sz="0" w:space="0" w:color="auto"/>
                      </w:divBdr>
                    </w:div>
                    <w:div w:id="97916597">
                      <w:marLeft w:val="0"/>
                      <w:marRight w:val="0"/>
                      <w:marTop w:val="0"/>
                      <w:marBottom w:val="0"/>
                      <w:divBdr>
                        <w:top w:val="none" w:sz="0" w:space="0" w:color="auto"/>
                        <w:left w:val="none" w:sz="0" w:space="0" w:color="auto"/>
                        <w:bottom w:val="none" w:sz="0" w:space="0" w:color="auto"/>
                        <w:right w:val="none" w:sz="0" w:space="0" w:color="auto"/>
                      </w:divBdr>
                    </w:div>
                  </w:divsChild>
                </w:div>
                <w:div w:id="1778984303">
                  <w:marLeft w:val="0"/>
                  <w:marRight w:val="0"/>
                  <w:marTop w:val="0"/>
                  <w:marBottom w:val="0"/>
                  <w:divBdr>
                    <w:top w:val="none" w:sz="0" w:space="0" w:color="auto"/>
                    <w:left w:val="none" w:sz="0" w:space="0" w:color="auto"/>
                    <w:bottom w:val="none" w:sz="0" w:space="0" w:color="auto"/>
                    <w:right w:val="none" w:sz="0" w:space="0" w:color="auto"/>
                  </w:divBdr>
                  <w:divsChild>
                    <w:div w:id="1724674401">
                      <w:marLeft w:val="0"/>
                      <w:marRight w:val="0"/>
                      <w:marTop w:val="0"/>
                      <w:marBottom w:val="0"/>
                      <w:divBdr>
                        <w:top w:val="none" w:sz="0" w:space="0" w:color="auto"/>
                        <w:left w:val="none" w:sz="0" w:space="0" w:color="auto"/>
                        <w:bottom w:val="none" w:sz="0" w:space="0" w:color="auto"/>
                        <w:right w:val="none" w:sz="0" w:space="0" w:color="auto"/>
                      </w:divBdr>
                    </w:div>
                    <w:div w:id="921447340">
                      <w:marLeft w:val="0"/>
                      <w:marRight w:val="0"/>
                      <w:marTop w:val="0"/>
                      <w:marBottom w:val="0"/>
                      <w:divBdr>
                        <w:top w:val="none" w:sz="0" w:space="0" w:color="auto"/>
                        <w:left w:val="none" w:sz="0" w:space="0" w:color="auto"/>
                        <w:bottom w:val="none" w:sz="0" w:space="0" w:color="auto"/>
                        <w:right w:val="none" w:sz="0" w:space="0" w:color="auto"/>
                      </w:divBdr>
                    </w:div>
                  </w:divsChild>
                </w:div>
                <w:div w:id="1771391689">
                  <w:marLeft w:val="0"/>
                  <w:marRight w:val="0"/>
                  <w:marTop w:val="0"/>
                  <w:marBottom w:val="0"/>
                  <w:divBdr>
                    <w:top w:val="none" w:sz="0" w:space="0" w:color="auto"/>
                    <w:left w:val="none" w:sz="0" w:space="0" w:color="auto"/>
                    <w:bottom w:val="none" w:sz="0" w:space="0" w:color="auto"/>
                    <w:right w:val="none" w:sz="0" w:space="0" w:color="auto"/>
                  </w:divBdr>
                  <w:divsChild>
                    <w:div w:id="360518745">
                      <w:marLeft w:val="0"/>
                      <w:marRight w:val="0"/>
                      <w:marTop w:val="0"/>
                      <w:marBottom w:val="0"/>
                      <w:divBdr>
                        <w:top w:val="none" w:sz="0" w:space="0" w:color="auto"/>
                        <w:left w:val="none" w:sz="0" w:space="0" w:color="auto"/>
                        <w:bottom w:val="none" w:sz="0" w:space="0" w:color="auto"/>
                        <w:right w:val="none" w:sz="0" w:space="0" w:color="auto"/>
                      </w:divBdr>
                    </w:div>
                    <w:div w:id="5766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86856">
      <w:bodyDiv w:val="1"/>
      <w:marLeft w:val="0"/>
      <w:marRight w:val="0"/>
      <w:marTop w:val="0"/>
      <w:marBottom w:val="0"/>
      <w:divBdr>
        <w:top w:val="none" w:sz="0" w:space="0" w:color="auto"/>
        <w:left w:val="none" w:sz="0" w:space="0" w:color="auto"/>
        <w:bottom w:val="none" w:sz="0" w:space="0" w:color="auto"/>
        <w:right w:val="none" w:sz="0" w:space="0" w:color="auto"/>
      </w:divBdr>
    </w:div>
    <w:div w:id="1176768913">
      <w:bodyDiv w:val="1"/>
      <w:marLeft w:val="0"/>
      <w:marRight w:val="0"/>
      <w:marTop w:val="0"/>
      <w:marBottom w:val="0"/>
      <w:divBdr>
        <w:top w:val="none" w:sz="0" w:space="0" w:color="auto"/>
        <w:left w:val="none" w:sz="0" w:space="0" w:color="auto"/>
        <w:bottom w:val="none" w:sz="0" w:space="0" w:color="auto"/>
        <w:right w:val="none" w:sz="0" w:space="0" w:color="auto"/>
      </w:divBdr>
    </w:div>
    <w:div w:id="1177882728">
      <w:bodyDiv w:val="1"/>
      <w:marLeft w:val="0"/>
      <w:marRight w:val="0"/>
      <w:marTop w:val="0"/>
      <w:marBottom w:val="0"/>
      <w:divBdr>
        <w:top w:val="none" w:sz="0" w:space="0" w:color="auto"/>
        <w:left w:val="none" w:sz="0" w:space="0" w:color="auto"/>
        <w:bottom w:val="none" w:sz="0" w:space="0" w:color="auto"/>
        <w:right w:val="none" w:sz="0" w:space="0" w:color="auto"/>
      </w:divBdr>
    </w:div>
    <w:div w:id="1182671897">
      <w:bodyDiv w:val="1"/>
      <w:marLeft w:val="0"/>
      <w:marRight w:val="0"/>
      <w:marTop w:val="0"/>
      <w:marBottom w:val="0"/>
      <w:divBdr>
        <w:top w:val="none" w:sz="0" w:space="0" w:color="auto"/>
        <w:left w:val="none" w:sz="0" w:space="0" w:color="auto"/>
        <w:bottom w:val="none" w:sz="0" w:space="0" w:color="auto"/>
        <w:right w:val="none" w:sz="0" w:space="0" w:color="auto"/>
      </w:divBdr>
      <w:divsChild>
        <w:div w:id="1603758196">
          <w:marLeft w:val="0"/>
          <w:marRight w:val="0"/>
          <w:marTop w:val="0"/>
          <w:marBottom w:val="0"/>
          <w:divBdr>
            <w:top w:val="none" w:sz="0" w:space="0" w:color="auto"/>
            <w:left w:val="none" w:sz="0" w:space="0" w:color="auto"/>
            <w:bottom w:val="none" w:sz="0" w:space="0" w:color="auto"/>
            <w:right w:val="none" w:sz="0" w:space="0" w:color="auto"/>
          </w:divBdr>
          <w:divsChild>
            <w:div w:id="18492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4584">
      <w:bodyDiv w:val="1"/>
      <w:marLeft w:val="0"/>
      <w:marRight w:val="0"/>
      <w:marTop w:val="0"/>
      <w:marBottom w:val="0"/>
      <w:divBdr>
        <w:top w:val="none" w:sz="0" w:space="0" w:color="auto"/>
        <w:left w:val="none" w:sz="0" w:space="0" w:color="auto"/>
        <w:bottom w:val="none" w:sz="0" w:space="0" w:color="auto"/>
        <w:right w:val="none" w:sz="0" w:space="0" w:color="auto"/>
      </w:divBdr>
    </w:div>
    <w:div w:id="1220819629">
      <w:bodyDiv w:val="1"/>
      <w:marLeft w:val="0"/>
      <w:marRight w:val="0"/>
      <w:marTop w:val="0"/>
      <w:marBottom w:val="0"/>
      <w:divBdr>
        <w:top w:val="none" w:sz="0" w:space="0" w:color="auto"/>
        <w:left w:val="none" w:sz="0" w:space="0" w:color="auto"/>
        <w:bottom w:val="none" w:sz="0" w:space="0" w:color="auto"/>
        <w:right w:val="none" w:sz="0" w:space="0" w:color="auto"/>
      </w:divBdr>
    </w:div>
    <w:div w:id="1297834168">
      <w:bodyDiv w:val="1"/>
      <w:marLeft w:val="0"/>
      <w:marRight w:val="0"/>
      <w:marTop w:val="0"/>
      <w:marBottom w:val="0"/>
      <w:divBdr>
        <w:top w:val="none" w:sz="0" w:space="0" w:color="auto"/>
        <w:left w:val="none" w:sz="0" w:space="0" w:color="auto"/>
        <w:bottom w:val="none" w:sz="0" w:space="0" w:color="auto"/>
        <w:right w:val="none" w:sz="0" w:space="0" w:color="auto"/>
      </w:divBdr>
    </w:div>
    <w:div w:id="1311326867">
      <w:bodyDiv w:val="1"/>
      <w:marLeft w:val="0"/>
      <w:marRight w:val="0"/>
      <w:marTop w:val="0"/>
      <w:marBottom w:val="0"/>
      <w:divBdr>
        <w:top w:val="none" w:sz="0" w:space="0" w:color="auto"/>
        <w:left w:val="none" w:sz="0" w:space="0" w:color="auto"/>
        <w:bottom w:val="none" w:sz="0" w:space="0" w:color="auto"/>
        <w:right w:val="none" w:sz="0" w:space="0" w:color="auto"/>
      </w:divBdr>
      <w:divsChild>
        <w:div w:id="1844927753">
          <w:marLeft w:val="0"/>
          <w:marRight w:val="0"/>
          <w:marTop w:val="0"/>
          <w:marBottom w:val="0"/>
          <w:divBdr>
            <w:top w:val="none" w:sz="0" w:space="0" w:color="auto"/>
            <w:left w:val="none" w:sz="0" w:space="0" w:color="auto"/>
            <w:bottom w:val="none" w:sz="0" w:space="0" w:color="auto"/>
            <w:right w:val="none" w:sz="0" w:space="0" w:color="auto"/>
          </w:divBdr>
        </w:div>
      </w:divsChild>
    </w:div>
    <w:div w:id="1332833611">
      <w:bodyDiv w:val="1"/>
      <w:marLeft w:val="0"/>
      <w:marRight w:val="0"/>
      <w:marTop w:val="0"/>
      <w:marBottom w:val="0"/>
      <w:divBdr>
        <w:top w:val="none" w:sz="0" w:space="0" w:color="auto"/>
        <w:left w:val="none" w:sz="0" w:space="0" w:color="auto"/>
        <w:bottom w:val="none" w:sz="0" w:space="0" w:color="auto"/>
        <w:right w:val="none" w:sz="0" w:space="0" w:color="auto"/>
      </w:divBdr>
    </w:div>
    <w:div w:id="1337149935">
      <w:bodyDiv w:val="1"/>
      <w:marLeft w:val="0"/>
      <w:marRight w:val="0"/>
      <w:marTop w:val="0"/>
      <w:marBottom w:val="0"/>
      <w:divBdr>
        <w:top w:val="none" w:sz="0" w:space="0" w:color="auto"/>
        <w:left w:val="none" w:sz="0" w:space="0" w:color="auto"/>
        <w:bottom w:val="none" w:sz="0" w:space="0" w:color="auto"/>
        <w:right w:val="none" w:sz="0" w:space="0" w:color="auto"/>
      </w:divBdr>
      <w:divsChild>
        <w:div w:id="1103763203">
          <w:marLeft w:val="0"/>
          <w:marRight w:val="0"/>
          <w:marTop w:val="0"/>
          <w:marBottom w:val="0"/>
          <w:divBdr>
            <w:top w:val="none" w:sz="0" w:space="0" w:color="auto"/>
            <w:left w:val="none" w:sz="0" w:space="0" w:color="auto"/>
            <w:bottom w:val="none" w:sz="0" w:space="0" w:color="auto"/>
            <w:right w:val="none" w:sz="0" w:space="0" w:color="auto"/>
          </w:divBdr>
        </w:div>
      </w:divsChild>
    </w:div>
    <w:div w:id="1340304916">
      <w:bodyDiv w:val="1"/>
      <w:marLeft w:val="0"/>
      <w:marRight w:val="0"/>
      <w:marTop w:val="0"/>
      <w:marBottom w:val="0"/>
      <w:divBdr>
        <w:top w:val="none" w:sz="0" w:space="0" w:color="auto"/>
        <w:left w:val="none" w:sz="0" w:space="0" w:color="auto"/>
        <w:bottom w:val="none" w:sz="0" w:space="0" w:color="auto"/>
        <w:right w:val="none" w:sz="0" w:space="0" w:color="auto"/>
      </w:divBdr>
    </w:div>
    <w:div w:id="1350522184">
      <w:bodyDiv w:val="1"/>
      <w:marLeft w:val="0"/>
      <w:marRight w:val="0"/>
      <w:marTop w:val="0"/>
      <w:marBottom w:val="0"/>
      <w:divBdr>
        <w:top w:val="none" w:sz="0" w:space="0" w:color="auto"/>
        <w:left w:val="none" w:sz="0" w:space="0" w:color="auto"/>
        <w:bottom w:val="none" w:sz="0" w:space="0" w:color="auto"/>
        <w:right w:val="none" w:sz="0" w:space="0" w:color="auto"/>
      </w:divBdr>
      <w:divsChild>
        <w:div w:id="779182586">
          <w:marLeft w:val="0"/>
          <w:marRight w:val="0"/>
          <w:marTop w:val="0"/>
          <w:marBottom w:val="0"/>
          <w:divBdr>
            <w:top w:val="none" w:sz="0" w:space="0" w:color="auto"/>
            <w:left w:val="none" w:sz="0" w:space="0" w:color="auto"/>
            <w:bottom w:val="none" w:sz="0" w:space="0" w:color="auto"/>
            <w:right w:val="none" w:sz="0" w:space="0" w:color="auto"/>
          </w:divBdr>
          <w:divsChild>
            <w:div w:id="608243561">
              <w:marLeft w:val="0"/>
              <w:marRight w:val="0"/>
              <w:marTop w:val="0"/>
              <w:marBottom w:val="0"/>
              <w:divBdr>
                <w:top w:val="none" w:sz="0" w:space="0" w:color="auto"/>
                <w:left w:val="none" w:sz="0" w:space="0" w:color="auto"/>
                <w:bottom w:val="none" w:sz="0" w:space="0" w:color="auto"/>
                <w:right w:val="none" w:sz="0" w:space="0" w:color="auto"/>
              </w:divBdr>
              <w:divsChild>
                <w:div w:id="618416836">
                  <w:marLeft w:val="0"/>
                  <w:marRight w:val="0"/>
                  <w:marTop w:val="0"/>
                  <w:marBottom w:val="0"/>
                  <w:divBdr>
                    <w:top w:val="none" w:sz="0" w:space="0" w:color="auto"/>
                    <w:left w:val="none" w:sz="0" w:space="0" w:color="auto"/>
                    <w:bottom w:val="none" w:sz="0" w:space="0" w:color="auto"/>
                    <w:right w:val="none" w:sz="0" w:space="0" w:color="auto"/>
                  </w:divBdr>
                  <w:divsChild>
                    <w:div w:id="340202108">
                      <w:marLeft w:val="0"/>
                      <w:marRight w:val="0"/>
                      <w:marTop w:val="0"/>
                      <w:marBottom w:val="0"/>
                      <w:divBdr>
                        <w:top w:val="none" w:sz="0" w:space="0" w:color="auto"/>
                        <w:left w:val="none" w:sz="0" w:space="0" w:color="auto"/>
                        <w:bottom w:val="none" w:sz="0" w:space="0" w:color="auto"/>
                        <w:right w:val="none" w:sz="0" w:space="0" w:color="auto"/>
                      </w:divBdr>
                    </w:div>
                  </w:divsChild>
                </w:div>
                <w:div w:id="1617562002">
                  <w:marLeft w:val="0"/>
                  <w:marRight w:val="0"/>
                  <w:marTop w:val="0"/>
                  <w:marBottom w:val="0"/>
                  <w:divBdr>
                    <w:top w:val="none" w:sz="0" w:space="0" w:color="auto"/>
                    <w:left w:val="none" w:sz="0" w:space="0" w:color="auto"/>
                    <w:bottom w:val="none" w:sz="0" w:space="0" w:color="auto"/>
                    <w:right w:val="none" w:sz="0" w:space="0" w:color="auto"/>
                  </w:divBdr>
                  <w:divsChild>
                    <w:div w:id="1621106734">
                      <w:marLeft w:val="0"/>
                      <w:marRight w:val="0"/>
                      <w:marTop w:val="0"/>
                      <w:marBottom w:val="0"/>
                      <w:divBdr>
                        <w:top w:val="none" w:sz="0" w:space="0" w:color="auto"/>
                        <w:left w:val="none" w:sz="0" w:space="0" w:color="auto"/>
                        <w:bottom w:val="none" w:sz="0" w:space="0" w:color="auto"/>
                        <w:right w:val="none" w:sz="0" w:space="0" w:color="auto"/>
                      </w:divBdr>
                    </w:div>
                    <w:div w:id="477696117">
                      <w:marLeft w:val="0"/>
                      <w:marRight w:val="0"/>
                      <w:marTop w:val="0"/>
                      <w:marBottom w:val="0"/>
                      <w:divBdr>
                        <w:top w:val="none" w:sz="0" w:space="0" w:color="auto"/>
                        <w:left w:val="none" w:sz="0" w:space="0" w:color="auto"/>
                        <w:bottom w:val="none" w:sz="0" w:space="0" w:color="auto"/>
                        <w:right w:val="none" w:sz="0" w:space="0" w:color="auto"/>
                      </w:divBdr>
                    </w:div>
                  </w:divsChild>
                </w:div>
                <w:div w:id="648753624">
                  <w:marLeft w:val="0"/>
                  <w:marRight w:val="0"/>
                  <w:marTop w:val="0"/>
                  <w:marBottom w:val="0"/>
                  <w:divBdr>
                    <w:top w:val="none" w:sz="0" w:space="0" w:color="auto"/>
                    <w:left w:val="none" w:sz="0" w:space="0" w:color="auto"/>
                    <w:bottom w:val="none" w:sz="0" w:space="0" w:color="auto"/>
                    <w:right w:val="none" w:sz="0" w:space="0" w:color="auto"/>
                  </w:divBdr>
                  <w:divsChild>
                    <w:div w:id="535237046">
                      <w:marLeft w:val="0"/>
                      <w:marRight w:val="0"/>
                      <w:marTop w:val="0"/>
                      <w:marBottom w:val="0"/>
                      <w:divBdr>
                        <w:top w:val="none" w:sz="0" w:space="0" w:color="auto"/>
                        <w:left w:val="none" w:sz="0" w:space="0" w:color="auto"/>
                        <w:bottom w:val="none" w:sz="0" w:space="0" w:color="auto"/>
                        <w:right w:val="none" w:sz="0" w:space="0" w:color="auto"/>
                      </w:divBdr>
                    </w:div>
                    <w:div w:id="2105761309">
                      <w:marLeft w:val="0"/>
                      <w:marRight w:val="0"/>
                      <w:marTop w:val="0"/>
                      <w:marBottom w:val="0"/>
                      <w:divBdr>
                        <w:top w:val="none" w:sz="0" w:space="0" w:color="auto"/>
                        <w:left w:val="none" w:sz="0" w:space="0" w:color="auto"/>
                        <w:bottom w:val="none" w:sz="0" w:space="0" w:color="auto"/>
                        <w:right w:val="none" w:sz="0" w:space="0" w:color="auto"/>
                      </w:divBdr>
                    </w:div>
                  </w:divsChild>
                </w:div>
                <w:div w:id="478229341">
                  <w:marLeft w:val="0"/>
                  <w:marRight w:val="0"/>
                  <w:marTop w:val="0"/>
                  <w:marBottom w:val="0"/>
                  <w:divBdr>
                    <w:top w:val="none" w:sz="0" w:space="0" w:color="auto"/>
                    <w:left w:val="none" w:sz="0" w:space="0" w:color="auto"/>
                    <w:bottom w:val="none" w:sz="0" w:space="0" w:color="auto"/>
                    <w:right w:val="none" w:sz="0" w:space="0" w:color="auto"/>
                  </w:divBdr>
                  <w:divsChild>
                    <w:div w:id="973755010">
                      <w:marLeft w:val="0"/>
                      <w:marRight w:val="0"/>
                      <w:marTop w:val="0"/>
                      <w:marBottom w:val="0"/>
                      <w:divBdr>
                        <w:top w:val="none" w:sz="0" w:space="0" w:color="auto"/>
                        <w:left w:val="none" w:sz="0" w:space="0" w:color="auto"/>
                        <w:bottom w:val="none" w:sz="0" w:space="0" w:color="auto"/>
                        <w:right w:val="none" w:sz="0" w:space="0" w:color="auto"/>
                      </w:divBdr>
                    </w:div>
                    <w:div w:id="1915165542">
                      <w:marLeft w:val="0"/>
                      <w:marRight w:val="0"/>
                      <w:marTop w:val="0"/>
                      <w:marBottom w:val="0"/>
                      <w:divBdr>
                        <w:top w:val="none" w:sz="0" w:space="0" w:color="auto"/>
                        <w:left w:val="none" w:sz="0" w:space="0" w:color="auto"/>
                        <w:bottom w:val="none" w:sz="0" w:space="0" w:color="auto"/>
                        <w:right w:val="none" w:sz="0" w:space="0" w:color="auto"/>
                      </w:divBdr>
                    </w:div>
                  </w:divsChild>
                </w:div>
                <w:div w:id="1436054874">
                  <w:marLeft w:val="0"/>
                  <w:marRight w:val="0"/>
                  <w:marTop w:val="0"/>
                  <w:marBottom w:val="0"/>
                  <w:divBdr>
                    <w:top w:val="none" w:sz="0" w:space="0" w:color="auto"/>
                    <w:left w:val="none" w:sz="0" w:space="0" w:color="auto"/>
                    <w:bottom w:val="none" w:sz="0" w:space="0" w:color="auto"/>
                    <w:right w:val="none" w:sz="0" w:space="0" w:color="auto"/>
                  </w:divBdr>
                  <w:divsChild>
                    <w:div w:id="84806500">
                      <w:marLeft w:val="0"/>
                      <w:marRight w:val="0"/>
                      <w:marTop w:val="0"/>
                      <w:marBottom w:val="0"/>
                      <w:divBdr>
                        <w:top w:val="none" w:sz="0" w:space="0" w:color="auto"/>
                        <w:left w:val="none" w:sz="0" w:space="0" w:color="auto"/>
                        <w:bottom w:val="none" w:sz="0" w:space="0" w:color="auto"/>
                        <w:right w:val="none" w:sz="0" w:space="0" w:color="auto"/>
                      </w:divBdr>
                    </w:div>
                    <w:div w:id="399988861">
                      <w:marLeft w:val="0"/>
                      <w:marRight w:val="0"/>
                      <w:marTop w:val="0"/>
                      <w:marBottom w:val="0"/>
                      <w:divBdr>
                        <w:top w:val="none" w:sz="0" w:space="0" w:color="auto"/>
                        <w:left w:val="none" w:sz="0" w:space="0" w:color="auto"/>
                        <w:bottom w:val="none" w:sz="0" w:space="0" w:color="auto"/>
                        <w:right w:val="none" w:sz="0" w:space="0" w:color="auto"/>
                      </w:divBdr>
                    </w:div>
                  </w:divsChild>
                </w:div>
                <w:div w:id="515582531">
                  <w:marLeft w:val="0"/>
                  <w:marRight w:val="0"/>
                  <w:marTop w:val="0"/>
                  <w:marBottom w:val="0"/>
                  <w:divBdr>
                    <w:top w:val="none" w:sz="0" w:space="0" w:color="auto"/>
                    <w:left w:val="none" w:sz="0" w:space="0" w:color="auto"/>
                    <w:bottom w:val="none" w:sz="0" w:space="0" w:color="auto"/>
                    <w:right w:val="none" w:sz="0" w:space="0" w:color="auto"/>
                  </w:divBdr>
                  <w:divsChild>
                    <w:div w:id="699672824">
                      <w:marLeft w:val="0"/>
                      <w:marRight w:val="0"/>
                      <w:marTop w:val="0"/>
                      <w:marBottom w:val="0"/>
                      <w:divBdr>
                        <w:top w:val="none" w:sz="0" w:space="0" w:color="auto"/>
                        <w:left w:val="none" w:sz="0" w:space="0" w:color="auto"/>
                        <w:bottom w:val="none" w:sz="0" w:space="0" w:color="auto"/>
                        <w:right w:val="none" w:sz="0" w:space="0" w:color="auto"/>
                      </w:divBdr>
                    </w:div>
                    <w:div w:id="926891300">
                      <w:marLeft w:val="0"/>
                      <w:marRight w:val="0"/>
                      <w:marTop w:val="0"/>
                      <w:marBottom w:val="0"/>
                      <w:divBdr>
                        <w:top w:val="none" w:sz="0" w:space="0" w:color="auto"/>
                        <w:left w:val="none" w:sz="0" w:space="0" w:color="auto"/>
                        <w:bottom w:val="none" w:sz="0" w:space="0" w:color="auto"/>
                        <w:right w:val="none" w:sz="0" w:space="0" w:color="auto"/>
                      </w:divBdr>
                    </w:div>
                  </w:divsChild>
                </w:div>
                <w:div w:id="61370964">
                  <w:marLeft w:val="0"/>
                  <w:marRight w:val="0"/>
                  <w:marTop w:val="0"/>
                  <w:marBottom w:val="0"/>
                  <w:divBdr>
                    <w:top w:val="none" w:sz="0" w:space="0" w:color="auto"/>
                    <w:left w:val="none" w:sz="0" w:space="0" w:color="auto"/>
                    <w:bottom w:val="none" w:sz="0" w:space="0" w:color="auto"/>
                    <w:right w:val="none" w:sz="0" w:space="0" w:color="auto"/>
                  </w:divBdr>
                  <w:divsChild>
                    <w:div w:id="1734699006">
                      <w:marLeft w:val="0"/>
                      <w:marRight w:val="0"/>
                      <w:marTop w:val="0"/>
                      <w:marBottom w:val="0"/>
                      <w:divBdr>
                        <w:top w:val="none" w:sz="0" w:space="0" w:color="auto"/>
                        <w:left w:val="none" w:sz="0" w:space="0" w:color="auto"/>
                        <w:bottom w:val="none" w:sz="0" w:space="0" w:color="auto"/>
                        <w:right w:val="none" w:sz="0" w:space="0" w:color="auto"/>
                      </w:divBdr>
                    </w:div>
                    <w:div w:id="481502220">
                      <w:marLeft w:val="0"/>
                      <w:marRight w:val="0"/>
                      <w:marTop w:val="0"/>
                      <w:marBottom w:val="0"/>
                      <w:divBdr>
                        <w:top w:val="none" w:sz="0" w:space="0" w:color="auto"/>
                        <w:left w:val="none" w:sz="0" w:space="0" w:color="auto"/>
                        <w:bottom w:val="none" w:sz="0" w:space="0" w:color="auto"/>
                        <w:right w:val="none" w:sz="0" w:space="0" w:color="auto"/>
                      </w:divBdr>
                    </w:div>
                  </w:divsChild>
                </w:div>
                <w:div w:id="1398166338">
                  <w:marLeft w:val="0"/>
                  <w:marRight w:val="0"/>
                  <w:marTop w:val="0"/>
                  <w:marBottom w:val="0"/>
                  <w:divBdr>
                    <w:top w:val="none" w:sz="0" w:space="0" w:color="auto"/>
                    <w:left w:val="none" w:sz="0" w:space="0" w:color="auto"/>
                    <w:bottom w:val="none" w:sz="0" w:space="0" w:color="auto"/>
                    <w:right w:val="none" w:sz="0" w:space="0" w:color="auto"/>
                  </w:divBdr>
                  <w:divsChild>
                    <w:div w:id="974603820">
                      <w:marLeft w:val="0"/>
                      <w:marRight w:val="0"/>
                      <w:marTop w:val="0"/>
                      <w:marBottom w:val="0"/>
                      <w:divBdr>
                        <w:top w:val="none" w:sz="0" w:space="0" w:color="auto"/>
                        <w:left w:val="none" w:sz="0" w:space="0" w:color="auto"/>
                        <w:bottom w:val="none" w:sz="0" w:space="0" w:color="auto"/>
                        <w:right w:val="none" w:sz="0" w:space="0" w:color="auto"/>
                      </w:divBdr>
                    </w:div>
                    <w:div w:id="7577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6510">
          <w:marLeft w:val="0"/>
          <w:marRight w:val="0"/>
          <w:marTop w:val="0"/>
          <w:marBottom w:val="0"/>
          <w:divBdr>
            <w:top w:val="none" w:sz="0" w:space="0" w:color="auto"/>
            <w:left w:val="none" w:sz="0" w:space="0" w:color="auto"/>
            <w:bottom w:val="none" w:sz="0" w:space="0" w:color="auto"/>
            <w:right w:val="none" w:sz="0" w:space="0" w:color="auto"/>
          </w:divBdr>
          <w:divsChild>
            <w:div w:id="743995565">
              <w:marLeft w:val="0"/>
              <w:marRight w:val="0"/>
              <w:marTop w:val="0"/>
              <w:marBottom w:val="0"/>
              <w:divBdr>
                <w:top w:val="none" w:sz="0" w:space="0" w:color="auto"/>
                <w:left w:val="none" w:sz="0" w:space="0" w:color="auto"/>
                <w:bottom w:val="none" w:sz="0" w:space="0" w:color="auto"/>
                <w:right w:val="none" w:sz="0" w:space="0" w:color="auto"/>
              </w:divBdr>
              <w:divsChild>
                <w:div w:id="166096844">
                  <w:marLeft w:val="0"/>
                  <w:marRight w:val="0"/>
                  <w:marTop w:val="0"/>
                  <w:marBottom w:val="0"/>
                  <w:divBdr>
                    <w:top w:val="none" w:sz="0" w:space="0" w:color="auto"/>
                    <w:left w:val="none" w:sz="0" w:space="0" w:color="auto"/>
                    <w:bottom w:val="none" w:sz="0" w:space="0" w:color="auto"/>
                    <w:right w:val="none" w:sz="0" w:space="0" w:color="auto"/>
                  </w:divBdr>
                  <w:divsChild>
                    <w:div w:id="1748261308">
                      <w:marLeft w:val="0"/>
                      <w:marRight w:val="0"/>
                      <w:marTop w:val="0"/>
                      <w:marBottom w:val="0"/>
                      <w:divBdr>
                        <w:top w:val="none" w:sz="0" w:space="0" w:color="auto"/>
                        <w:left w:val="none" w:sz="0" w:space="0" w:color="auto"/>
                        <w:bottom w:val="none" w:sz="0" w:space="0" w:color="auto"/>
                        <w:right w:val="none" w:sz="0" w:space="0" w:color="auto"/>
                      </w:divBdr>
                    </w:div>
                    <w:div w:id="918321701">
                      <w:marLeft w:val="0"/>
                      <w:marRight w:val="0"/>
                      <w:marTop w:val="0"/>
                      <w:marBottom w:val="0"/>
                      <w:divBdr>
                        <w:top w:val="none" w:sz="0" w:space="0" w:color="auto"/>
                        <w:left w:val="none" w:sz="0" w:space="0" w:color="auto"/>
                        <w:bottom w:val="none" w:sz="0" w:space="0" w:color="auto"/>
                        <w:right w:val="none" w:sz="0" w:space="0" w:color="auto"/>
                      </w:divBdr>
                    </w:div>
                  </w:divsChild>
                </w:div>
                <w:div w:id="346520706">
                  <w:marLeft w:val="0"/>
                  <w:marRight w:val="0"/>
                  <w:marTop w:val="0"/>
                  <w:marBottom w:val="0"/>
                  <w:divBdr>
                    <w:top w:val="none" w:sz="0" w:space="0" w:color="auto"/>
                    <w:left w:val="none" w:sz="0" w:space="0" w:color="auto"/>
                    <w:bottom w:val="none" w:sz="0" w:space="0" w:color="auto"/>
                    <w:right w:val="none" w:sz="0" w:space="0" w:color="auto"/>
                  </w:divBdr>
                  <w:divsChild>
                    <w:div w:id="76638565">
                      <w:marLeft w:val="0"/>
                      <w:marRight w:val="0"/>
                      <w:marTop w:val="0"/>
                      <w:marBottom w:val="0"/>
                      <w:divBdr>
                        <w:top w:val="none" w:sz="0" w:space="0" w:color="auto"/>
                        <w:left w:val="none" w:sz="0" w:space="0" w:color="auto"/>
                        <w:bottom w:val="none" w:sz="0" w:space="0" w:color="auto"/>
                        <w:right w:val="none" w:sz="0" w:space="0" w:color="auto"/>
                      </w:divBdr>
                    </w:div>
                    <w:div w:id="1908147711">
                      <w:marLeft w:val="0"/>
                      <w:marRight w:val="0"/>
                      <w:marTop w:val="0"/>
                      <w:marBottom w:val="0"/>
                      <w:divBdr>
                        <w:top w:val="none" w:sz="0" w:space="0" w:color="auto"/>
                        <w:left w:val="none" w:sz="0" w:space="0" w:color="auto"/>
                        <w:bottom w:val="none" w:sz="0" w:space="0" w:color="auto"/>
                        <w:right w:val="none" w:sz="0" w:space="0" w:color="auto"/>
                      </w:divBdr>
                    </w:div>
                  </w:divsChild>
                </w:div>
                <w:div w:id="1611863650">
                  <w:marLeft w:val="0"/>
                  <w:marRight w:val="0"/>
                  <w:marTop w:val="0"/>
                  <w:marBottom w:val="0"/>
                  <w:divBdr>
                    <w:top w:val="none" w:sz="0" w:space="0" w:color="auto"/>
                    <w:left w:val="none" w:sz="0" w:space="0" w:color="auto"/>
                    <w:bottom w:val="none" w:sz="0" w:space="0" w:color="auto"/>
                    <w:right w:val="none" w:sz="0" w:space="0" w:color="auto"/>
                  </w:divBdr>
                  <w:divsChild>
                    <w:div w:id="793056833">
                      <w:marLeft w:val="0"/>
                      <w:marRight w:val="0"/>
                      <w:marTop w:val="0"/>
                      <w:marBottom w:val="0"/>
                      <w:divBdr>
                        <w:top w:val="none" w:sz="0" w:space="0" w:color="auto"/>
                        <w:left w:val="none" w:sz="0" w:space="0" w:color="auto"/>
                        <w:bottom w:val="none" w:sz="0" w:space="0" w:color="auto"/>
                        <w:right w:val="none" w:sz="0" w:space="0" w:color="auto"/>
                      </w:divBdr>
                    </w:div>
                    <w:div w:id="927420474">
                      <w:marLeft w:val="0"/>
                      <w:marRight w:val="0"/>
                      <w:marTop w:val="0"/>
                      <w:marBottom w:val="0"/>
                      <w:divBdr>
                        <w:top w:val="none" w:sz="0" w:space="0" w:color="auto"/>
                        <w:left w:val="none" w:sz="0" w:space="0" w:color="auto"/>
                        <w:bottom w:val="none" w:sz="0" w:space="0" w:color="auto"/>
                        <w:right w:val="none" w:sz="0" w:space="0" w:color="auto"/>
                      </w:divBdr>
                    </w:div>
                  </w:divsChild>
                </w:div>
                <w:div w:id="1328048531">
                  <w:marLeft w:val="0"/>
                  <w:marRight w:val="0"/>
                  <w:marTop w:val="0"/>
                  <w:marBottom w:val="0"/>
                  <w:divBdr>
                    <w:top w:val="none" w:sz="0" w:space="0" w:color="auto"/>
                    <w:left w:val="none" w:sz="0" w:space="0" w:color="auto"/>
                    <w:bottom w:val="none" w:sz="0" w:space="0" w:color="auto"/>
                    <w:right w:val="none" w:sz="0" w:space="0" w:color="auto"/>
                  </w:divBdr>
                  <w:divsChild>
                    <w:div w:id="1084954076">
                      <w:marLeft w:val="0"/>
                      <w:marRight w:val="0"/>
                      <w:marTop w:val="0"/>
                      <w:marBottom w:val="0"/>
                      <w:divBdr>
                        <w:top w:val="none" w:sz="0" w:space="0" w:color="auto"/>
                        <w:left w:val="none" w:sz="0" w:space="0" w:color="auto"/>
                        <w:bottom w:val="none" w:sz="0" w:space="0" w:color="auto"/>
                        <w:right w:val="none" w:sz="0" w:space="0" w:color="auto"/>
                      </w:divBdr>
                    </w:div>
                    <w:div w:id="853684980">
                      <w:marLeft w:val="0"/>
                      <w:marRight w:val="0"/>
                      <w:marTop w:val="0"/>
                      <w:marBottom w:val="0"/>
                      <w:divBdr>
                        <w:top w:val="none" w:sz="0" w:space="0" w:color="auto"/>
                        <w:left w:val="none" w:sz="0" w:space="0" w:color="auto"/>
                        <w:bottom w:val="none" w:sz="0" w:space="0" w:color="auto"/>
                        <w:right w:val="none" w:sz="0" w:space="0" w:color="auto"/>
                      </w:divBdr>
                    </w:div>
                  </w:divsChild>
                </w:div>
                <w:div w:id="327827215">
                  <w:marLeft w:val="0"/>
                  <w:marRight w:val="0"/>
                  <w:marTop w:val="0"/>
                  <w:marBottom w:val="0"/>
                  <w:divBdr>
                    <w:top w:val="none" w:sz="0" w:space="0" w:color="auto"/>
                    <w:left w:val="none" w:sz="0" w:space="0" w:color="auto"/>
                    <w:bottom w:val="none" w:sz="0" w:space="0" w:color="auto"/>
                    <w:right w:val="none" w:sz="0" w:space="0" w:color="auto"/>
                  </w:divBdr>
                  <w:divsChild>
                    <w:div w:id="1213931282">
                      <w:marLeft w:val="0"/>
                      <w:marRight w:val="0"/>
                      <w:marTop w:val="0"/>
                      <w:marBottom w:val="0"/>
                      <w:divBdr>
                        <w:top w:val="none" w:sz="0" w:space="0" w:color="auto"/>
                        <w:left w:val="none" w:sz="0" w:space="0" w:color="auto"/>
                        <w:bottom w:val="none" w:sz="0" w:space="0" w:color="auto"/>
                        <w:right w:val="none" w:sz="0" w:space="0" w:color="auto"/>
                      </w:divBdr>
                    </w:div>
                    <w:div w:id="4200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266920">
      <w:bodyDiv w:val="1"/>
      <w:marLeft w:val="0"/>
      <w:marRight w:val="0"/>
      <w:marTop w:val="0"/>
      <w:marBottom w:val="0"/>
      <w:divBdr>
        <w:top w:val="none" w:sz="0" w:space="0" w:color="auto"/>
        <w:left w:val="none" w:sz="0" w:space="0" w:color="auto"/>
        <w:bottom w:val="none" w:sz="0" w:space="0" w:color="auto"/>
        <w:right w:val="none" w:sz="0" w:space="0" w:color="auto"/>
      </w:divBdr>
    </w:div>
    <w:div w:id="1446851151">
      <w:bodyDiv w:val="1"/>
      <w:marLeft w:val="0"/>
      <w:marRight w:val="0"/>
      <w:marTop w:val="0"/>
      <w:marBottom w:val="0"/>
      <w:divBdr>
        <w:top w:val="none" w:sz="0" w:space="0" w:color="auto"/>
        <w:left w:val="none" w:sz="0" w:space="0" w:color="auto"/>
        <w:bottom w:val="none" w:sz="0" w:space="0" w:color="auto"/>
        <w:right w:val="none" w:sz="0" w:space="0" w:color="auto"/>
      </w:divBdr>
    </w:div>
    <w:div w:id="1468234004">
      <w:bodyDiv w:val="1"/>
      <w:marLeft w:val="0"/>
      <w:marRight w:val="0"/>
      <w:marTop w:val="0"/>
      <w:marBottom w:val="0"/>
      <w:divBdr>
        <w:top w:val="none" w:sz="0" w:space="0" w:color="auto"/>
        <w:left w:val="none" w:sz="0" w:space="0" w:color="auto"/>
        <w:bottom w:val="none" w:sz="0" w:space="0" w:color="auto"/>
        <w:right w:val="none" w:sz="0" w:space="0" w:color="auto"/>
      </w:divBdr>
      <w:divsChild>
        <w:div w:id="1356492587">
          <w:marLeft w:val="0"/>
          <w:marRight w:val="0"/>
          <w:marTop w:val="0"/>
          <w:marBottom w:val="0"/>
          <w:divBdr>
            <w:top w:val="none" w:sz="0" w:space="0" w:color="auto"/>
            <w:left w:val="none" w:sz="0" w:space="0" w:color="auto"/>
            <w:bottom w:val="none" w:sz="0" w:space="0" w:color="auto"/>
            <w:right w:val="none" w:sz="0" w:space="0" w:color="auto"/>
          </w:divBdr>
          <w:divsChild>
            <w:div w:id="1107696781">
              <w:marLeft w:val="0"/>
              <w:marRight w:val="0"/>
              <w:marTop w:val="0"/>
              <w:marBottom w:val="0"/>
              <w:divBdr>
                <w:top w:val="none" w:sz="0" w:space="0" w:color="auto"/>
                <w:left w:val="none" w:sz="0" w:space="0" w:color="auto"/>
                <w:bottom w:val="none" w:sz="0" w:space="0" w:color="auto"/>
                <w:right w:val="none" w:sz="0" w:space="0" w:color="auto"/>
              </w:divBdr>
            </w:div>
            <w:div w:id="1253857138">
              <w:marLeft w:val="0"/>
              <w:marRight w:val="0"/>
              <w:marTop w:val="0"/>
              <w:marBottom w:val="0"/>
              <w:divBdr>
                <w:top w:val="none" w:sz="0" w:space="0" w:color="auto"/>
                <w:left w:val="none" w:sz="0" w:space="0" w:color="auto"/>
                <w:bottom w:val="none" w:sz="0" w:space="0" w:color="auto"/>
                <w:right w:val="none" w:sz="0" w:space="0" w:color="auto"/>
              </w:divBdr>
            </w:div>
          </w:divsChild>
        </w:div>
        <w:div w:id="416295113">
          <w:marLeft w:val="0"/>
          <w:marRight w:val="0"/>
          <w:marTop w:val="0"/>
          <w:marBottom w:val="0"/>
          <w:divBdr>
            <w:top w:val="none" w:sz="0" w:space="0" w:color="auto"/>
            <w:left w:val="none" w:sz="0" w:space="0" w:color="auto"/>
            <w:bottom w:val="none" w:sz="0" w:space="0" w:color="auto"/>
            <w:right w:val="none" w:sz="0" w:space="0" w:color="auto"/>
          </w:divBdr>
          <w:divsChild>
            <w:div w:id="2067794049">
              <w:marLeft w:val="0"/>
              <w:marRight w:val="0"/>
              <w:marTop w:val="0"/>
              <w:marBottom w:val="0"/>
              <w:divBdr>
                <w:top w:val="none" w:sz="0" w:space="0" w:color="auto"/>
                <w:left w:val="none" w:sz="0" w:space="0" w:color="auto"/>
                <w:bottom w:val="none" w:sz="0" w:space="0" w:color="auto"/>
                <w:right w:val="none" w:sz="0" w:space="0" w:color="auto"/>
              </w:divBdr>
            </w:div>
            <w:div w:id="1119497547">
              <w:marLeft w:val="0"/>
              <w:marRight w:val="0"/>
              <w:marTop w:val="0"/>
              <w:marBottom w:val="0"/>
              <w:divBdr>
                <w:top w:val="none" w:sz="0" w:space="0" w:color="auto"/>
                <w:left w:val="none" w:sz="0" w:space="0" w:color="auto"/>
                <w:bottom w:val="none" w:sz="0" w:space="0" w:color="auto"/>
                <w:right w:val="none" w:sz="0" w:space="0" w:color="auto"/>
              </w:divBdr>
            </w:div>
          </w:divsChild>
        </w:div>
        <w:div w:id="414127349">
          <w:marLeft w:val="0"/>
          <w:marRight w:val="0"/>
          <w:marTop w:val="0"/>
          <w:marBottom w:val="0"/>
          <w:divBdr>
            <w:top w:val="none" w:sz="0" w:space="0" w:color="auto"/>
            <w:left w:val="none" w:sz="0" w:space="0" w:color="auto"/>
            <w:bottom w:val="none" w:sz="0" w:space="0" w:color="auto"/>
            <w:right w:val="none" w:sz="0" w:space="0" w:color="auto"/>
          </w:divBdr>
          <w:divsChild>
            <w:div w:id="789394402">
              <w:marLeft w:val="0"/>
              <w:marRight w:val="0"/>
              <w:marTop w:val="0"/>
              <w:marBottom w:val="0"/>
              <w:divBdr>
                <w:top w:val="none" w:sz="0" w:space="0" w:color="auto"/>
                <w:left w:val="none" w:sz="0" w:space="0" w:color="auto"/>
                <w:bottom w:val="none" w:sz="0" w:space="0" w:color="auto"/>
                <w:right w:val="none" w:sz="0" w:space="0" w:color="auto"/>
              </w:divBdr>
            </w:div>
            <w:div w:id="1908223293">
              <w:marLeft w:val="0"/>
              <w:marRight w:val="0"/>
              <w:marTop w:val="0"/>
              <w:marBottom w:val="0"/>
              <w:divBdr>
                <w:top w:val="none" w:sz="0" w:space="0" w:color="auto"/>
                <w:left w:val="none" w:sz="0" w:space="0" w:color="auto"/>
                <w:bottom w:val="none" w:sz="0" w:space="0" w:color="auto"/>
                <w:right w:val="none" w:sz="0" w:space="0" w:color="auto"/>
              </w:divBdr>
            </w:div>
          </w:divsChild>
        </w:div>
        <w:div w:id="1105422767">
          <w:marLeft w:val="0"/>
          <w:marRight w:val="0"/>
          <w:marTop w:val="0"/>
          <w:marBottom w:val="0"/>
          <w:divBdr>
            <w:top w:val="none" w:sz="0" w:space="0" w:color="auto"/>
            <w:left w:val="none" w:sz="0" w:space="0" w:color="auto"/>
            <w:bottom w:val="none" w:sz="0" w:space="0" w:color="auto"/>
            <w:right w:val="none" w:sz="0" w:space="0" w:color="auto"/>
          </w:divBdr>
          <w:divsChild>
            <w:div w:id="300885829">
              <w:marLeft w:val="0"/>
              <w:marRight w:val="0"/>
              <w:marTop w:val="0"/>
              <w:marBottom w:val="0"/>
              <w:divBdr>
                <w:top w:val="none" w:sz="0" w:space="0" w:color="auto"/>
                <w:left w:val="none" w:sz="0" w:space="0" w:color="auto"/>
                <w:bottom w:val="none" w:sz="0" w:space="0" w:color="auto"/>
                <w:right w:val="none" w:sz="0" w:space="0" w:color="auto"/>
              </w:divBdr>
            </w:div>
            <w:div w:id="578757056">
              <w:marLeft w:val="0"/>
              <w:marRight w:val="0"/>
              <w:marTop w:val="0"/>
              <w:marBottom w:val="0"/>
              <w:divBdr>
                <w:top w:val="none" w:sz="0" w:space="0" w:color="auto"/>
                <w:left w:val="none" w:sz="0" w:space="0" w:color="auto"/>
                <w:bottom w:val="none" w:sz="0" w:space="0" w:color="auto"/>
                <w:right w:val="none" w:sz="0" w:space="0" w:color="auto"/>
              </w:divBdr>
            </w:div>
          </w:divsChild>
        </w:div>
        <w:div w:id="705133471">
          <w:marLeft w:val="0"/>
          <w:marRight w:val="0"/>
          <w:marTop w:val="0"/>
          <w:marBottom w:val="0"/>
          <w:divBdr>
            <w:top w:val="none" w:sz="0" w:space="0" w:color="auto"/>
            <w:left w:val="none" w:sz="0" w:space="0" w:color="auto"/>
            <w:bottom w:val="none" w:sz="0" w:space="0" w:color="auto"/>
            <w:right w:val="none" w:sz="0" w:space="0" w:color="auto"/>
          </w:divBdr>
          <w:divsChild>
            <w:div w:id="81729709">
              <w:marLeft w:val="0"/>
              <w:marRight w:val="0"/>
              <w:marTop w:val="0"/>
              <w:marBottom w:val="0"/>
              <w:divBdr>
                <w:top w:val="none" w:sz="0" w:space="0" w:color="auto"/>
                <w:left w:val="none" w:sz="0" w:space="0" w:color="auto"/>
                <w:bottom w:val="none" w:sz="0" w:space="0" w:color="auto"/>
                <w:right w:val="none" w:sz="0" w:space="0" w:color="auto"/>
              </w:divBdr>
            </w:div>
            <w:div w:id="811407863">
              <w:marLeft w:val="0"/>
              <w:marRight w:val="0"/>
              <w:marTop w:val="0"/>
              <w:marBottom w:val="0"/>
              <w:divBdr>
                <w:top w:val="none" w:sz="0" w:space="0" w:color="auto"/>
                <w:left w:val="none" w:sz="0" w:space="0" w:color="auto"/>
                <w:bottom w:val="none" w:sz="0" w:space="0" w:color="auto"/>
                <w:right w:val="none" w:sz="0" w:space="0" w:color="auto"/>
              </w:divBdr>
            </w:div>
          </w:divsChild>
        </w:div>
        <w:div w:id="1019626411">
          <w:marLeft w:val="0"/>
          <w:marRight w:val="0"/>
          <w:marTop w:val="0"/>
          <w:marBottom w:val="0"/>
          <w:divBdr>
            <w:top w:val="none" w:sz="0" w:space="0" w:color="auto"/>
            <w:left w:val="none" w:sz="0" w:space="0" w:color="auto"/>
            <w:bottom w:val="none" w:sz="0" w:space="0" w:color="auto"/>
            <w:right w:val="none" w:sz="0" w:space="0" w:color="auto"/>
          </w:divBdr>
          <w:divsChild>
            <w:div w:id="894045771">
              <w:marLeft w:val="0"/>
              <w:marRight w:val="0"/>
              <w:marTop w:val="0"/>
              <w:marBottom w:val="0"/>
              <w:divBdr>
                <w:top w:val="none" w:sz="0" w:space="0" w:color="auto"/>
                <w:left w:val="none" w:sz="0" w:space="0" w:color="auto"/>
                <w:bottom w:val="none" w:sz="0" w:space="0" w:color="auto"/>
                <w:right w:val="none" w:sz="0" w:space="0" w:color="auto"/>
              </w:divBdr>
            </w:div>
            <w:div w:id="1786342309">
              <w:marLeft w:val="0"/>
              <w:marRight w:val="0"/>
              <w:marTop w:val="0"/>
              <w:marBottom w:val="0"/>
              <w:divBdr>
                <w:top w:val="none" w:sz="0" w:space="0" w:color="auto"/>
                <w:left w:val="none" w:sz="0" w:space="0" w:color="auto"/>
                <w:bottom w:val="none" w:sz="0" w:space="0" w:color="auto"/>
                <w:right w:val="none" w:sz="0" w:space="0" w:color="auto"/>
              </w:divBdr>
            </w:div>
          </w:divsChild>
        </w:div>
        <w:div w:id="1005205114">
          <w:marLeft w:val="0"/>
          <w:marRight w:val="0"/>
          <w:marTop w:val="0"/>
          <w:marBottom w:val="0"/>
          <w:divBdr>
            <w:top w:val="none" w:sz="0" w:space="0" w:color="auto"/>
            <w:left w:val="none" w:sz="0" w:space="0" w:color="auto"/>
            <w:bottom w:val="none" w:sz="0" w:space="0" w:color="auto"/>
            <w:right w:val="none" w:sz="0" w:space="0" w:color="auto"/>
          </w:divBdr>
          <w:divsChild>
            <w:div w:id="311637900">
              <w:marLeft w:val="0"/>
              <w:marRight w:val="0"/>
              <w:marTop w:val="0"/>
              <w:marBottom w:val="0"/>
              <w:divBdr>
                <w:top w:val="none" w:sz="0" w:space="0" w:color="auto"/>
                <w:left w:val="none" w:sz="0" w:space="0" w:color="auto"/>
                <w:bottom w:val="none" w:sz="0" w:space="0" w:color="auto"/>
                <w:right w:val="none" w:sz="0" w:space="0" w:color="auto"/>
              </w:divBdr>
            </w:div>
            <w:div w:id="2084378273">
              <w:marLeft w:val="0"/>
              <w:marRight w:val="0"/>
              <w:marTop w:val="0"/>
              <w:marBottom w:val="0"/>
              <w:divBdr>
                <w:top w:val="none" w:sz="0" w:space="0" w:color="auto"/>
                <w:left w:val="none" w:sz="0" w:space="0" w:color="auto"/>
                <w:bottom w:val="none" w:sz="0" w:space="0" w:color="auto"/>
                <w:right w:val="none" w:sz="0" w:space="0" w:color="auto"/>
              </w:divBdr>
            </w:div>
          </w:divsChild>
        </w:div>
        <w:div w:id="845902711">
          <w:marLeft w:val="0"/>
          <w:marRight w:val="0"/>
          <w:marTop w:val="0"/>
          <w:marBottom w:val="0"/>
          <w:divBdr>
            <w:top w:val="none" w:sz="0" w:space="0" w:color="auto"/>
            <w:left w:val="none" w:sz="0" w:space="0" w:color="auto"/>
            <w:bottom w:val="none" w:sz="0" w:space="0" w:color="auto"/>
            <w:right w:val="none" w:sz="0" w:space="0" w:color="auto"/>
          </w:divBdr>
          <w:divsChild>
            <w:div w:id="1832090239">
              <w:marLeft w:val="0"/>
              <w:marRight w:val="0"/>
              <w:marTop w:val="0"/>
              <w:marBottom w:val="0"/>
              <w:divBdr>
                <w:top w:val="none" w:sz="0" w:space="0" w:color="auto"/>
                <w:left w:val="none" w:sz="0" w:space="0" w:color="auto"/>
                <w:bottom w:val="none" w:sz="0" w:space="0" w:color="auto"/>
                <w:right w:val="none" w:sz="0" w:space="0" w:color="auto"/>
              </w:divBdr>
            </w:div>
            <w:div w:id="609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2371">
      <w:bodyDiv w:val="1"/>
      <w:marLeft w:val="0"/>
      <w:marRight w:val="0"/>
      <w:marTop w:val="0"/>
      <w:marBottom w:val="0"/>
      <w:divBdr>
        <w:top w:val="none" w:sz="0" w:space="0" w:color="auto"/>
        <w:left w:val="none" w:sz="0" w:space="0" w:color="auto"/>
        <w:bottom w:val="none" w:sz="0" w:space="0" w:color="auto"/>
        <w:right w:val="none" w:sz="0" w:space="0" w:color="auto"/>
      </w:divBdr>
    </w:div>
    <w:div w:id="1499881781">
      <w:bodyDiv w:val="1"/>
      <w:marLeft w:val="0"/>
      <w:marRight w:val="0"/>
      <w:marTop w:val="0"/>
      <w:marBottom w:val="0"/>
      <w:divBdr>
        <w:top w:val="none" w:sz="0" w:space="0" w:color="auto"/>
        <w:left w:val="none" w:sz="0" w:space="0" w:color="auto"/>
        <w:bottom w:val="none" w:sz="0" w:space="0" w:color="auto"/>
        <w:right w:val="none" w:sz="0" w:space="0" w:color="auto"/>
      </w:divBdr>
      <w:divsChild>
        <w:div w:id="124666429">
          <w:marLeft w:val="0"/>
          <w:marRight w:val="0"/>
          <w:marTop w:val="0"/>
          <w:marBottom w:val="0"/>
          <w:divBdr>
            <w:top w:val="none" w:sz="0" w:space="0" w:color="auto"/>
            <w:left w:val="none" w:sz="0" w:space="0" w:color="auto"/>
            <w:bottom w:val="none" w:sz="0" w:space="0" w:color="auto"/>
            <w:right w:val="none" w:sz="0" w:space="0" w:color="auto"/>
          </w:divBdr>
          <w:divsChild>
            <w:div w:id="1586037768">
              <w:marLeft w:val="0"/>
              <w:marRight w:val="0"/>
              <w:marTop w:val="0"/>
              <w:marBottom w:val="0"/>
              <w:divBdr>
                <w:top w:val="none" w:sz="0" w:space="0" w:color="auto"/>
                <w:left w:val="none" w:sz="0" w:space="0" w:color="auto"/>
                <w:bottom w:val="none" w:sz="0" w:space="0" w:color="auto"/>
                <w:right w:val="none" w:sz="0" w:space="0" w:color="auto"/>
              </w:divBdr>
            </w:div>
            <w:div w:id="1017123995">
              <w:marLeft w:val="0"/>
              <w:marRight w:val="0"/>
              <w:marTop w:val="0"/>
              <w:marBottom w:val="0"/>
              <w:divBdr>
                <w:top w:val="none" w:sz="0" w:space="0" w:color="auto"/>
                <w:left w:val="none" w:sz="0" w:space="0" w:color="auto"/>
                <w:bottom w:val="none" w:sz="0" w:space="0" w:color="auto"/>
                <w:right w:val="none" w:sz="0" w:space="0" w:color="auto"/>
              </w:divBdr>
            </w:div>
          </w:divsChild>
        </w:div>
        <w:div w:id="1224948933">
          <w:marLeft w:val="0"/>
          <w:marRight w:val="0"/>
          <w:marTop w:val="0"/>
          <w:marBottom w:val="0"/>
          <w:divBdr>
            <w:top w:val="none" w:sz="0" w:space="0" w:color="auto"/>
            <w:left w:val="none" w:sz="0" w:space="0" w:color="auto"/>
            <w:bottom w:val="none" w:sz="0" w:space="0" w:color="auto"/>
            <w:right w:val="none" w:sz="0" w:space="0" w:color="auto"/>
          </w:divBdr>
          <w:divsChild>
            <w:div w:id="1269656365">
              <w:marLeft w:val="0"/>
              <w:marRight w:val="0"/>
              <w:marTop w:val="0"/>
              <w:marBottom w:val="0"/>
              <w:divBdr>
                <w:top w:val="none" w:sz="0" w:space="0" w:color="auto"/>
                <w:left w:val="none" w:sz="0" w:space="0" w:color="auto"/>
                <w:bottom w:val="none" w:sz="0" w:space="0" w:color="auto"/>
                <w:right w:val="none" w:sz="0" w:space="0" w:color="auto"/>
              </w:divBdr>
            </w:div>
            <w:div w:id="9145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3449">
      <w:bodyDiv w:val="1"/>
      <w:marLeft w:val="0"/>
      <w:marRight w:val="0"/>
      <w:marTop w:val="0"/>
      <w:marBottom w:val="0"/>
      <w:divBdr>
        <w:top w:val="none" w:sz="0" w:space="0" w:color="auto"/>
        <w:left w:val="none" w:sz="0" w:space="0" w:color="auto"/>
        <w:bottom w:val="none" w:sz="0" w:space="0" w:color="auto"/>
        <w:right w:val="none" w:sz="0" w:space="0" w:color="auto"/>
      </w:divBdr>
    </w:div>
    <w:div w:id="1595824655">
      <w:bodyDiv w:val="1"/>
      <w:marLeft w:val="0"/>
      <w:marRight w:val="0"/>
      <w:marTop w:val="0"/>
      <w:marBottom w:val="0"/>
      <w:divBdr>
        <w:top w:val="none" w:sz="0" w:space="0" w:color="auto"/>
        <w:left w:val="none" w:sz="0" w:space="0" w:color="auto"/>
        <w:bottom w:val="none" w:sz="0" w:space="0" w:color="auto"/>
        <w:right w:val="none" w:sz="0" w:space="0" w:color="auto"/>
      </w:divBdr>
      <w:divsChild>
        <w:div w:id="1515539167">
          <w:marLeft w:val="0"/>
          <w:marRight w:val="0"/>
          <w:marTop w:val="0"/>
          <w:marBottom w:val="0"/>
          <w:divBdr>
            <w:top w:val="none" w:sz="0" w:space="0" w:color="auto"/>
            <w:left w:val="none" w:sz="0" w:space="0" w:color="auto"/>
            <w:bottom w:val="none" w:sz="0" w:space="0" w:color="auto"/>
            <w:right w:val="none" w:sz="0" w:space="0" w:color="auto"/>
          </w:divBdr>
        </w:div>
      </w:divsChild>
    </w:div>
    <w:div w:id="1608200183">
      <w:bodyDiv w:val="1"/>
      <w:marLeft w:val="0"/>
      <w:marRight w:val="0"/>
      <w:marTop w:val="0"/>
      <w:marBottom w:val="0"/>
      <w:divBdr>
        <w:top w:val="none" w:sz="0" w:space="0" w:color="auto"/>
        <w:left w:val="none" w:sz="0" w:space="0" w:color="auto"/>
        <w:bottom w:val="none" w:sz="0" w:space="0" w:color="auto"/>
        <w:right w:val="none" w:sz="0" w:space="0" w:color="auto"/>
      </w:divBdr>
      <w:divsChild>
        <w:div w:id="531580565">
          <w:marLeft w:val="0"/>
          <w:marRight w:val="0"/>
          <w:marTop w:val="0"/>
          <w:marBottom w:val="0"/>
          <w:divBdr>
            <w:top w:val="none" w:sz="0" w:space="0" w:color="auto"/>
            <w:left w:val="none" w:sz="0" w:space="0" w:color="auto"/>
            <w:bottom w:val="none" w:sz="0" w:space="0" w:color="auto"/>
            <w:right w:val="none" w:sz="0" w:space="0" w:color="auto"/>
          </w:divBdr>
        </w:div>
      </w:divsChild>
    </w:div>
    <w:div w:id="1613782505">
      <w:bodyDiv w:val="1"/>
      <w:marLeft w:val="0"/>
      <w:marRight w:val="0"/>
      <w:marTop w:val="0"/>
      <w:marBottom w:val="0"/>
      <w:divBdr>
        <w:top w:val="none" w:sz="0" w:space="0" w:color="auto"/>
        <w:left w:val="none" w:sz="0" w:space="0" w:color="auto"/>
        <w:bottom w:val="none" w:sz="0" w:space="0" w:color="auto"/>
        <w:right w:val="none" w:sz="0" w:space="0" w:color="auto"/>
      </w:divBdr>
      <w:divsChild>
        <w:div w:id="514879251">
          <w:marLeft w:val="0"/>
          <w:marRight w:val="0"/>
          <w:marTop w:val="0"/>
          <w:marBottom w:val="0"/>
          <w:divBdr>
            <w:top w:val="none" w:sz="0" w:space="0" w:color="auto"/>
            <w:left w:val="none" w:sz="0" w:space="0" w:color="auto"/>
            <w:bottom w:val="none" w:sz="0" w:space="0" w:color="auto"/>
            <w:right w:val="none" w:sz="0" w:space="0" w:color="auto"/>
          </w:divBdr>
        </w:div>
      </w:divsChild>
    </w:div>
    <w:div w:id="1618566620">
      <w:bodyDiv w:val="1"/>
      <w:marLeft w:val="0"/>
      <w:marRight w:val="0"/>
      <w:marTop w:val="0"/>
      <w:marBottom w:val="0"/>
      <w:divBdr>
        <w:top w:val="none" w:sz="0" w:space="0" w:color="auto"/>
        <w:left w:val="none" w:sz="0" w:space="0" w:color="auto"/>
        <w:bottom w:val="none" w:sz="0" w:space="0" w:color="auto"/>
        <w:right w:val="none" w:sz="0" w:space="0" w:color="auto"/>
      </w:divBdr>
    </w:div>
    <w:div w:id="1624656280">
      <w:bodyDiv w:val="1"/>
      <w:marLeft w:val="0"/>
      <w:marRight w:val="0"/>
      <w:marTop w:val="0"/>
      <w:marBottom w:val="0"/>
      <w:divBdr>
        <w:top w:val="none" w:sz="0" w:space="0" w:color="auto"/>
        <w:left w:val="none" w:sz="0" w:space="0" w:color="auto"/>
        <w:bottom w:val="none" w:sz="0" w:space="0" w:color="auto"/>
        <w:right w:val="none" w:sz="0" w:space="0" w:color="auto"/>
      </w:divBdr>
    </w:div>
    <w:div w:id="1658995607">
      <w:bodyDiv w:val="1"/>
      <w:marLeft w:val="0"/>
      <w:marRight w:val="0"/>
      <w:marTop w:val="0"/>
      <w:marBottom w:val="0"/>
      <w:divBdr>
        <w:top w:val="none" w:sz="0" w:space="0" w:color="auto"/>
        <w:left w:val="none" w:sz="0" w:space="0" w:color="auto"/>
        <w:bottom w:val="none" w:sz="0" w:space="0" w:color="auto"/>
        <w:right w:val="none" w:sz="0" w:space="0" w:color="auto"/>
      </w:divBdr>
    </w:div>
    <w:div w:id="1669866091">
      <w:bodyDiv w:val="1"/>
      <w:marLeft w:val="0"/>
      <w:marRight w:val="0"/>
      <w:marTop w:val="0"/>
      <w:marBottom w:val="0"/>
      <w:divBdr>
        <w:top w:val="none" w:sz="0" w:space="0" w:color="auto"/>
        <w:left w:val="none" w:sz="0" w:space="0" w:color="auto"/>
        <w:bottom w:val="none" w:sz="0" w:space="0" w:color="auto"/>
        <w:right w:val="none" w:sz="0" w:space="0" w:color="auto"/>
      </w:divBdr>
    </w:div>
    <w:div w:id="1697777727">
      <w:bodyDiv w:val="1"/>
      <w:marLeft w:val="0"/>
      <w:marRight w:val="0"/>
      <w:marTop w:val="0"/>
      <w:marBottom w:val="0"/>
      <w:divBdr>
        <w:top w:val="none" w:sz="0" w:space="0" w:color="auto"/>
        <w:left w:val="none" w:sz="0" w:space="0" w:color="auto"/>
        <w:bottom w:val="none" w:sz="0" w:space="0" w:color="auto"/>
        <w:right w:val="none" w:sz="0" w:space="0" w:color="auto"/>
      </w:divBdr>
      <w:divsChild>
        <w:div w:id="1647052446">
          <w:marLeft w:val="0"/>
          <w:marRight w:val="0"/>
          <w:marTop w:val="0"/>
          <w:marBottom w:val="0"/>
          <w:divBdr>
            <w:top w:val="none" w:sz="0" w:space="0" w:color="auto"/>
            <w:left w:val="none" w:sz="0" w:space="0" w:color="auto"/>
            <w:bottom w:val="none" w:sz="0" w:space="0" w:color="auto"/>
            <w:right w:val="none" w:sz="0" w:space="0" w:color="auto"/>
          </w:divBdr>
        </w:div>
      </w:divsChild>
    </w:div>
    <w:div w:id="1702589039">
      <w:bodyDiv w:val="1"/>
      <w:marLeft w:val="0"/>
      <w:marRight w:val="0"/>
      <w:marTop w:val="0"/>
      <w:marBottom w:val="0"/>
      <w:divBdr>
        <w:top w:val="none" w:sz="0" w:space="0" w:color="auto"/>
        <w:left w:val="none" w:sz="0" w:space="0" w:color="auto"/>
        <w:bottom w:val="none" w:sz="0" w:space="0" w:color="auto"/>
        <w:right w:val="none" w:sz="0" w:space="0" w:color="auto"/>
      </w:divBdr>
      <w:divsChild>
        <w:div w:id="635600049">
          <w:marLeft w:val="0"/>
          <w:marRight w:val="0"/>
          <w:marTop w:val="0"/>
          <w:marBottom w:val="0"/>
          <w:divBdr>
            <w:top w:val="none" w:sz="0" w:space="0" w:color="auto"/>
            <w:left w:val="none" w:sz="0" w:space="0" w:color="auto"/>
            <w:bottom w:val="none" w:sz="0" w:space="0" w:color="auto"/>
            <w:right w:val="none" w:sz="0" w:space="0" w:color="auto"/>
          </w:divBdr>
          <w:divsChild>
            <w:div w:id="687756438">
              <w:marLeft w:val="0"/>
              <w:marRight w:val="0"/>
              <w:marTop w:val="0"/>
              <w:marBottom w:val="0"/>
              <w:divBdr>
                <w:top w:val="none" w:sz="0" w:space="0" w:color="auto"/>
                <w:left w:val="none" w:sz="0" w:space="0" w:color="auto"/>
                <w:bottom w:val="none" w:sz="0" w:space="0" w:color="auto"/>
                <w:right w:val="none" w:sz="0" w:space="0" w:color="auto"/>
              </w:divBdr>
            </w:div>
            <w:div w:id="762646380">
              <w:marLeft w:val="0"/>
              <w:marRight w:val="0"/>
              <w:marTop w:val="0"/>
              <w:marBottom w:val="0"/>
              <w:divBdr>
                <w:top w:val="none" w:sz="0" w:space="0" w:color="auto"/>
                <w:left w:val="none" w:sz="0" w:space="0" w:color="auto"/>
                <w:bottom w:val="none" w:sz="0" w:space="0" w:color="auto"/>
                <w:right w:val="none" w:sz="0" w:space="0" w:color="auto"/>
              </w:divBdr>
            </w:div>
          </w:divsChild>
        </w:div>
        <w:div w:id="392047024">
          <w:marLeft w:val="0"/>
          <w:marRight w:val="0"/>
          <w:marTop w:val="0"/>
          <w:marBottom w:val="0"/>
          <w:divBdr>
            <w:top w:val="none" w:sz="0" w:space="0" w:color="auto"/>
            <w:left w:val="none" w:sz="0" w:space="0" w:color="auto"/>
            <w:bottom w:val="none" w:sz="0" w:space="0" w:color="auto"/>
            <w:right w:val="none" w:sz="0" w:space="0" w:color="auto"/>
          </w:divBdr>
          <w:divsChild>
            <w:div w:id="1222057659">
              <w:marLeft w:val="0"/>
              <w:marRight w:val="0"/>
              <w:marTop w:val="0"/>
              <w:marBottom w:val="0"/>
              <w:divBdr>
                <w:top w:val="none" w:sz="0" w:space="0" w:color="auto"/>
                <w:left w:val="none" w:sz="0" w:space="0" w:color="auto"/>
                <w:bottom w:val="none" w:sz="0" w:space="0" w:color="auto"/>
                <w:right w:val="none" w:sz="0" w:space="0" w:color="auto"/>
              </w:divBdr>
            </w:div>
            <w:div w:id="190009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61060">
      <w:bodyDiv w:val="1"/>
      <w:marLeft w:val="0"/>
      <w:marRight w:val="0"/>
      <w:marTop w:val="0"/>
      <w:marBottom w:val="0"/>
      <w:divBdr>
        <w:top w:val="none" w:sz="0" w:space="0" w:color="auto"/>
        <w:left w:val="none" w:sz="0" w:space="0" w:color="auto"/>
        <w:bottom w:val="none" w:sz="0" w:space="0" w:color="auto"/>
        <w:right w:val="none" w:sz="0" w:space="0" w:color="auto"/>
      </w:divBdr>
    </w:div>
    <w:div w:id="1721903465">
      <w:bodyDiv w:val="1"/>
      <w:marLeft w:val="0"/>
      <w:marRight w:val="0"/>
      <w:marTop w:val="0"/>
      <w:marBottom w:val="0"/>
      <w:divBdr>
        <w:top w:val="none" w:sz="0" w:space="0" w:color="auto"/>
        <w:left w:val="none" w:sz="0" w:space="0" w:color="auto"/>
        <w:bottom w:val="none" w:sz="0" w:space="0" w:color="auto"/>
        <w:right w:val="none" w:sz="0" w:space="0" w:color="auto"/>
      </w:divBdr>
      <w:divsChild>
        <w:div w:id="1812676954">
          <w:marLeft w:val="0"/>
          <w:marRight w:val="0"/>
          <w:marTop w:val="0"/>
          <w:marBottom w:val="0"/>
          <w:divBdr>
            <w:top w:val="none" w:sz="0" w:space="0" w:color="auto"/>
            <w:left w:val="none" w:sz="0" w:space="0" w:color="auto"/>
            <w:bottom w:val="none" w:sz="0" w:space="0" w:color="auto"/>
            <w:right w:val="none" w:sz="0" w:space="0" w:color="auto"/>
          </w:divBdr>
          <w:divsChild>
            <w:div w:id="1580287570">
              <w:marLeft w:val="0"/>
              <w:marRight w:val="0"/>
              <w:marTop w:val="0"/>
              <w:marBottom w:val="0"/>
              <w:divBdr>
                <w:top w:val="none" w:sz="0" w:space="0" w:color="auto"/>
                <w:left w:val="none" w:sz="0" w:space="0" w:color="auto"/>
                <w:bottom w:val="none" w:sz="0" w:space="0" w:color="auto"/>
                <w:right w:val="none" w:sz="0" w:space="0" w:color="auto"/>
              </w:divBdr>
              <w:divsChild>
                <w:div w:id="933513677">
                  <w:marLeft w:val="0"/>
                  <w:marRight w:val="0"/>
                  <w:marTop w:val="0"/>
                  <w:marBottom w:val="0"/>
                  <w:divBdr>
                    <w:top w:val="none" w:sz="0" w:space="0" w:color="auto"/>
                    <w:left w:val="none" w:sz="0" w:space="0" w:color="auto"/>
                    <w:bottom w:val="none" w:sz="0" w:space="0" w:color="auto"/>
                    <w:right w:val="none" w:sz="0" w:space="0" w:color="auto"/>
                  </w:divBdr>
                </w:div>
              </w:divsChild>
            </w:div>
            <w:div w:id="335570789">
              <w:marLeft w:val="0"/>
              <w:marRight w:val="0"/>
              <w:marTop w:val="0"/>
              <w:marBottom w:val="0"/>
              <w:divBdr>
                <w:top w:val="none" w:sz="0" w:space="0" w:color="auto"/>
                <w:left w:val="none" w:sz="0" w:space="0" w:color="auto"/>
                <w:bottom w:val="none" w:sz="0" w:space="0" w:color="auto"/>
                <w:right w:val="none" w:sz="0" w:space="0" w:color="auto"/>
              </w:divBdr>
              <w:divsChild>
                <w:div w:id="1645889825">
                  <w:marLeft w:val="0"/>
                  <w:marRight w:val="0"/>
                  <w:marTop w:val="0"/>
                  <w:marBottom w:val="0"/>
                  <w:divBdr>
                    <w:top w:val="none" w:sz="0" w:space="0" w:color="auto"/>
                    <w:left w:val="none" w:sz="0" w:space="0" w:color="auto"/>
                    <w:bottom w:val="none" w:sz="0" w:space="0" w:color="auto"/>
                    <w:right w:val="none" w:sz="0" w:space="0" w:color="auto"/>
                  </w:divBdr>
                </w:div>
              </w:divsChild>
            </w:div>
            <w:div w:id="1495612522">
              <w:marLeft w:val="0"/>
              <w:marRight w:val="0"/>
              <w:marTop w:val="0"/>
              <w:marBottom w:val="0"/>
              <w:divBdr>
                <w:top w:val="none" w:sz="0" w:space="0" w:color="auto"/>
                <w:left w:val="none" w:sz="0" w:space="0" w:color="auto"/>
                <w:bottom w:val="none" w:sz="0" w:space="0" w:color="auto"/>
                <w:right w:val="none" w:sz="0" w:space="0" w:color="auto"/>
              </w:divBdr>
              <w:divsChild>
                <w:div w:id="1029573982">
                  <w:marLeft w:val="0"/>
                  <w:marRight w:val="0"/>
                  <w:marTop w:val="0"/>
                  <w:marBottom w:val="0"/>
                  <w:divBdr>
                    <w:top w:val="none" w:sz="0" w:space="0" w:color="auto"/>
                    <w:left w:val="none" w:sz="0" w:space="0" w:color="auto"/>
                    <w:bottom w:val="none" w:sz="0" w:space="0" w:color="auto"/>
                    <w:right w:val="none" w:sz="0" w:space="0" w:color="auto"/>
                  </w:divBdr>
                </w:div>
              </w:divsChild>
            </w:div>
            <w:div w:id="124198541">
              <w:marLeft w:val="0"/>
              <w:marRight w:val="0"/>
              <w:marTop w:val="0"/>
              <w:marBottom w:val="0"/>
              <w:divBdr>
                <w:top w:val="none" w:sz="0" w:space="0" w:color="auto"/>
                <w:left w:val="none" w:sz="0" w:space="0" w:color="auto"/>
                <w:bottom w:val="none" w:sz="0" w:space="0" w:color="auto"/>
                <w:right w:val="none" w:sz="0" w:space="0" w:color="auto"/>
              </w:divBdr>
              <w:divsChild>
                <w:div w:id="1000815056">
                  <w:marLeft w:val="0"/>
                  <w:marRight w:val="0"/>
                  <w:marTop w:val="0"/>
                  <w:marBottom w:val="0"/>
                  <w:divBdr>
                    <w:top w:val="none" w:sz="0" w:space="0" w:color="auto"/>
                    <w:left w:val="none" w:sz="0" w:space="0" w:color="auto"/>
                    <w:bottom w:val="none" w:sz="0" w:space="0" w:color="auto"/>
                    <w:right w:val="none" w:sz="0" w:space="0" w:color="auto"/>
                  </w:divBdr>
                </w:div>
              </w:divsChild>
            </w:div>
            <w:div w:id="1789081556">
              <w:marLeft w:val="0"/>
              <w:marRight w:val="0"/>
              <w:marTop w:val="0"/>
              <w:marBottom w:val="0"/>
              <w:divBdr>
                <w:top w:val="none" w:sz="0" w:space="0" w:color="auto"/>
                <w:left w:val="none" w:sz="0" w:space="0" w:color="auto"/>
                <w:bottom w:val="none" w:sz="0" w:space="0" w:color="auto"/>
                <w:right w:val="none" w:sz="0" w:space="0" w:color="auto"/>
              </w:divBdr>
              <w:divsChild>
                <w:div w:id="143157572">
                  <w:marLeft w:val="0"/>
                  <w:marRight w:val="0"/>
                  <w:marTop w:val="0"/>
                  <w:marBottom w:val="0"/>
                  <w:divBdr>
                    <w:top w:val="none" w:sz="0" w:space="0" w:color="auto"/>
                    <w:left w:val="none" w:sz="0" w:space="0" w:color="auto"/>
                    <w:bottom w:val="none" w:sz="0" w:space="0" w:color="auto"/>
                    <w:right w:val="none" w:sz="0" w:space="0" w:color="auto"/>
                  </w:divBdr>
                  <w:divsChild>
                    <w:div w:id="607004060">
                      <w:marLeft w:val="0"/>
                      <w:marRight w:val="0"/>
                      <w:marTop w:val="0"/>
                      <w:marBottom w:val="0"/>
                      <w:divBdr>
                        <w:top w:val="none" w:sz="0" w:space="0" w:color="auto"/>
                        <w:left w:val="none" w:sz="0" w:space="0" w:color="auto"/>
                        <w:bottom w:val="none" w:sz="0" w:space="0" w:color="auto"/>
                        <w:right w:val="none" w:sz="0" w:space="0" w:color="auto"/>
                      </w:divBdr>
                      <w:divsChild>
                        <w:div w:id="510880679">
                          <w:marLeft w:val="0"/>
                          <w:marRight w:val="0"/>
                          <w:marTop w:val="0"/>
                          <w:marBottom w:val="0"/>
                          <w:divBdr>
                            <w:top w:val="none" w:sz="0" w:space="0" w:color="auto"/>
                            <w:left w:val="none" w:sz="0" w:space="0" w:color="auto"/>
                            <w:bottom w:val="none" w:sz="0" w:space="0" w:color="auto"/>
                            <w:right w:val="none" w:sz="0" w:space="0" w:color="auto"/>
                          </w:divBdr>
                        </w:div>
                        <w:div w:id="498277038">
                          <w:marLeft w:val="0"/>
                          <w:marRight w:val="0"/>
                          <w:marTop w:val="0"/>
                          <w:marBottom w:val="0"/>
                          <w:divBdr>
                            <w:top w:val="none" w:sz="0" w:space="0" w:color="auto"/>
                            <w:left w:val="none" w:sz="0" w:space="0" w:color="auto"/>
                            <w:bottom w:val="none" w:sz="0" w:space="0" w:color="auto"/>
                            <w:right w:val="none" w:sz="0" w:space="0" w:color="auto"/>
                          </w:divBdr>
                        </w:div>
                      </w:divsChild>
                    </w:div>
                    <w:div w:id="499781643">
                      <w:marLeft w:val="0"/>
                      <w:marRight w:val="0"/>
                      <w:marTop w:val="0"/>
                      <w:marBottom w:val="0"/>
                      <w:divBdr>
                        <w:top w:val="none" w:sz="0" w:space="0" w:color="auto"/>
                        <w:left w:val="none" w:sz="0" w:space="0" w:color="auto"/>
                        <w:bottom w:val="none" w:sz="0" w:space="0" w:color="auto"/>
                        <w:right w:val="none" w:sz="0" w:space="0" w:color="auto"/>
                      </w:divBdr>
                      <w:divsChild>
                        <w:div w:id="1831478899">
                          <w:marLeft w:val="0"/>
                          <w:marRight w:val="0"/>
                          <w:marTop w:val="0"/>
                          <w:marBottom w:val="0"/>
                          <w:divBdr>
                            <w:top w:val="none" w:sz="0" w:space="0" w:color="auto"/>
                            <w:left w:val="none" w:sz="0" w:space="0" w:color="auto"/>
                            <w:bottom w:val="none" w:sz="0" w:space="0" w:color="auto"/>
                            <w:right w:val="none" w:sz="0" w:space="0" w:color="auto"/>
                          </w:divBdr>
                        </w:div>
                        <w:div w:id="578903267">
                          <w:marLeft w:val="0"/>
                          <w:marRight w:val="0"/>
                          <w:marTop w:val="0"/>
                          <w:marBottom w:val="0"/>
                          <w:divBdr>
                            <w:top w:val="none" w:sz="0" w:space="0" w:color="auto"/>
                            <w:left w:val="none" w:sz="0" w:space="0" w:color="auto"/>
                            <w:bottom w:val="none" w:sz="0" w:space="0" w:color="auto"/>
                            <w:right w:val="none" w:sz="0" w:space="0" w:color="auto"/>
                          </w:divBdr>
                        </w:div>
                      </w:divsChild>
                    </w:div>
                    <w:div w:id="209268739">
                      <w:marLeft w:val="0"/>
                      <w:marRight w:val="0"/>
                      <w:marTop w:val="0"/>
                      <w:marBottom w:val="0"/>
                      <w:divBdr>
                        <w:top w:val="none" w:sz="0" w:space="0" w:color="auto"/>
                        <w:left w:val="none" w:sz="0" w:space="0" w:color="auto"/>
                        <w:bottom w:val="none" w:sz="0" w:space="0" w:color="auto"/>
                        <w:right w:val="none" w:sz="0" w:space="0" w:color="auto"/>
                      </w:divBdr>
                      <w:divsChild>
                        <w:div w:id="1899126064">
                          <w:marLeft w:val="0"/>
                          <w:marRight w:val="0"/>
                          <w:marTop w:val="0"/>
                          <w:marBottom w:val="0"/>
                          <w:divBdr>
                            <w:top w:val="none" w:sz="0" w:space="0" w:color="auto"/>
                            <w:left w:val="none" w:sz="0" w:space="0" w:color="auto"/>
                            <w:bottom w:val="none" w:sz="0" w:space="0" w:color="auto"/>
                            <w:right w:val="none" w:sz="0" w:space="0" w:color="auto"/>
                          </w:divBdr>
                        </w:div>
                        <w:div w:id="460533980">
                          <w:marLeft w:val="0"/>
                          <w:marRight w:val="0"/>
                          <w:marTop w:val="0"/>
                          <w:marBottom w:val="0"/>
                          <w:divBdr>
                            <w:top w:val="none" w:sz="0" w:space="0" w:color="auto"/>
                            <w:left w:val="none" w:sz="0" w:space="0" w:color="auto"/>
                            <w:bottom w:val="none" w:sz="0" w:space="0" w:color="auto"/>
                            <w:right w:val="none" w:sz="0" w:space="0" w:color="auto"/>
                          </w:divBdr>
                        </w:div>
                      </w:divsChild>
                    </w:div>
                    <w:div w:id="1185054056">
                      <w:marLeft w:val="0"/>
                      <w:marRight w:val="0"/>
                      <w:marTop w:val="0"/>
                      <w:marBottom w:val="0"/>
                      <w:divBdr>
                        <w:top w:val="none" w:sz="0" w:space="0" w:color="auto"/>
                        <w:left w:val="none" w:sz="0" w:space="0" w:color="auto"/>
                        <w:bottom w:val="none" w:sz="0" w:space="0" w:color="auto"/>
                        <w:right w:val="none" w:sz="0" w:space="0" w:color="auto"/>
                      </w:divBdr>
                      <w:divsChild>
                        <w:div w:id="1927879206">
                          <w:marLeft w:val="0"/>
                          <w:marRight w:val="0"/>
                          <w:marTop w:val="0"/>
                          <w:marBottom w:val="0"/>
                          <w:divBdr>
                            <w:top w:val="none" w:sz="0" w:space="0" w:color="auto"/>
                            <w:left w:val="none" w:sz="0" w:space="0" w:color="auto"/>
                            <w:bottom w:val="none" w:sz="0" w:space="0" w:color="auto"/>
                            <w:right w:val="none" w:sz="0" w:space="0" w:color="auto"/>
                          </w:divBdr>
                        </w:div>
                        <w:div w:id="693769046">
                          <w:marLeft w:val="0"/>
                          <w:marRight w:val="0"/>
                          <w:marTop w:val="0"/>
                          <w:marBottom w:val="0"/>
                          <w:divBdr>
                            <w:top w:val="none" w:sz="0" w:space="0" w:color="auto"/>
                            <w:left w:val="none" w:sz="0" w:space="0" w:color="auto"/>
                            <w:bottom w:val="none" w:sz="0" w:space="0" w:color="auto"/>
                            <w:right w:val="none" w:sz="0" w:space="0" w:color="auto"/>
                          </w:divBdr>
                        </w:div>
                      </w:divsChild>
                    </w:div>
                    <w:div w:id="982807369">
                      <w:marLeft w:val="0"/>
                      <w:marRight w:val="0"/>
                      <w:marTop w:val="0"/>
                      <w:marBottom w:val="0"/>
                      <w:divBdr>
                        <w:top w:val="none" w:sz="0" w:space="0" w:color="auto"/>
                        <w:left w:val="none" w:sz="0" w:space="0" w:color="auto"/>
                        <w:bottom w:val="none" w:sz="0" w:space="0" w:color="auto"/>
                        <w:right w:val="none" w:sz="0" w:space="0" w:color="auto"/>
                      </w:divBdr>
                      <w:divsChild>
                        <w:div w:id="853494917">
                          <w:marLeft w:val="0"/>
                          <w:marRight w:val="0"/>
                          <w:marTop w:val="0"/>
                          <w:marBottom w:val="0"/>
                          <w:divBdr>
                            <w:top w:val="none" w:sz="0" w:space="0" w:color="auto"/>
                            <w:left w:val="none" w:sz="0" w:space="0" w:color="auto"/>
                            <w:bottom w:val="none" w:sz="0" w:space="0" w:color="auto"/>
                            <w:right w:val="none" w:sz="0" w:space="0" w:color="auto"/>
                          </w:divBdr>
                        </w:div>
                        <w:div w:id="757478578">
                          <w:marLeft w:val="0"/>
                          <w:marRight w:val="0"/>
                          <w:marTop w:val="0"/>
                          <w:marBottom w:val="0"/>
                          <w:divBdr>
                            <w:top w:val="none" w:sz="0" w:space="0" w:color="auto"/>
                            <w:left w:val="none" w:sz="0" w:space="0" w:color="auto"/>
                            <w:bottom w:val="none" w:sz="0" w:space="0" w:color="auto"/>
                            <w:right w:val="none" w:sz="0" w:space="0" w:color="auto"/>
                          </w:divBdr>
                        </w:div>
                      </w:divsChild>
                    </w:div>
                    <w:div w:id="617414873">
                      <w:marLeft w:val="0"/>
                      <w:marRight w:val="0"/>
                      <w:marTop w:val="0"/>
                      <w:marBottom w:val="0"/>
                      <w:divBdr>
                        <w:top w:val="none" w:sz="0" w:space="0" w:color="auto"/>
                        <w:left w:val="none" w:sz="0" w:space="0" w:color="auto"/>
                        <w:bottom w:val="none" w:sz="0" w:space="0" w:color="auto"/>
                        <w:right w:val="none" w:sz="0" w:space="0" w:color="auto"/>
                      </w:divBdr>
                      <w:divsChild>
                        <w:div w:id="1690763516">
                          <w:marLeft w:val="0"/>
                          <w:marRight w:val="0"/>
                          <w:marTop w:val="0"/>
                          <w:marBottom w:val="0"/>
                          <w:divBdr>
                            <w:top w:val="none" w:sz="0" w:space="0" w:color="auto"/>
                            <w:left w:val="none" w:sz="0" w:space="0" w:color="auto"/>
                            <w:bottom w:val="none" w:sz="0" w:space="0" w:color="auto"/>
                            <w:right w:val="none" w:sz="0" w:space="0" w:color="auto"/>
                          </w:divBdr>
                        </w:div>
                        <w:div w:id="950631500">
                          <w:marLeft w:val="0"/>
                          <w:marRight w:val="0"/>
                          <w:marTop w:val="0"/>
                          <w:marBottom w:val="0"/>
                          <w:divBdr>
                            <w:top w:val="none" w:sz="0" w:space="0" w:color="auto"/>
                            <w:left w:val="none" w:sz="0" w:space="0" w:color="auto"/>
                            <w:bottom w:val="none" w:sz="0" w:space="0" w:color="auto"/>
                            <w:right w:val="none" w:sz="0" w:space="0" w:color="auto"/>
                          </w:divBdr>
                        </w:div>
                      </w:divsChild>
                    </w:div>
                    <w:div w:id="956522943">
                      <w:marLeft w:val="0"/>
                      <w:marRight w:val="0"/>
                      <w:marTop w:val="0"/>
                      <w:marBottom w:val="0"/>
                      <w:divBdr>
                        <w:top w:val="none" w:sz="0" w:space="0" w:color="auto"/>
                        <w:left w:val="none" w:sz="0" w:space="0" w:color="auto"/>
                        <w:bottom w:val="none" w:sz="0" w:space="0" w:color="auto"/>
                        <w:right w:val="none" w:sz="0" w:space="0" w:color="auto"/>
                      </w:divBdr>
                      <w:divsChild>
                        <w:div w:id="125052978">
                          <w:marLeft w:val="0"/>
                          <w:marRight w:val="0"/>
                          <w:marTop w:val="0"/>
                          <w:marBottom w:val="0"/>
                          <w:divBdr>
                            <w:top w:val="none" w:sz="0" w:space="0" w:color="auto"/>
                            <w:left w:val="none" w:sz="0" w:space="0" w:color="auto"/>
                            <w:bottom w:val="none" w:sz="0" w:space="0" w:color="auto"/>
                            <w:right w:val="none" w:sz="0" w:space="0" w:color="auto"/>
                          </w:divBdr>
                        </w:div>
                        <w:div w:id="507453547">
                          <w:marLeft w:val="0"/>
                          <w:marRight w:val="0"/>
                          <w:marTop w:val="0"/>
                          <w:marBottom w:val="0"/>
                          <w:divBdr>
                            <w:top w:val="none" w:sz="0" w:space="0" w:color="auto"/>
                            <w:left w:val="none" w:sz="0" w:space="0" w:color="auto"/>
                            <w:bottom w:val="none" w:sz="0" w:space="0" w:color="auto"/>
                            <w:right w:val="none" w:sz="0" w:space="0" w:color="auto"/>
                          </w:divBdr>
                        </w:div>
                      </w:divsChild>
                    </w:div>
                    <w:div w:id="1283608364">
                      <w:marLeft w:val="0"/>
                      <w:marRight w:val="0"/>
                      <w:marTop w:val="0"/>
                      <w:marBottom w:val="0"/>
                      <w:divBdr>
                        <w:top w:val="none" w:sz="0" w:space="0" w:color="auto"/>
                        <w:left w:val="none" w:sz="0" w:space="0" w:color="auto"/>
                        <w:bottom w:val="none" w:sz="0" w:space="0" w:color="auto"/>
                        <w:right w:val="none" w:sz="0" w:space="0" w:color="auto"/>
                      </w:divBdr>
                      <w:divsChild>
                        <w:div w:id="260651273">
                          <w:marLeft w:val="0"/>
                          <w:marRight w:val="0"/>
                          <w:marTop w:val="0"/>
                          <w:marBottom w:val="0"/>
                          <w:divBdr>
                            <w:top w:val="none" w:sz="0" w:space="0" w:color="auto"/>
                            <w:left w:val="none" w:sz="0" w:space="0" w:color="auto"/>
                            <w:bottom w:val="none" w:sz="0" w:space="0" w:color="auto"/>
                            <w:right w:val="none" w:sz="0" w:space="0" w:color="auto"/>
                          </w:divBdr>
                        </w:div>
                        <w:div w:id="524904974">
                          <w:marLeft w:val="0"/>
                          <w:marRight w:val="0"/>
                          <w:marTop w:val="0"/>
                          <w:marBottom w:val="0"/>
                          <w:divBdr>
                            <w:top w:val="none" w:sz="0" w:space="0" w:color="auto"/>
                            <w:left w:val="none" w:sz="0" w:space="0" w:color="auto"/>
                            <w:bottom w:val="none" w:sz="0" w:space="0" w:color="auto"/>
                            <w:right w:val="none" w:sz="0" w:space="0" w:color="auto"/>
                          </w:divBdr>
                        </w:div>
                      </w:divsChild>
                    </w:div>
                    <w:div w:id="2059239161">
                      <w:marLeft w:val="0"/>
                      <w:marRight w:val="0"/>
                      <w:marTop w:val="0"/>
                      <w:marBottom w:val="0"/>
                      <w:divBdr>
                        <w:top w:val="none" w:sz="0" w:space="0" w:color="auto"/>
                        <w:left w:val="none" w:sz="0" w:space="0" w:color="auto"/>
                        <w:bottom w:val="none" w:sz="0" w:space="0" w:color="auto"/>
                        <w:right w:val="none" w:sz="0" w:space="0" w:color="auto"/>
                      </w:divBdr>
                      <w:divsChild>
                        <w:div w:id="1977374131">
                          <w:marLeft w:val="0"/>
                          <w:marRight w:val="0"/>
                          <w:marTop w:val="0"/>
                          <w:marBottom w:val="0"/>
                          <w:divBdr>
                            <w:top w:val="none" w:sz="0" w:space="0" w:color="auto"/>
                            <w:left w:val="none" w:sz="0" w:space="0" w:color="auto"/>
                            <w:bottom w:val="none" w:sz="0" w:space="0" w:color="auto"/>
                            <w:right w:val="none" w:sz="0" w:space="0" w:color="auto"/>
                          </w:divBdr>
                        </w:div>
                        <w:div w:id="1502816532">
                          <w:marLeft w:val="0"/>
                          <w:marRight w:val="0"/>
                          <w:marTop w:val="0"/>
                          <w:marBottom w:val="0"/>
                          <w:divBdr>
                            <w:top w:val="none" w:sz="0" w:space="0" w:color="auto"/>
                            <w:left w:val="none" w:sz="0" w:space="0" w:color="auto"/>
                            <w:bottom w:val="none" w:sz="0" w:space="0" w:color="auto"/>
                            <w:right w:val="none" w:sz="0" w:space="0" w:color="auto"/>
                          </w:divBdr>
                        </w:div>
                      </w:divsChild>
                    </w:div>
                    <w:div w:id="1924535153">
                      <w:marLeft w:val="0"/>
                      <w:marRight w:val="0"/>
                      <w:marTop w:val="0"/>
                      <w:marBottom w:val="0"/>
                      <w:divBdr>
                        <w:top w:val="none" w:sz="0" w:space="0" w:color="auto"/>
                        <w:left w:val="none" w:sz="0" w:space="0" w:color="auto"/>
                        <w:bottom w:val="none" w:sz="0" w:space="0" w:color="auto"/>
                        <w:right w:val="none" w:sz="0" w:space="0" w:color="auto"/>
                      </w:divBdr>
                      <w:divsChild>
                        <w:div w:id="1238049996">
                          <w:marLeft w:val="0"/>
                          <w:marRight w:val="0"/>
                          <w:marTop w:val="0"/>
                          <w:marBottom w:val="0"/>
                          <w:divBdr>
                            <w:top w:val="none" w:sz="0" w:space="0" w:color="auto"/>
                            <w:left w:val="none" w:sz="0" w:space="0" w:color="auto"/>
                            <w:bottom w:val="none" w:sz="0" w:space="0" w:color="auto"/>
                            <w:right w:val="none" w:sz="0" w:space="0" w:color="auto"/>
                          </w:divBdr>
                        </w:div>
                        <w:div w:id="1494685801">
                          <w:marLeft w:val="0"/>
                          <w:marRight w:val="0"/>
                          <w:marTop w:val="0"/>
                          <w:marBottom w:val="0"/>
                          <w:divBdr>
                            <w:top w:val="none" w:sz="0" w:space="0" w:color="auto"/>
                            <w:left w:val="none" w:sz="0" w:space="0" w:color="auto"/>
                            <w:bottom w:val="none" w:sz="0" w:space="0" w:color="auto"/>
                            <w:right w:val="none" w:sz="0" w:space="0" w:color="auto"/>
                          </w:divBdr>
                          <w:divsChild>
                            <w:div w:id="1865635158">
                              <w:marLeft w:val="0"/>
                              <w:marRight w:val="0"/>
                              <w:marTop w:val="0"/>
                              <w:marBottom w:val="0"/>
                              <w:divBdr>
                                <w:top w:val="none" w:sz="0" w:space="0" w:color="auto"/>
                                <w:left w:val="none" w:sz="0" w:space="0" w:color="auto"/>
                                <w:bottom w:val="none" w:sz="0" w:space="0" w:color="auto"/>
                                <w:right w:val="none" w:sz="0" w:space="0" w:color="auto"/>
                              </w:divBdr>
                              <w:divsChild>
                                <w:div w:id="755638201">
                                  <w:marLeft w:val="0"/>
                                  <w:marRight w:val="0"/>
                                  <w:marTop w:val="0"/>
                                  <w:marBottom w:val="0"/>
                                  <w:divBdr>
                                    <w:top w:val="none" w:sz="0" w:space="0" w:color="auto"/>
                                    <w:left w:val="none" w:sz="0" w:space="0" w:color="auto"/>
                                    <w:bottom w:val="none" w:sz="0" w:space="0" w:color="auto"/>
                                    <w:right w:val="none" w:sz="0" w:space="0" w:color="auto"/>
                                  </w:divBdr>
                                </w:div>
                                <w:div w:id="1650329974">
                                  <w:marLeft w:val="0"/>
                                  <w:marRight w:val="0"/>
                                  <w:marTop w:val="0"/>
                                  <w:marBottom w:val="0"/>
                                  <w:divBdr>
                                    <w:top w:val="none" w:sz="0" w:space="0" w:color="auto"/>
                                    <w:left w:val="none" w:sz="0" w:space="0" w:color="auto"/>
                                    <w:bottom w:val="none" w:sz="0" w:space="0" w:color="auto"/>
                                    <w:right w:val="none" w:sz="0" w:space="0" w:color="auto"/>
                                  </w:divBdr>
                                  <w:divsChild>
                                    <w:div w:id="2990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76820">
                              <w:marLeft w:val="0"/>
                              <w:marRight w:val="0"/>
                              <w:marTop w:val="0"/>
                              <w:marBottom w:val="0"/>
                              <w:divBdr>
                                <w:top w:val="none" w:sz="0" w:space="0" w:color="auto"/>
                                <w:left w:val="none" w:sz="0" w:space="0" w:color="auto"/>
                                <w:bottom w:val="none" w:sz="0" w:space="0" w:color="auto"/>
                                <w:right w:val="none" w:sz="0" w:space="0" w:color="auto"/>
                              </w:divBdr>
                              <w:divsChild>
                                <w:div w:id="1721857431">
                                  <w:marLeft w:val="0"/>
                                  <w:marRight w:val="0"/>
                                  <w:marTop w:val="0"/>
                                  <w:marBottom w:val="0"/>
                                  <w:divBdr>
                                    <w:top w:val="none" w:sz="0" w:space="0" w:color="auto"/>
                                    <w:left w:val="none" w:sz="0" w:space="0" w:color="auto"/>
                                    <w:bottom w:val="none" w:sz="0" w:space="0" w:color="auto"/>
                                    <w:right w:val="none" w:sz="0" w:space="0" w:color="auto"/>
                                  </w:divBdr>
                                </w:div>
                                <w:div w:id="1106923725">
                                  <w:marLeft w:val="0"/>
                                  <w:marRight w:val="0"/>
                                  <w:marTop w:val="0"/>
                                  <w:marBottom w:val="0"/>
                                  <w:divBdr>
                                    <w:top w:val="none" w:sz="0" w:space="0" w:color="auto"/>
                                    <w:left w:val="none" w:sz="0" w:space="0" w:color="auto"/>
                                    <w:bottom w:val="none" w:sz="0" w:space="0" w:color="auto"/>
                                    <w:right w:val="none" w:sz="0" w:space="0" w:color="auto"/>
                                  </w:divBdr>
                                  <w:divsChild>
                                    <w:div w:id="11581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75675">
                      <w:marLeft w:val="0"/>
                      <w:marRight w:val="0"/>
                      <w:marTop w:val="0"/>
                      <w:marBottom w:val="0"/>
                      <w:divBdr>
                        <w:top w:val="none" w:sz="0" w:space="0" w:color="auto"/>
                        <w:left w:val="none" w:sz="0" w:space="0" w:color="auto"/>
                        <w:bottom w:val="none" w:sz="0" w:space="0" w:color="auto"/>
                        <w:right w:val="none" w:sz="0" w:space="0" w:color="auto"/>
                      </w:divBdr>
                      <w:divsChild>
                        <w:div w:id="1459297906">
                          <w:marLeft w:val="0"/>
                          <w:marRight w:val="0"/>
                          <w:marTop w:val="0"/>
                          <w:marBottom w:val="0"/>
                          <w:divBdr>
                            <w:top w:val="none" w:sz="0" w:space="0" w:color="auto"/>
                            <w:left w:val="none" w:sz="0" w:space="0" w:color="auto"/>
                            <w:bottom w:val="none" w:sz="0" w:space="0" w:color="auto"/>
                            <w:right w:val="none" w:sz="0" w:space="0" w:color="auto"/>
                          </w:divBdr>
                        </w:div>
                        <w:div w:id="399056874">
                          <w:marLeft w:val="0"/>
                          <w:marRight w:val="0"/>
                          <w:marTop w:val="0"/>
                          <w:marBottom w:val="0"/>
                          <w:divBdr>
                            <w:top w:val="none" w:sz="0" w:space="0" w:color="auto"/>
                            <w:left w:val="none" w:sz="0" w:space="0" w:color="auto"/>
                            <w:bottom w:val="none" w:sz="0" w:space="0" w:color="auto"/>
                            <w:right w:val="none" w:sz="0" w:space="0" w:color="auto"/>
                          </w:divBdr>
                        </w:div>
                      </w:divsChild>
                    </w:div>
                    <w:div w:id="55665916">
                      <w:marLeft w:val="0"/>
                      <w:marRight w:val="0"/>
                      <w:marTop w:val="0"/>
                      <w:marBottom w:val="0"/>
                      <w:divBdr>
                        <w:top w:val="none" w:sz="0" w:space="0" w:color="auto"/>
                        <w:left w:val="none" w:sz="0" w:space="0" w:color="auto"/>
                        <w:bottom w:val="none" w:sz="0" w:space="0" w:color="auto"/>
                        <w:right w:val="none" w:sz="0" w:space="0" w:color="auto"/>
                      </w:divBdr>
                      <w:divsChild>
                        <w:div w:id="1509902512">
                          <w:marLeft w:val="0"/>
                          <w:marRight w:val="0"/>
                          <w:marTop w:val="0"/>
                          <w:marBottom w:val="0"/>
                          <w:divBdr>
                            <w:top w:val="none" w:sz="0" w:space="0" w:color="auto"/>
                            <w:left w:val="none" w:sz="0" w:space="0" w:color="auto"/>
                            <w:bottom w:val="none" w:sz="0" w:space="0" w:color="auto"/>
                            <w:right w:val="none" w:sz="0" w:space="0" w:color="auto"/>
                          </w:divBdr>
                        </w:div>
                        <w:div w:id="852261917">
                          <w:marLeft w:val="0"/>
                          <w:marRight w:val="0"/>
                          <w:marTop w:val="0"/>
                          <w:marBottom w:val="0"/>
                          <w:divBdr>
                            <w:top w:val="none" w:sz="0" w:space="0" w:color="auto"/>
                            <w:left w:val="none" w:sz="0" w:space="0" w:color="auto"/>
                            <w:bottom w:val="none" w:sz="0" w:space="0" w:color="auto"/>
                            <w:right w:val="none" w:sz="0" w:space="0" w:color="auto"/>
                          </w:divBdr>
                        </w:div>
                      </w:divsChild>
                    </w:div>
                    <w:div w:id="1318073308">
                      <w:marLeft w:val="0"/>
                      <w:marRight w:val="0"/>
                      <w:marTop w:val="0"/>
                      <w:marBottom w:val="0"/>
                      <w:divBdr>
                        <w:top w:val="none" w:sz="0" w:space="0" w:color="auto"/>
                        <w:left w:val="none" w:sz="0" w:space="0" w:color="auto"/>
                        <w:bottom w:val="none" w:sz="0" w:space="0" w:color="auto"/>
                        <w:right w:val="none" w:sz="0" w:space="0" w:color="auto"/>
                      </w:divBdr>
                      <w:divsChild>
                        <w:div w:id="1228492040">
                          <w:marLeft w:val="0"/>
                          <w:marRight w:val="0"/>
                          <w:marTop w:val="0"/>
                          <w:marBottom w:val="0"/>
                          <w:divBdr>
                            <w:top w:val="none" w:sz="0" w:space="0" w:color="auto"/>
                            <w:left w:val="none" w:sz="0" w:space="0" w:color="auto"/>
                            <w:bottom w:val="none" w:sz="0" w:space="0" w:color="auto"/>
                            <w:right w:val="none" w:sz="0" w:space="0" w:color="auto"/>
                          </w:divBdr>
                        </w:div>
                        <w:div w:id="13969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18488">
              <w:marLeft w:val="0"/>
              <w:marRight w:val="0"/>
              <w:marTop w:val="0"/>
              <w:marBottom w:val="0"/>
              <w:divBdr>
                <w:top w:val="none" w:sz="0" w:space="0" w:color="auto"/>
                <w:left w:val="none" w:sz="0" w:space="0" w:color="auto"/>
                <w:bottom w:val="none" w:sz="0" w:space="0" w:color="auto"/>
                <w:right w:val="none" w:sz="0" w:space="0" w:color="auto"/>
              </w:divBdr>
              <w:divsChild>
                <w:div w:id="875001123">
                  <w:marLeft w:val="0"/>
                  <w:marRight w:val="0"/>
                  <w:marTop w:val="0"/>
                  <w:marBottom w:val="0"/>
                  <w:divBdr>
                    <w:top w:val="none" w:sz="0" w:space="0" w:color="auto"/>
                    <w:left w:val="none" w:sz="0" w:space="0" w:color="auto"/>
                    <w:bottom w:val="none" w:sz="0" w:space="0" w:color="auto"/>
                    <w:right w:val="none" w:sz="0" w:space="0" w:color="auto"/>
                  </w:divBdr>
                  <w:divsChild>
                    <w:div w:id="1950700384">
                      <w:marLeft w:val="0"/>
                      <w:marRight w:val="0"/>
                      <w:marTop w:val="0"/>
                      <w:marBottom w:val="0"/>
                      <w:divBdr>
                        <w:top w:val="none" w:sz="0" w:space="0" w:color="auto"/>
                        <w:left w:val="none" w:sz="0" w:space="0" w:color="auto"/>
                        <w:bottom w:val="none" w:sz="0" w:space="0" w:color="auto"/>
                        <w:right w:val="none" w:sz="0" w:space="0" w:color="auto"/>
                      </w:divBdr>
                      <w:divsChild>
                        <w:div w:id="1589998628">
                          <w:marLeft w:val="0"/>
                          <w:marRight w:val="0"/>
                          <w:marTop w:val="0"/>
                          <w:marBottom w:val="0"/>
                          <w:divBdr>
                            <w:top w:val="none" w:sz="0" w:space="0" w:color="auto"/>
                            <w:left w:val="none" w:sz="0" w:space="0" w:color="auto"/>
                            <w:bottom w:val="none" w:sz="0" w:space="0" w:color="auto"/>
                            <w:right w:val="none" w:sz="0" w:space="0" w:color="auto"/>
                          </w:divBdr>
                        </w:div>
                        <w:div w:id="1054085798">
                          <w:marLeft w:val="0"/>
                          <w:marRight w:val="0"/>
                          <w:marTop w:val="0"/>
                          <w:marBottom w:val="0"/>
                          <w:divBdr>
                            <w:top w:val="none" w:sz="0" w:space="0" w:color="auto"/>
                            <w:left w:val="none" w:sz="0" w:space="0" w:color="auto"/>
                            <w:bottom w:val="none" w:sz="0" w:space="0" w:color="auto"/>
                            <w:right w:val="none" w:sz="0" w:space="0" w:color="auto"/>
                          </w:divBdr>
                        </w:div>
                      </w:divsChild>
                    </w:div>
                    <w:div w:id="1091006390">
                      <w:marLeft w:val="0"/>
                      <w:marRight w:val="0"/>
                      <w:marTop w:val="0"/>
                      <w:marBottom w:val="0"/>
                      <w:divBdr>
                        <w:top w:val="none" w:sz="0" w:space="0" w:color="auto"/>
                        <w:left w:val="none" w:sz="0" w:space="0" w:color="auto"/>
                        <w:bottom w:val="none" w:sz="0" w:space="0" w:color="auto"/>
                        <w:right w:val="none" w:sz="0" w:space="0" w:color="auto"/>
                      </w:divBdr>
                      <w:divsChild>
                        <w:div w:id="610085758">
                          <w:marLeft w:val="0"/>
                          <w:marRight w:val="0"/>
                          <w:marTop w:val="0"/>
                          <w:marBottom w:val="0"/>
                          <w:divBdr>
                            <w:top w:val="none" w:sz="0" w:space="0" w:color="auto"/>
                            <w:left w:val="none" w:sz="0" w:space="0" w:color="auto"/>
                            <w:bottom w:val="none" w:sz="0" w:space="0" w:color="auto"/>
                            <w:right w:val="none" w:sz="0" w:space="0" w:color="auto"/>
                          </w:divBdr>
                        </w:div>
                        <w:div w:id="361784642">
                          <w:marLeft w:val="0"/>
                          <w:marRight w:val="0"/>
                          <w:marTop w:val="0"/>
                          <w:marBottom w:val="0"/>
                          <w:divBdr>
                            <w:top w:val="none" w:sz="0" w:space="0" w:color="auto"/>
                            <w:left w:val="none" w:sz="0" w:space="0" w:color="auto"/>
                            <w:bottom w:val="none" w:sz="0" w:space="0" w:color="auto"/>
                            <w:right w:val="none" w:sz="0" w:space="0" w:color="auto"/>
                          </w:divBdr>
                        </w:div>
                      </w:divsChild>
                    </w:div>
                    <w:div w:id="1356299184">
                      <w:marLeft w:val="0"/>
                      <w:marRight w:val="0"/>
                      <w:marTop w:val="0"/>
                      <w:marBottom w:val="0"/>
                      <w:divBdr>
                        <w:top w:val="none" w:sz="0" w:space="0" w:color="auto"/>
                        <w:left w:val="none" w:sz="0" w:space="0" w:color="auto"/>
                        <w:bottom w:val="none" w:sz="0" w:space="0" w:color="auto"/>
                        <w:right w:val="none" w:sz="0" w:space="0" w:color="auto"/>
                      </w:divBdr>
                      <w:divsChild>
                        <w:div w:id="805315473">
                          <w:marLeft w:val="0"/>
                          <w:marRight w:val="0"/>
                          <w:marTop w:val="0"/>
                          <w:marBottom w:val="0"/>
                          <w:divBdr>
                            <w:top w:val="none" w:sz="0" w:space="0" w:color="auto"/>
                            <w:left w:val="none" w:sz="0" w:space="0" w:color="auto"/>
                            <w:bottom w:val="none" w:sz="0" w:space="0" w:color="auto"/>
                            <w:right w:val="none" w:sz="0" w:space="0" w:color="auto"/>
                          </w:divBdr>
                        </w:div>
                        <w:div w:id="21338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4667">
              <w:marLeft w:val="0"/>
              <w:marRight w:val="0"/>
              <w:marTop w:val="0"/>
              <w:marBottom w:val="0"/>
              <w:divBdr>
                <w:top w:val="none" w:sz="0" w:space="0" w:color="auto"/>
                <w:left w:val="none" w:sz="0" w:space="0" w:color="auto"/>
                <w:bottom w:val="none" w:sz="0" w:space="0" w:color="auto"/>
                <w:right w:val="none" w:sz="0" w:space="0" w:color="auto"/>
              </w:divBdr>
              <w:divsChild>
                <w:div w:id="3430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59018">
          <w:marLeft w:val="0"/>
          <w:marRight w:val="0"/>
          <w:marTop w:val="0"/>
          <w:marBottom w:val="0"/>
          <w:divBdr>
            <w:top w:val="none" w:sz="0" w:space="0" w:color="auto"/>
            <w:left w:val="none" w:sz="0" w:space="0" w:color="auto"/>
            <w:bottom w:val="none" w:sz="0" w:space="0" w:color="auto"/>
            <w:right w:val="none" w:sz="0" w:space="0" w:color="auto"/>
          </w:divBdr>
          <w:divsChild>
            <w:div w:id="1050493337">
              <w:marLeft w:val="0"/>
              <w:marRight w:val="0"/>
              <w:marTop w:val="0"/>
              <w:marBottom w:val="0"/>
              <w:divBdr>
                <w:top w:val="none" w:sz="0" w:space="0" w:color="auto"/>
                <w:left w:val="none" w:sz="0" w:space="0" w:color="auto"/>
                <w:bottom w:val="none" w:sz="0" w:space="0" w:color="auto"/>
                <w:right w:val="none" w:sz="0" w:space="0" w:color="auto"/>
              </w:divBdr>
            </w:div>
            <w:div w:id="656886568">
              <w:marLeft w:val="0"/>
              <w:marRight w:val="0"/>
              <w:marTop w:val="0"/>
              <w:marBottom w:val="0"/>
              <w:divBdr>
                <w:top w:val="none" w:sz="0" w:space="0" w:color="auto"/>
                <w:left w:val="none" w:sz="0" w:space="0" w:color="auto"/>
                <w:bottom w:val="none" w:sz="0" w:space="0" w:color="auto"/>
                <w:right w:val="none" w:sz="0" w:space="0" w:color="auto"/>
              </w:divBdr>
              <w:divsChild>
                <w:div w:id="857159475">
                  <w:marLeft w:val="0"/>
                  <w:marRight w:val="0"/>
                  <w:marTop w:val="0"/>
                  <w:marBottom w:val="0"/>
                  <w:divBdr>
                    <w:top w:val="none" w:sz="0" w:space="0" w:color="auto"/>
                    <w:left w:val="none" w:sz="0" w:space="0" w:color="auto"/>
                    <w:bottom w:val="none" w:sz="0" w:space="0" w:color="auto"/>
                    <w:right w:val="none" w:sz="0" w:space="0" w:color="auto"/>
                  </w:divBdr>
                </w:div>
              </w:divsChild>
            </w:div>
            <w:div w:id="962924442">
              <w:marLeft w:val="0"/>
              <w:marRight w:val="0"/>
              <w:marTop w:val="0"/>
              <w:marBottom w:val="0"/>
              <w:divBdr>
                <w:top w:val="none" w:sz="0" w:space="0" w:color="auto"/>
                <w:left w:val="none" w:sz="0" w:space="0" w:color="auto"/>
                <w:bottom w:val="none" w:sz="0" w:space="0" w:color="auto"/>
                <w:right w:val="none" w:sz="0" w:space="0" w:color="auto"/>
              </w:divBdr>
              <w:divsChild>
                <w:div w:id="1624997158">
                  <w:marLeft w:val="0"/>
                  <w:marRight w:val="0"/>
                  <w:marTop w:val="0"/>
                  <w:marBottom w:val="0"/>
                  <w:divBdr>
                    <w:top w:val="none" w:sz="0" w:space="0" w:color="auto"/>
                    <w:left w:val="none" w:sz="0" w:space="0" w:color="auto"/>
                    <w:bottom w:val="none" w:sz="0" w:space="0" w:color="auto"/>
                    <w:right w:val="none" w:sz="0" w:space="0" w:color="auto"/>
                  </w:divBdr>
                </w:div>
                <w:div w:id="1399665178">
                  <w:marLeft w:val="0"/>
                  <w:marRight w:val="0"/>
                  <w:marTop w:val="0"/>
                  <w:marBottom w:val="0"/>
                  <w:divBdr>
                    <w:top w:val="none" w:sz="0" w:space="0" w:color="auto"/>
                    <w:left w:val="none" w:sz="0" w:space="0" w:color="auto"/>
                    <w:bottom w:val="none" w:sz="0" w:space="0" w:color="auto"/>
                    <w:right w:val="none" w:sz="0" w:space="0" w:color="auto"/>
                  </w:divBdr>
                </w:div>
              </w:divsChild>
            </w:div>
            <w:div w:id="668602129">
              <w:marLeft w:val="0"/>
              <w:marRight w:val="0"/>
              <w:marTop w:val="0"/>
              <w:marBottom w:val="0"/>
              <w:divBdr>
                <w:top w:val="none" w:sz="0" w:space="0" w:color="auto"/>
                <w:left w:val="none" w:sz="0" w:space="0" w:color="auto"/>
                <w:bottom w:val="none" w:sz="0" w:space="0" w:color="auto"/>
                <w:right w:val="none" w:sz="0" w:space="0" w:color="auto"/>
              </w:divBdr>
              <w:divsChild>
                <w:div w:id="83454383">
                  <w:marLeft w:val="0"/>
                  <w:marRight w:val="0"/>
                  <w:marTop w:val="0"/>
                  <w:marBottom w:val="0"/>
                  <w:divBdr>
                    <w:top w:val="none" w:sz="0" w:space="0" w:color="auto"/>
                    <w:left w:val="none" w:sz="0" w:space="0" w:color="auto"/>
                    <w:bottom w:val="none" w:sz="0" w:space="0" w:color="auto"/>
                    <w:right w:val="none" w:sz="0" w:space="0" w:color="auto"/>
                  </w:divBdr>
                </w:div>
                <w:div w:id="1992365579">
                  <w:marLeft w:val="0"/>
                  <w:marRight w:val="0"/>
                  <w:marTop w:val="0"/>
                  <w:marBottom w:val="0"/>
                  <w:divBdr>
                    <w:top w:val="none" w:sz="0" w:space="0" w:color="auto"/>
                    <w:left w:val="none" w:sz="0" w:space="0" w:color="auto"/>
                    <w:bottom w:val="none" w:sz="0" w:space="0" w:color="auto"/>
                    <w:right w:val="none" w:sz="0" w:space="0" w:color="auto"/>
                  </w:divBdr>
                </w:div>
              </w:divsChild>
            </w:div>
            <w:div w:id="1330793767">
              <w:marLeft w:val="0"/>
              <w:marRight w:val="0"/>
              <w:marTop w:val="0"/>
              <w:marBottom w:val="0"/>
              <w:divBdr>
                <w:top w:val="none" w:sz="0" w:space="0" w:color="auto"/>
                <w:left w:val="none" w:sz="0" w:space="0" w:color="auto"/>
                <w:bottom w:val="none" w:sz="0" w:space="0" w:color="auto"/>
                <w:right w:val="none" w:sz="0" w:space="0" w:color="auto"/>
              </w:divBdr>
              <w:divsChild>
                <w:div w:id="2092847759">
                  <w:marLeft w:val="0"/>
                  <w:marRight w:val="0"/>
                  <w:marTop w:val="0"/>
                  <w:marBottom w:val="0"/>
                  <w:divBdr>
                    <w:top w:val="none" w:sz="0" w:space="0" w:color="auto"/>
                    <w:left w:val="none" w:sz="0" w:space="0" w:color="auto"/>
                    <w:bottom w:val="none" w:sz="0" w:space="0" w:color="auto"/>
                    <w:right w:val="none" w:sz="0" w:space="0" w:color="auto"/>
                  </w:divBdr>
                </w:div>
              </w:divsChild>
            </w:div>
            <w:div w:id="1297683342">
              <w:marLeft w:val="0"/>
              <w:marRight w:val="0"/>
              <w:marTop w:val="0"/>
              <w:marBottom w:val="0"/>
              <w:divBdr>
                <w:top w:val="none" w:sz="0" w:space="0" w:color="auto"/>
                <w:left w:val="none" w:sz="0" w:space="0" w:color="auto"/>
                <w:bottom w:val="none" w:sz="0" w:space="0" w:color="auto"/>
                <w:right w:val="none" w:sz="0" w:space="0" w:color="auto"/>
              </w:divBdr>
              <w:divsChild>
                <w:div w:id="554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430624">
      <w:bodyDiv w:val="1"/>
      <w:marLeft w:val="0"/>
      <w:marRight w:val="0"/>
      <w:marTop w:val="0"/>
      <w:marBottom w:val="0"/>
      <w:divBdr>
        <w:top w:val="none" w:sz="0" w:space="0" w:color="auto"/>
        <w:left w:val="none" w:sz="0" w:space="0" w:color="auto"/>
        <w:bottom w:val="none" w:sz="0" w:space="0" w:color="auto"/>
        <w:right w:val="none" w:sz="0" w:space="0" w:color="auto"/>
      </w:divBdr>
    </w:div>
    <w:div w:id="1851945947">
      <w:bodyDiv w:val="1"/>
      <w:marLeft w:val="0"/>
      <w:marRight w:val="0"/>
      <w:marTop w:val="0"/>
      <w:marBottom w:val="0"/>
      <w:divBdr>
        <w:top w:val="none" w:sz="0" w:space="0" w:color="auto"/>
        <w:left w:val="none" w:sz="0" w:space="0" w:color="auto"/>
        <w:bottom w:val="none" w:sz="0" w:space="0" w:color="auto"/>
        <w:right w:val="none" w:sz="0" w:space="0" w:color="auto"/>
      </w:divBdr>
    </w:div>
    <w:div w:id="1852450658">
      <w:bodyDiv w:val="1"/>
      <w:marLeft w:val="0"/>
      <w:marRight w:val="0"/>
      <w:marTop w:val="0"/>
      <w:marBottom w:val="0"/>
      <w:divBdr>
        <w:top w:val="none" w:sz="0" w:space="0" w:color="auto"/>
        <w:left w:val="none" w:sz="0" w:space="0" w:color="auto"/>
        <w:bottom w:val="none" w:sz="0" w:space="0" w:color="auto"/>
        <w:right w:val="none" w:sz="0" w:space="0" w:color="auto"/>
      </w:divBdr>
      <w:divsChild>
        <w:div w:id="1557202716">
          <w:marLeft w:val="0"/>
          <w:marRight w:val="0"/>
          <w:marTop w:val="0"/>
          <w:marBottom w:val="0"/>
          <w:divBdr>
            <w:top w:val="none" w:sz="0" w:space="0" w:color="auto"/>
            <w:left w:val="none" w:sz="0" w:space="0" w:color="auto"/>
            <w:bottom w:val="none" w:sz="0" w:space="0" w:color="auto"/>
            <w:right w:val="none" w:sz="0" w:space="0" w:color="auto"/>
          </w:divBdr>
          <w:divsChild>
            <w:div w:id="1801612428">
              <w:marLeft w:val="0"/>
              <w:marRight w:val="0"/>
              <w:marTop w:val="0"/>
              <w:marBottom w:val="0"/>
              <w:divBdr>
                <w:top w:val="none" w:sz="0" w:space="0" w:color="auto"/>
                <w:left w:val="none" w:sz="0" w:space="0" w:color="auto"/>
                <w:bottom w:val="none" w:sz="0" w:space="0" w:color="auto"/>
                <w:right w:val="none" w:sz="0" w:space="0" w:color="auto"/>
              </w:divBdr>
              <w:divsChild>
                <w:div w:id="823815422">
                  <w:marLeft w:val="0"/>
                  <w:marRight w:val="0"/>
                  <w:marTop w:val="0"/>
                  <w:marBottom w:val="0"/>
                  <w:divBdr>
                    <w:top w:val="none" w:sz="0" w:space="0" w:color="auto"/>
                    <w:left w:val="none" w:sz="0" w:space="0" w:color="auto"/>
                    <w:bottom w:val="none" w:sz="0" w:space="0" w:color="auto"/>
                    <w:right w:val="none" w:sz="0" w:space="0" w:color="auto"/>
                  </w:divBdr>
                  <w:divsChild>
                    <w:div w:id="1003320187">
                      <w:marLeft w:val="0"/>
                      <w:marRight w:val="0"/>
                      <w:marTop w:val="0"/>
                      <w:marBottom w:val="0"/>
                      <w:divBdr>
                        <w:top w:val="none" w:sz="0" w:space="0" w:color="auto"/>
                        <w:left w:val="none" w:sz="0" w:space="0" w:color="auto"/>
                        <w:bottom w:val="none" w:sz="0" w:space="0" w:color="auto"/>
                        <w:right w:val="none" w:sz="0" w:space="0" w:color="auto"/>
                      </w:divBdr>
                    </w:div>
                    <w:div w:id="1734502468">
                      <w:marLeft w:val="0"/>
                      <w:marRight w:val="0"/>
                      <w:marTop w:val="0"/>
                      <w:marBottom w:val="0"/>
                      <w:divBdr>
                        <w:top w:val="none" w:sz="0" w:space="0" w:color="auto"/>
                        <w:left w:val="none" w:sz="0" w:space="0" w:color="auto"/>
                        <w:bottom w:val="none" w:sz="0" w:space="0" w:color="auto"/>
                        <w:right w:val="none" w:sz="0" w:space="0" w:color="auto"/>
                      </w:divBdr>
                    </w:div>
                  </w:divsChild>
                </w:div>
                <w:div w:id="436289582">
                  <w:marLeft w:val="0"/>
                  <w:marRight w:val="0"/>
                  <w:marTop w:val="0"/>
                  <w:marBottom w:val="0"/>
                  <w:divBdr>
                    <w:top w:val="none" w:sz="0" w:space="0" w:color="auto"/>
                    <w:left w:val="none" w:sz="0" w:space="0" w:color="auto"/>
                    <w:bottom w:val="none" w:sz="0" w:space="0" w:color="auto"/>
                    <w:right w:val="none" w:sz="0" w:space="0" w:color="auto"/>
                  </w:divBdr>
                  <w:divsChild>
                    <w:div w:id="15891485">
                      <w:marLeft w:val="0"/>
                      <w:marRight w:val="0"/>
                      <w:marTop w:val="0"/>
                      <w:marBottom w:val="0"/>
                      <w:divBdr>
                        <w:top w:val="none" w:sz="0" w:space="0" w:color="auto"/>
                        <w:left w:val="none" w:sz="0" w:space="0" w:color="auto"/>
                        <w:bottom w:val="none" w:sz="0" w:space="0" w:color="auto"/>
                        <w:right w:val="none" w:sz="0" w:space="0" w:color="auto"/>
                      </w:divBdr>
                    </w:div>
                    <w:div w:id="72703991">
                      <w:marLeft w:val="0"/>
                      <w:marRight w:val="0"/>
                      <w:marTop w:val="0"/>
                      <w:marBottom w:val="0"/>
                      <w:divBdr>
                        <w:top w:val="none" w:sz="0" w:space="0" w:color="auto"/>
                        <w:left w:val="none" w:sz="0" w:space="0" w:color="auto"/>
                        <w:bottom w:val="none" w:sz="0" w:space="0" w:color="auto"/>
                        <w:right w:val="none" w:sz="0" w:space="0" w:color="auto"/>
                      </w:divBdr>
                    </w:div>
                  </w:divsChild>
                </w:div>
                <w:div w:id="1038164430">
                  <w:marLeft w:val="0"/>
                  <w:marRight w:val="0"/>
                  <w:marTop w:val="0"/>
                  <w:marBottom w:val="0"/>
                  <w:divBdr>
                    <w:top w:val="none" w:sz="0" w:space="0" w:color="auto"/>
                    <w:left w:val="none" w:sz="0" w:space="0" w:color="auto"/>
                    <w:bottom w:val="none" w:sz="0" w:space="0" w:color="auto"/>
                    <w:right w:val="none" w:sz="0" w:space="0" w:color="auto"/>
                  </w:divBdr>
                  <w:divsChild>
                    <w:div w:id="1147085488">
                      <w:marLeft w:val="0"/>
                      <w:marRight w:val="0"/>
                      <w:marTop w:val="0"/>
                      <w:marBottom w:val="0"/>
                      <w:divBdr>
                        <w:top w:val="none" w:sz="0" w:space="0" w:color="auto"/>
                        <w:left w:val="none" w:sz="0" w:space="0" w:color="auto"/>
                        <w:bottom w:val="none" w:sz="0" w:space="0" w:color="auto"/>
                        <w:right w:val="none" w:sz="0" w:space="0" w:color="auto"/>
                      </w:divBdr>
                    </w:div>
                    <w:div w:id="9580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6058">
          <w:marLeft w:val="0"/>
          <w:marRight w:val="0"/>
          <w:marTop w:val="0"/>
          <w:marBottom w:val="0"/>
          <w:divBdr>
            <w:top w:val="none" w:sz="0" w:space="0" w:color="auto"/>
            <w:left w:val="none" w:sz="0" w:space="0" w:color="auto"/>
            <w:bottom w:val="none" w:sz="0" w:space="0" w:color="auto"/>
            <w:right w:val="none" w:sz="0" w:space="0" w:color="auto"/>
          </w:divBdr>
          <w:divsChild>
            <w:div w:id="1356997519">
              <w:marLeft w:val="0"/>
              <w:marRight w:val="0"/>
              <w:marTop w:val="0"/>
              <w:marBottom w:val="0"/>
              <w:divBdr>
                <w:top w:val="none" w:sz="0" w:space="0" w:color="auto"/>
                <w:left w:val="none" w:sz="0" w:space="0" w:color="auto"/>
                <w:bottom w:val="none" w:sz="0" w:space="0" w:color="auto"/>
                <w:right w:val="none" w:sz="0" w:space="0" w:color="auto"/>
              </w:divBdr>
            </w:div>
            <w:div w:id="1038287173">
              <w:marLeft w:val="0"/>
              <w:marRight w:val="0"/>
              <w:marTop w:val="0"/>
              <w:marBottom w:val="0"/>
              <w:divBdr>
                <w:top w:val="none" w:sz="0" w:space="0" w:color="auto"/>
                <w:left w:val="none" w:sz="0" w:space="0" w:color="auto"/>
                <w:bottom w:val="none" w:sz="0" w:space="0" w:color="auto"/>
                <w:right w:val="none" w:sz="0" w:space="0" w:color="auto"/>
              </w:divBdr>
            </w:div>
          </w:divsChild>
        </w:div>
        <w:div w:id="2089420791">
          <w:marLeft w:val="0"/>
          <w:marRight w:val="0"/>
          <w:marTop w:val="0"/>
          <w:marBottom w:val="0"/>
          <w:divBdr>
            <w:top w:val="none" w:sz="0" w:space="0" w:color="auto"/>
            <w:left w:val="none" w:sz="0" w:space="0" w:color="auto"/>
            <w:bottom w:val="none" w:sz="0" w:space="0" w:color="auto"/>
            <w:right w:val="none" w:sz="0" w:space="0" w:color="auto"/>
          </w:divBdr>
          <w:divsChild>
            <w:div w:id="1620795724">
              <w:marLeft w:val="0"/>
              <w:marRight w:val="0"/>
              <w:marTop w:val="0"/>
              <w:marBottom w:val="0"/>
              <w:divBdr>
                <w:top w:val="none" w:sz="0" w:space="0" w:color="auto"/>
                <w:left w:val="none" w:sz="0" w:space="0" w:color="auto"/>
                <w:bottom w:val="none" w:sz="0" w:space="0" w:color="auto"/>
                <w:right w:val="none" w:sz="0" w:space="0" w:color="auto"/>
              </w:divBdr>
            </w:div>
            <w:div w:id="1028214336">
              <w:marLeft w:val="0"/>
              <w:marRight w:val="0"/>
              <w:marTop w:val="0"/>
              <w:marBottom w:val="0"/>
              <w:divBdr>
                <w:top w:val="none" w:sz="0" w:space="0" w:color="auto"/>
                <w:left w:val="none" w:sz="0" w:space="0" w:color="auto"/>
                <w:bottom w:val="none" w:sz="0" w:space="0" w:color="auto"/>
                <w:right w:val="none" w:sz="0" w:space="0" w:color="auto"/>
              </w:divBdr>
            </w:div>
          </w:divsChild>
        </w:div>
        <w:div w:id="2033610295">
          <w:marLeft w:val="0"/>
          <w:marRight w:val="0"/>
          <w:marTop w:val="0"/>
          <w:marBottom w:val="0"/>
          <w:divBdr>
            <w:top w:val="none" w:sz="0" w:space="0" w:color="auto"/>
            <w:left w:val="none" w:sz="0" w:space="0" w:color="auto"/>
            <w:bottom w:val="none" w:sz="0" w:space="0" w:color="auto"/>
            <w:right w:val="none" w:sz="0" w:space="0" w:color="auto"/>
          </w:divBdr>
          <w:divsChild>
            <w:div w:id="250549589">
              <w:marLeft w:val="0"/>
              <w:marRight w:val="0"/>
              <w:marTop w:val="0"/>
              <w:marBottom w:val="0"/>
              <w:divBdr>
                <w:top w:val="none" w:sz="0" w:space="0" w:color="auto"/>
                <w:left w:val="none" w:sz="0" w:space="0" w:color="auto"/>
                <w:bottom w:val="none" w:sz="0" w:space="0" w:color="auto"/>
                <w:right w:val="none" w:sz="0" w:space="0" w:color="auto"/>
              </w:divBdr>
            </w:div>
            <w:div w:id="2030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61051">
      <w:bodyDiv w:val="1"/>
      <w:marLeft w:val="0"/>
      <w:marRight w:val="0"/>
      <w:marTop w:val="0"/>
      <w:marBottom w:val="0"/>
      <w:divBdr>
        <w:top w:val="none" w:sz="0" w:space="0" w:color="auto"/>
        <w:left w:val="none" w:sz="0" w:space="0" w:color="auto"/>
        <w:bottom w:val="none" w:sz="0" w:space="0" w:color="auto"/>
        <w:right w:val="none" w:sz="0" w:space="0" w:color="auto"/>
      </w:divBdr>
    </w:div>
    <w:div w:id="1886407471">
      <w:bodyDiv w:val="1"/>
      <w:marLeft w:val="0"/>
      <w:marRight w:val="0"/>
      <w:marTop w:val="0"/>
      <w:marBottom w:val="0"/>
      <w:divBdr>
        <w:top w:val="none" w:sz="0" w:space="0" w:color="auto"/>
        <w:left w:val="none" w:sz="0" w:space="0" w:color="auto"/>
        <w:bottom w:val="none" w:sz="0" w:space="0" w:color="auto"/>
        <w:right w:val="none" w:sz="0" w:space="0" w:color="auto"/>
      </w:divBdr>
    </w:div>
    <w:div w:id="1903372738">
      <w:bodyDiv w:val="1"/>
      <w:marLeft w:val="0"/>
      <w:marRight w:val="0"/>
      <w:marTop w:val="0"/>
      <w:marBottom w:val="0"/>
      <w:divBdr>
        <w:top w:val="none" w:sz="0" w:space="0" w:color="auto"/>
        <w:left w:val="none" w:sz="0" w:space="0" w:color="auto"/>
        <w:bottom w:val="none" w:sz="0" w:space="0" w:color="auto"/>
        <w:right w:val="none" w:sz="0" w:space="0" w:color="auto"/>
      </w:divBdr>
    </w:div>
    <w:div w:id="1914049421">
      <w:bodyDiv w:val="1"/>
      <w:marLeft w:val="0"/>
      <w:marRight w:val="0"/>
      <w:marTop w:val="0"/>
      <w:marBottom w:val="0"/>
      <w:divBdr>
        <w:top w:val="none" w:sz="0" w:space="0" w:color="auto"/>
        <w:left w:val="none" w:sz="0" w:space="0" w:color="auto"/>
        <w:bottom w:val="none" w:sz="0" w:space="0" w:color="auto"/>
        <w:right w:val="none" w:sz="0" w:space="0" w:color="auto"/>
      </w:divBdr>
    </w:div>
    <w:div w:id="1966235565">
      <w:bodyDiv w:val="1"/>
      <w:marLeft w:val="0"/>
      <w:marRight w:val="0"/>
      <w:marTop w:val="0"/>
      <w:marBottom w:val="0"/>
      <w:divBdr>
        <w:top w:val="none" w:sz="0" w:space="0" w:color="auto"/>
        <w:left w:val="none" w:sz="0" w:space="0" w:color="auto"/>
        <w:bottom w:val="none" w:sz="0" w:space="0" w:color="auto"/>
        <w:right w:val="none" w:sz="0" w:space="0" w:color="auto"/>
      </w:divBdr>
    </w:div>
    <w:div w:id="2044136161">
      <w:bodyDiv w:val="1"/>
      <w:marLeft w:val="0"/>
      <w:marRight w:val="0"/>
      <w:marTop w:val="0"/>
      <w:marBottom w:val="0"/>
      <w:divBdr>
        <w:top w:val="none" w:sz="0" w:space="0" w:color="auto"/>
        <w:left w:val="none" w:sz="0" w:space="0" w:color="auto"/>
        <w:bottom w:val="none" w:sz="0" w:space="0" w:color="auto"/>
        <w:right w:val="none" w:sz="0" w:space="0" w:color="auto"/>
      </w:divBdr>
      <w:divsChild>
        <w:div w:id="2122677316">
          <w:marLeft w:val="0"/>
          <w:marRight w:val="0"/>
          <w:marTop w:val="0"/>
          <w:marBottom w:val="0"/>
          <w:divBdr>
            <w:top w:val="none" w:sz="0" w:space="0" w:color="auto"/>
            <w:left w:val="none" w:sz="0" w:space="0" w:color="auto"/>
            <w:bottom w:val="none" w:sz="0" w:space="0" w:color="auto"/>
            <w:right w:val="none" w:sz="0" w:space="0" w:color="auto"/>
          </w:divBdr>
          <w:divsChild>
            <w:div w:id="1666086689">
              <w:marLeft w:val="0"/>
              <w:marRight w:val="0"/>
              <w:marTop w:val="0"/>
              <w:marBottom w:val="0"/>
              <w:divBdr>
                <w:top w:val="none" w:sz="0" w:space="0" w:color="auto"/>
                <w:left w:val="none" w:sz="0" w:space="0" w:color="auto"/>
                <w:bottom w:val="none" w:sz="0" w:space="0" w:color="auto"/>
                <w:right w:val="none" w:sz="0" w:space="0" w:color="auto"/>
              </w:divBdr>
              <w:divsChild>
                <w:div w:id="275017541">
                  <w:marLeft w:val="0"/>
                  <w:marRight w:val="0"/>
                  <w:marTop w:val="0"/>
                  <w:marBottom w:val="0"/>
                  <w:divBdr>
                    <w:top w:val="none" w:sz="0" w:space="0" w:color="auto"/>
                    <w:left w:val="none" w:sz="0" w:space="0" w:color="auto"/>
                    <w:bottom w:val="none" w:sz="0" w:space="0" w:color="auto"/>
                    <w:right w:val="none" w:sz="0" w:space="0" w:color="auto"/>
                  </w:divBdr>
                </w:div>
                <w:div w:id="1216045005">
                  <w:marLeft w:val="0"/>
                  <w:marRight w:val="0"/>
                  <w:marTop w:val="0"/>
                  <w:marBottom w:val="0"/>
                  <w:divBdr>
                    <w:top w:val="none" w:sz="0" w:space="0" w:color="auto"/>
                    <w:left w:val="none" w:sz="0" w:space="0" w:color="auto"/>
                    <w:bottom w:val="none" w:sz="0" w:space="0" w:color="auto"/>
                    <w:right w:val="none" w:sz="0" w:space="0" w:color="auto"/>
                  </w:divBdr>
                </w:div>
              </w:divsChild>
            </w:div>
            <w:div w:id="1505781501">
              <w:marLeft w:val="0"/>
              <w:marRight w:val="0"/>
              <w:marTop w:val="0"/>
              <w:marBottom w:val="0"/>
              <w:divBdr>
                <w:top w:val="none" w:sz="0" w:space="0" w:color="auto"/>
                <w:left w:val="none" w:sz="0" w:space="0" w:color="auto"/>
                <w:bottom w:val="none" w:sz="0" w:space="0" w:color="auto"/>
                <w:right w:val="none" w:sz="0" w:space="0" w:color="auto"/>
              </w:divBdr>
              <w:divsChild>
                <w:div w:id="1471288171">
                  <w:marLeft w:val="0"/>
                  <w:marRight w:val="0"/>
                  <w:marTop w:val="0"/>
                  <w:marBottom w:val="0"/>
                  <w:divBdr>
                    <w:top w:val="none" w:sz="0" w:space="0" w:color="auto"/>
                    <w:left w:val="none" w:sz="0" w:space="0" w:color="auto"/>
                    <w:bottom w:val="none" w:sz="0" w:space="0" w:color="auto"/>
                    <w:right w:val="none" w:sz="0" w:space="0" w:color="auto"/>
                  </w:divBdr>
                </w:div>
                <w:div w:id="188029512">
                  <w:marLeft w:val="0"/>
                  <w:marRight w:val="0"/>
                  <w:marTop w:val="0"/>
                  <w:marBottom w:val="0"/>
                  <w:divBdr>
                    <w:top w:val="none" w:sz="0" w:space="0" w:color="auto"/>
                    <w:left w:val="none" w:sz="0" w:space="0" w:color="auto"/>
                    <w:bottom w:val="none" w:sz="0" w:space="0" w:color="auto"/>
                    <w:right w:val="none" w:sz="0" w:space="0" w:color="auto"/>
                  </w:divBdr>
                </w:div>
              </w:divsChild>
            </w:div>
            <w:div w:id="1622153943">
              <w:marLeft w:val="0"/>
              <w:marRight w:val="0"/>
              <w:marTop w:val="0"/>
              <w:marBottom w:val="0"/>
              <w:divBdr>
                <w:top w:val="none" w:sz="0" w:space="0" w:color="auto"/>
                <w:left w:val="none" w:sz="0" w:space="0" w:color="auto"/>
                <w:bottom w:val="none" w:sz="0" w:space="0" w:color="auto"/>
                <w:right w:val="none" w:sz="0" w:space="0" w:color="auto"/>
              </w:divBdr>
              <w:divsChild>
                <w:div w:id="737630909">
                  <w:marLeft w:val="0"/>
                  <w:marRight w:val="0"/>
                  <w:marTop w:val="0"/>
                  <w:marBottom w:val="0"/>
                  <w:divBdr>
                    <w:top w:val="none" w:sz="0" w:space="0" w:color="auto"/>
                    <w:left w:val="none" w:sz="0" w:space="0" w:color="auto"/>
                    <w:bottom w:val="none" w:sz="0" w:space="0" w:color="auto"/>
                    <w:right w:val="none" w:sz="0" w:space="0" w:color="auto"/>
                  </w:divBdr>
                </w:div>
                <w:div w:id="428431345">
                  <w:marLeft w:val="0"/>
                  <w:marRight w:val="0"/>
                  <w:marTop w:val="0"/>
                  <w:marBottom w:val="0"/>
                  <w:divBdr>
                    <w:top w:val="none" w:sz="0" w:space="0" w:color="auto"/>
                    <w:left w:val="none" w:sz="0" w:space="0" w:color="auto"/>
                    <w:bottom w:val="none" w:sz="0" w:space="0" w:color="auto"/>
                    <w:right w:val="none" w:sz="0" w:space="0" w:color="auto"/>
                  </w:divBdr>
                </w:div>
              </w:divsChild>
            </w:div>
            <w:div w:id="908805198">
              <w:marLeft w:val="0"/>
              <w:marRight w:val="0"/>
              <w:marTop w:val="0"/>
              <w:marBottom w:val="0"/>
              <w:divBdr>
                <w:top w:val="none" w:sz="0" w:space="0" w:color="auto"/>
                <w:left w:val="none" w:sz="0" w:space="0" w:color="auto"/>
                <w:bottom w:val="none" w:sz="0" w:space="0" w:color="auto"/>
                <w:right w:val="none" w:sz="0" w:space="0" w:color="auto"/>
              </w:divBdr>
              <w:divsChild>
                <w:div w:id="1019163000">
                  <w:marLeft w:val="0"/>
                  <w:marRight w:val="0"/>
                  <w:marTop w:val="0"/>
                  <w:marBottom w:val="0"/>
                  <w:divBdr>
                    <w:top w:val="none" w:sz="0" w:space="0" w:color="auto"/>
                    <w:left w:val="none" w:sz="0" w:space="0" w:color="auto"/>
                    <w:bottom w:val="none" w:sz="0" w:space="0" w:color="auto"/>
                    <w:right w:val="none" w:sz="0" w:space="0" w:color="auto"/>
                  </w:divBdr>
                </w:div>
                <w:div w:id="14270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52404">
      <w:bodyDiv w:val="1"/>
      <w:marLeft w:val="0"/>
      <w:marRight w:val="0"/>
      <w:marTop w:val="0"/>
      <w:marBottom w:val="0"/>
      <w:divBdr>
        <w:top w:val="none" w:sz="0" w:space="0" w:color="auto"/>
        <w:left w:val="none" w:sz="0" w:space="0" w:color="auto"/>
        <w:bottom w:val="none" w:sz="0" w:space="0" w:color="auto"/>
        <w:right w:val="none" w:sz="0" w:space="0" w:color="auto"/>
      </w:divBdr>
      <w:divsChild>
        <w:div w:id="1993675163">
          <w:marLeft w:val="0"/>
          <w:marRight w:val="0"/>
          <w:marTop w:val="0"/>
          <w:marBottom w:val="0"/>
          <w:divBdr>
            <w:top w:val="none" w:sz="0" w:space="0" w:color="auto"/>
            <w:left w:val="none" w:sz="0" w:space="0" w:color="auto"/>
            <w:bottom w:val="none" w:sz="0" w:space="0" w:color="auto"/>
            <w:right w:val="none" w:sz="0" w:space="0" w:color="auto"/>
          </w:divBdr>
        </w:div>
      </w:divsChild>
    </w:div>
    <w:div w:id="2055737872">
      <w:bodyDiv w:val="1"/>
      <w:marLeft w:val="0"/>
      <w:marRight w:val="0"/>
      <w:marTop w:val="0"/>
      <w:marBottom w:val="0"/>
      <w:divBdr>
        <w:top w:val="none" w:sz="0" w:space="0" w:color="auto"/>
        <w:left w:val="none" w:sz="0" w:space="0" w:color="auto"/>
        <w:bottom w:val="none" w:sz="0" w:space="0" w:color="auto"/>
        <w:right w:val="none" w:sz="0" w:space="0" w:color="auto"/>
      </w:divBdr>
      <w:divsChild>
        <w:div w:id="1044518946">
          <w:marLeft w:val="0"/>
          <w:marRight w:val="0"/>
          <w:marTop w:val="0"/>
          <w:marBottom w:val="0"/>
          <w:divBdr>
            <w:top w:val="none" w:sz="0" w:space="0" w:color="auto"/>
            <w:left w:val="none" w:sz="0" w:space="0" w:color="auto"/>
            <w:bottom w:val="none" w:sz="0" w:space="0" w:color="auto"/>
            <w:right w:val="none" w:sz="0" w:space="0" w:color="auto"/>
          </w:divBdr>
          <w:divsChild>
            <w:div w:id="2060861863">
              <w:marLeft w:val="0"/>
              <w:marRight w:val="0"/>
              <w:marTop w:val="0"/>
              <w:marBottom w:val="0"/>
              <w:divBdr>
                <w:top w:val="none" w:sz="0" w:space="0" w:color="auto"/>
                <w:left w:val="none" w:sz="0" w:space="0" w:color="auto"/>
                <w:bottom w:val="none" w:sz="0" w:space="0" w:color="auto"/>
                <w:right w:val="none" w:sz="0" w:space="0" w:color="auto"/>
              </w:divBdr>
            </w:div>
          </w:divsChild>
        </w:div>
        <w:div w:id="1037005505">
          <w:marLeft w:val="0"/>
          <w:marRight w:val="0"/>
          <w:marTop w:val="0"/>
          <w:marBottom w:val="0"/>
          <w:divBdr>
            <w:top w:val="none" w:sz="0" w:space="0" w:color="auto"/>
            <w:left w:val="none" w:sz="0" w:space="0" w:color="auto"/>
            <w:bottom w:val="none" w:sz="0" w:space="0" w:color="auto"/>
            <w:right w:val="none" w:sz="0" w:space="0" w:color="auto"/>
          </w:divBdr>
          <w:divsChild>
            <w:div w:id="1750881291">
              <w:marLeft w:val="0"/>
              <w:marRight w:val="0"/>
              <w:marTop w:val="0"/>
              <w:marBottom w:val="0"/>
              <w:divBdr>
                <w:top w:val="none" w:sz="0" w:space="0" w:color="auto"/>
                <w:left w:val="none" w:sz="0" w:space="0" w:color="auto"/>
                <w:bottom w:val="none" w:sz="0" w:space="0" w:color="auto"/>
                <w:right w:val="none" w:sz="0" w:space="0" w:color="auto"/>
              </w:divBdr>
            </w:div>
            <w:div w:id="1565677215">
              <w:marLeft w:val="0"/>
              <w:marRight w:val="0"/>
              <w:marTop w:val="0"/>
              <w:marBottom w:val="0"/>
              <w:divBdr>
                <w:top w:val="none" w:sz="0" w:space="0" w:color="auto"/>
                <w:left w:val="none" w:sz="0" w:space="0" w:color="auto"/>
                <w:bottom w:val="none" w:sz="0" w:space="0" w:color="auto"/>
                <w:right w:val="none" w:sz="0" w:space="0" w:color="auto"/>
              </w:divBdr>
            </w:div>
          </w:divsChild>
        </w:div>
        <w:div w:id="937979181">
          <w:marLeft w:val="0"/>
          <w:marRight w:val="0"/>
          <w:marTop w:val="0"/>
          <w:marBottom w:val="0"/>
          <w:divBdr>
            <w:top w:val="none" w:sz="0" w:space="0" w:color="auto"/>
            <w:left w:val="none" w:sz="0" w:space="0" w:color="auto"/>
            <w:bottom w:val="none" w:sz="0" w:space="0" w:color="auto"/>
            <w:right w:val="none" w:sz="0" w:space="0" w:color="auto"/>
          </w:divBdr>
          <w:divsChild>
            <w:div w:id="195116610">
              <w:marLeft w:val="0"/>
              <w:marRight w:val="0"/>
              <w:marTop w:val="0"/>
              <w:marBottom w:val="0"/>
              <w:divBdr>
                <w:top w:val="none" w:sz="0" w:space="0" w:color="auto"/>
                <w:left w:val="none" w:sz="0" w:space="0" w:color="auto"/>
                <w:bottom w:val="none" w:sz="0" w:space="0" w:color="auto"/>
                <w:right w:val="none" w:sz="0" w:space="0" w:color="auto"/>
              </w:divBdr>
            </w:div>
            <w:div w:id="295111535">
              <w:marLeft w:val="0"/>
              <w:marRight w:val="0"/>
              <w:marTop w:val="0"/>
              <w:marBottom w:val="0"/>
              <w:divBdr>
                <w:top w:val="none" w:sz="0" w:space="0" w:color="auto"/>
                <w:left w:val="none" w:sz="0" w:space="0" w:color="auto"/>
                <w:bottom w:val="none" w:sz="0" w:space="0" w:color="auto"/>
                <w:right w:val="none" w:sz="0" w:space="0" w:color="auto"/>
              </w:divBdr>
            </w:div>
          </w:divsChild>
        </w:div>
        <w:div w:id="117336718">
          <w:marLeft w:val="0"/>
          <w:marRight w:val="0"/>
          <w:marTop w:val="0"/>
          <w:marBottom w:val="0"/>
          <w:divBdr>
            <w:top w:val="none" w:sz="0" w:space="0" w:color="auto"/>
            <w:left w:val="none" w:sz="0" w:space="0" w:color="auto"/>
            <w:bottom w:val="none" w:sz="0" w:space="0" w:color="auto"/>
            <w:right w:val="none" w:sz="0" w:space="0" w:color="auto"/>
          </w:divBdr>
          <w:divsChild>
            <w:div w:id="208539497">
              <w:marLeft w:val="0"/>
              <w:marRight w:val="0"/>
              <w:marTop w:val="0"/>
              <w:marBottom w:val="0"/>
              <w:divBdr>
                <w:top w:val="none" w:sz="0" w:space="0" w:color="auto"/>
                <w:left w:val="none" w:sz="0" w:space="0" w:color="auto"/>
                <w:bottom w:val="none" w:sz="0" w:space="0" w:color="auto"/>
                <w:right w:val="none" w:sz="0" w:space="0" w:color="auto"/>
              </w:divBdr>
            </w:div>
            <w:div w:id="8766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2947">
      <w:bodyDiv w:val="1"/>
      <w:marLeft w:val="0"/>
      <w:marRight w:val="0"/>
      <w:marTop w:val="0"/>
      <w:marBottom w:val="0"/>
      <w:divBdr>
        <w:top w:val="none" w:sz="0" w:space="0" w:color="auto"/>
        <w:left w:val="none" w:sz="0" w:space="0" w:color="auto"/>
        <w:bottom w:val="none" w:sz="0" w:space="0" w:color="auto"/>
        <w:right w:val="none" w:sz="0" w:space="0" w:color="auto"/>
      </w:divBdr>
      <w:divsChild>
        <w:div w:id="1959949807">
          <w:marLeft w:val="0"/>
          <w:marRight w:val="0"/>
          <w:marTop w:val="0"/>
          <w:marBottom w:val="0"/>
          <w:divBdr>
            <w:top w:val="none" w:sz="0" w:space="0" w:color="auto"/>
            <w:left w:val="none" w:sz="0" w:space="0" w:color="auto"/>
            <w:bottom w:val="none" w:sz="0" w:space="0" w:color="auto"/>
            <w:right w:val="none" w:sz="0" w:space="0" w:color="auto"/>
          </w:divBdr>
        </w:div>
      </w:divsChild>
    </w:div>
    <w:div w:id="2064674617">
      <w:bodyDiv w:val="1"/>
      <w:marLeft w:val="0"/>
      <w:marRight w:val="0"/>
      <w:marTop w:val="0"/>
      <w:marBottom w:val="0"/>
      <w:divBdr>
        <w:top w:val="none" w:sz="0" w:space="0" w:color="auto"/>
        <w:left w:val="none" w:sz="0" w:space="0" w:color="auto"/>
        <w:bottom w:val="none" w:sz="0" w:space="0" w:color="auto"/>
        <w:right w:val="none" w:sz="0" w:space="0" w:color="auto"/>
      </w:divBdr>
      <w:divsChild>
        <w:div w:id="677538243">
          <w:marLeft w:val="0"/>
          <w:marRight w:val="0"/>
          <w:marTop w:val="0"/>
          <w:marBottom w:val="0"/>
          <w:divBdr>
            <w:top w:val="none" w:sz="0" w:space="0" w:color="auto"/>
            <w:left w:val="none" w:sz="0" w:space="0" w:color="auto"/>
            <w:bottom w:val="none" w:sz="0" w:space="0" w:color="auto"/>
            <w:right w:val="none" w:sz="0" w:space="0" w:color="auto"/>
          </w:divBdr>
          <w:divsChild>
            <w:div w:id="1941446322">
              <w:marLeft w:val="0"/>
              <w:marRight w:val="0"/>
              <w:marTop w:val="0"/>
              <w:marBottom w:val="0"/>
              <w:divBdr>
                <w:top w:val="none" w:sz="0" w:space="0" w:color="auto"/>
                <w:left w:val="none" w:sz="0" w:space="0" w:color="auto"/>
                <w:bottom w:val="none" w:sz="0" w:space="0" w:color="auto"/>
                <w:right w:val="none" w:sz="0" w:space="0" w:color="auto"/>
              </w:divBdr>
              <w:divsChild>
                <w:div w:id="1779178284">
                  <w:marLeft w:val="0"/>
                  <w:marRight w:val="0"/>
                  <w:marTop w:val="0"/>
                  <w:marBottom w:val="0"/>
                  <w:divBdr>
                    <w:top w:val="none" w:sz="0" w:space="0" w:color="auto"/>
                    <w:left w:val="none" w:sz="0" w:space="0" w:color="auto"/>
                    <w:bottom w:val="none" w:sz="0" w:space="0" w:color="auto"/>
                    <w:right w:val="none" w:sz="0" w:space="0" w:color="auto"/>
                  </w:divBdr>
                  <w:divsChild>
                    <w:div w:id="1653026218">
                      <w:marLeft w:val="0"/>
                      <w:marRight w:val="0"/>
                      <w:marTop w:val="0"/>
                      <w:marBottom w:val="0"/>
                      <w:divBdr>
                        <w:top w:val="none" w:sz="0" w:space="0" w:color="auto"/>
                        <w:left w:val="none" w:sz="0" w:space="0" w:color="auto"/>
                        <w:bottom w:val="none" w:sz="0" w:space="0" w:color="auto"/>
                        <w:right w:val="none" w:sz="0" w:space="0" w:color="auto"/>
                      </w:divBdr>
                    </w:div>
                    <w:div w:id="1889106628">
                      <w:marLeft w:val="0"/>
                      <w:marRight w:val="0"/>
                      <w:marTop w:val="0"/>
                      <w:marBottom w:val="0"/>
                      <w:divBdr>
                        <w:top w:val="none" w:sz="0" w:space="0" w:color="auto"/>
                        <w:left w:val="none" w:sz="0" w:space="0" w:color="auto"/>
                        <w:bottom w:val="none" w:sz="0" w:space="0" w:color="auto"/>
                        <w:right w:val="none" w:sz="0" w:space="0" w:color="auto"/>
                      </w:divBdr>
                    </w:div>
                  </w:divsChild>
                </w:div>
                <w:div w:id="713501768">
                  <w:marLeft w:val="0"/>
                  <w:marRight w:val="0"/>
                  <w:marTop w:val="0"/>
                  <w:marBottom w:val="0"/>
                  <w:divBdr>
                    <w:top w:val="none" w:sz="0" w:space="0" w:color="auto"/>
                    <w:left w:val="none" w:sz="0" w:space="0" w:color="auto"/>
                    <w:bottom w:val="none" w:sz="0" w:space="0" w:color="auto"/>
                    <w:right w:val="none" w:sz="0" w:space="0" w:color="auto"/>
                  </w:divBdr>
                  <w:divsChild>
                    <w:div w:id="168059390">
                      <w:marLeft w:val="0"/>
                      <w:marRight w:val="0"/>
                      <w:marTop w:val="0"/>
                      <w:marBottom w:val="0"/>
                      <w:divBdr>
                        <w:top w:val="none" w:sz="0" w:space="0" w:color="auto"/>
                        <w:left w:val="none" w:sz="0" w:space="0" w:color="auto"/>
                        <w:bottom w:val="none" w:sz="0" w:space="0" w:color="auto"/>
                        <w:right w:val="none" w:sz="0" w:space="0" w:color="auto"/>
                      </w:divBdr>
                    </w:div>
                    <w:div w:id="1758288977">
                      <w:marLeft w:val="0"/>
                      <w:marRight w:val="0"/>
                      <w:marTop w:val="0"/>
                      <w:marBottom w:val="0"/>
                      <w:divBdr>
                        <w:top w:val="none" w:sz="0" w:space="0" w:color="auto"/>
                        <w:left w:val="none" w:sz="0" w:space="0" w:color="auto"/>
                        <w:bottom w:val="none" w:sz="0" w:space="0" w:color="auto"/>
                        <w:right w:val="none" w:sz="0" w:space="0" w:color="auto"/>
                      </w:divBdr>
                    </w:div>
                  </w:divsChild>
                </w:div>
                <w:div w:id="262878507">
                  <w:marLeft w:val="0"/>
                  <w:marRight w:val="0"/>
                  <w:marTop w:val="0"/>
                  <w:marBottom w:val="0"/>
                  <w:divBdr>
                    <w:top w:val="none" w:sz="0" w:space="0" w:color="auto"/>
                    <w:left w:val="none" w:sz="0" w:space="0" w:color="auto"/>
                    <w:bottom w:val="none" w:sz="0" w:space="0" w:color="auto"/>
                    <w:right w:val="none" w:sz="0" w:space="0" w:color="auto"/>
                  </w:divBdr>
                  <w:divsChild>
                    <w:div w:id="1561095685">
                      <w:marLeft w:val="0"/>
                      <w:marRight w:val="0"/>
                      <w:marTop w:val="0"/>
                      <w:marBottom w:val="0"/>
                      <w:divBdr>
                        <w:top w:val="none" w:sz="0" w:space="0" w:color="auto"/>
                        <w:left w:val="none" w:sz="0" w:space="0" w:color="auto"/>
                        <w:bottom w:val="none" w:sz="0" w:space="0" w:color="auto"/>
                        <w:right w:val="none" w:sz="0" w:space="0" w:color="auto"/>
                      </w:divBdr>
                    </w:div>
                    <w:div w:id="1614746412">
                      <w:marLeft w:val="0"/>
                      <w:marRight w:val="0"/>
                      <w:marTop w:val="0"/>
                      <w:marBottom w:val="0"/>
                      <w:divBdr>
                        <w:top w:val="none" w:sz="0" w:space="0" w:color="auto"/>
                        <w:left w:val="none" w:sz="0" w:space="0" w:color="auto"/>
                        <w:bottom w:val="none" w:sz="0" w:space="0" w:color="auto"/>
                        <w:right w:val="none" w:sz="0" w:space="0" w:color="auto"/>
                      </w:divBdr>
                    </w:div>
                  </w:divsChild>
                </w:div>
                <w:div w:id="1068070600">
                  <w:marLeft w:val="0"/>
                  <w:marRight w:val="0"/>
                  <w:marTop w:val="0"/>
                  <w:marBottom w:val="0"/>
                  <w:divBdr>
                    <w:top w:val="none" w:sz="0" w:space="0" w:color="auto"/>
                    <w:left w:val="none" w:sz="0" w:space="0" w:color="auto"/>
                    <w:bottom w:val="none" w:sz="0" w:space="0" w:color="auto"/>
                    <w:right w:val="none" w:sz="0" w:space="0" w:color="auto"/>
                  </w:divBdr>
                  <w:divsChild>
                    <w:div w:id="1119488909">
                      <w:marLeft w:val="0"/>
                      <w:marRight w:val="0"/>
                      <w:marTop w:val="0"/>
                      <w:marBottom w:val="0"/>
                      <w:divBdr>
                        <w:top w:val="none" w:sz="0" w:space="0" w:color="auto"/>
                        <w:left w:val="none" w:sz="0" w:space="0" w:color="auto"/>
                        <w:bottom w:val="none" w:sz="0" w:space="0" w:color="auto"/>
                        <w:right w:val="none" w:sz="0" w:space="0" w:color="auto"/>
                      </w:divBdr>
                    </w:div>
                    <w:div w:id="476459774">
                      <w:marLeft w:val="0"/>
                      <w:marRight w:val="0"/>
                      <w:marTop w:val="0"/>
                      <w:marBottom w:val="0"/>
                      <w:divBdr>
                        <w:top w:val="none" w:sz="0" w:space="0" w:color="auto"/>
                        <w:left w:val="none" w:sz="0" w:space="0" w:color="auto"/>
                        <w:bottom w:val="none" w:sz="0" w:space="0" w:color="auto"/>
                        <w:right w:val="none" w:sz="0" w:space="0" w:color="auto"/>
                      </w:divBdr>
                    </w:div>
                  </w:divsChild>
                </w:div>
                <w:div w:id="783229131">
                  <w:marLeft w:val="0"/>
                  <w:marRight w:val="0"/>
                  <w:marTop w:val="0"/>
                  <w:marBottom w:val="0"/>
                  <w:divBdr>
                    <w:top w:val="none" w:sz="0" w:space="0" w:color="auto"/>
                    <w:left w:val="none" w:sz="0" w:space="0" w:color="auto"/>
                    <w:bottom w:val="none" w:sz="0" w:space="0" w:color="auto"/>
                    <w:right w:val="none" w:sz="0" w:space="0" w:color="auto"/>
                  </w:divBdr>
                  <w:divsChild>
                    <w:div w:id="2022271610">
                      <w:marLeft w:val="0"/>
                      <w:marRight w:val="0"/>
                      <w:marTop w:val="0"/>
                      <w:marBottom w:val="0"/>
                      <w:divBdr>
                        <w:top w:val="none" w:sz="0" w:space="0" w:color="auto"/>
                        <w:left w:val="none" w:sz="0" w:space="0" w:color="auto"/>
                        <w:bottom w:val="none" w:sz="0" w:space="0" w:color="auto"/>
                        <w:right w:val="none" w:sz="0" w:space="0" w:color="auto"/>
                      </w:divBdr>
                    </w:div>
                    <w:div w:id="1735808648">
                      <w:marLeft w:val="0"/>
                      <w:marRight w:val="0"/>
                      <w:marTop w:val="0"/>
                      <w:marBottom w:val="0"/>
                      <w:divBdr>
                        <w:top w:val="none" w:sz="0" w:space="0" w:color="auto"/>
                        <w:left w:val="none" w:sz="0" w:space="0" w:color="auto"/>
                        <w:bottom w:val="none" w:sz="0" w:space="0" w:color="auto"/>
                        <w:right w:val="none" w:sz="0" w:space="0" w:color="auto"/>
                      </w:divBdr>
                    </w:div>
                  </w:divsChild>
                </w:div>
                <w:div w:id="981616467">
                  <w:marLeft w:val="0"/>
                  <w:marRight w:val="0"/>
                  <w:marTop w:val="0"/>
                  <w:marBottom w:val="0"/>
                  <w:divBdr>
                    <w:top w:val="none" w:sz="0" w:space="0" w:color="auto"/>
                    <w:left w:val="none" w:sz="0" w:space="0" w:color="auto"/>
                    <w:bottom w:val="none" w:sz="0" w:space="0" w:color="auto"/>
                    <w:right w:val="none" w:sz="0" w:space="0" w:color="auto"/>
                  </w:divBdr>
                  <w:divsChild>
                    <w:div w:id="339046149">
                      <w:marLeft w:val="0"/>
                      <w:marRight w:val="0"/>
                      <w:marTop w:val="0"/>
                      <w:marBottom w:val="0"/>
                      <w:divBdr>
                        <w:top w:val="none" w:sz="0" w:space="0" w:color="auto"/>
                        <w:left w:val="none" w:sz="0" w:space="0" w:color="auto"/>
                        <w:bottom w:val="none" w:sz="0" w:space="0" w:color="auto"/>
                        <w:right w:val="none" w:sz="0" w:space="0" w:color="auto"/>
                      </w:divBdr>
                    </w:div>
                    <w:div w:id="1247420003">
                      <w:marLeft w:val="0"/>
                      <w:marRight w:val="0"/>
                      <w:marTop w:val="0"/>
                      <w:marBottom w:val="0"/>
                      <w:divBdr>
                        <w:top w:val="none" w:sz="0" w:space="0" w:color="auto"/>
                        <w:left w:val="none" w:sz="0" w:space="0" w:color="auto"/>
                        <w:bottom w:val="none" w:sz="0" w:space="0" w:color="auto"/>
                        <w:right w:val="none" w:sz="0" w:space="0" w:color="auto"/>
                      </w:divBdr>
                    </w:div>
                  </w:divsChild>
                </w:div>
                <w:div w:id="1956866749">
                  <w:marLeft w:val="0"/>
                  <w:marRight w:val="0"/>
                  <w:marTop w:val="0"/>
                  <w:marBottom w:val="0"/>
                  <w:divBdr>
                    <w:top w:val="none" w:sz="0" w:space="0" w:color="auto"/>
                    <w:left w:val="none" w:sz="0" w:space="0" w:color="auto"/>
                    <w:bottom w:val="none" w:sz="0" w:space="0" w:color="auto"/>
                    <w:right w:val="none" w:sz="0" w:space="0" w:color="auto"/>
                  </w:divBdr>
                  <w:divsChild>
                    <w:div w:id="1384984366">
                      <w:marLeft w:val="0"/>
                      <w:marRight w:val="0"/>
                      <w:marTop w:val="0"/>
                      <w:marBottom w:val="0"/>
                      <w:divBdr>
                        <w:top w:val="none" w:sz="0" w:space="0" w:color="auto"/>
                        <w:left w:val="none" w:sz="0" w:space="0" w:color="auto"/>
                        <w:bottom w:val="none" w:sz="0" w:space="0" w:color="auto"/>
                        <w:right w:val="none" w:sz="0" w:space="0" w:color="auto"/>
                      </w:divBdr>
                    </w:div>
                    <w:div w:id="1236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890309">
      <w:bodyDiv w:val="1"/>
      <w:marLeft w:val="0"/>
      <w:marRight w:val="0"/>
      <w:marTop w:val="0"/>
      <w:marBottom w:val="0"/>
      <w:divBdr>
        <w:top w:val="none" w:sz="0" w:space="0" w:color="auto"/>
        <w:left w:val="none" w:sz="0" w:space="0" w:color="auto"/>
        <w:bottom w:val="none" w:sz="0" w:space="0" w:color="auto"/>
        <w:right w:val="none" w:sz="0" w:space="0" w:color="auto"/>
      </w:divBdr>
    </w:div>
    <w:div w:id="2111316744">
      <w:bodyDiv w:val="1"/>
      <w:marLeft w:val="0"/>
      <w:marRight w:val="0"/>
      <w:marTop w:val="0"/>
      <w:marBottom w:val="0"/>
      <w:divBdr>
        <w:top w:val="none" w:sz="0" w:space="0" w:color="auto"/>
        <w:left w:val="none" w:sz="0" w:space="0" w:color="auto"/>
        <w:bottom w:val="none" w:sz="0" w:space="0" w:color="auto"/>
        <w:right w:val="none" w:sz="0" w:space="0" w:color="auto"/>
      </w:divBdr>
    </w:div>
    <w:div w:id="2121995897">
      <w:bodyDiv w:val="1"/>
      <w:marLeft w:val="0"/>
      <w:marRight w:val="0"/>
      <w:marTop w:val="0"/>
      <w:marBottom w:val="0"/>
      <w:divBdr>
        <w:top w:val="none" w:sz="0" w:space="0" w:color="auto"/>
        <w:left w:val="none" w:sz="0" w:space="0" w:color="auto"/>
        <w:bottom w:val="none" w:sz="0" w:space="0" w:color="auto"/>
        <w:right w:val="none" w:sz="0" w:space="0" w:color="auto"/>
      </w:divBdr>
    </w:div>
    <w:div w:id="2135365059">
      <w:bodyDiv w:val="1"/>
      <w:marLeft w:val="0"/>
      <w:marRight w:val="0"/>
      <w:marTop w:val="0"/>
      <w:marBottom w:val="0"/>
      <w:divBdr>
        <w:top w:val="none" w:sz="0" w:space="0" w:color="auto"/>
        <w:left w:val="none" w:sz="0" w:space="0" w:color="auto"/>
        <w:bottom w:val="none" w:sz="0" w:space="0" w:color="auto"/>
        <w:right w:val="none" w:sz="0" w:space="0" w:color="auto"/>
      </w:divBdr>
      <w:divsChild>
        <w:div w:id="1035886597">
          <w:marLeft w:val="0"/>
          <w:marRight w:val="0"/>
          <w:marTop w:val="0"/>
          <w:marBottom w:val="0"/>
          <w:divBdr>
            <w:top w:val="none" w:sz="0" w:space="0" w:color="auto"/>
            <w:left w:val="none" w:sz="0" w:space="0" w:color="auto"/>
            <w:bottom w:val="none" w:sz="0" w:space="0" w:color="auto"/>
            <w:right w:val="none" w:sz="0" w:space="0" w:color="auto"/>
          </w:divBdr>
          <w:divsChild>
            <w:div w:id="1046636189">
              <w:marLeft w:val="0"/>
              <w:marRight w:val="0"/>
              <w:marTop w:val="0"/>
              <w:marBottom w:val="0"/>
              <w:divBdr>
                <w:top w:val="none" w:sz="0" w:space="0" w:color="auto"/>
                <w:left w:val="none" w:sz="0" w:space="0" w:color="auto"/>
                <w:bottom w:val="none" w:sz="0" w:space="0" w:color="auto"/>
                <w:right w:val="none" w:sz="0" w:space="0" w:color="auto"/>
              </w:divBdr>
            </w:div>
            <w:div w:id="853149191">
              <w:marLeft w:val="0"/>
              <w:marRight w:val="0"/>
              <w:marTop w:val="0"/>
              <w:marBottom w:val="0"/>
              <w:divBdr>
                <w:top w:val="none" w:sz="0" w:space="0" w:color="auto"/>
                <w:left w:val="none" w:sz="0" w:space="0" w:color="auto"/>
                <w:bottom w:val="none" w:sz="0" w:space="0" w:color="auto"/>
                <w:right w:val="none" w:sz="0" w:space="0" w:color="auto"/>
              </w:divBdr>
            </w:div>
          </w:divsChild>
        </w:div>
        <w:div w:id="707418432">
          <w:marLeft w:val="0"/>
          <w:marRight w:val="0"/>
          <w:marTop w:val="0"/>
          <w:marBottom w:val="0"/>
          <w:divBdr>
            <w:top w:val="none" w:sz="0" w:space="0" w:color="auto"/>
            <w:left w:val="none" w:sz="0" w:space="0" w:color="auto"/>
            <w:bottom w:val="none" w:sz="0" w:space="0" w:color="auto"/>
            <w:right w:val="none" w:sz="0" w:space="0" w:color="auto"/>
          </w:divBdr>
          <w:divsChild>
            <w:div w:id="1288779288">
              <w:marLeft w:val="0"/>
              <w:marRight w:val="0"/>
              <w:marTop w:val="0"/>
              <w:marBottom w:val="0"/>
              <w:divBdr>
                <w:top w:val="none" w:sz="0" w:space="0" w:color="auto"/>
                <w:left w:val="none" w:sz="0" w:space="0" w:color="auto"/>
                <w:bottom w:val="none" w:sz="0" w:space="0" w:color="auto"/>
                <w:right w:val="none" w:sz="0" w:space="0" w:color="auto"/>
              </w:divBdr>
            </w:div>
            <w:div w:id="129749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hart" Target="charts/chart1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maciag\Desktop\saldo%20wymiany%20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osp-pliki\RS\PW\WM\Rynek%20Mocy\1.%20Koncepcja%20i%20ustawa\Przegl&#261;d%20rynku%20mocy\weryfikacja_TB_DB.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osp-pliki\RS\PW\WM\Rynek%20Mocy\1.%20Koncepcja%20i%20ustawa\Przegl&#261;d%20rynku%20mocy\weryfikacja_TB_DB.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01.mos.gov.pl\del\DEL-WRE\Rynek%20Mocy\Dane\Przebieg%20aukcji\Przebieg%20aukcji%20g&#322;&#243;wnej\Kopia%20pliku%20Kopia%20pliku%20Kopia%20pliku%20Wyniki_aukcji_v4_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osp-pliki\RS\PW\WM\Rynek%20Mocy\1.%20Koncepcja%20i%20ustawa\Przegl&#261;d%20rynku%20mocy\weryfikacja_TB_DB.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osp-pliki\RS\PW\WM\Rynek%20Mocy\1.%20Koncepcja%20i%20ustawa\Przegl&#261;d%20rynku%20mocy\weryfikacja_TB_DB.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fs01.mos.gov.pl\del\DEL-WRE\Ocena%20Funkcjonowania%20Rynku%20Energii%20Elektrycznej\Ocena%20funkcjonowania%20rynku%20mocy\Ocena%20funkcjonowania%20rynku%20mocy\Przegl&#261;d%20rynku%20moc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01.mos.gov.pl\del\DEL-WRE\Rynek%20Mocy\Dane\Przebieg%20aukcji\Przebieg%20aukcji%20g&#322;&#243;wnej\Kopia%20pliku%20Kopia%20pliku%20Kopia%20pliku%20Wyniki_aukcji_v4_1.xls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01.mos.gov.pl\del\DEL-WRE\Ocena%20Funkcjonowania%20Rynku%20Energii%20Elektrycznej\Ocena%20funkcjonowania%20rynku%20mocy\Ocena%20funkcjonowania%20rynku%20mocy\Przegl&#261;d%20rynku%20moc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osp-pliki\RS\PW\WM\Rynek%20Mocy\1.%20Koncepcja%20i%20ustawa\Przegl&#261;d%20rynku%20mocy\weryfikacja_TB_D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01.mos.gov.pl\del\DEL-WRE\Rynek%20Mocy\Dane\Przebieg%20aukcji\Przebieg%20aukcji%20g&#322;&#243;wnej\Wyniki_aukcji_v4_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maciag\AppData\Roaming\Microsoft\Excel\Przegl&#261;d%20rynku%20mocy%20(version%202).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01.mos.gov.pl\del\DEL-WRE\Rynek%20Mocy\Dane\Przebieg%20aukcji\Przebieg%20aukcji%20g&#322;&#243;wnej\Kopia%20pliku%20Kopia%20pliku%20Kopia%20pliku%20Wyniki_aukcji_v4_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osp-pliki\RS\PW\WM\Rynek%20Mocy\1.%20Koncepcja%20i%20ustawa\Przegl&#261;d%20rynku%20mocy\weryfikacja_TB_D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'Saldo wymiany'!$D$24</c:f>
              <c:strCache>
                <c:ptCount val="1"/>
                <c:pt idx="0">
                  <c:v>Saldo</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'Saldo wymiany'!$A$49:$A$58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'Saldo wymiany'!$E$49:$E$58</c:f>
              <c:numCache>
                <c:formatCode>0.0</c:formatCode>
                <c:ptCount val="10"/>
                <c:pt idx="0">
                  <c:v>2.166798</c:v>
                </c:pt>
                <c:pt idx="1">
                  <c:v>-0.33354499999999998</c:v>
                </c:pt>
                <c:pt idx="2">
                  <c:v>1.99878</c:v>
                </c:pt>
                <c:pt idx="3">
                  <c:v>2.2867109999999999</c:v>
                </c:pt>
                <c:pt idx="4">
                  <c:v>5.7178890000000004</c:v>
                </c:pt>
                <c:pt idx="5">
                  <c:v>10.623714</c:v>
                </c:pt>
                <c:pt idx="6">
                  <c:v>13.223952000000001</c:v>
                </c:pt>
                <c:pt idx="7">
                  <c:v>0.81952100000000005</c:v>
                </c:pt>
                <c:pt idx="8">
                  <c:v>-1.67869</c:v>
                </c:pt>
                <c:pt idx="9">
                  <c:v>3.8894609999999998</c:v>
                </c:pt>
              </c:numCache>
            </c:numRef>
          </c:val>
          <c:smooth val="0"/>
          <c:extLst>
            <c:ext xmlns:c16="http://schemas.microsoft.com/office/drawing/2014/chart" uri="{C3380CC4-5D6E-409C-BE32-E72D297353CC}">
              <c16:uniqueId val="{00000000-C4B0-44B4-9F10-C234C7D723D0}"/>
            </c:ext>
          </c:extLst>
        </c:ser>
        <c:dLbls>
          <c:dLblPos val="t"/>
          <c:showLegendKey val="0"/>
          <c:showVal val="1"/>
          <c:showCatName val="0"/>
          <c:showSerName val="0"/>
          <c:showPercent val="0"/>
          <c:showBubbleSize val="0"/>
        </c:dLbls>
        <c:smooth val="0"/>
        <c:axId val="289818607"/>
        <c:axId val="289828687"/>
      </c:lineChart>
      <c:catAx>
        <c:axId val="28981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9828687"/>
        <c:crossesAt val="-14"/>
        <c:auto val="1"/>
        <c:lblAlgn val="ctr"/>
        <c:lblOffset val="100"/>
        <c:noMultiLvlLbl val="0"/>
      </c:catAx>
      <c:valAx>
        <c:axId val="2898286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9818607"/>
        <c:crossesAt val="1"/>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'Niewykonanie i nadwyżka'!$Q$2</c:f>
              <c:strCache>
                <c:ptCount val="1"/>
                <c:pt idx="0">
                  <c:v>Wielkość nadwyżki wykonania obowiązku mocowego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'Niewykonanie i nadwyżka'!$P$3:$P$4</c:f>
              <c:strCache>
                <c:ptCount val="2"/>
                <c:pt idx="0">
                  <c:v>19:00 - 20:00</c:v>
                </c:pt>
                <c:pt idx="1">
                  <c:v>20:00 - 21:00</c:v>
                </c:pt>
              </c:strCache>
            </c:strRef>
          </c:cat>
          <c:val>
            <c:numRef>
              <c:f>'Niewykonanie i nadwyżka'!$Q$3:$Q$4</c:f>
              <c:numCache>
                <c:formatCode>_(* #,##0.00_);_(* \(#,##0.00\);_(* "-"??_);_(@_)</c:formatCode>
                <c:ptCount val="2"/>
                <c:pt idx="0">
                  <c:v>4706.645999999997</c:v>
                </c:pt>
                <c:pt idx="1">
                  <c:v>4914.5800000000036</c:v>
                </c:pt>
              </c:numCache>
            </c:numRef>
          </c:val>
          <c:extLst>
            <c:ext xmlns:c16="http://schemas.microsoft.com/office/drawing/2014/chart" uri="{C3380CC4-5D6E-409C-BE32-E72D297353CC}">
              <c16:uniqueId val="{00000000-ABC3-40CE-93EC-475F992527C4}"/>
            </c:ext>
          </c:extLst>
        </c:ser>
        <c:ser>
          <c:idx val="1"/>
          <c:order val="1"/>
          <c:tx>
            <c:strRef>
              <c:f>'Niewykonanie i nadwyżka'!$R$2</c:f>
              <c:strCache>
                <c:ptCount val="1"/>
                <c:pt idx="0">
                  <c:v>Wielkość niewykonania obowiązku mocowego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'Niewykonanie i nadwyżka'!$P$3:$P$4</c:f>
              <c:strCache>
                <c:ptCount val="2"/>
                <c:pt idx="0">
                  <c:v>19:00 - 20:00</c:v>
                </c:pt>
                <c:pt idx="1">
                  <c:v>20:00 - 21:00</c:v>
                </c:pt>
              </c:strCache>
            </c:strRef>
          </c:cat>
          <c:val>
            <c:numRef>
              <c:f>'Niewykonanie i nadwyżka'!$R$3:$R$4</c:f>
              <c:numCache>
                <c:formatCode>_(* #,##0.00_);_(* \(#,##0.00\);_(* "-"??_);_(@_)</c:formatCode>
                <c:ptCount val="2"/>
                <c:pt idx="0">
                  <c:v>1934.46</c:v>
                </c:pt>
                <c:pt idx="1">
                  <c:v>1731.8610000000001</c:v>
                </c:pt>
              </c:numCache>
            </c:numRef>
          </c:val>
          <c:extLst>
            <c:ext xmlns:c16="http://schemas.microsoft.com/office/drawing/2014/chart" uri="{C3380CC4-5D6E-409C-BE32-E72D297353CC}">
              <c16:uniqueId val="{00000001-ABC3-40CE-93EC-475F992527C4}"/>
            </c:ext>
          </c:extLst>
        </c:ser>
        <c:dLbls>
          <c:dLblPos val="outEnd"/>
          <c:showLegendKey val="0"/>
          <c:showVal val="1"/>
          <c:showCatName val="0"/>
          <c:showSerName val="0"/>
          <c:showPercent val="0"/>
          <c:showBubbleSize val="0"/>
        </c:dLbls>
        <c:gapWidth val="219"/>
        <c:overlap val="-27"/>
        <c:axId val="546496728"/>
        <c:axId val="546490608"/>
      </c:barChart>
      <c:catAx>
        <c:axId val="546496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pl-PL"/>
          </a:p>
        </c:txPr>
        <c:crossAx val="546490608"/>
        <c:crosses val="autoZero"/>
        <c:auto val="1"/>
        <c:lblAlgn val="ctr"/>
        <c:lblOffset val="100"/>
        <c:noMultiLvlLbl val="0"/>
      </c:catAx>
      <c:valAx>
        <c:axId val="54649060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46496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4156646902048"/>
          <c:y val="5.1842844743436596E-2"/>
          <c:w val="0.88313606333938133"/>
          <c:h val="0.60451231474853517"/>
        </c:manualLayout>
      </c:layout>
      <c:barChart>
        <c:barDir val="col"/>
        <c:grouping val="clustered"/>
        <c:varyColors val="0"/>
        <c:ser>
          <c:idx val="0"/>
          <c:order val="0"/>
          <c:tx>
            <c:strRef>
              <c:f>Arkusz7!$A$18</c:f>
              <c:strCache>
                <c:ptCount val="1"/>
                <c:pt idx="0">
                  <c:v>Aukcje główne</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Arkusz7!$B$3:$Y$3</c:f>
              <c:strCach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strCache>
            </c:strRef>
          </c:cat>
          <c:val>
            <c:numRef>
              <c:f>Arkusz7!$B$18:$Y$18</c:f>
              <c:numCache>
                <c:formatCode>_-* #\ ##0_-;\-* #\ ##0_-;_-* "-"??_-;_-@_-</c:formatCode>
                <c:ptCount val="24"/>
                <c:pt idx="0">
                  <c:v>5177.4921446699991</c:v>
                </c:pt>
                <c:pt idx="1">
                  <c:v>4982.2634568214207</c:v>
                </c:pt>
                <c:pt idx="2">
                  <c:v>5053.8623839725933</c:v>
                </c:pt>
                <c:pt idx="3">
                  <c:v>5764.2021758753663</c:v>
                </c:pt>
                <c:pt idx="4">
                  <c:v>5754.7608206953655</c:v>
                </c:pt>
                <c:pt idx="5">
                  <c:v>5712.8917887150228</c:v>
                </c:pt>
                <c:pt idx="6">
                  <c:v>5990.5481776538772</c:v>
                </c:pt>
                <c:pt idx="7">
                  <c:v>5942.0087705447695</c:v>
                </c:pt>
                <c:pt idx="8">
                  <c:v>4969.218135734769</c:v>
                </c:pt>
                <c:pt idx="9">
                  <c:v>3742.7608949347687</c:v>
                </c:pt>
                <c:pt idx="10">
                  <c:v>3647.9556412747688</c:v>
                </c:pt>
                <c:pt idx="11">
                  <c:v>3565.0073547747688</c:v>
                </c:pt>
                <c:pt idx="12">
                  <c:v>3350.3038227347688</c:v>
                </c:pt>
                <c:pt idx="13">
                  <c:v>3262.5326730847692</c:v>
                </c:pt>
                <c:pt idx="14">
                  <c:v>3262.5326730847692</c:v>
                </c:pt>
                <c:pt idx="15">
                  <c:v>2085.3316916466142</c:v>
                </c:pt>
                <c:pt idx="16">
                  <c:v>2085.3316916466142</c:v>
                </c:pt>
                <c:pt idx="17">
                  <c:v>2061.4808190999997</c:v>
                </c:pt>
                <c:pt idx="18">
                  <c:v>2044.5892690999999</c:v>
                </c:pt>
                <c:pt idx="19">
                  <c:v>2043.7499095000001</c:v>
                </c:pt>
                <c:pt idx="20">
                  <c:v>1686.36265252</c:v>
                </c:pt>
                <c:pt idx="21">
                  <c:v>1686.36265252</c:v>
                </c:pt>
                <c:pt idx="22">
                  <c:v>883.96988160000001</c:v>
                </c:pt>
                <c:pt idx="23">
                  <c:v>424.64484479999999</c:v>
                </c:pt>
              </c:numCache>
            </c:numRef>
          </c:val>
          <c:extLst>
            <c:ext xmlns:c16="http://schemas.microsoft.com/office/drawing/2014/chart" uri="{C3380CC4-5D6E-409C-BE32-E72D297353CC}">
              <c16:uniqueId val="{00000000-A421-4A65-BAC0-65957894B9DB}"/>
            </c:ext>
          </c:extLst>
        </c:ser>
        <c:ser>
          <c:idx val="1"/>
          <c:order val="1"/>
          <c:tx>
            <c:strRef>
              <c:f>Arkusz7!$A$19</c:f>
              <c:strCache>
                <c:ptCount val="1"/>
                <c:pt idx="0">
                  <c:v>Aukcje dodatkowe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Arkusz7!$B$19:$Y$19</c:f>
              <c:numCache>
                <c:formatCode>_-* #\ ##0_-;\-* #\ ##0_-;_-* "-"??_-;_-@_-</c:formatCode>
                <c:ptCount val="24"/>
                <c:pt idx="0">
                  <c:v>139.92760390250001</c:v>
                </c:pt>
                <c:pt idx="1">
                  <c:v>160.16799797000002</c:v>
                </c:pt>
                <c:pt idx="2">
                  <c:v>262.3072143</c:v>
                </c:pt>
                <c:pt idx="3">
                  <c:v>440.72321431249986</c:v>
                </c:pt>
                <c:pt idx="4">
                  <c:v>401.12141152750002</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1-A421-4A65-BAC0-65957894B9DB}"/>
            </c:ext>
          </c:extLst>
        </c:ser>
        <c:dLbls>
          <c:dLblPos val="outEnd"/>
          <c:showLegendKey val="0"/>
          <c:showVal val="1"/>
          <c:showCatName val="0"/>
          <c:showSerName val="0"/>
          <c:showPercent val="0"/>
          <c:showBubbleSize val="0"/>
        </c:dLbls>
        <c:gapWidth val="0"/>
        <c:overlap val="-9"/>
        <c:axId val="543155776"/>
        <c:axId val="343336296"/>
      </c:barChart>
      <c:catAx>
        <c:axId val="54315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pl-PL"/>
          </a:p>
        </c:txPr>
        <c:crossAx val="343336296"/>
        <c:crosses val="autoZero"/>
        <c:auto val="1"/>
        <c:lblAlgn val="ctr"/>
        <c:lblOffset val="100"/>
        <c:noMultiLvlLbl val="0"/>
      </c:catAx>
      <c:valAx>
        <c:axId val="343336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900"/>
                  <a:t>mln zł</a:t>
                </a:r>
              </a:p>
            </c:rich>
          </c:tx>
          <c:layout>
            <c:manualLayout>
              <c:xMode val="edge"/>
              <c:yMode val="edge"/>
              <c:x val="0"/>
              <c:y val="0.276082787631344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43155776"/>
        <c:crosses val="autoZero"/>
        <c:crossBetween val="between"/>
      </c:valAx>
      <c:spPr>
        <a:noFill/>
        <a:ln>
          <a:noFill/>
        </a:ln>
        <a:effectLst/>
      </c:spPr>
    </c:plotArea>
    <c:legend>
      <c:legendPos val="r"/>
      <c:layout>
        <c:manualLayout>
          <c:xMode val="edge"/>
          <c:yMode val="edge"/>
          <c:x val="0.38626704255588024"/>
          <c:y val="0.75944351653013076"/>
          <c:w val="0.21534364376436305"/>
          <c:h val="0.2012747775214966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5"/>
          <c:order val="0"/>
          <c:tx>
            <c:strRef>
              <c:f>Arkusz3!$G$162</c:f>
              <c:strCache>
                <c:ptCount val="1"/>
                <c:pt idx="0">
                  <c:v>Węgiel kamienny</c:v>
                </c:pt>
              </c:strCache>
            </c:strRef>
          </c:tx>
          <c:spPr>
            <a:solidFill>
              <a:schemeClr val="accent6"/>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Arkusz3!$G$163:$G$186</c:f>
              <c:numCache>
                <c:formatCode>0.00</c:formatCode>
                <c:ptCount val="24"/>
                <c:pt idx="0">
                  <c:v>2.8428666415999997</c:v>
                </c:pt>
                <c:pt idx="1">
                  <c:v>2.9326643110399999</c:v>
                </c:pt>
                <c:pt idx="2">
                  <c:v>2.7500366242599994</c:v>
                </c:pt>
                <c:pt idx="3">
                  <c:v>2.6276651118699998</c:v>
                </c:pt>
                <c:pt idx="4">
                  <c:v>2.5160795325699992</c:v>
                </c:pt>
                <c:pt idx="5">
                  <c:v>1.2968529867299998</c:v>
                </c:pt>
                <c:pt idx="6">
                  <c:v>1.2730929867299998</c:v>
                </c:pt>
                <c:pt idx="7">
                  <c:v>1.2279128267299999</c:v>
                </c:pt>
                <c:pt idx="8">
                  <c:v>0.88063789106000001</c:v>
                </c:pt>
                <c:pt idx="9">
                  <c:v>0.88063789106000001</c:v>
                </c:pt>
                <c:pt idx="10">
                  <c:v>0.78815587519999997</c:v>
                </c:pt>
                <c:pt idx="11">
                  <c:v>0.78815587519999997</c:v>
                </c:pt>
                <c:pt idx="12">
                  <c:v>0.78815587519999997</c:v>
                </c:pt>
                <c:pt idx="13">
                  <c:v>0.78815587519999997</c:v>
                </c:pt>
                <c:pt idx="14">
                  <c:v>0.78815587519999997</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0-9A94-49A1-A873-1CF5340FE90B}"/>
            </c:ext>
          </c:extLst>
        </c:ser>
        <c:ser>
          <c:idx val="8"/>
          <c:order val="1"/>
          <c:tx>
            <c:strRef>
              <c:f>Arkusz3!$J$162</c:f>
              <c:strCache>
                <c:ptCount val="1"/>
                <c:pt idx="0">
                  <c:v>Węgiel brunatny</c:v>
                </c:pt>
              </c:strCache>
            </c:strRef>
          </c:tx>
          <c:spPr>
            <a:solidFill>
              <a:schemeClr val="accent3">
                <a:lumMod val="60000"/>
              </a:schemeClr>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Arkusz3!$J$163:$J$186</c:f>
              <c:numCache>
                <c:formatCode>0.00</c:formatCode>
                <c:ptCount val="24"/>
                <c:pt idx="0">
                  <c:v>1.40869431808</c:v>
                </c:pt>
                <c:pt idx="1">
                  <c:v>1.0962761568799999</c:v>
                </c:pt>
                <c:pt idx="2">
                  <c:v>1.4383864368100001</c:v>
                </c:pt>
                <c:pt idx="3">
                  <c:v>1.41654876602</c:v>
                </c:pt>
                <c:pt idx="4">
                  <c:v>1.2637452060200001</c:v>
                </c:pt>
                <c:pt idx="5">
                  <c:v>0.74787189082000005</c:v>
                </c:pt>
                <c:pt idx="6">
                  <c:v>0.74787189082000005</c:v>
                </c:pt>
                <c:pt idx="7">
                  <c:v>0.74787189082000005</c:v>
                </c:pt>
                <c:pt idx="8">
                  <c:v>9.8554991679999995E-2</c:v>
                </c:pt>
                <c:pt idx="9">
                  <c:v>9.8554991679999995E-2</c:v>
                </c:pt>
                <c:pt idx="10">
                  <c:v>9.8554991679999995E-2</c:v>
                </c:pt>
                <c:pt idx="11">
                  <c:v>9.8554991679999995E-2</c:v>
                </c:pt>
                <c:pt idx="12">
                  <c:v>9.8554991679999995E-2</c:v>
                </c:pt>
                <c:pt idx="13">
                  <c:v>9.8554991679999995E-2</c:v>
                </c:pt>
                <c:pt idx="14">
                  <c:v>9.8554991679999995E-2</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1-9A94-49A1-A873-1CF5340FE90B}"/>
            </c:ext>
          </c:extLst>
        </c:ser>
        <c:ser>
          <c:idx val="4"/>
          <c:order val="2"/>
          <c:tx>
            <c:strRef>
              <c:f>Arkusz3!$F$162</c:f>
              <c:strCache>
                <c:ptCount val="1"/>
                <c:pt idx="0">
                  <c:v>Gaz</c:v>
                </c:pt>
              </c:strCache>
            </c:strRef>
          </c:tx>
          <c:spPr>
            <a:solidFill>
              <a:schemeClr val="accent5"/>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Arkusz3!$F$163:$F$186</c:f>
              <c:numCache>
                <c:formatCode>0.00</c:formatCode>
                <c:ptCount val="24"/>
                <c:pt idx="0">
                  <c:v>0.55800573696</c:v>
                </c:pt>
                <c:pt idx="1">
                  <c:v>0.54968629047999995</c:v>
                </c:pt>
                <c:pt idx="2">
                  <c:v>0.41905031990999997</c:v>
                </c:pt>
                <c:pt idx="3">
                  <c:v>0.82028212968999992</c:v>
                </c:pt>
                <c:pt idx="4">
                  <c:v>0.81692647525999995</c:v>
                </c:pt>
                <c:pt idx="5">
                  <c:v>1.82556440538</c:v>
                </c:pt>
                <c:pt idx="6">
                  <c:v>1.34031603406</c:v>
                </c:pt>
                <c:pt idx="7">
                  <c:v>2.1588206191400001</c:v>
                </c:pt>
                <c:pt idx="8">
                  <c:v>1.9585316031400002</c:v>
                </c:pt>
                <c:pt idx="9">
                  <c:v>1.9585316031400002</c:v>
                </c:pt>
                <c:pt idx="10">
                  <c:v>1.9585316031400002</c:v>
                </c:pt>
                <c:pt idx="11">
                  <c:v>1.9305990431400002</c:v>
                </c:pt>
                <c:pt idx="12">
                  <c:v>1.73609419554</c:v>
                </c:pt>
                <c:pt idx="13">
                  <c:v>1.73609419554</c:v>
                </c:pt>
                <c:pt idx="14">
                  <c:v>1.72048794304</c:v>
                </c:pt>
                <c:pt idx="15">
                  <c:v>1.72048794304</c:v>
                </c:pt>
                <c:pt idx="16">
                  <c:v>1.72048794304</c:v>
                </c:pt>
                <c:pt idx="17">
                  <c:v>1.61523835712</c:v>
                </c:pt>
                <c:pt idx="18">
                  <c:v>1.59834680712</c:v>
                </c:pt>
                <c:pt idx="19">
                  <c:v>1.59834680712</c:v>
                </c:pt>
                <c:pt idx="20">
                  <c:v>1.25135435014</c:v>
                </c:pt>
                <c:pt idx="21">
                  <c:v>1.25135435014</c:v>
                </c:pt>
                <c:pt idx="22">
                  <c:v>0.39398883300000004</c:v>
                </c:pt>
                <c:pt idx="23">
                  <c:v>0</c:v>
                </c:pt>
              </c:numCache>
            </c:numRef>
          </c:val>
          <c:extLst>
            <c:ext xmlns:c16="http://schemas.microsoft.com/office/drawing/2014/chart" uri="{C3380CC4-5D6E-409C-BE32-E72D297353CC}">
              <c16:uniqueId val="{00000002-9A94-49A1-A873-1CF5340FE90B}"/>
            </c:ext>
          </c:extLst>
        </c:ser>
        <c:ser>
          <c:idx val="1"/>
          <c:order val="3"/>
          <c:tx>
            <c:strRef>
              <c:f>Arkusz3!$C$162</c:f>
              <c:strCache>
                <c:ptCount val="1"/>
                <c:pt idx="0">
                  <c:v>Współspalanie biomasy</c:v>
                </c:pt>
              </c:strCache>
            </c:strRef>
          </c:tx>
          <c:spPr>
            <a:solidFill>
              <a:schemeClr val="accent2"/>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Arkusz3!$C$163:$C$186</c:f>
              <c:numCache>
                <c:formatCode>0.00</c:formatCode>
                <c:ptCount val="24"/>
                <c:pt idx="0">
                  <c:v>0</c:v>
                </c:pt>
                <c:pt idx="1">
                  <c:v>0</c:v>
                </c:pt>
                <c:pt idx="2">
                  <c:v>0</c:v>
                </c:pt>
                <c:pt idx="3">
                  <c:v>0</c:v>
                </c:pt>
                <c:pt idx="4">
                  <c:v>0</c:v>
                </c:pt>
                <c:pt idx="5">
                  <c:v>0.45631167052000005</c:v>
                </c:pt>
                <c:pt idx="6">
                  <c:v>0.4903718022000001</c:v>
                </c:pt>
                <c:pt idx="7">
                  <c:v>0.38119075219999998</c:v>
                </c:pt>
                <c:pt idx="8">
                  <c:v>7.8739252199999998E-2</c:v>
                </c:pt>
                <c:pt idx="9">
                  <c:v>7.8739252199999998E-2</c:v>
                </c:pt>
                <c:pt idx="10">
                  <c:v>7.8739252199999998E-2</c:v>
                </c:pt>
                <c:pt idx="11">
                  <c:v>2.3723525700000001E-2</c:v>
                </c:pt>
                <c:pt idx="12">
                  <c:v>2.3723525700000001E-2</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3-9A94-49A1-A873-1CF5340FE90B}"/>
            </c:ext>
          </c:extLst>
        </c:ser>
        <c:ser>
          <c:idx val="0"/>
          <c:order val="4"/>
          <c:tx>
            <c:strRef>
              <c:f>Arkusz3!$B$162</c:f>
              <c:strCache>
                <c:ptCount val="1"/>
                <c:pt idx="0">
                  <c:v>Magazyny elektrochemiczne</c:v>
                </c:pt>
              </c:strCache>
            </c:strRef>
          </c:tx>
          <c:spPr>
            <a:solidFill>
              <a:schemeClr val="accent1"/>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Arkusz3!$B$163:$B$186</c:f>
              <c:numCache>
                <c:formatCode>0.00</c:formatCode>
                <c:ptCount val="24"/>
                <c:pt idx="0">
                  <c:v>0</c:v>
                </c:pt>
                <c:pt idx="1">
                  <c:v>0</c:v>
                </c:pt>
                <c:pt idx="2">
                  <c:v>0</c:v>
                </c:pt>
                <c:pt idx="3">
                  <c:v>0</c:v>
                </c:pt>
                <c:pt idx="4">
                  <c:v>0</c:v>
                </c:pt>
                <c:pt idx="5">
                  <c:v>0</c:v>
                </c:pt>
                <c:pt idx="6">
                  <c:v>6.6876270300000012E-2</c:v>
                </c:pt>
                <c:pt idx="7">
                  <c:v>0.49152111510000002</c:v>
                </c:pt>
                <c:pt idx="8">
                  <c:v>0.49152111510000002</c:v>
                </c:pt>
                <c:pt idx="9">
                  <c:v>0.49152111510000002</c:v>
                </c:pt>
                <c:pt idx="10">
                  <c:v>0.49152111510000002</c:v>
                </c:pt>
                <c:pt idx="11">
                  <c:v>0.49152111510000002</c:v>
                </c:pt>
                <c:pt idx="12">
                  <c:v>0.49152111510000002</c:v>
                </c:pt>
                <c:pt idx="13">
                  <c:v>0.48998104860000002</c:v>
                </c:pt>
                <c:pt idx="14">
                  <c:v>0.48998104860000002</c:v>
                </c:pt>
                <c:pt idx="15">
                  <c:v>0.48998104860000002</c:v>
                </c:pt>
                <c:pt idx="16">
                  <c:v>0.48998104860000002</c:v>
                </c:pt>
                <c:pt idx="17">
                  <c:v>0.48998104860000002</c:v>
                </c:pt>
                <c:pt idx="18">
                  <c:v>0.48998104860000002</c:v>
                </c:pt>
                <c:pt idx="19">
                  <c:v>0.48998104860000002</c:v>
                </c:pt>
                <c:pt idx="20">
                  <c:v>0.48998104860000002</c:v>
                </c:pt>
                <c:pt idx="21">
                  <c:v>0.48998104860000002</c:v>
                </c:pt>
                <c:pt idx="22">
                  <c:v>0.48998104860000002</c:v>
                </c:pt>
                <c:pt idx="23">
                  <c:v>0.42464484480000003</c:v>
                </c:pt>
              </c:numCache>
            </c:numRef>
          </c:val>
          <c:extLst>
            <c:ext xmlns:c16="http://schemas.microsoft.com/office/drawing/2014/chart" uri="{C3380CC4-5D6E-409C-BE32-E72D297353CC}">
              <c16:uniqueId val="{00000004-9A94-49A1-A873-1CF5340FE90B}"/>
            </c:ext>
          </c:extLst>
        </c:ser>
        <c:ser>
          <c:idx val="2"/>
          <c:order val="5"/>
          <c:tx>
            <c:strRef>
              <c:f>Arkusz3!$D$162</c:f>
              <c:strCache>
                <c:ptCount val="1"/>
                <c:pt idx="0">
                  <c:v>DSR</c:v>
                </c:pt>
              </c:strCache>
            </c:strRef>
          </c:tx>
          <c:spPr>
            <a:solidFill>
              <a:schemeClr val="accent3"/>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Arkusz3!$D$163:$D$186</c:f>
              <c:numCache>
                <c:formatCode>0.00</c:formatCode>
                <c:ptCount val="24"/>
                <c:pt idx="0">
                  <c:v>0.14770067200000001</c:v>
                </c:pt>
                <c:pt idx="1">
                  <c:v>0.15187959999999998</c:v>
                </c:pt>
                <c:pt idx="2">
                  <c:v>0.16275668999999998</c:v>
                </c:pt>
                <c:pt idx="3">
                  <c:v>0.26959782999999998</c:v>
                </c:pt>
                <c:pt idx="4">
                  <c:v>0.16622624999999999</c:v>
                </c:pt>
                <c:pt idx="5">
                  <c:v>0.60317655999999997</c:v>
                </c:pt>
                <c:pt idx="6">
                  <c:v>0.62537264999999997</c:v>
                </c:pt>
                <c:pt idx="7">
                  <c:v>0.24012444999999999</c:v>
                </c:pt>
                <c:pt idx="8">
                  <c:v>4.8979999999999996E-3</c:v>
                </c:pt>
                <c:pt idx="9">
                  <c:v>4.8979999999999996E-3</c:v>
                </c:pt>
                <c:pt idx="10">
                  <c:v>4.8979999999999996E-3</c:v>
                </c:pt>
                <c:pt idx="11">
                  <c:v>4.8979999999999996E-3</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5-9A94-49A1-A873-1CF5340FE90B}"/>
            </c:ext>
          </c:extLst>
        </c:ser>
        <c:ser>
          <c:idx val="3"/>
          <c:order val="6"/>
          <c:tx>
            <c:strRef>
              <c:f>Arkusz3!$E$162</c:f>
              <c:strCache>
                <c:ptCount val="1"/>
                <c:pt idx="0">
                  <c:v>ESP</c:v>
                </c:pt>
              </c:strCache>
            </c:strRef>
          </c:tx>
          <c:spPr>
            <a:solidFill>
              <a:schemeClr val="accent4"/>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Arkusz3!$E$163:$E$186</c:f>
              <c:numCache>
                <c:formatCode>0.00</c:formatCode>
                <c:ptCount val="24"/>
                <c:pt idx="0">
                  <c:v>0.38003748191999998</c:v>
                </c:pt>
                <c:pt idx="1">
                  <c:v>0.31540595471999999</c:v>
                </c:pt>
                <c:pt idx="2">
                  <c:v>0.19423729124000003</c:v>
                </c:pt>
                <c:pt idx="3">
                  <c:v>7.2978179820000003E-2</c:v>
                </c:pt>
                <c:pt idx="4">
                  <c:v>5.290040092E-2</c:v>
                </c:pt>
                <c:pt idx="5">
                  <c:v>0.43542822315999996</c:v>
                </c:pt>
                <c:pt idx="6">
                  <c:v>0.22740201807999999</c:v>
                </c:pt>
                <c:pt idx="7">
                  <c:v>0.30328078471000008</c:v>
                </c:pt>
                <c:pt idx="8">
                  <c:v>0.12767230091000001</c:v>
                </c:pt>
                <c:pt idx="9">
                  <c:v>0.12767230091000001</c:v>
                </c:pt>
                <c:pt idx="10">
                  <c:v>0.12767230091000001</c:v>
                </c:pt>
                <c:pt idx="11">
                  <c:v>0.12767230091000001</c:v>
                </c:pt>
                <c:pt idx="12">
                  <c:v>0.10779133585</c:v>
                </c:pt>
                <c:pt idx="13">
                  <c:v>5.8524242800000001E-2</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6-9A94-49A1-A873-1CF5340FE90B}"/>
            </c:ext>
          </c:extLst>
        </c:ser>
        <c:ser>
          <c:idx val="6"/>
          <c:order val="7"/>
          <c:tx>
            <c:strRef>
              <c:f>Arkusz3!$H$162</c:f>
              <c:strCache>
                <c:ptCount val="1"/>
                <c:pt idx="0">
                  <c:v>Elektrownie wodne pozostałe</c:v>
                </c:pt>
              </c:strCache>
            </c:strRef>
          </c:tx>
          <c:spPr>
            <a:solidFill>
              <a:schemeClr val="accent1">
                <a:lumMod val="60000"/>
              </a:schemeClr>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Arkusz3!$H$163:$H$186</c:f>
              <c:numCache>
                <c:formatCode>0.00</c:formatCode>
                <c:ptCount val="24"/>
                <c:pt idx="0">
                  <c:v>4.7923653120000007E-2</c:v>
                </c:pt>
                <c:pt idx="1">
                  <c:v>4.0129596960000007E-2</c:v>
                </c:pt>
                <c:pt idx="2">
                  <c:v>3.6404087979999999E-2</c:v>
                </c:pt>
                <c:pt idx="3">
                  <c:v>5.1537444660000008E-2</c:v>
                </c:pt>
                <c:pt idx="4">
                  <c:v>2.5401095709999998E-2</c:v>
                </c:pt>
                <c:pt idx="5">
                  <c:v>4.5140397240000005E-2</c:v>
                </c:pt>
                <c:pt idx="6">
                  <c:v>5.3222906539999996E-2</c:v>
                </c:pt>
                <c:pt idx="7">
                  <c:v>6.0447343980000005E-2</c:v>
                </c:pt>
                <c:pt idx="8">
                  <c:v>1.1812652979999999E-2</c:v>
                </c:pt>
                <c:pt idx="9">
                  <c:v>1.1812652979999999E-2</c:v>
                </c:pt>
                <c:pt idx="10">
                  <c:v>9.4894151800000003E-3</c:v>
                </c:pt>
                <c:pt idx="11">
                  <c:v>9.4894151800000003E-3</c:v>
                </c:pt>
                <c:pt idx="12">
                  <c:v>8.4556082000000008E-3</c:v>
                </c:pt>
                <c:pt idx="13">
                  <c:v>8.2923139999999996E-4</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7-9A94-49A1-A873-1CF5340FE90B}"/>
            </c:ext>
          </c:extLst>
        </c:ser>
        <c:ser>
          <c:idx val="7"/>
          <c:order val="8"/>
          <c:tx>
            <c:strRef>
              <c:f>Arkusz3!$I$162</c:f>
              <c:strCache>
                <c:ptCount val="1"/>
                <c:pt idx="0">
                  <c:v>Jednostki zagraniczne</c:v>
                </c:pt>
              </c:strCache>
            </c:strRef>
          </c:tx>
          <c:spPr>
            <a:solidFill>
              <a:schemeClr val="accent2">
                <a:lumMod val="60000"/>
              </a:schemeClr>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Arkusz3!$I$163:$I$186</c:f>
              <c:numCache>
                <c:formatCode>0.00</c:formatCode>
                <c:ptCount val="24"/>
                <c:pt idx="0">
                  <c:v>0</c:v>
                </c:pt>
                <c:pt idx="1">
                  <c:v>0</c:v>
                </c:pt>
                <c:pt idx="2">
                  <c:v>0</c:v>
                </c:pt>
                <c:pt idx="3">
                  <c:v>0</c:v>
                </c:pt>
                <c:pt idx="4">
                  <c:v>0</c:v>
                </c:pt>
                <c:pt idx="5">
                  <c:v>0.1401365</c:v>
                </c:pt>
                <c:pt idx="6">
                  <c:v>0.22349250000000001</c:v>
                </c:pt>
                <c:pt idx="7">
                  <c:v>0.26424710000000001</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8-9A94-49A1-A873-1CF5340FE90B}"/>
            </c:ext>
          </c:extLst>
        </c:ser>
        <c:ser>
          <c:idx val="9"/>
          <c:order val="9"/>
          <c:tx>
            <c:strRef>
              <c:f>Arkusz3!$K$162</c:f>
              <c:strCache>
                <c:ptCount val="1"/>
                <c:pt idx="0">
                  <c:v>Pozostałe</c:v>
                </c:pt>
              </c:strCache>
            </c:strRef>
          </c:tx>
          <c:spPr>
            <a:solidFill>
              <a:schemeClr val="accent4">
                <a:lumMod val="60000"/>
              </a:schemeClr>
            </a:solidFill>
            <a:ln>
              <a:noFill/>
            </a:ln>
            <a:effectLst/>
          </c:spPr>
          <c:invertIfNegative val="0"/>
          <c:cat>
            <c:numRef>
              <c:f>Arkusz3!$A$163:$A$186</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Arkusz3!$K$163:$K$186</c:f>
              <c:numCache>
                <c:formatCode>0.00</c:formatCode>
                <c:ptCount val="24"/>
                <c:pt idx="0">
                  <c:v>4.4439974399999999E-3</c:v>
                </c:pt>
                <c:pt idx="1">
                  <c:v>2.9125599999999998E-3</c:v>
                </c:pt>
                <c:pt idx="2">
                  <c:v>2.9375099999999999E-3</c:v>
                </c:pt>
                <c:pt idx="3">
                  <c:v>1.3616709999999999E-2</c:v>
                </c:pt>
                <c:pt idx="4">
                  <c:v>1.2317359999999999E-2</c:v>
                </c:pt>
                <c:pt idx="5">
                  <c:v>1.2317359999999999E-2</c:v>
                </c:pt>
                <c:pt idx="6">
                  <c:v>1.2317359999999999E-2</c:v>
                </c:pt>
                <c:pt idx="7">
                  <c:v>1.0394799999999999E-2</c:v>
                </c:pt>
                <c:pt idx="8">
                  <c:v>1.0394799999999999E-2</c:v>
                </c:pt>
                <c:pt idx="9">
                  <c:v>1.0394799999999999E-2</c:v>
                </c:pt>
                <c:pt idx="10">
                  <c:v>1.0394799999999999E-2</c:v>
                </c:pt>
                <c:pt idx="11">
                  <c:v>1.0394799999999999E-2</c:v>
                </c:pt>
                <c:pt idx="12">
                  <c:v>1.0394799999999999E-2</c:v>
                </c:pt>
                <c:pt idx="13">
                  <c:v>1.0394799999999999E-2</c:v>
                </c:pt>
                <c:pt idx="14">
                  <c:v>1.0394799999999999E-2</c:v>
                </c:pt>
                <c:pt idx="15">
                  <c:v>1.0394799999999999E-2</c:v>
                </c:pt>
                <c:pt idx="16">
                  <c:v>1.0394799999999999E-2</c:v>
                </c:pt>
                <c:pt idx="17">
                  <c:v>1.0394799999999999E-2</c:v>
                </c:pt>
                <c:pt idx="18">
                  <c:v>1.0394799999999999E-2</c:v>
                </c:pt>
                <c:pt idx="19">
                  <c:v>1.0394799999999999E-2</c:v>
                </c:pt>
                <c:pt idx="20">
                  <c:v>0</c:v>
                </c:pt>
                <c:pt idx="21">
                  <c:v>0</c:v>
                </c:pt>
                <c:pt idx="22">
                  <c:v>0</c:v>
                </c:pt>
                <c:pt idx="23">
                  <c:v>0</c:v>
                </c:pt>
              </c:numCache>
            </c:numRef>
          </c:val>
          <c:extLst>
            <c:ext xmlns:c16="http://schemas.microsoft.com/office/drawing/2014/chart" uri="{C3380CC4-5D6E-409C-BE32-E72D297353CC}">
              <c16:uniqueId val="{00000009-9A94-49A1-A873-1CF5340FE90B}"/>
            </c:ext>
          </c:extLst>
        </c:ser>
        <c:dLbls>
          <c:showLegendKey val="0"/>
          <c:showVal val="0"/>
          <c:showCatName val="0"/>
          <c:showSerName val="0"/>
          <c:showPercent val="0"/>
          <c:showBubbleSize val="0"/>
        </c:dLbls>
        <c:gapWidth val="150"/>
        <c:overlap val="100"/>
        <c:axId val="1217843984"/>
        <c:axId val="1217853104"/>
      </c:barChart>
      <c:catAx>
        <c:axId val="121784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7853104"/>
        <c:crosses val="autoZero"/>
        <c:auto val="1"/>
        <c:lblAlgn val="ctr"/>
        <c:lblOffset val="100"/>
        <c:noMultiLvlLbl val="0"/>
      </c:catAx>
      <c:valAx>
        <c:axId val="1217853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mld PLN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784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'r15'!$D$2</c:f>
              <c:strCache>
                <c:ptCount val="1"/>
                <c:pt idx="0">
                  <c:v>odbiorcy zużywający rocznie poniżej 500 kWh [zł/mc]</c:v>
                </c:pt>
              </c:strCache>
            </c:strRef>
          </c:tx>
          <c:spPr>
            <a:solidFill>
              <a:schemeClr val="accent1"/>
            </a:solidFill>
            <a:ln>
              <a:noFill/>
            </a:ln>
            <a:effectLst/>
          </c:spPr>
          <c:invertIfNegative val="0"/>
          <c:cat>
            <c:numRef>
              <c:f>'r15'!$C$3:$C$7</c:f>
              <c:numCache>
                <c:formatCode>General</c:formatCode>
                <c:ptCount val="5"/>
                <c:pt idx="0">
                  <c:v>2021</c:v>
                </c:pt>
                <c:pt idx="1">
                  <c:v>2022</c:v>
                </c:pt>
                <c:pt idx="2">
                  <c:v>2023</c:v>
                </c:pt>
                <c:pt idx="3">
                  <c:v>2024</c:v>
                </c:pt>
                <c:pt idx="4">
                  <c:v>2025</c:v>
                </c:pt>
              </c:numCache>
            </c:numRef>
          </c:cat>
          <c:val>
            <c:numRef>
              <c:f>'r15'!$D$3:$D$7</c:f>
              <c:numCache>
                <c:formatCode>General</c:formatCode>
                <c:ptCount val="5"/>
                <c:pt idx="0">
                  <c:v>1.87</c:v>
                </c:pt>
                <c:pt idx="1">
                  <c:v>2.37</c:v>
                </c:pt>
                <c:pt idx="2">
                  <c:v>2.38</c:v>
                </c:pt>
                <c:pt idx="3">
                  <c:v>2.66</c:v>
                </c:pt>
                <c:pt idx="4">
                  <c:v>2.86</c:v>
                </c:pt>
              </c:numCache>
            </c:numRef>
          </c:val>
          <c:extLst>
            <c:ext xmlns:c16="http://schemas.microsoft.com/office/drawing/2014/chart" uri="{C3380CC4-5D6E-409C-BE32-E72D297353CC}">
              <c16:uniqueId val="{00000000-9325-4EBF-84E9-65B898DD7FA7}"/>
            </c:ext>
          </c:extLst>
        </c:ser>
        <c:ser>
          <c:idx val="1"/>
          <c:order val="1"/>
          <c:tx>
            <c:strRef>
              <c:f>'r15'!$E$2</c:f>
              <c:strCache>
                <c:ptCount val="1"/>
                <c:pt idx="0">
                  <c:v>odbiorcy zużywający rocznie od 500 kWh do 1 200 kWh [zł/mc]</c:v>
                </c:pt>
              </c:strCache>
            </c:strRef>
          </c:tx>
          <c:spPr>
            <a:solidFill>
              <a:schemeClr val="accent2"/>
            </a:solidFill>
            <a:ln>
              <a:noFill/>
            </a:ln>
            <a:effectLst/>
          </c:spPr>
          <c:invertIfNegative val="0"/>
          <c:cat>
            <c:numRef>
              <c:f>'r15'!$C$3:$C$7</c:f>
              <c:numCache>
                <c:formatCode>General</c:formatCode>
                <c:ptCount val="5"/>
                <c:pt idx="0">
                  <c:v>2021</c:v>
                </c:pt>
                <c:pt idx="1">
                  <c:v>2022</c:v>
                </c:pt>
                <c:pt idx="2">
                  <c:v>2023</c:v>
                </c:pt>
                <c:pt idx="3">
                  <c:v>2024</c:v>
                </c:pt>
                <c:pt idx="4">
                  <c:v>2025</c:v>
                </c:pt>
              </c:numCache>
            </c:numRef>
          </c:cat>
          <c:val>
            <c:numRef>
              <c:f>'r15'!$E$3:$E$7</c:f>
              <c:numCache>
                <c:formatCode>General</c:formatCode>
                <c:ptCount val="5"/>
                <c:pt idx="0">
                  <c:v>4.4800000000000004</c:v>
                </c:pt>
                <c:pt idx="1">
                  <c:v>5.68</c:v>
                </c:pt>
                <c:pt idx="2">
                  <c:v>5.72</c:v>
                </c:pt>
                <c:pt idx="3">
                  <c:v>6.39</c:v>
                </c:pt>
                <c:pt idx="4">
                  <c:v>6.86</c:v>
                </c:pt>
              </c:numCache>
            </c:numRef>
          </c:val>
          <c:extLst>
            <c:ext xmlns:c16="http://schemas.microsoft.com/office/drawing/2014/chart" uri="{C3380CC4-5D6E-409C-BE32-E72D297353CC}">
              <c16:uniqueId val="{00000001-9325-4EBF-84E9-65B898DD7FA7}"/>
            </c:ext>
          </c:extLst>
        </c:ser>
        <c:ser>
          <c:idx val="2"/>
          <c:order val="2"/>
          <c:tx>
            <c:strRef>
              <c:f>'r15'!$F$2</c:f>
              <c:strCache>
                <c:ptCount val="1"/>
                <c:pt idx="0">
                  <c:v>odbiorcy zużywający rocznie od 1 200 kWh do 2 800 kWh [zł/mc]</c:v>
                </c:pt>
              </c:strCache>
            </c:strRef>
          </c:tx>
          <c:spPr>
            <a:solidFill>
              <a:schemeClr val="accent3"/>
            </a:solidFill>
            <a:ln>
              <a:noFill/>
            </a:ln>
            <a:effectLst/>
          </c:spPr>
          <c:invertIfNegative val="0"/>
          <c:cat>
            <c:numRef>
              <c:f>'r15'!$C$3:$C$7</c:f>
              <c:numCache>
                <c:formatCode>General</c:formatCode>
                <c:ptCount val="5"/>
                <c:pt idx="0">
                  <c:v>2021</c:v>
                </c:pt>
                <c:pt idx="1">
                  <c:v>2022</c:v>
                </c:pt>
                <c:pt idx="2">
                  <c:v>2023</c:v>
                </c:pt>
                <c:pt idx="3">
                  <c:v>2024</c:v>
                </c:pt>
                <c:pt idx="4">
                  <c:v>2025</c:v>
                </c:pt>
              </c:numCache>
            </c:numRef>
          </c:cat>
          <c:val>
            <c:numRef>
              <c:f>'r15'!$F$3:$F$7</c:f>
              <c:numCache>
                <c:formatCode>General</c:formatCode>
                <c:ptCount val="5"/>
                <c:pt idx="0">
                  <c:v>7.47</c:v>
                </c:pt>
                <c:pt idx="1">
                  <c:v>9.4600000000000009</c:v>
                </c:pt>
                <c:pt idx="2">
                  <c:v>9.5399999999999991</c:v>
                </c:pt>
                <c:pt idx="3">
                  <c:v>10.64</c:v>
                </c:pt>
                <c:pt idx="4">
                  <c:v>11.44</c:v>
                </c:pt>
              </c:numCache>
            </c:numRef>
          </c:val>
          <c:extLst>
            <c:ext xmlns:c16="http://schemas.microsoft.com/office/drawing/2014/chart" uri="{C3380CC4-5D6E-409C-BE32-E72D297353CC}">
              <c16:uniqueId val="{00000002-9325-4EBF-84E9-65B898DD7FA7}"/>
            </c:ext>
          </c:extLst>
        </c:ser>
        <c:ser>
          <c:idx val="3"/>
          <c:order val="3"/>
          <c:tx>
            <c:strRef>
              <c:f>'r15'!$G$2</c:f>
              <c:strCache>
                <c:ptCount val="1"/>
                <c:pt idx="0">
                  <c:v>odbiorcy zużywający rocznie powyżej 2 800 kWh [zł/mc]</c:v>
                </c:pt>
              </c:strCache>
            </c:strRef>
          </c:tx>
          <c:spPr>
            <a:solidFill>
              <a:schemeClr val="accent4"/>
            </a:solidFill>
            <a:ln>
              <a:noFill/>
            </a:ln>
            <a:effectLst/>
          </c:spPr>
          <c:invertIfNegative val="0"/>
          <c:cat>
            <c:numRef>
              <c:f>'r15'!$C$3:$C$7</c:f>
              <c:numCache>
                <c:formatCode>General</c:formatCode>
                <c:ptCount val="5"/>
                <c:pt idx="0">
                  <c:v>2021</c:v>
                </c:pt>
                <c:pt idx="1">
                  <c:v>2022</c:v>
                </c:pt>
                <c:pt idx="2">
                  <c:v>2023</c:v>
                </c:pt>
                <c:pt idx="3">
                  <c:v>2024</c:v>
                </c:pt>
                <c:pt idx="4">
                  <c:v>2025</c:v>
                </c:pt>
              </c:numCache>
            </c:numRef>
          </c:cat>
          <c:val>
            <c:numRef>
              <c:f>'r15'!$G$3:$G$7</c:f>
              <c:numCache>
                <c:formatCode>General</c:formatCode>
                <c:ptCount val="5"/>
                <c:pt idx="0">
                  <c:v>10.46</c:v>
                </c:pt>
                <c:pt idx="1">
                  <c:v>13.25</c:v>
                </c:pt>
                <c:pt idx="2">
                  <c:v>13.35</c:v>
                </c:pt>
                <c:pt idx="3">
                  <c:v>14.9</c:v>
                </c:pt>
                <c:pt idx="4">
                  <c:v>16.010000000000002</c:v>
                </c:pt>
              </c:numCache>
            </c:numRef>
          </c:val>
          <c:extLst>
            <c:ext xmlns:c16="http://schemas.microsoft.com/office/drawing/2014/chart" uri="{C3380CC4-5D6E-409C-BE32-E72D297353CC}">
              <c16:uniqueId val="{00000003-9325-4EBF-84E9-65B898DD7FA7}"/>
            </c:ext>
          </c:extLst>
        </c:ser>
        <c:dLbls>
          <c:showLegendKey val="0"/>
          <c:showVal val="0"/>
          <c:showCatName val="0"/>
          <c:showSerName val="0"/>
          <c:showPercent val="0"/>
          <c:showBubbleSize val="0"/>
        </c:dLbls>
        <c:gapWidth val="500"/>
        <c:axId val="546502488"/>
        <c:axId val="546506808"/>
      </c:barChart>
      <c:catAx>
        <c:axId val="546502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6506808"/>
        <c:crosses val="autoZero"/>
        <c:auto val="1"/>
        <c:lblAlgn val="ctr"/>
        <c:lblOffset val="100"/>
        <c:noMultiLvlLbl val="0"/>
      </c:catAx>
      <c:valAx>
        <c:axId val="546506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zł/m-c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6502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'r15'!$H$2</c:f>
              <c:strCache>
                <c:ptCount val="1"/>
                <c:pt idx="0">
                  <c:v>pozostałe grupy odbiorców końcowych [zł/kWh]</c:v>
                </c:pt>
              </c:strCache>
            </c:strRef>
          </c:tx>
          <c:spPr>
            <a:solidFill>
              <a:schemeClr val="accent1"/>
            </a:solidFill>
            <a:ln>
              <a:noFill/>
            </a:ln>
            <a:effectLst/>
          </c:spPr>
          <c:invertIfNegative val="0"/>
          <c:cat>
            <c:numRef>
              <c:f>'r15'!$C$3:$C$7</c:f>
              <c:numCache>
                <c:formatCode>General</c:formatCode>
                <c:ptCount val="5"/>
                <c:pt idx="0">
                  <c:v>2021</c:v>
                </c:pt>
                <c:pt idx="1">
                  <c:v>2022</c:v>
                </c:pt>
                <c:pt idx="2">
                  <c:v>2023</c:v>
                </c:pt>
                <c:pt idx="3">
                  <c:v>2024</c:v>
                </c:pt>
                <c:pt idx="4">
                  <c:v>2025</c:v>
                </c:pt>
              </c:numCache>
            </c:numRef>
          </c:cat>
          <c:val>
            <c:numRef>
              <c:f>'r15'!$H$3:$H$7</c:f>
              <c:numCache>
                <c:formatCode>General</c:formatCode>
                <c:ptCount val="5"/>
                <c:pt idx="0">
                  <c:v>7.6200000000000004E-2</c:v>
                </c:pt>
                <c:pt idx="1">
                  <c:v>0.1026</c:v>
                </c:pt>
                <c:pt idx="2">
                  <c:v>0.1024</c:v>
                </c:pt>
                <c:pt idx="3">
                  <c:v>0.12670000000000001</c:v>
                </c:pt>
                <c:pt idx="4">
                  <c:v>0.14119999999999999</c:v>
                </c:pt>
              </c:numCache>
            </c:numRef>
          </c:val>
          <c:extLst>
            <c:ext xmlns:c16="http://schemas.microsoft.com/office/drawing/2014/chart" uri="{C3380CC4-5D6E-409C-BE32-E72D297353CC}">
              <c16:uniqueId val="{00000000-3363-4154-822B-4CA79DFB52EB}"/>
            </c:ext>
          </c:extLst>
        </c:ser>
        <c:dLbls>
          <c:showLegendKey val="0"/>
          <c:showVal val="0"/>
          <c:showCatName val="0"/>
          <c:showSerName val="0"/>
          <c:showPercent val="0"/>
          <c:showBubbleSize val="0"/>
        </c:dLbls>
        <c:gapWidth val="219"/>
        <c:overlap val="-27"/>
        <c:axId val="695982024"/>
        <c:axId val="695982384"/>
      </c:barChart>
      <c:catAx>
        <c:axId val="69598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5982384"/>
        <c:crosses val="autoZero"/>
        <c:auto val="1"/>
        <c:lblAlgn val="ctr"/>
        <c:lblOffset val="100"/>
        <c:noMultiLvlLbl val="0"/>
      </c:catAx>
      <c:valAx>
        <c:axId val="695982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zł/kW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59820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Arkusz1!$A$2</c:f>
              <c:strCache>
                <c:ptCount val="1"/>
                <c:pt idx="0">
                  <c:v>Scenariusz bazowy</c:v>
                </c:pt>
              </c:strCache>
            </c:strRef>
          </c:tx>
          <c:spPr>
            <a:ln w="28575" cap="rnd">
              <a:solidFill>
                <a:schemeClr val="accent1"/>
              </a:solidFill>
              <a:round/>
            </a:ln>
            <a:effectLst/>
          </c:spPr>
          <c:marker>
            <c:symbol val="none"/>
          </c:marker>
          <c:cat>
            <c:numRef>
              <c:f>Arkusz1!$B$1:$Q$1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Arkusz1!$B$2:$Q$2</c:f>
              <c:numCache>
                <c:formatCode>0.0</c:formatCode>
                <c:ptCount val="16"/>
                <c:pt idx="0">
                  <c:v>7.6</c:v>
                </c:pt>
                <c:pt idx="1">
                  <c:v>40.799999999999997</c:v>
                </c:pt>
                <c:pt idx="2">
                  <c:v>50.2</c:v>
                </c:pt>
                <c:pt idx="3">
                  <c:v>33.299999999999997</c:v>
                </c:pt>
                <c:pt idx="4">
                  <c:v>20.5</c:v>
                </c:pt>
                <c:pt idx="5">
                  <c:v>9.6</c:v>
                </c:pt>
                <c:pt idx="6">
                  <c:v>6.6</c:v>
                </c:pt>
                <c:pt idx="7">
                  <c:v>14.3</c:v>
                </c:pt>
                <c:pt idx="8">
                  <c:v>15</c:v>
                </c:pt>
                <c:pt idx="9">
                  <c:v>14.4</c:v>
                </c:pt>
                <c:pt idx="10">
                  <c:v>10.9</c:v>
                </c:pt>
                <c:pt idx="11">
                  <c:v>10.8</c:v>
                </c:pt>
                <c:pt idx="12">
                  <c:v>12.5</c:v>
                </c:pt>
                <c:pt idx="13">
                  <c:v>10.4</c:v>
                </c:pt>
                <c:pt idx="14">
                  <c:v>5.8</c:v>
                </c:pt>
                <c:pt idx="15">
                  <c:v>14.2</c:v>
                </c:pt>
              </c:numCache>
            </c:numRef>
          </c:val>
          <c:smooth val="0"/>
          <c:extLst>
            <c:ext xmlns:c16="http://schemas.microsoft.com/office/drawing/2014/chart" uri="{C3380CC4-5D6E-409C-BE32-E72D297353CC}">
              <c16:uniqueId val="{00000000-A99F-4E6D-AFE8-FF3830848560}"/>
            </c:ext>
          </c:extLst>
        </c:ser>
        <c:ser>
          <c:idx val="1"/>
          <c:order val="1"/>
          <c:tx>
            <c:strRef>
              <c:f>Arkusz1!$A$3</c:f>
              <c:strCache>
                <c:ptCount val="1"/>
                <c:pt idx="0">
                  <c:v>Scenariusz z mechanizmem zdolności wytwórczych</c:v>
                </c:pt>
              </c:strCache>
            </c:strRef>
          </c:tx>
          <c:spPr>
            <a:ln w="28575" cap="rnd">
              <a:solidFill>
                <a:schemeClr val="accent2"/>
              </a:solidFill>
              <a:round/>
            </a:ln>
            <a:effectLst/>
          </c:spPr>
          <c:marker>
            <c:symbol val="none"/>
          </c:marker>
          <c:cat>
            <c:numRef>
              <c:f>Arkusz1!$B$1:$Q$1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Arkusz1!$B$3:$Q$3</c:f>
              <c:numCache>
                <c:formatCode>General</c:formatCode>
                <c:ptCount val="16"/>
                <c:pt idx="0">
                  <c:v>2.9</c:v>
                </c:pt>
                <c:pt idx="1">
                  <c:v>3</c:v>
                </c:pt>
                <c:pt idx="2">
                  <c:v>3.9</c:v>
                </c:pt>
                <c:pt idx="3">
                  <c:v>2.2999999999999998</c:v>
                </c:pt>
                <c:pt idx="4">
                  <c:v>3.1</c:v>
                </c:pt>
                <c:pt idx="5">
                  <c:v>2.2000000000000002</c:v>
                </c:pt>
                <c:pt idx="6">
                  <c:v>2.5</c:v>
                </c:pt>
                <c:pt idx="7">
                  <c:v>3.1</c:v>
                </c:pt>
                <c:pt idx="8">
                  <c:v>2</c:v>
                </c:pt>
                <c:pt idx="9">
                  <c:v>3.1</c:v>
                </c:pt>
                <c:pt idx="10">
                  <c:v>2.7</c:v>
                </c:pt>
                <c:pt idx="11">
                  <c:v>3.4</c:v>
                </c:pt>
                <c:pt idx="12">
                  <c:v>4.4000000000000004</c:v>
                </c:pt>
                <c:pt idx="13">
                  <c:v>2.5</c:v>
                </c:pt>
                <c:pt idx="14">
                  <c:v>4.0999999999999996</c:v>
                </c:pt>
                <c:pt idx="15">
                  <c:v>2.2000000000000002</c:v>
                </c:pt>
              </c:numCache>
            </c:numRef>
          </c:val>
          <c:smooth val="0"/>
          <c:extLst>
            <c:ext xmlns:c16="http://schemas.microsoft.com/office/drawing/2014/chart" uri="{C3380CC4-5D6E-409C-BE32-E72D297353CC}">
              <c16:uniqueId val="{00000001-A99F-4E6D-AFE8-FF3830848560}"/>
            </c:ext>
          </c:extLst>
        </c:ser>
        <c:ser>
          <c:idx val="2"/>
          <c:order val="2"/>
          <c:tx>
            <c:strRef>
              <c:f>Arkusz1!$A$4</c:f>
              <c:strCache>
                <c:ptCount val="1"/>
                <c:pt idx="0">
                  <c:v>Standard bezpieczeństwa</c:v>
                </c:pt>
              </c:strCache>
            </c:strRef>
          </c:tx>
          <c:spPr>
            <a:ln w="28575" cap="rnd">
              <a:solidFill>
                <a:schemeClr val="accent3"/>
              </a:solidFill>
              <a:prstDash val="dash"/>
              <a:round/>
            </a:ln>
            <a:effectLst/>
          </c:spPr>
          <c:marker>
            <c:symbol val="none"/>
          </c:marker>
          <c:cat>
            <c:numRef>
              <c:f>Arkusz1!$B$1:$Q$1</c:f>
              <c:numCache>
                <c:formatCode>General</c:formatCode>
                <c:ptCount val="16"/>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numCache>
            </c:numRef>
          </c:cat>
          <c:val>
            <c:numRef>
              <c:f>Arkusz1!$B$4:$Q$4</c:f>
              <c:numCache>
                <c:formatCode>General</c:formatCode>
                <c:ptCount val="16"/>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numCache>
            </c:numRef>
          </c:val>
          <c:smooth val="0"/>
          <c:extLst>
            <c:ext xmlns:c16="http://schemas.microsoft.com/office/drawing/2014/chart" uri="{C3380CC4-5D6E-409C-BE32-E72D297353CC}">
              <c16:uniqueId val="{00000002-A99F-4E6D-AFE8-FF3830848560}"/>
            </c:ext>
          </c:extLst>
        </c:ser>
        <c:dLbls>
          <c:showLegendKey val="0"/>
          <c:showVal val="0"/>
          <c:showCatName val="0"/>
          <c:showSerName val="0"/>
          <c:showPercent val="0"/>
          <c:showBubbleSize val="0"/>
        </c:dLbls>
        <c:smooth val="0"/>
        <c:axId val="1229756624"/>
        <c:axId val="1229762384"/>
      </c:lineChart>
      <c:catAx>
        <c:axId val="122975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29762384"/>
        <c:crosses val="autoZero"/>
        <c:auto val="1"/>
        <c:lblAlgn val="ctr"/>
        <c:lblOffset val="100"/>
        <c:noMultiLvlLbl val="0"/>
      </c:catAx>
      <c:valAx>
        <c:axId val="1229762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LoLE [h/rok]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2975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'Aukcje mocy'!$B$41</c:f>
              <c:strCache>
                <c:ptCount val="1"/>
                <c:pt idx="0">
                  <c:v>Aukcja główna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'Aukcje mocy'!$D$39:$AR$39</c:f>
              <c:strCache>
                <c:ptCount val="41"/>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pt idx="20">
                  <c:v>2022Q3</c:v>
                </c:pt>
                <c:pt idx="21">
                  <c:v>2022Q4</c:v>
                </c:pt>
                <c:pt idx="22">
                  <c:v>2023Q1</c:v>
                </c:pt>
                <c:pt idx="23">
                  <c:v>2023Q2</c:v>
                </c:pt>
                <c:pt idx="24">
                  <c:v>2023Q3</c:v>
                </c:pt>
                <c:pt idx="25">
                  <c:v>2023Q4</c:v>
                </c:pt>
                <c:pt idx="26">
                  <c:v>2024Q1</c:v>
                </c:pt>
                <c:pt idx="27">
                  <c:v>2024Q2</c:v>
                </c:pt>
                <c:pt idx="28">
                  <c:v>2024Q3</c:v>
                </c:pt>
                <c:pt idx="29">
                  <c:v>2024Q4</c:v>
                </c:pt>
                <c:pt idx="30">
                  <c:v>2025Q1</c:v>
                </c:pt>
                <c:pt idx="31">
                  <c:v>2025Q2</c:v>
                </c:pt>
                <c:pt idx="32">
                  <c:v>2025Q3</c:v>
                </c:pt>
                <c:pt idx="33">
                  <c:v>2025Q4</c:v>
                </c:pt>
                <c:pt idx="34">
                  <c:v>2026</c:v>
                </c:pt>
                <c:pt idx="35">
                  <c:v>2027</c:v>
                </c:pt>
                <c:pt idx="36">
                  <c:v>2028</c:v>
                </c:pt>
                <c:pt idx="37">
                  <c:v>2029</c:v>
                </c:pt>
                <c:pt idx="38">
                  <c:v>2030</c:v>
                </c:pt>
                <c:pt idx="39">
                  <c:v>2031</c:v>
                </c:pt>
                <c:pt idx="40">
                  <c:v>2032</c:v>
                </c:pt>
              </c:strCache>
            </c:strRef>
          </c:cat>
          <c:val>
            <c:numRef>
              <c:f>'Aukcje mocy'!$D$41:$AR$41</c:f>
              <c:numCache>
                <c:formatCode>General</c:formatCode>
                <c:ptCount val="41"/>
                <c:pt idx="14" formatCode="0.00">
                  <c:v>0.61460000000000004</c:v>
                </c:pt>
                <c:pt idx="15" formatCode="0.00">
                  <c:v>0.61460000000000004</c:v>
                </c:pt>
                <c:pt idx="16" formatCode="0.00">
                  <c:v>0.61460000000000004</c:v>
                </c:pt>
                <c:pt idx="17" formatCode="0.00">
                  <c:v>0.61460000000000004</c:v>
                </c:pt>
                <c:pt idx="18" formatCode="0.00">
                  <c:v>0.76600000000000001</c:v>
                </c:pt>
                <c:pt idx="19" formatCode="0.00">
                  <c:v>0.76600000000000001</c:v>
                </c:pt>
                <c:pt idx="20" formatCode="0.00">
                  <c:v>0.76600000000000001</c:v>
                </c:pt>
                <c:pt idx="21" formatCode="0.00">
                  <c:v>0.76600000000000001</c:v>
                </c:pt>
                <c:pt idx="22" formatCode="0.00">
                  <c:v>0.80100000000000005</c:v>
                </c:pt>
                <c:pt idx="23" formatCode="0.00">
                  <c:v>0.80100000000000005</c:v>
                </c:pt>
                <c:pt idx="24" formatCode="0.00">
                  <c:v>0.80100000000000005</c:v>
                </c:pt>
                <c:pt idx="25" formatCode="0.00">
                  <c:v>0.80100000000000005</c:v>
                </c:pt>
                <c:pt idx="26" formatCode="0.00">
                  <c:v>1.0389999999999999</c:v>
                </c:pt>
                <c:pt idx="27" formatCode="0.00">
                  <c:v>1.0389999999999999</c:v>
                </c:pt>
                <c:pt idx="28" formatCode="0.00">
                  <c:v>1.0389999999999999</c:v>
                </c:pt>
                <c:pt idx="29" formatCode="0.00">
                  <c:v>1.0389999999999999</c:v>
                </c:pt>
                <c:pt idx="30" formatCode="0.00">
                  <c:v>0.95899999999999996</c:v>
                </c:pt>
                <c:pt idx="31" formatCode="0.00">
                  <c:v>0.95899999999999996</c:v>
                </c:pt>
                <c:pt idx="32" formatCode="0.00">
                  <c:v>0.95899999999999996</c:v>
                </c:pt>
                <c:pt idx="33" formatCode="0.00">
                  <c:v>0.95899999999999996</c:v>
                </c:pt>
                <c:pt idx="34" formatCode="0.00">
                  <c:v>1.5089999999999999</c:v>
                </c:pt>
                <c:pt idx="35" formatCode="0.00">
                  <c:v>1.5389999999999999</c:v>
                </c:pt>
                <c:pt idx="36" formatCode="0.00">
                  <c:v>0.98050000000000004</c:v>
                </c:pt>
                <c:pt idx="37" formatCode="0.00">
                  <c:v>0.02</c:v>
                </c:pt>
                <c:pt idx="38" formatCode="0.00">
                  <c:v>0.02</c:v>
                </c:pt>
                <c:pt idx="39" formatCode="0.00">
                  <c:v>0.02</c:v>
                </c:pt>
                <c:pt idx="40" formatCode="0.00">
                  <c:v>0.02</c:v>
                </c:pt>
              </c:numCache>
            </c:numRef>
          </c:val>
          <c:extLst>
            <c:ext xmlns:c16="http://schemas.microsoft.com/office/drawing/2014/chart" uri="{C3380CC4-5D6E-409C-BE32-E72D297353CC}">
              <c16:uniqueId val="{00000000-FD8E-47CE-A84B-3647F09C11F5}"/>
            </c:ext>
          </c:extLst>
        </c:ser>
        <c:ser>
          <c:idx val="1"/>
          <c:order val="1"/>
          <c:tx>
            <c:strRef>
              <c:f>'Aukcje mocy'!$B$42</c:f>
              <c:strCache>
                <c:ptCount val="1"/>
                <c:pt idx="0">
                  <c:v>Aukcja dodatkowa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'Aukcje mocy'!$D$39:$AR$39</c:f>
              <c:strCache>
                <c:ptCount val="41"/>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pt idx="20">
                  <c:v>2022Q3</c:v>
                </c:pt>
                <c:pt idx="21">
                  <c:v>2022Q4</c:v>
                </c:pt>
                <c:pt idx="22">
                  <c:v>2023Q1</c:v>
                </c:pt>
                <c:pt idx="23">
                  <c:v>2023Q2</c:v>
                </c:pt>
                <c:pt idx="24">
                  <c:v>2023Q3</c:v>
                </c:pt>
                <c:pt idx="25">
                  <c:v>2023Q4</c:v>
                </c:pt>
                <c:pt idx="26">
                  <c:v>2024Q1</c:v>
                </c:pt>
                <c:pt idx="27">
                  <c:v>2024Q2</c:v>
                </c:pt>
                <c:pt idx="28">
                  <c:v>2024Q3</c:v>
                </c:pt>
                <c:pt idx="29">
                  <c:v>2024Q4</c:v>
                </c:pt>
                <c:pt idx="30">
                  <c:v>2025Q1</c:v>
                </c:pt>
                <c:pt idx="31">
                  <c:v>2025Q2</c:v>
                </c:pt>
                <c:pt idx="32">
                  <c:v>2025Q3</c:v>
                </c:pt>
                <c:pt idx="33">
                  <c:v>2025Q4</c:v>
                </c:pt>
                <c:pt idx="34">
                  <c:v>2026</c:v>
                </c:pt>
                <c:pt idx="35">
                  <c:v>2027</c:v>
                </c:pt>
                <c:pt idx="36">
                  <c:v>2028</c:v>
                </c:pt>
                <c:pt idx="37">
                  <c:v>2029</c:v>
                </c:pt>
                <c:pt idx="38">
                  <c:v>2030</c:v>
                </c:pt>
                <c:pt idx="39">
                  <c:v>2031</c:v>
                </c:pt>
                <c:pt idx="40">
                  <c:v>2032</c:v>
                </c:pt>
              </c:strCache>
            </c:strRef>
          </c:cat>
          <c:val>
            <c:numRef>
              <c:f>'Aukcje mocy'!$D$42:$AK$42</c:f>
              <c:numCache>
                <c:formatCode>General</c:formatCode>
                <c:ptCount val="34"/>
                <c:pt idx="14" formatCode="0.00">
                  <c:v>0.09</c:v>
                </c:pt>
                <c:pt idx="15" formatCode="0.00">
                  <c:v>0.05</c:v>
                </c:pt>
                <c:pt idx="16" formatCode="0.00">
                  <c:v>0.05</c:v>
                </c:pt>
                <c:pt idx="17" formatCode="0.00">
                  <c:v>5.8000000000000003E-2</c:v>
                </c:pt>
                <c:pt idx="18" formatCode="0.00">
                  <c:v>0.16900000000000001</c:v>
                </c:pt>
                <c:pt idx="19" formatCode="0.00">
                  <c:v>0.21099999999999999</c:v>
                </c:pt>
                <c:pt idx="20" formatCode="0.00">
                  <c:v>0.21099999999999999</c:v>
                </c:pt>
                <c:pt idx="21" formatCode="0.00">
                  <c:v>0.16900000000000001</c:v>
                </c:pt>
                <c:pt idx="22" formatCode="0.00">
                  <c:v>0.27400000000000002</c:v>
                </c:pt>
                <c:pt idx="23" formatCode="0.00">
                  <c:v>0.23400000000000001</c:v>
                </c:pt>
                <c:pt idx="24" formatCode="0.00">
                  <c:v>0.27200000000000002</c:v>
                </c:pt>
                <c:pt idx="25" formatCode="0.00">
                  <c:v>0.35</c:v>
                </c:pt>
                <c:pt idx="26" formatCode="0.00">
                  <c:v>0.57399999999999995</c:v>
                </c:pt>
                <c:pt idx="27" formatCode="0.00">
                  <c:v>0.57199999999999995</c:v>
                </c:pt>
                <c:pt idx="28" formatCode="0.00">
                  <c:v>0.56799999999999995</c:v>
                </c:pt>
                <c:pt idx="29" formatCode="0.00">
                  <c:v>0.57399999999999995</c:v>
                </c:pt>
                <c:pt idx="30" formatCode="0.00">
                  <c:v>0.49250599999999983</c:v>
                </c:pt>
                <c:pt idx="31" formatCode="0.00">
                  <c:v>0.40550000000000003</c:v>
                </c:pt>
                <c:pt idx="32" formatCode="0.00">
                  <c:v>0.224</c:v>
                </c:pt>
                <c:pt idx="33" formatCode="0.00">
                  <c:v>0.36099999999999999</c:v>
                </c:pt>
              </c:numCache>
            </c:numRef>
          </c:val>
          <c:extLst>
            <c:ext xmlns:c16="http://schemas.microsoft.com/office/drawing/2014/chart" uri="{C3380CC4-5D6E-409C-BE32-E72D297353CC}">
              <c16:uniqueId val="{00000001-FD8E-47CE-A84B-3647F09C11F5}"/>
            </c:ext>
          </c:extLst>
        </c:ser>
        <c:ser>
          <c:idx val="3"/>
          <c:order val="3"/>
          <c:tx>
            <c:strRef>
              <c:f>'Aukcje mocy'!$B$40</c:f>
              <c:strCache>
                <c:ptCount val="1"/>
                <c:pt idx="0">
                  <c:v>Maksymalna moc - program gwarantowany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'Aukcje mocy'!$D$39:$AR$39</c:f>
              <c:strCache>
                <c:ptCount val="41"/>
                <c:pt idx="0">
                  <c:v>2017Q3</c:v>
                </c:pt>
                <c:pt idx="1">
                  <c:v>2017Q4</c:v>
                </c:pt>
                <c:pt idx="2">
                  <c:v>2018Q1</c:v>
                </c:pt>
                <c:pt idx="3">
                  <c:v>2018Q2</c:v>
                </c:pt>
                <c:pt idx="4">
                  <c:v>2018Q3</c:v>
                </c:pt>
                <c:pt idx="5">
                  <c:v>2018Q4</c:v>
                </c:pt>
                <c:pt idx="6">
                  <c:v>2019Q1</c:v>
                </c:pt>
                <c:pt idx="7">
                  <c:v>2019Q2</c:v>
                </c:pt>
                <c:pt idx="8">
                  <c:v>2019Q3</c:v>
                </c:pt>
                <c:pt idx="9">
                  <c:v>2019Q4</c:v>
                </c:pt>
                <c:pt idx="10">
                  <c:v>2020Q1</c:v>
                </c:pt>
                <c:pt idx="11">
                  <c:v>2020Q2</c:v>
                </c:pt>
                <c:pt idx="12">
                  <c:v>2020Q3</c:v>
                </c:pt>
                <c:pt idx="13">
                  <c:v>2020Q4</c:v>
                </c:pt>
                <c:pt idx="14">
                  <c:v>2021Q1</c:v>
                </c:pt>
                <c:pt idx="15">
                  <c:v>2021Q2</c:v>
                </c:pt>
                <c:pt idx="16">
                  <c:v>2021Q3</c:v>
                </c:pt>
                <c:pt idx="17">
                  <c:v>2021Q4</c:v>
                </c:pt>
                <c:pt idx="18">
                  <c:v>2022Q1</c:v>
                </c:pt>
                <c:pt idx="19">
                  <c:v>2022Q2</c:v>
                </c:pt>
                <c:pt idx="20">
                  <c:v>2022Q3</c:v>
                </c:pt>
                <c:pt idx="21">
                  <c:v>2022Q4</c:v>
                </c:pt>
                <c:pt idx="22">
                  <c:v>2023Q1</c:v>
                </c:pt>
                <c:pt idx="23">
                  <c:v>2023Q2</c:v>
                </c:pt>
                <c:pt idx="24">
                  <c:v>2023Q3</c:v>
                </c:pt>
                <c:pt idx="25">
                  <c:v>2023Q4</c:v>
                </c:pt>
                <c:pt idx="26">
                  <c:v>2024Q1</c:v>
                </c:pt>
                <c:pt idx="27">
                  <c:v>2024Q2</c:v>
                </c:pt>
                <c:pt idx="28">
                  <c:v>2024Q3</c:v>
                </c:pt>
                <c:pt idx="29">
                  <c:v>2024Q4</c:v>
                </c:pt>
                <c:pt idx="30">
                  <c:v>2025Q1</c:v>
                </c:pt>
                <c:pt idx="31">
                  <c:v>2025Q2</c:v>
                </c:pt>
                <c:pt idx="32">
                  <c:v>2025Q3</c:v>
                </c:pt>
                <c:pt idx="33">
                  <c:v>2025Q4</c:v>
                </c:pt>
                <c:pt idx="34">
                  <c:v>2026</c:v>
                </c:pt>
                <c:pt idx="35">
                  <c:v>2027</c:v>
                </c:pt>
                <c:pt idx="36">
                  <c:v>2028</c:v>
                </c:pt>
                <c:pt idx="37">
                  <c:v>2029</c:v>
                </c:pt>
                <c:pt idx="38">
                  <c:v>2030</c:v>
                </c:pt>
                <c:pt idx="39">
                  <c:v>2031</c:v>
                </c:pt>
                <c:pt idx="40">
                  <c:v>2032</c:v>
                </c:pt>
              </c:strCache>
            </c:strRef>
          </c:cat>
          <c:val>
            <c:numRef>
              <c:f>'Aukcje mocy'!$D$40:$AR$40</c:f>
              <c:numCache>
                <c:formatCode>General</c:formatCode>
                <c:ptCount val="41"/>
                <c:pt idx="0">
                  <c:v>0.36099999999999999</c:v>
                </c:pt>
                <c:pt idx="1">
                  <c:v>0.315</c:v>
                </c:pt>
                <c:pt idx="2">
                  <c:v>0.315</c:v>
                </c:pt>
                <c:pt idx="3" formatCode="0.00">
                  <c:v>0.36099999999999999</c:v>
                </c:pt>
                <c:pt idx="4" formatCode="0.00">
                  <c:v>0.53449999999999998</c:v>
                </c:pt>
                <c:pt idx="5" formatCode="0.00">
                  <c:v>0.53500000000000003</c:v>
                </c:pt>
                <c:pt idx="6" formatCode="0.00">
                  <c:v>0.53500000000000003</c:v>
                </c:pt>
                <c:pt idx="7" formatCode="0.00">
                  <c:v>0.55800000000000005</c:v>
                </c:pt>
                <c:pt idx="8" formatCode="0.00">
                  <c:v>0.59299999999999997</c:v>
                </c:pt>
                <c:pt idx="9" formatCode="0.00">
                  <c:v>0.44280000000000003</c:v>
                </c:pt>
                <c:pt idx="10" formatCode="0.00">
                  <c:v>0.61199999999999999</c:v>
                </c:pt>
                <c:pt idx="11" formatCode="0.00">
                  <c:v>0.70920000000000005</c:v>
                </c:pt>
                <c:pt idx="12" formatCode="0.00">
                  <c:v>0.70920000000000005</c:v>
                </c:pt>
                <c:pt idx="13" formatCode="0.00">
                  <c:v>0.61199999999999999</c:v>
                </c:pt>
              </c:numCache>
            </c:numRef>
          </c:val>
          <c:extLst>
            <c:ext xmlns:c16="http://schemas.microsoft.com/office/drawing/2014/chart" uri="{C3380CC4-5D6E-409C-BE32-E72D297353CC}">
              <c16:uniqueId val="{00000002-FD8E-47CE-A84B-3647F09C11F5}"/>
            </c:ext>
          </c:extLst>
        </c:ser>
        <c:dLbls>
          <c:showLegendKey val="0"/>
          <c:showVal val="1"/>
          <c:showCatName val="0"/>
          <c:showSerName val="0"/>
          <c:showPercent val="0"/>
          <c:showBubbleSize val="0"/>
        </c:dLbls>
        <c:gapWidth val="50"/>
        <c:overlap val="100"/>
        <c:axId val="1501181871"/>
        <c:axId val="1501180431"/>
      </c:barChart>
      <c:scatterChart>
        <c:scatterStyle val="lineMarker"/>
        <c:varyColors val="0"/>
        <c:ser>
          <c:idx val="2"/>
          <c:order val="2"/>
          <c:spPr>
            <a:ln w="28575" cap="rnd">
              <a:solidFill>
                <a:schemeClr val="accent3"/>
              </a:solidFill>
              <a:prstDash val="dash"/>
              <a:round/>
            </a:ln>
            <a:effectLst/>
          </c:spPr>
          <c:marker>
            <c:symbol val="none"/>
          </c:marker>
          <c:xVal>
            <c:numRef>
              <c:f>('Aukcje mocy'!$AS$39,'Aukcje mocy'!$AS$39)</c:f>
              <c:numCache>
                <c:formatCode>General</c:formatCode>
                <c:ptCount val="2"/>
                <c:pt idx="0">
                  <c:v>34.5</c:v>
                </c:pt>
                <c:pt idx="1">
                  <c:v>34.5</c:v>
                </c:pt>
              </c:numCache>
            </c:numRef>
          </c:xVal>
          <c:yVal>
            <c:numLit>
              <c:formatCode>General</c:formatCode>
              <c:ptCount val="2"/>
              <c:pt idx="0">
                <c:v>0</c:v>
              </c:pt>
              <c:pt idx="1">
                <c:v>2</c:v>
              </c:pt>
            </c:numLit>
          </c:yVal>
          <c:smooth val="0"/>
          <c:extLst>
            <c:ext xmlns:c16="http://schemas.microsoft.com/office/drawing/2014/chart" uri="{C3380CC4-5D6E-409C-BE32-E72D297353CC}">
              <c16:uniqueId val="{00000003-FD8E-47CE-A84B-3647F09C11F5}"/>
            </c:ext>
          </c:extLst>
        </c:ser>
        <c:dLbls>
          <c:showLegendKey val="0"/>
          <c:showVal val="0"/>
          <c:showCatName val="0"/>
          <c:showSerName val="0"/>
          <c:showPercent val="0"/>
          <c:showBubbleSize val="0"/>
        </c:dLbls>
        <c:axId val="301588608"/>
        <c:axId val="301590528"/>
      </c:scatterChart>
      <c:catAx>
        <c:axId val="150118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1180431"/>
        <c:crosses val="autoZero"/>
        <c:auto val="1"/>
        <c:lblAlgn val="ctr"/>
        <c:lblOffset val="100"/>
        <c:noMultiLvlLbl val="0"/>
      </c:catAx>
      <c:valAx>
        <c:axId val="1501180431"/>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1181871"/>
        <c:crosses val="autoZero"/>
        <c:crossBetween val="between"/>
      </c:valAx>
      <c:valAx>
        <c:axId val="301590528"/>
        <c:scaling>
          <c:orientation val="minMax"/>
        </c:scaling>
        <c:delete val="1"/>
        <c:axPos val="r"/>
        <c:numFmt formatCode="General" sourceLinked="1"/>
        <c:majorTickMark val="out"/>
        <c:minorTickMark val="none"/>
        <c:tickLblPos val="nextTo"/>
        <c:crossAx val="301588608"/>
        <c:crosses val="max"/>
        <c:crossBetween val="midCat"/>
      </c:valAx>
      <c:valAx>
        <c:axId val="301588608"/>
        <c:scaling>
          <c:orientation val="minMax"/>
        </c:scaling>
        <c:delete val="1"/>
        <c:axPos val="t"/>
        <c:numFmt formatCode="General" sourceLinked="1"/>
        <c:majorTickMark val="out"/>
        <c:minorTickMark val="none"/>
        <c:tickLblPos val="nextTo"/>
        <c:crossAx val="301590528"/>
        <c:crosses val="max"/>
        <c:crossBetween val="midCat"/>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Arkusz3!$U$4</c:f>
              <c:strCache>
                <c:ptCount val="1"/>
                <c:pt idx="0">
                  <c:v>Razem</c:v>
                </c:pt>
              </c:strCache>
            </c:strRef>
          </c:tx>
          <c:spPr>
            <a:solidFill>
              <a:schemeClr val="accent2"/>
            </a:solidFill>
            <a:ln>
              <a:noFill/>
            </a:ln>
            <a:effectLst/>
          </c:spPr>
          <c:invertIfNegative val="0"/>
          <c:dLbls>
            <c:numFmt formatCode="_(* #,##0_);_(* \(#,##0\);_(* &quot;-&quot;_);_(@_)"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Arkusz3!$O$5:$O$12</c:f>
              <c:numCache>
                <c:formatCode>General</c:formatCode>
                <c:ptCount val="8"/>
                <c:pt idx="0">
                  <c:v>2021</c:v>
                </c:pt>
                <c:pt idx="1">
                  <c:v>2022</c:v>
                </c:pt>
                <c:pt idx="2">
                  <c:v>2023</c:v>
                </c:pt>
                <c:pt idx="3">
                  <c:v>2024</c:v>
                </c:pt>
                <c:pt idx="4">
                  <c:v>2025</c:v>
                </c:pt>
                <c:pt idx="5">
                  <c:v>2026</c:v>
                </c:pt>
                <c:pt idx="6">
                  <c:v>2027</c:v>
                </c:pt>
                <c:pt idx="7">
                  <c:v>2028</c:v>
                </c:pt>
              </c:numCache>
            </c:numRef>
          </c:cat>
          <c:val>
            <c:numRef>
              <c:f>Arkusz3!$U$5:$U$12</c:f>
              <c:numCache>
                <c:formatCode>#,##0</c:formatCode>
                <c:ptCount val="8"/>
                <c:pt idx="0">
                  <c:v>4022.2650000000003</c:v>
                </c:pt>
                <c:pt idx="1">
                  <c:v>0</c:v>
                </c:pt>
                <c:pt idx="2">
                  <c:v>0</c:v>
                </c:pt>
                <c:pt idx="3">
                  <c:v>1440.2539999999999</c:v>
                </c:pt>
                <c:pt idx="4">
                  <c:v>4.8559999999999999</c:v>
                </c:pt>
                <c:pt idx="5">
                  <c:v>2141.326</c:v>
                </c:pt>
                <c:pt idx="6">
                  <c:v>1134.1580000000001</c:v>
                </c:pt>
                <c:pt idx="7">
                  <c:v>1736.876</c:v>
                </c:pt>
              </c:numCache>
            </c:numRef>
          </c:val>
          <c:extLst>
            <c:ext xmlns:c16="http://schemas.microsoft.com/office/drawing/2014/chart" uri="{C3380CC4-5D6E-409C-BE32-E72D297353CC}">
              <c16:uniqueId val="{00000000-F25D-4A78-B826-B3E3759790E7}"/>
            </c:ext>
          </c:extLst>
        </c:ser>
        <c:dLbls>
          <c:dLblPos val="ctr"/>
          <c:showLegendKey val="0"/>
          <c:showVal val="1"/>
          <c:showCatName val="0"/>
          <c:showSerName val="0"/>
          <c:showPercent val="0"/>
          <c:showBubbleSize val="0"/>
        </c:dLbls>
        <c:gapWidth val="150"/>
        <c:axId val="1596439392"/>
        <c:axId val="1399460496"/>
      </c:barChart>
      <c:catAx>
        <c:axId val="1596439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Okres dostaw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99460496"/>
        <c:crosses val="autoZero"/>
        <c:auto val="1"/>
        <c:lblAlgn val="ctr"/>
        <c:lblOffset val="100"/>
        <c:noMultiLvlLbl val="0"/>
      </c:catAx>
      <c:valAx>
        <c:axId val="1399460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964393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'Aukcje mocy'!$G$79</c:f>
              <c:strCache>
                <c:ptCount val="1"/>
                <c:pt idx="0">
                  <c:v>Magazyn energii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'Aukcje mocy'!$F$80:$F$87</c:f>
              <c:numCache>
                <c:formatCode>General</c:formatCode>
                <c:ptCount val="8"/>
                <c:pt idx="0">
                  <c:v>2021</c:v>
                </c:pt>
                <c:pt idx="1">
                  <c:v>2022</c:v>
                </c:pt>
                <c:pt idx="2">
                  <c:v>2023</c:v>
                </c:pt>
                <c:pt idx="3">
                  <c:v>2024</c:v>
                </c:pt>
                <c:pt idx="4">
                  <c:v>2025</c:v>
                </c:pt>
                <c:pt idx="5">
                  <c:v>2026</c:v>
                </c:pt>
                <c:pt idx="6">
                  <c:v>2027</c:v>
                </c:pt>
                <c:pt idx="7">
                  <c:v>2028</c:v>
                </c:pt>
              </c:numCache>
            </c:numRef>
          </c:cat>
          <c:val>
            <c:numRef>
              <c:f>'Aukcje mocy'!$G$80:$G$87</c:f>
              <c:numCache>
                <c:formatCode>0.00</c:formatCode>
                <c:ptCount val="8"/>
                <c:pt idx="0">
                  <c:v>0</c:v>
                </c:pt>
                <c:pt idx="1">
                  <c:v>0</c:v>
                </c:pt>
                <c:pt idx="2">
                  <c:v>0</c:v>
                </c:pt>
                <c:pt idx="3">
                  <c:v>0</c:v>
                </c:pt>
                <c:pt idx="4">
                  <c:v>0</c:v>
                </c:pt>
                <c:pt idx="5">
                  <c:v>0</c:v>
                </c:pt>
                <c:pt idx="6">
                  <c:v>0.164578</c:v>
                </c:pt>
                <c:pt idx="7">
                  <c:v>1.734</c:v>
                </c:pt>
              </c:numCache>
            </c:numRef>
          </c:val>
          <c:extLst>
            <c:ext xmlns:c16="http://schemas.microsoft.com/office/drawing/2014/chart" uri="{C3380CC4-5D6E-409C-BE32-E72D297353CC}">
              <c16:uniqueId val="{00000000-5C17-493C-93C9-1E4A7C96C37E}"/>
            </c:ext>
          </c:extLst>
        </c:ser>
        <c:dLbls>
          <c:showLegendKey val="0"/>
          <c:showVal val="0"/>
          <c:showCatName val="0"/>
          <c:showSerName val="0"/>
          <c:showPercent val="0"/>
          <c:showBubbleSize val="0"/>
        </c:dLbls>
        <c:gapWidth val="219"/>
        <c:overlap val="-27"/>
        <c:axId val="503438240"/>
        <c:axId val="503428640"/>
      </c:barChart>
      <c:catAx>
        <c:axId val="50343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3428640"/>
        <c:crosses val="autoZero"/>
        <c:auto val="1"/>
        <c:lblAlgn val="ctr"/>
        <c:lblOffset val="100"/>
        <c:noMultiLvlLbl val="0"/>
      </c:catAx>
      <c:valAx>
        <c:axId val="5034286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34382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18055601634493"/>
          <c:y val="3.5512510088781278E-2"/>
          <c:w val="0.85066736164368462"/>
          <c:h val="0.85056629371710213"/>
        </c:manualLayout>
      </c:layout>
      <c:barChart>
        <c:barDir val="col"/>
        <c:grouping val="clustered"/>
        <c:varyColors val="0"/>
        <c:ser>
          <c:idx val="0"/>
          <c:order val="0"/>
          <c:tx>
            <c:strRef>
              <c:f>'r7'!$D$3</c:f>
              <c:strCache>
                <c:ptCount val="1"/>
                <c:pt idx="0">
                  <c:v>obowiązki mocowe modernizowanych jednostek wytwórczych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'r7'!$B$4:$B$11</c:f>
              <c:numCache>
                <c:formatCode>General</c:formatCode>
                <c:ptCount val="8"/>
                <c:pt idx="0">
                  <c:v>2021</c:v>
                </c:pt>
                <c:pt idx="1">
                  <c:v>2022</c:v>
                </c:pt>
                <c:pt idx="2">
                  <c:v>2023</c:v>
                </c:pt>
                <c:pt idx="3">
                  <c:v>2024</c:v>
                </c:pt>
                <c:pt idx="4">
                  <c:v>2025</c:v>
                </c:pt>
                <c:pt idx="5">
                  <c:v>2026</c:v>
                </c:pt>
                <c:pt idx="6">
                  <c:v>2027</c:v>
                </c:pt>
                <c:pt idx="7">
                  <c:v>2028</c:v>
                </c:pt>
              </c:numCache>
            </c:numRef>
          </c:cat>
          <c:val>
            <c:numRef>
              <c:f>'r7'!$D$4:$D$11</c:f>
              <c:numCache>
                <c:formatCode>_-* #\ ##0_-;\-* #\ ##0_-;_-* "-"??_-;_-@_-</c:formatCode>
                <c:ptCount val="8"/>
                <c:pt idx="0">
                  <c:v>7516.1539999999986</c:v>
                </c:pt>
                <c:pt idx="1">
                  <c:v>120</c:v>
                </c:pt>
                <c:pt idx="2">
                  <c:v>0</c:v>
                </c:pt>
                <c:pt idx="3">
                  <c:v>4228.7809999999999</c:v>
                </c:pt>
                <c:pt idx="4">
                  <c:v>161.6</c:v>
                </c:pt>
                <c:pt idx="5">
                  <c:v>536.23599999999999</c:v>
                </c:pt>
                <c:pt idx="6">
                  <c:v>333.78300000000002</c:v>
                </c:pt>
                <c:pt idx="7">
                  <c:v>1310.0830000000001</c:v>
                </c:pt>
              </c:numCache>
            </c:numRef>
          </c:val>
          <c:extLst>
            <c:ext xmlns:c16="http://schemas.microsoft.com/office/drawing/2014/chart" uri="{C3380CC4-5D6E-409C-BE32-E72D297353CC}">
              <c16:uniqueId val="{00000000-E9F1-4B32-9C55-017C3F939904}"/>
            </c:ext>
          </c:extLst>
        </c:ser>
        <c:dLbls>
          <c:showLegendKey val="0"/>
          <c:showVal val="0"/>
          <c:showCatName val="0"/>
          <c:showSerName val="0"/>
          <c:showPercent val="0"/>
          <c:showBubbleSize val="0"/>
        </c:dLbls>
        <c:gapWidth val="75"/>
        <c:overlap val="-15"/>
        <c:axId val="609816704"/>
        <c:axId val="609810584"/>
      </c:barChart>
      <c:catAx>
        <c:axId val="609816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900"/>
                  <a:t>Okres</a:t>
                </a:r>
                <a:r>
                  <a:rPr lang="pl-PL" sz="900" baseline="0"/>
                  <a:t> dostaw</a:t>
                </a:r>
                <a:endParaRPr lang="pl-PL" sz="90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810584"/>
        <c:crosses val="autoZero"/>
        <c:auto val="1"/>
        <c:lblAlgn val="ctr"/>
        <c:lblOffset val="100"/>
        <c:noMultiLvlLbl val="0"/>
      </c:catAx>
      <c:valAx>
        <c:axId val="609810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900"/>
                  <a:t>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9816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Arkusz3!$AR$6:$AR$13</c:f>
              <c:numCache>
                <c:formatCode>General</c:formatCode>
                <c:ptCount val="8"/>
                <c:pt idx="0">
                  <c:v>2021</c:v>
                </c:pt>
                <c:pt idx="1">
                  <c:v>2022</c:v>
                </c:pt>
                <c:pt idx="2">
                  <c:v>2024</c:v>
                </c:pt>
                <c:pt idx="3">
                  <c:v>2025</c:v>
                </c:pt>
                <c:pt idx="4">
                  <c:v>2026</c:v>
                </c:pt>
                <c:pt idx="5">
                  <c:v>2027</c:v>
                </c:pt>
                <c:pt idx="6">
                  <c:v>2028</c:v>
                </c:pt>
              </c:numCache>
            </c:numRef>
          </c:cat>
          <c:val>
            <c:numRef>
              <c:f>Arkusz3!$AZ$6:$AZ$12</c:f>
              <c:numCache>
                <c:formatCode>0.00</c:formatCode>
                <c:ptCount val="7"/>
                <c:pt idx="0">
                  <c:v>5.417099999999999E-2</c:v>
                </c:pt>
                <c:pt idx="1">
                  <c:v>0</c:v>
                </c:pt>
                <c:pt idx="2">
                  <c:v>0</c:v>
                </c:pt>
                <c:pt idx="3">
                  <c:v>0</c:v>
                </c:pt>
                <c:pt idx="4">
                  <c:v>4.9654000000000004E-2</c:v>
                </c:pt>
                <c:pt idx="5">
                  <c:v>0.12124299999999999</c:v>
                </c:pt>
                <c:pt idx="6">
                  <c:v>0.23897200000000002</c:v>
                </c:pt>
              </c:numCache>
            </c:numRef>
          </c:val>
          <c:extLst>
            <c:ext xmlns:c16="http://schemas.microsoft.com/office/drawing/2014/chart" uri="{C3380CC4-5D6E-409C-BE32-E72D297353CC}">
              <c16:uniqueId val="{00000000-5C05-4167-96C9-F41044135B51}"/>
            </c:ext>
          </c:extLst>
        </c:ser>
        <c:dLbls>
          <c:showLegendKey val="0"/>
          <c:showVal val="0"/>
          <c:showCatName val="0"/>
          <c:showSerName val="0"/>
          <c:showPercent val="0"/>
          <c:showBubbleSize val="0"/>
        </c:dLbls>
        <c:gapWidth val="219"/>
        <c:overlap val="-27"/>
        <c:axId val="507822592"/>
        <c:axId val="507823072"/>
      </c:barChart>
      <c:catAx>
        <c:axId val="507822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Okres dostaw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823072"/>
        <c:crosses val="autoZero"/>
        <c:auto val="1"/>
        <c:lblAlgn val="ctr"/>
        <c:lblOffset val="100"/>
        <c:noMultiLvlLbl val="0"/>
      </c:catAx>
      <c:valAx>
        <c:axId val="507823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822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'Aukcje mocy'!$B$2</c:f>
              <c:strCache>
                <c:ptCount val="1"/>
                <c:pt idx="0">
                  <c:v>Aukcja główna na 2021</c:v>
                </c:pt>
              </c:strCache>
            </c:strRef>
          </c:tx>
          <c:spPr>
            <a:solidFill>
              <a:schemeClr val="accent1"/>
            </a:solidFill>
            <a:ln>
              <a:noFill/>
            </a:ln>
            <a:effectLst/>
          </c:spPr>
          <c:invertIfNegative val="0"/>
          <c:cat>
            <c:strRef>
              <c:f>'Aukcje mocy'!$C$1:$AO$1</c:f>
              <c:strCache>
                <c:ptCount val="39"/>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pt idx="20">
                  <c:v>2026</c:v>
                </c:pt>
                <c:pt idx="21">
                  <c:v>2027</c:v>
                </c:pt>
                <c:pt idx="22">
                  <c:v>2028</c:v>
                </c:pt>
                <c:pt idx="23">
                  <c:v>2029</c:v>
                </c:pt>
                <c:pt idx="24">
                  <c:v>2030</c:v>
                </c:pt>
                <c:pt idx="25">
                  <c:v>2031</c:v>
                </c:pt>
                <c:pt idx="26">
                  <c:v>2032</c:v>
                </c:pt>
                <c:pt idx="27">
                  <c:v>2033</c:v>
                </c:pt>
                <c:pt idx="28">
                  <c:v>2034</c:v>
                </c:pt>
                <c:pt idx="29">
                  <c:v>2035</c:v>
                </c:pt>
                <c:pt idx="30">
                  <c:v>2036</c:v>
                </c:pt>
                <c:pt idx="31">
                  <c:v>2037</c:v>
                </c:pt>
                <c:pt idx="32">
                  <c:v>2038</c:v>
                </c:pt>
                <c:pt idx="33">
                  <c:v>2039</c:v>
                </c:pt>
                <c:pt idx="34">
                  <c:v>2040</c:v>
                </c:pt>
                <c:pt idx="35">
                  <c:v>2041</c:v>
                </c:pt>
                <c:pt idx="36">
                  <c:v>2042</c:v>
                </c:pt>
                <c:pt idx="37">
                  <c:v>2043</c:v>
                </c:pt>
                <c:pt idx="38">
                  <c:v>2044</c:v>
                </c:pt>
              </c:strCache>
            </c:strRef>
          </c:cat>
          <c:val>
            <c:numRef>
              <c:f>'Aukcje mocy'!$C$2:$AO$2</c:f>
              <c:numCache>
                <c:formatCode>0.0</c:formatCode>
                <c:ptCount val="39"/>
                <c:pt idx="0">
                  <c:v>22.427066</c:v>
                </c:pt>
                <c:pt idx="1">
                  <c:v>22.427066</c:v>
                </c:pt>
                <c:pt idx="2">
                  <c:v>22.427066000000003</c:v>
                </c:pt>
                <c:pt idx="3">
                  <c:v>22.427066000000003</c:v>
                </c:pt>
                <c:pt idx="4">
                  <c:v>12.458819000000002</c:v>
                </c:pt>
                <c:pt idx="5">
                  <c:v>12.458819000000002</c:v>
                </c:pt>
                <c:pt idx="6">
                  <c:v>12.458819000000002</c:v>
                </c:pt>
                <c:pt idx="7">
                  <c:v>12.458819000000002</c:v>
                </c:pt>
                <c:pt idx="8">
                  <c:v>12.458819000000002</c:v>
                </c:pt>
                <c:pt idx="9">
                  <c:v>12.458819000000002</c:v>
                </c:pt>
                <c:pt idx="10">
                  <c:v>12.458819000000002</c:v>
                </c:pt>
                <c:pt idx="11">
                  <c:v>12.458819000000002</c:v>
                </c:pt>
                <c:pt idx="12">
                  <c:v>12.458819000000002</c:v>
                </c:pt>
                <c:pt idx="13">
                  <c:v>12.458819000000002</c:v>
                </c:pt>
                <c:pt idx="14">
                  <c:v>12.458819000000002</c:v>
                </c:pt>
                <c:pt idx="15">
                  <c:v>12.458819000000002</c:v>
                </c:pt>
                <c:pt idx="16">
                  <c:v>12.458819000000002</c:v>
                </c:pt>
                <c:pt idx="17">
                  <c:v>12.458819000000002</c:v>
                </c:pt>
                <c:pt idx="18">
                  <c:v>12.458819000000002</c:v>
                </c:pt>
                <c:pt idx="19">
                  <c:v>12.458819000000002</c:v>
                </c:pt>
                <c:pt idx="20">
                  <c:v>4.8492220000000001</c:v>
                </c:pt>
                <c:pt idx="21">
                  <c:v>4.8492220000000001</c:v>
                </c:pt>
                <c:pt idx="22">
                  <c:v>4.1276650000000004</c:v>
                </c:pt>
                <c:pt idx="23">
                  <c:v>4.1276650000000004</c:v>
                </c:pt>
                <c:pt idx="24">
                  <c:v>4.1276650000000004</c:v>
                </c:pt>
                <c:pt idx="25">
                  <c:v>4.1276650000000004</c:v>
                </c:pt>
                <c:pt idx="26">
                  <c:v>4.1276650000000004</c:v>
                </c:pt>
                <c:pt idx="27">
                  <c:v>4.1276650000000004</c:v>
                </c:pt>
                <c:pt idx="28">
                  <c:v>4.1276650000000004</c:v>
                </c:pt>
                <c:pt idx="29">
                  <c:v>4.1276650000000004</c:v>
                </c:pt>
                <c:pt idx="30">
                  <c:v>0.43795600000000001</c:v>
                </c:pt>
                <c:pt idx="31">
                  <c:v>0.43795600000000001</c:v>
                </c:pt>
                <c:pt idx="32">
                  <c:v>0</c:v>
                </c:pt>
                <c:pt idx="33">
                  <c:v>0</c:v>
                </c:pt>
                <c:pt idx="34">
                  <c:v>0</c:v>
                </c:pt>
                <c:pt idx="35">
                  <c:v>0</c:v>
                </c:pt>
                <c:pt idx="36" formatCode="0.00">
                  <c:v>0</c:v>
                </c:pt>
                <c:pt idx="37" formatCode="0.00">
                  <c:v>0</c:v>
                </c:pt>
                <c:pt idx="38" formatCode="0.00">
                  <c:v>0</c:v>
                </c:pt>
              </c:numCache>
            </c:numRef>
          </c:val>
          <c:extLst>
            <c:ext xmlns:c16="http://schemas.microsoft.com/office/drawing/2014/chart" uri="{C3380CC4-5D6E-409C-BE32-E72D297353CC}">
              <c16:uniqueId val="{00000000-8F33-4714-81BE-BC9BC581BECE}"/>
            </c:ext>
          </c:extLst>
        </c:ser>
        <c:ser>
          <c:idx val="8"/>
          <c:order val="1"/>
          <c:tx>
            <c:strRef>
              <c:f>'Aukcje mocy'!$B$3</c:f>
              <c:strCache>
                <c:ptCount val="1"/>
                <c:pt idx="0">
                  <c:v>Aukcja główna na 2022</c:v>
                </c:pt>
              </c:strCache>
            </c:strRef>
          </c:tx>
          <c:spPr>
            <a:solidFill>
              <a:schemeClr val="accent3">
                <a:lumMod val="60000"/>
              </a:schemeClr>
            </a:solidFill>
            <a:ln>
              <a:noFill/>
            </a:ln>
            <a:effectLst/>
          </c:spPr>
          <c:invertIfNegative val="0"/>
          <c:val>
            <c:numRef>
              <c:f>'Aukcje mocy'!$C$3:$AO$3</c:f>
              <c:numCache>
                <c:formatCode>0.0</c:formatCode>
                <c:ptCount val="39"/>
                <c:pt idx="0">
                  <c:v>0</c:v>
                </c:pt>
                <c:pt idx="1">
                  <c:v>0</c:v>
                </c:pt>
                <c:pt idx="2">
                  <c:v>0</c:v>
                </c:pt>
                <c:pt idx="3">
                  <c:v>0</c:v>
                </c:pt>
                <c:pt idx="4">
                  <c:v>10.580056000000001</c:v>
                </c:pt>
                <c:pt idx="5">
                  <c:v>10.580056000000001</c:v>
                </c:pt>
                <c:pt idx="6">
                  <c:v>10.580056000000001</c:v>
                </c:pt>
                <c:pt idx="7">
                  <c:v>10.580056000000001</c:v>
                </c:pt>
                <c:pt idx="8">
                  <c:v>0.125</c:v>
                </c:pt>
                <c:pt idx="9">
                  <c:v>0.125</c:v>
                </c:pt>
                <c:pt idx="10">
                  <c:v>0.125</c:v>
                </c:pt>
                <c:pt idx="11">
                  <c:v>0.125</c:v>
                </c:pt>
                <c:pt idx="12">
                  <c:v>0.125</c:v>
                </c:pt>
                <c:pt idx="13">
                  <c:v>0.125</c:v>
                </c:pt>
                <c:pt idx="14">
                  <c:v>0.125</c:v>
                </c:pt>
                <c:pt idx="15">
                  <c:v>0.125</c:v>
                </c:pt>
                <c:pt idx="16">
                  <c:v>0.125</c:v>
                </c:pt>
                <c:pt idx="17">
                  <c:v>0.125</c:v>
                </c:pt>
                <c:pt idx="18">
                  <c:v>0.125</c:v>
                </c:pt>
                <c:pt idx="19">
                  <c:v>0.125</c:v>
                </c:pt>
                <c:pt idx="20">
                  <c:v>0.125</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1-8F33-4714-81BE-BC9BC581BECE}"/>
            </c:ext>
          </c:extLst>
        </c:ser>
        <c:ser>
          <c:idx val="9"/>
          <c:order val="2"/>
          <c:tx>
            <c:strRef>
              <c:f>'Aukcje mocy'!$B$4</c:f>
              <c:strCache>
                <c:ptCount val="1"/>
                <c:pt idx="0">
                  <c:v>Aukcja główna na 2023</c:v>
                </c:pt>
              </c:strCache>
            </c:strRef>
          </c:tx>
          <c:spPr>
            <a:solidFill>
              <a:schemeClr val="bg2">
                <a:lumMod val="75000"/>
              </a:schemeClr>
            </a:solidFill>
            <a:ln>
              <a:noFill/>
            </a:ln>
            <a:effectLst/>
          </c:spPr>
          <c:invertIfNegative val="0"/>
          <c:val>
            <c:numRef>
              <c:f>'Aukcje mocy'!$C$4:$AO$4</c:f>
              <c:numCache>
                <c:formatCode>0.0</c:formatCode>
                <c:ptCount val="39"/>
                <c:pt idx="0">
                  <c:v>0</c:v>
                </c:pt>
                <c:pt idx="1">
                  <c:v>0</c:v>
                </c:pt>
                <c:pt idx="2">
                  <c:v>0</c:v>
                </c:pt>
                <c:pt idx="3">
                  <c:v>0</c:v>
                </c:pt>
                <c:pt idx="4">
                  <c:v>0</c:v>
                </c:pt>
                <c:pt idx="5">
                  <c:v>0</c:v>
                </c:pt>
                <c:pt idx="6">
                  <c:v>0</c:v>
                </c:pt>
                <c:pt idx="7">
                  <c:v>0</c:v>
                </c:pt>
                <c:pt idx="8">
                  <c:v>9.7785880000000009</c:v>
                </c:pt>
                <c:pt idx="9">
                  <c:v>9.7785880000000009</c:v>
                </c:pt>
                <c:pt idx="10">
                  <c:v>9.7785880000000009</c:v>
                </c:pt>
                <c:pt idx="11">
                  <c:v>9.7785880000000009</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2-8F33-4714-81BE-BC9BC581BECE}"/>
            </c:ext>
          </c:extLst>
        </c:ser>
        <c:ser>
          <c:idx val="1"/>
          <c:order val="3"/>
          <c:tx>
            <c:strRef>
              <c:f>'Aukcje mocy'!$B$5</c:f>
              <c:strCache>
                <c:ptCount val="1"/>
                <c:pt idx="0">
                  <c:v>Aukcja główna na 2024</c:v>
                </c:pt>
              </c:strCache>
            </c:strRef>
          </c:tx>
          <c:spPr>
            <a:solidFill>
              <a:schemeClr val="accent2"/>
            </a:solidFill>
            <a:ln>
              <a:noFill/>
            </a:ln>
            <a:effectLst/>
          </c:spPr>
          <c:invertIfNegative val="0"/>
          <c:cat>
            <c:strRef>
              <c:f>'Aukcje mocy'!$C$1:$AO$1</c:f>
              <c:strCache>
                <c:ptCount val="39"/>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pt idx="20">
                  <c:v>2026</c:v>
                </c:pt>
                <c:pt idx="21">
                  <c:v>2027</c:v>
                </c:pt>
                <c:pt idx="22">
                  <c:v>2028</c:v>
                </c:pt>
                <c:pt idx="23">
                  <c:v>2029</c:v>
                </c:pt>
                <c:pt idx="24">
                  <c:v>2030</c:v>
                </c:pt>
                <c:pt idx="25">
                  <c:v>2031</c:v>
                </c:pt>
                <c:pt idx="26">
                  <c:v>2032</c:v>
                </c:pt>
                <c:pt idx="27">
                  <c:v>2033</c:v>
                </c:pt>
                <c:pt idx="28">
                  <c:v>2034</c:v>
                </c:pt>
                <c:pt idx="29">
                  <c:v>2035</c:v>
                </c:pt>
                <c:pt idx="30">
                  <c:v>2036</c:v>
                </c:pt>
                <c:pt idx="31">
                  <c:v>2037</c:v>
                </c:pt>
                <c:pt idx="32">
                  <c:v>2038</c:v>
                </c:pt>
                <c:pt idx="33">
                  <c:v>2039</c:v>
                </c:pt>
                <c:pt idx="34">
                  <c:v>2040</c:v>
                </c:pt>
                <c:pt idx="35">
                  <c:v>2041</c:v>
                </c:pt>
                <c:pt idx="36">
                  <c:v>2042</c:v>
                </c:pt>
                <c:pt idx="37">
                  <c:v>2043</c:v>
                </c:pt>
                <c:pt idx="38">
                  <c:v>2044</c:v>
                </c:pt>
              </c:strCache>
            </c:strRef>
          </c:cat>
          <c:val>
            <c:numRef>
              <c:f>'Aukcje mocy'!$C$5:$AO$5</c:f>
              <c:numCache>
                <c:formatCode>0.0</c:formatCode>
                <c:ptCount val="39"/>
                <c:pt idx="0">
                  <c:v>0</c:v>
                </c:pt>
                <c:pt idx="1">
                  <c:v>0</c:v>
                </c:pt>
                <c:pt idx="2">
                  <c:v>0</c:v>
                </c:pt>
                <c:pt idx="3">
                  <c:v>0</c:v>
                </c:pt>
                <c:pt idx="4">
                  <c:v>0</c:v>
                </c:pt>
                <c:pt idx="5">
                  <c:v>0</c:v>
                </c:pt>
                <c:pt idx="6">
                  <c:v>0</c:v>
                </c:pt>
                <c:pt idx="7">
                  <c:v>0</c:v>
                </c:pt>
                <c:pt idx="8">
                  <c:v>0</c:v>
                </c:pt>
                <c:pt idx="9">
                  <c:v>0</c:v>
                </c:pt>
                <c:pt idx="10">
                  <c:v>0</c:v>
                </c:pt>
                <c:pt idx="11">
                  <c:v>0</c:v>
                </c:pt>
                <c:pt idx="12">
                  <c:v>8.6711539999999978</c:v>
                </c:pt>
                <c:pt idx="13">
                  <c:v>8.6711539999999978</c:v>
                </c:pt>
                <c:pt idx="14">
                  <c:v>8.6711539999999978</c:v>
                </c:pt>
                <c:pt idx="15">
                  <c:v>8.6711539999999978</c:v>
                </c:pt>
                <c:pt idx="16">
                  <c:v>5.669035</c:v>
                </c:pt>
                <c:pt idx="17">
                  <c:v>5.669035</c:v>
                </c:pt>
                <c:pt idx="18">
                  <c:v>5.669035</c:v>
                </c:pt>
                <c:pt idx="19">
                  <c:v>5.669035</c:v>
                </c:pt>
                <c:pt idx="20">
                  <c:v>5.6400350000000001</c:v>
                </c:pt>
                <c:pt idx="21">
                  <c:v>5.6400350000000001</c:v>
                </c:pt>
                <c:pt idx="22">
                  <c:v>5.6400350000000001</c:v>
                </c:pt>
                <c:pt idx="23">
                  <c:v>1.8050719999999998</c:v>
                </c:pt>
                <c:pt idx="24">
                  <c:v>1.8050719999999998</c:v>
                </c:pt>
                <c:pt idx="25">
                  <c:v>1.4402539999999999</c:v>
                </c:pt>
                <c:pt idx="26">
                  <c:v>1.4402539999999999</c:v>
                </c:pt>
                <c:pt idx="27">
                  <c:v>1.4402539999999999</c:v>
                </c:pt>
                <c:pt idx="28">
                  <c:v>1.4402539999999999</c:v>
                </c:pt>
                <c:pt idx="29">
                  <c:v>1.4402539999999999</c:v>
                </c:pt>
                <c:pt idx="30">
                  <c:v>1.4402539999999999</c:v>
                </c:pt>
                <c:pt idx="31">
                  <c:v>1.4402539999999999</c:v>
                </c:pt>
                <c:pt idx="32">
                  <c:v>1.4402539999999999</c:v>
                </c:pt>
                <c:pt idx="33">
                  <c:v>1.375254</c:v>
                </c:pt>
                <c:pt idx="34">
                  <c:v>1.375254</c:v>
                </c:pt>
                <c:pt idx="35">
                  <c:v>0</c:v>
                </c:pt>
                <c:pt idx="36" formatCode="0.00">
                  <c:v>0</c:v>
                </c:pt>
                <c:pt idx="37" formatCode="0.00">
                  <c:v>0</c:v>
                </c:pt>
                <c:pt idx="38" formatCode="0.00">
                  <c:v>0</c:v>
                </c:pt>
              </c:numCache>
            </c:numRef>
          </c:val>
          <c:extLst>
            <c:ext xmlns:c16="http://schemas.microsoft.com/office/drawing/2014/chart" uri="{C3380CC4-5D6E-409C-BE32-E72D297353CC}">
              <c16:uniqueId val="{00000003-8F33-4714-81BE-BC9BC581BECE}"/>
            </c:ext>
          </c:extLst>
        </c:ser>
        <c:ser>
          <c:idx val="2"/>
          <c:order val="4"/>
          <c:tx>
            <c:strRef>
              <c:f>'Aukcje mocy'!$B$6</c:f>
              <c:strCache>
                <c:ptCount val="1"/>
                <c:pt idx="0">
                  <c:v>Aukcja główna na 2025</c:v>
                </c:pt>
              </c:strCache>
            </c:strRef>
          </c:tx>
          <c:spPr>
            <a:solidFill>
              <a:schemeClr val="accent3"/>
            </a:solidFill>
            <a:ln>
              <a:noFill/>
            </a:ln>
            <a:effectLst/>
          </c:spPr>
          <c:invertIfNegative val="0"/>
          <c:cat>
            <c:strRef>
              <c:f>'Aukcje mocy'!$C$1:$AO$1</c:f>
              <c:strCache>
                <c:ptCount val="39"/>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pt idx="20">
                  <c:v>2026</c:v>
                </c:pt>
                <c:pt idx="21">
                  <c:v>2027</c:v>
                </c:pt>
                <c:pt idx="22">
                  <c:v>2028</c:v>
                </c:pt>
                <c:pt idx="23">
                  <c:v>2029</c:v>
                </c:pt>
                <c:pt idx="24">
                  <c:v>2030</c:v>
                </c:pt>
                <c:pt idx="25">
                  <c:v>2031</c:v>
                </c:pt>
                <c:pt idx="26">
                  <c:v>2032</c:v>
                </c:pt>
                <c:pt idx="27">
                  <c:v>2033</c:v>
                </c:pt>
                <c:pt idx="28">
                  <c:v>2034</c:v>
                </c:pt>
                <c:pt idx="29">
                  <c:v>2035</c:v>
                </c:pt>
                <c:pt idx="30">
                  <c:v>2036</c:v>
                </c:pt>
                <c:pt idx="31">
                  <c:v>2037</c:v>
                </c:pt>
                <c:pt idx="32">
                  <c:v>2038</c:v>
                </c:pt>
                <c:pt idx="33">
                  <c:v>2039</c:v>
                </c:pt>
                <c:pt idx="34">
                  <c:v>2040</c:v>
                </c:pt>
                <c:pt idx="35">
                  <c:v>2041</c:v>
                </c:pt>
                <c:pt idx="36">
                  <c:v>2042</c:v>
                </c:pt>
                <c:pt idx="37">
                  <c:v>2043</c:v>
                </c:pt>
                <c:pt idx="38">
                  <c:v>2044</c:v>
                </c:pt>
              </c:strCache>
            </c:strRef>
          </c:cat>
          <c:val>
            <c:numRef>
              <c:f>'Aukcje mocy'!$C$6:$AO$6</c:f>
              <c:numCache>
                <c:formatCode>0.0</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2.3673040000000007</c:v>
                </c:pt>
                <c:pt idx="17">
                  <c:v>2.3673040000000007</c:v>
                </c:pt>
                <c:pt idx="18">
                  <c:v>2.3673040000000007</c:v>
                </c:pt>
                <c:pt idx="19">
                  <c:v>2.3673040000000007</c:v>
                </c:pt>
                <c:pt idx="20">
                  <c:v>0.16645599999999999</c:v>
                </c:pt>
                <c:pt idx="21">
                  <c:v>0.16645599999999999</c:v>
                </c:pt>
                <c:pt idx="22">
                  <c:v>0.16645599999999999</c:v>
                </c:pt>
                <c:pt idx="23">
                  <c:v>0.16645599999999999</c:v>
                </c:pt>
                <c:pt idx="24">
                  <c:v>0.16645599999999999</c:v>
                </c:pt>
                <c:pt idx="25">
                  <c:v>0.16645599999999999</c:v>
                </c:pt>
                <c:pt idx="26">
                  <c:v>4.8560000000000001E-3</c:v>
                </c:pt>
                <c:pt idx="27">
                  <c:v>4.8560000000000001E-3</c:v>
                </c:pt>
                <c:pt idx="28">
                  <c:v>4.8560000000000001E-3</c:v>
                </c:pt>
                <c:pt idx="29">
                  <c:v>4.8560000000000001E-3</c:v>
                </c:pt>
                <c:pt idx="30">
                  <c:v>4.8560000000000001E-3</c:v>
                </c:pt>
                <c:pt idx="31">
                  <c:v>4.8560000000000001E-3</c:v>
                </c:pt>
                <c:pt idx="32">
                  <c:v>4.8560000000000001E-3</c:v>
                </c:pt>
                <c:pt idx="33">
                  <c:v>4.8560000000000001E-3</c:v>
                </c:pt>
                <c:pt idx="34">
                  <c:v>0</c:v>
                </c:pt>
                <c:pt idx="35">
                  <c:v>0</c:v>
                </c:pt>
                <c:pt idx="36" formatCode="0.00">
                  <c:v>0</c:v>
                </c:pt>
                <c:pt idx="37" formatCode="0.00">
                  <c:v>0</c:v>
                </c:pt>
                <c:pt idx="38" formatCode="0.00">
                  <c:v>0</c:v>
                </c:pt>
              </c:numCache>
            </c:numRef>
          </c:val>
          <c:extLst>
            <c:ext xmlns:c16="http://schemas.microsoft.com/office/drawing/2014/chart" uri="{C3380CC4-5D6E-409C-BE32-E72D297353CC}">
              <c16:uniqueId val="{00000004-8F33-4714-81BE-BC9BC581BECE}"/>
            </c:ext>
          </c:extLst>
        </c:ser>
        <c:ser>
          <c:idx val="3"/>
          <c:order val="5"/>
          <c:tx>
            <c:strRef>
              <c:f>'Aukcje mocy'!$B$7</c:f>
              <c:strCache>
                <c:ptCount val="1"/>
                <c:pt idx="0">
                  <c:v>Aukcja główna na 2026</c:v>
                </c:pt>
              </c:strCache>
            </c:strRef>
          </c:tx>
          <c:spPr>
            <a:solidFill>
              <a:schemeClr val="accent4"/>
            </a:solidFill>
            <a:ln>
              <a:noFill/>
            </a:ln>
            <a:effectLst/>
          </c:spPr>
          <c:invertIfNegative val="0"/>
          <c:cat>
            <c:strRef>
              <c:f>'Aukcje mocy'!$C$1:$AO$1</c:f>
              <c:strCache>
                <c:ptCount val="39"/>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pt idx="20">
                  <c:v>2026</c:v>
                </c:pt>
                <c:pt idx="21">
                  <c:v>2027</c:v>
                </c:pt>
                <c:pt idx="22">
                  <c:v>2028</c:v>
                </c:pt>
                <c:pt idx="23">
                  <c:v>2029</c:v>
                </c:pt>
                <c:pt idx="24">
                  <c:v>2030</c:v>
                </c:pt>
                <c:pt idx="25">
                  <c:v>2031</c:v>
                </c:pt>
                <c:pt idx="26">
                  <c:v>2032</c:v>
                </c:pt>
                <c:pt idx="27">
                  <c:v>2033</c:v>
                </c:pt>
                <c:pt idx="28">
                  <c:v>2034</c:v>
                </c:pt>
                <c:pt idx="29">
                  <c:v>2035</c:v>
                </c:pt>
                <c:pt idx="30">
                  <c:v>2036</c:v>
                </c:pt>
                <c:pt idx="31">
                  <c:v>2037</c:v>
                </c:pt>
                <c:pt idx="32">
                  <c:v>2038</c:v>
                </c:pt>
                <c:pt idx="33">
                  <c:v>2039</c:v>
                </c:pt>
                <c:pt idx="34">
                  <c:v>2040</c:v>
                </c:pt>
                <c:pt idx="35">
                  <c:v>2041</c:v>
                </c:pt>
                <c:pt idx="36">
                  <c:v>2042</c:v>
                </c:pt>
                <c:pt idx="37">
                  <c:v>2043</c:v>
                </c:pt>
                <c:pt idx="38">
                  <c:v>2044</c:v>
                </c:pt>
              </c:strCache>
            </c:strRef>
          </c:cat>
          <c:val>
            <c:numRef>
              <c:f>'Aukcje mocy'!$C$7:$AO$7</c:f>
              <c:numCache>
                <c:formatCode>0.0</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7.1885839999999996</c:v>
                </c:pt>
                <c:pt idx="21">
                  <c:v>2.677562</c:v>
                </c:pt>
                <c:pt idx="22">
                  <c:v>2.677562</c:v>
                </c:pt>
                <c:pt idx="23">
                  <c:v>2.677562</c:v>
                </c:pt>
                <c:pt idx="24">
                  <c:v>2.677562</c:v>
                </c:pt>
                <c:pt idx="25">
                  <c:v>2.677562</c:v>
                </c:pt>
                <c:pt idx="26">
                  <c:v>2.677562</c:v>
                </c:pt>
                <c:pt idx="27">
                  <c:v>2.1413259999999998</c:v>
                </c:pt>
                <c:pt idx="28">
                  <c:v>2.1413259999999998</c:v>
                </c:pt>
                <c:pt idx="29">
                  <c:v>2.1413259999999998</c:v>
                </c:pt>
                <c:pt idx="30">
                  <c:v>2.1413259999999998</c:v>
                </c:pt>
                <c:pt idx="31">
                  <c:v>2.1413259999999998</c:v>
                </c:pt>
                <c:pt idx="32">
                  <c:v>2.1413259999999998</c:v>
                </c:pt>
                <c:pt idx="33">
                  <c:v>2.1413259999999998</c:v>
                </c:pt>
                <c:pt idx="34">
                  <c:v>2.1413259999999998</c:v>
                </c:pt>
                <c:pt idx="35">
                  <c:v>2.1413259999999998</c:v>
                </c:pt>
                <c:pt idx="36" formatCode="0.00">
                  <c:v>2.1413259999999998</c:v>
                </c:pt>
                <c:pt idx="37" formatCode="0.00">
                  <c:v>0</c:v>
                </c:pt>
                <c:pt idx="38" formatCode="0.00">
                  <c:v>0</c:v>
                </c:pt>
              </c:numCache>
            </c:numRef>
          </c:val>
          <c:extLst>
            <c:ext xmlns:c16="http://schemas.microsoft.com/office/drawing/2014/chart" uri="{C3380CC4-5D6E-409C-BE32-E72D297353CC}">
              <c16:uniqueId val="{00000005-8F33-4714-81BE-BC9BC581BECE}"/>
            </c:ext>
          </c:extLst>
        </c:ser>
        <c:ser>
          <c:idx val="4"/>
          <c:order val="6"/>
          <c:tx>
            <c:strRef>
              <c:f>'Aukcje mocy'!$B$8</c:f>
              <c:strCache>
                <c:ptCount val="1"/>
                <c:pt idx="0">
                  <c:v>Aukcja główna na 2027</c:v>
                </c:pt>
              </c:strCache>
            </c:strRef>
          </c:tx>
          <c:spPr>
            <a:solidFill>
              <a:schemeClr val="accent5"/>
            </a:solidFill>
            <a:ln>
              <a:noFill/>
            </a:ln>
            <a:effectLst/>
          </c:spPr>
          <c:invertIfNegative val="0"/>
          <c:cat>
            <c:strRef>
              <c:f>'Aukcje mocy'!$C$1:$AO$1</c:f>
              <c:strCache>
                <c:ptCount val="39"/>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pt idx="20">
                  <c:v>2026</c:v>
                </c:pt>
                <c:pt idx="21">
                  <c:v>2027</c:v>
                </c:pt>
                <c:pt idx="22">
                  <c:v>2028</c:v>
                </c:pt>
                <c:pt idx="23">
                  <c:v>2029</c:v>
                </c:pt>
                <c:pt idx="24">
                  <c:v>2030</c:v>
                </c:pt>
                <c:pt idx="25">
                  <c:v>2031</c:v>
                </c:pt>
                <c:pt idx="26">
                  <c:v>2032</c:v>
                </c:pt>
                <c:pt idx="27">
                  <c:v>2033</c:v>
                </c:pt>
                <c:pt idx="28">
                  <c:v>2034</c:v>
                </c:pt>
                <c:pt idx="29">
                  <c:v>2035</c:v>
                </c:pt>
                <c:pt idx="30">
                  <c:v>2036</c:v>
                </c:pt>
                <c:pt idx="31">
                  <c:v>2037</c:v>
                </c:pt>
                <c:pt idx="32">
                  <c:v>2038</c:v>
                </c:pt>
                <c:pt idx="33">
                  <c:v>2039</c:v>
                </c:pt>
                <c:pt idx="34">
                  <c:v>2040</c:v>
                </c:pt>
                <c:pt idx="35">
                  <c:v>2041</c:v>
                </c:pt>
                <c:pt idx="36">
                  <c:v>2042</c:v>
                </c:pt>
                <c:pt idx="37">
                  <c:v>2043</c:v>
                </c:pt>
                <c:pt idx="38">
                  <c:v>2044</c:v>
                </c:pt>
              </c:strCache>
            </c:strRef>
          </c:cat>
          <c:val>
            <c:numRef>
              <c:f>'Aukcje mocy'!$C$8:$AO$8</c:f>
              <c:numCache>
                <c:formatCode>0.0</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5.379156</c:v>
                </c:pt>
                <c:pt idx="22">
                  <c:v>1.468</c:v>
                </c:pt>
                <c:pt idx="23">
                  <c:v>1.468</c:v>
                </c:pt>
                <c:pt idx="24">
                  <c:v>1.468</c:v>
                </c:pt>
                <c:pt idx="25">
                  <c:v>1.468</c:v>
                </c:pt>
                <c:pt idx="26">
                  <c:v>1.3326100000000001</c:v>
                </c:pt>
                <c:pt idx="27">
                  <c:v>1.3326100000000001</c:v>
                </c:pt>
                <c:pt idx="28">
                  <c:v>1.1302099999999999</c:v>
                </c:pt>
                <c:pt idx="29">
                  <c:v>1.1302099999999999</c:v>
                </c:pt>
                <c:pt idx="30">
                  <c:v>1.1302099999999999</c:v>
                </c:pt>
                <c:pt idx="31">
                  <c:v>1.1302099999999999</c:v>
                </c:pt>
                <c:pt idx="32">
                  <c:v>1.1302099999999999</c:v>
                </c:pt>
                <c:pt idx="33">
                  <c:v>1.1302099999999999</c:v>
                </c:pt>
                <c:pt idx="34">
                  <c:v>1.1302099999999999</c:v>
                </c:pt>
                <c:pt idx="35">
                  <c:v>1.1302099999999999</c:v>
                </c:pt>
                <c:pt idx="36" formatCode="0.00">
                  <c:v>1.1302099999999999</c:v>
                </c:pt>
                <c:pt idx="37" formatCode="0.00">
                  <c:v>1.1302099999999999</c:v>
                </c:pt>
                <c:pt idx="38" formatCode="0.00">
                  <c:v>0</c:v>
                </c:pt>
              </c:numCache>
            </c:numRef>
          </c:val>
          <c:extLst>
            <c:ext xmlns:c16="http://schemas.microsoft.com/office/drawing/2014/chart" uri="{C3380CC4-5D6E-409C-BE32-E72D297353CC}">
              <c16:uniqueId val="{00000006-8F33-4714-81BE-BC9BC581BECE}"/>
            </c:ext>
          </c:extLst>
        </c:ser>
        <c:ser>
          <c:idx val="5"/>
          <c:order val="7"/>
          <c:tx>
            <c:strRef>
              <c:f>'Aukcje mocy'!$B$9</c:f>
              <c:strCache>
                <c:ptCount val="1"/>
                <c:pt idx="0">
                  <c:v>Aukcja główna na 2028</c:v>
                </c:pt>
              </c:strCache>
            </c:strRef>
          </c:tx>
          <c:spPr>
            <a:solidFill>
              <a:schemeClr val="accent6"/>
            </a:solidFill>
            <a:ln>
              <a:noFill/>
            </a:ln>
            <a:effectLst/>
          </c:spPr>
          <c:invertIfNegative val="0"/>
          <c:cat>
            <c:strRef>
              <c:f>'Aukcje mocy'!$C$1:$AO$1</c:f>
              <c:strCache>
                <c:ptCount val="39"/>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pt idx="20">
                  <c:v>2026</c:v>
                </c:pt>
                <c:pt idx="21">
                  <c:v>2027</c:v>
                </c:pt>
                <c:pt idx="22">
                  <c:v>2028</c:v>
                </c:pt>
                <c:pt idx="23">
                  <c:v>2029</c:v>
                </c:pt>
                <c:pt idx="24">
                  <c:v>2030</c:v>
                </c:pt>
                <c:pt idx="25">
                  <c:v>2031</c:v>
                </c:pt>
                <c:pt idx="26">
                  <c:v>2032</c:v>
                </c:pt>
                <c:pt idx="27">
                  <c:v>2033</c:v>
                </c:pt>
                <c:pt idx="28">
                  <c:v>2034</c:v>
                </c:pt>
                <c:pt idx="29">
                  <c:v>2035</c:v>
                </c:pt>
                <c:pt idx="30">
                  <c:v>2036</c:v>
                </c:pt>
                <c:pt idx="31">
                  <c:v>2037</c:v>
                </c:pt>
                <c:pt idx="32">
                  <c:v>2038</c:v>
                </c:pt>
                <c:pt idx="33">
                  <c:v>2039</c:v>
                </c:pt>
                <c:pt idx="34">
                  <c:v>2040</c:v>
                </c:pt>
                <c:pt idx="35">
                  <c:v>2041</c:v>
                </c:pt>
                <c:pt idx="36">
                  <c:v>2042</c:v>
                </c:pt>
                <c:pt idx="37">
                  <c:v>2043</c:v>
                </c:pt>
                <c:pt idx="38">
                  <c:v>2044</c:v>
                </c:pt>
              </c:strCache>
            </c:strRef>
          </c:cat>
          <c:val>
            <c:numRef>
              <c:f>'Aukcje mocy'!$C$9:$AO$9</c:f>
              <c:numCache>
                <c:formatCode>0.0</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7.070951</c:v>
                </c:pt>
                <c:pt idx="23">
                  <c:v>2.0629589999999998</c:v>
                </c:pt>
                <c:pt idx="24">
                  <c:v>2.0629589999999998</c:v>
                </c:pt>
                <c:pt idx="25">
                  <c:v>2.0629589999999998</c:v>
                </c:pt>
                <c:pt idx="26">
                  <c:v>2.0629589999999998</c:v>
                </c:pt>
                <c:pt idx="27">
                  <c:v>2.040035</c:v>
                </c:pt>
                <c:pt idx="28">
                  <c:v>2.040035</c:v>
                </c:pt>
                <c:pt idx="29">
                  <c:v>1.7339519999999999</c:v>
                </c:pt>
                <c:pt idx="30">
                  <c:v>1.7339519999999999</c:v>
                </c:pt>
                <c:pt idx="31">
                  <c:v>1.7339519999999999</c:v>
                </c:pt>
                <c:pt idx="32">
                  <c:v>1.7339519999999999</c:v>
                </c:pt>
                <c:pt idx="33">
                  <c:v>1.7339519999999999</c:v>
                </c:pt>
                <c:pt idx="34">
                  <c:v>1.7339519999999999</c:v>
                </c:pt>
                <c:pt idx="35">
                  <c:v>1.7339519999999999</c:v>
                </c:pt>
                <c:pt idx="36" formatCode="0.00">
                  <c:v>1.7339519999999999</c:v>
                </c:pt>
                <c:pt idx="37" formatCode="0.00">
                  <c:v>1.7339519999999999</c:v>
                </c:pt>
                <c:pt idx="38" formatCode="0.00">
                  <c:v>1.7339519999999999</c:v>
                </c:pt>
              </c:numCache>
            </c:numRef>
          </c:val>
          <c:extLst>
            <c:ext xmlns:c16="http://schemas.microsoft.com/office/drawing/2014/chart" uri="{C3380CC4-5D6E-409C-BE32-E72D297353CC}">
              <c16:uniqueId val="{00000007-8F33-4714-81BE-BC9BC581BECE}"/>
            </c:ext>
          </c:extLst>
        </c:ser>
        <c:ser>
          <c:idx val="6"/>
          <c:order val="8"/>
          <c:tx>
            <c:strRef>
              <c:f>'Aukcje mocy'!$B$10</c:f>
              <c:strCache>
                <c:ptCount val="1"/>
                <c:pt idx="0">
                  <c:v>Aukcje dodatkowe</c:v>
                </c:pt>
              </c:strCache>
            </c:strRef>
          </c:tx>
          <c:spPr>
            <a:solidFill>
              <a:schemeClr val="accent1">
                <a:lumMod val="60000"/>
              </a:schemeClr>
            </a:solidFill>
            <a:ln>
              <a:noFill/>
            </a:ln>
            <a:effectLst/>
          </c:spPr>
          <c:invertIfNegative val="0"/>
          <c:cat>
            <c:strRef>
              <c:f>'Aukcje mocy'!$C$1:$AO$1</c:f>
              <c:strCache>
                <c:ptCount val="39"/>
                <c:pt idx="0">
                  <c:v>2021Q1</c:v>
                </c:pt>
                <c:pt idx="1">
                  <c:v>2021Q2</c:v>
                </c:pt>
                <c:pt idx="2">
                  <c:v>2021Q3</c:v>
                </c:pt>
                <c:pt idx="3">
                  <c:v>2021Q4</c:v>
                </c:pt>
                <c:pt idx="4">
                  <c:v>2022Q1</c:v>
                </c:pt>
                <c:pt idx="5">
                  <c:v>2022Q2</c:v>
                </c:pt>
                <c:pt idx="6">
                  <c:v>2022Q3</c:v>
                </c:pt>
                <c:pt idx="7">
                  <c:v>2022Q4</c:v>
                </c:pt>
                <c:pt idx="8">
                  <c:v>2023Q1</c:v>
                </c:pt>
                <c:pt idx="9">
                  <c:v>2023Q2</c:v>
                </c:pt>
                <c:pt idx="10">
                  <c:v>2023Q3</c:v>
                </c:pt>
                <c:pt idx="11">
                  <c:v>2023Q4</c:v>
                </c:pt>
                <c:pt idx="12">
                  <c:v>2024Q1</c:v>
                </c:pt>
                <c:pt idx="13">
                  <c:v>2024Q2</c:v>
                </c:pt>
                <c:pt idx="14">
                  <c:v>2024Q3</c:v>
                </c:pt>
                <c:pt idx="15">
                  <c:v>2024Q4</c:v>
                </c:pt>
                <c:pt idx="16">
                  <c:v>2025Q1</c:v>
                </c:pt>
                <c:pt idx="17">
                  <c:v>2025Q2</c:v>
                </c:pt>
                <c:pt idx="18">
                  <c:v>2025Q3</c:v>
                </c:pt>
                <c:pt idx="19">
                  <c:v>2025Q4</c:v>
                </c:pt>
                <c:pt idx="20">
                  <c:v>2026</c:v>
                </c:pt>
                <c:pt idx="21">
                  <c:v>2027</c:v>
                </c:pt>
                <c:pt idx="22">
                  <c:v>2028</c:v>
                </c:pt>
                <c:pt idx="23">
                  <c:v>2029</c:v>
                </c:pt>
                <c:pt idx="24">
                  <c:v>2030</c:v>
                </c:pt>
                <c:pt idx="25">
                  <c:v>2031</c:v>
                </c:pt>
                <c:pt idx="26">
                  <c:v>2032</c:v>
                </c:pt>
                <c:pt idx="27">
                  <c:v>2033</c:v>
                </c:pt>
                <c:pt idx="28">
                  <c:v>2034</c:v>
                </c:pt>
                <c:pt idx="29">
                  <c:v>2035</c:v>
                </c:pt>
                <c:pt idx="30">
                  <c:v>2036</c:v>
                </c:pt>
                <c:pt idx="31">
                  <c:v>2037</c:v>
                </c:pt>
                <c:pt idx="32">
                  <c:v>2038</c:v>
                </c:pt>
                <c:pt idx="33">
                  <c:v>2039</c:v>
                </c:pt>
                <c:pt idx="34">
                  <c:v>2040</c:v>
                </c:pt>
                <c:pt idx="35">
                  <c:v>2041</c:v>
                </c:pt>
                <c:pt idx="36">
                  <c:v>2042</c:v>
                </c:pt>
                <c:pt idx="37">
                  <c:v>2043</c:v>
                </c:pt>
                <c:pt idx="38">
                  <c:v>2044</c:v>
                </c:pt>
              </c:strCache>
            </c:strRef>
          </c:cat>
          <c:val>
            <c:numRef>
              <c:f>'Aukcje mocy'!$C$10:$AO$10</c:f>
              <c:numCache>
                <c:formatCode>0.0</c:formatCode>
                <c:ptCount val="39"/>
                <c:pt idx="0">
                  <c:v>0.88093100000000002</c:v>
                </c:pt>
                <c:pt idx="1">
                  <c:v>0.30325999999999997</c:v>
                </c:pt>
                <c:pt idx="2">
                  <c:v>0.15600999999999998</c:v>
                </c:pt>
                <c:pt idx="3">
                  <c:v>0.61675999999999997</c:v>
                </c:pt>
                <c:pt idx="4">
                  <c:v>1.0206740000000001</c:v>
                </c:pt>
                <c:pt idx="5">
                  <c:v>0.37977100000000003</c:v>
                </c:pt>
                <c:pt idx="6">
                  <c:v>0.36092099999999999</c:v>
                </c:pt>
                <c:pt idx="7">
                  <c:v>0.88780399999999993</c:v>
                </c:pt>
                <c:pt idx="8">
                  <c:v>1.2541849999999999</c:v>
                </c:pt>
                <c:pt idx="9">
                  <c:v>0.488506</c:v>
                </c:pt>
                <c:pt idx="10">
                  <c:v>0.43525599999999998</c:v>
                </c:pt>
                <c:pt idx="11">
                  <c:v>1.2265630000000001</c:v>
                </c:pt>
                <c:pt idx="12">
                  <c:v>1.7663169999999999</c:v>
                </c:pt>
                <c:pt idx="13">
                  <c:v>1.022195</c:v>
                </c:pt>
                <c:pt idx="14">
                  <c:v>1.1541669999999999</c:v>
                </c:pt>
                <c:pt idx="15">
                  <c:v>1.654317</c:v>
                </c:pt>
                <c:pt idx="16">
                  <c:v>3.1446529999999999</c:v>
                </c:pt>
                <c:pt idx="17">
                  <c:v>1.142555</c:v>
                </c:pt>
                <c:pt idx="18">
                  <c:v>0.52456899999999995</c:v>
                </c:pt>
                <c:pt idx="19">
                  <c:v>0.83086599999999999</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formatCode="0.00">
                  <c:v>0</c:v>
                </c:pt>
                <c:pt idx="37" formatCode="0.00">
                  <c:v>0</c:v>
                </c:pt>
                <c:pt idx="38" formatCode="0.00">
                  <c:v>0</c:v>
                </c:pt>
              </c:numCache>
            </c:numRef>
          </c:val>
          <c:extLst>
            <c:ext xmlns:c16="http://schemas.microsoft.com/office/drawing/2014/chart" uri="{C3380CC4-5D6E-409C-BE32-E72D297353CC}">
              <c16:uniqueId val="{00000008-8F33-4714-81BE-BC9BC581BECE}"/>
            </c:ext>
          </c:extLst>
        </c:ser>
        <c:dLbls>
          <c:showLegendKey val="0"/>
          <c:showVal val="0"/>
          <c:showCatName val="0"/>
          <c:showSerName val="0"/>
          <c:showPercent val="0"/>
          <c:showBubbleSize val="0"/>
        </c:dLbls>
        <c:gapWidth val="150"/>
        <c:overlap val="100"/>
        <c:axId val="1280968415"/>
        <c:axId val="1280973695"/>
      </c:barChart>
      <c:scatterChart>
        <c:scatterStyle val="lineMarker"/>
        <c:varyColors val="0"/>
        <c:ser>
          <c:idx val="7"/>
          <c:order val="9"/>
          <c:spPr>
            <a:ln w="28575" cap="rnd">
              <a:solidFill>
                <a:schemeClr val="accent2">
                  <a:lumMod val="60000"/>
                </a:schemeClr>
              </a:solidFill>
              <a:prstDash val="dash"/>
              <a:round/>
            </a:ln>
            <a:effectLst/>
          </c:spPr>
          <c:marker>
            <c:symbol val="none"/>
          </c:marker>
          <c:xVal>
            <c:numRef>
              <c:f>('Aukcje mocy'!$AP$1,'Aukcje mocy'!$AP$1)</c:f>
              <c:numCache>
                <c:formatCode>General</c:formatCode>
                <c:ptCount val="2"/>
                <c:pt idx="0">
                  <c:v>20.5</c:v>
                </c:pt>
                <c:pt idx="1">
                  <c:v>20.5</c:v>
                </c:pt>
              </c:numCache>
            </c:numRef>
          </c:xVal>
          <c:yVal>
            <c:numLit>
              <c:formatCode>General</c:formatCode>
              <c:ptCount val="2"/>
              <c:pt idx="0">
                <c:v>0</c:v>
              </c:pt>
              <c:pt idx="1">
                <c:v>30</c:v>
              </c:pt>
            </c:numLit>
          </c:yVal>
          <c:smooth val="0"/>
          <c:extLst>
            <c:ext xmlns:c16="http://schemas.microsoft.com/office/drawing/2014/chart" uri="{C3380CC4-5D6E-409C-BE32-E72D297353CC}">
              <c16:uniqueId val="{00000009-8F33-4714-81BE-BC9BC581BECE}"/>
            </c:ext>
          </c:extLst>
        </c:ser>
        <c:dLbls>
          <c:showLegendKey val="0"/>
          <c:showVal val="0"/>
          <c:showCatName val="0"/>
          <c:showSerName val="0"/>
          <c:showPercent val="0"/>
          <c:showBubbleSize val="0"/>
        </c:dLbls>
        <c:axId val="1280968415"/>
        <c:axId val="1280973695"/>
      </c:scatterChart>
      <c:catAx>
        <c:axId val="128096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80973695"/>
        <c:crosses val="autoZero"/>
        <c:auto val="1"/>
        <c:lblAlgn val="ctr"/>
        <c:lblOffset val="100"/>
        <c:noMultiLvlLbl val="0"/>
      </c:catAx>
      <c:valAx>
        <c:axId val="1280973695"/>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GW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80968415"/>
        <c:crosses val="autoZero"/>
        <c:crossBetween val="between"/>
      </c:valAx>
      <c:spPr>
        <a:noFill/>
        <a:ln>
          <a:noFill/>
        </a:ln>
        <a:effectLst/>
      </c:spPr>
    </c:plotArea>
    <c:legend>
      <c:legendPos val="b"/>
      <c:legendEntry>
        <c:idx val="9"/>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8"/>
          <c:order val="0"/>
          <c:tx>
            <c:strRef>
              <c:f>Arkusz3!$J$49</c:f>
              <c:strCache>
                <c:ptCount val="1"/>
                <c:pt idx="0">
                  <c:v>Węgiel brunatny</c:v>
                </c:pt>
              </c:strCache>
            </c:strRef>
          </c:tx>
          <c:spPr>
            <a:solidFill>
              <a:schemeClr val="accent3">
                <a:lumMod val="60000"/>
              </a:schemeClr>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Arkusz3!$J$50:$J$73</c:f>
              <c:numCache>
                <c:formatCode>0.00</c:formatCode>
                <c:ptCount val="24"/>
                <c:pt idx="0">
                  <c:v>5.8617440000000007</c:v>
                </c:pt>
                <c:pt idx="1">
                  <c:v>4.9902840000000008</c:v>
                </c:pt>
                <c:pt idx="2">
                  <c:v>6.6158160000000006</c:v>
                </c:pt>
                <c:pt idx="3">
                  <c:v>5.6433309999999999</c:v>
                </c:pt>
                <c:pt idx="4">
                  <c:v>5.0553309999999998</c:v>
                </c:pt>
                <c:pt idx="5">
                  <c:v>2.9087209999999999</c:v>
                </c:pt>
                <c:pt idx="6">
                  <c:v>2.9087209999999999</c:v>
                </c:pt>
                <c:pt idx="7">
                  <c:v>2.9087209999999999</c:v>
                </c:pt>
                <c:pt idx="8">
                  <c:v>0.41009899999999999</c:v>
                </c:pt>
                <c:pt idx="9">
                  <c:v>0.41009899999999999</c:v>
                </c:pt>
                <c:pt idx="10">
                  <c:v>0.41009899999999999</c:v>
                </c:pt>
                <c:pt idx="11">
                  <c:v>0.41009899999999999</c:v>
                </c:pt>
                <c:pt idx="12">
                  <c:v>0.41009899999999999</c:v>
                </c:pt>
                <c:pt idx="13">
                  <c:v>0.41009899999999999</c:v>
                </c:pt>
                <c:pt idx="14">
                  <c:v>0.41009899999999999</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0-DF30-4F2B-8F38-A0DACD1A8F4B}"/>
            </c:ext>
          </c:extLst>
        </c:ser>
        <c:ser>
          <c:idx val="5"/>
          <c:order val="1"/>
          <c:tx>
            <c:strRef>
              <c:f>Arkusz3!$G$49</c:f>
              <c:strCache>
                <c:ptCount val="1"/>
                <c:pt idx="0">
                  <c:v>Węgiel kamienny</c:v>
                </c:pt>
              </c:strCache>
            </c:strRef>
          </c:tx>
          <c:spPr>
            <a:solidFill>
              <a:schemeClr val="accent6"/>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Arkusz3!$G$50:$G$73</c:f>
              <c:numCache>
                <c:formatCode>0.00</c:formatCode>
                <c:ptCount val="24"/>
                <c:pt idx="0">
                  <c:v>11.829504999999999</c:v>
                </c:pt>
                <c:pt idx="1">
                  <c:v>12.992616999999999</c:v>
                </c:pt>
                <c:pt idx="2">
                  <c:v>11.985674999999999</c:v>
                </c:pt>
                <c:pt idx="3">
                  <c:v>10.780206</c:v>
                </c:pt>
                <c:pt idx="4">
                  <c:v>10.350816</c:v>
                </c:pt>
                <c:pt idx="5">
                  <c:v>5.2798289999999994</c:v>
                </c:pt>
                <c:pt idx="6">
                  <c:v>5.1598289999999993</c:v>
                </c:pt>
                <c:pt idx="7">
                  <c:v>4.9718289999999996</c:v>
                </c:pt>
                <c:pt idx="8">
                  <c:v>3.6354880000000005</c:v>
                </c:pt>
                <c:pt idx="9">
                  <c:v>3.6354880000000005</c:v>
                </c:pt>
                <c:pt idx="10">
                  <c:v>3.2796099999999999</c:v>
                </c:pt>
                <c:pt idx="11">
                  <c:v>3.2796099999999999</c:v>
                </c:pt>
                <c:pt idx="12">
                  <c:v>3.2796099999999999</c:v>
                </c:pt>
                <c:pt idx="13">
                  <c:v>3.2796099999999999</c:v>
                </c:pt>
                <c:pt idx="14">
                  <c:v>3.2796099999999999</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1-DF30-4F2B-8F38-A0DACD1A8F4B}"/>
            </c:ext>
          </c:extLst>
        </c:ser>
        <c:ser>
          <c:idx val="4"/>
          <c:order val="2"/>
          <c:tx>
            <c:strRef>
              <c:f>Arkusz3!$F$49</c:f>
              <c:strCache>
                <c:ptCount val="1"/>
                <c:pt idx="0">
                  <c:v>Gaz</c:v>
                </c:pt>
              </c:strCache>
            </c:strRef>
          </c:tx>
          <c:spPr>
            <a:solidFill>
              <a:schemeClr val="accent5"/>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Arkusz3!$F$50:$F$73</c:f>
              <c:numCache>
                <c:formatCode>0.00</c:formatCode>
                <c:ptCount val="24"/>
                <c:pt idx="0">
                  <c:v>2.3219279999999998</c:v>
                </c:pt>
                <c:pt idx="1">
                  <c:v>2.4977279999999999</c:v>
                </c:pt>
                <c:pt idx="2">
                  <c:v>1.8247959999999999</c:v>
                </c:pt>
                <c:pt idx="3">
                  <c:v>3.2545220000000001</c:v>
                </c:pt>
                <c:pt idx="4">
                  <c:v>3.512721</c:v>
                </c:pt>
                <c:pt idx="5">
                  <c:v>5.5000369999999998</c:v>
                </c:pt>
                <c:pt idx="6">
                  <c:v>4.2682889999999993</c:v>
                </c:pt>
                <c:pt idx="7">
                  <c:v>6.4792050000000012</c:v>
                </c:pt>
                <c:pt idx="8">
                  <c:v>5.6613650000000009</c:v>
                </c:pt>
                <c:pt idx="9">
                  <c:v>5.6613650000000009</c:v>
                </c:pt>
                <c:pt idx="10">
                  <c:v>5.6613650000000009</c:v>
                </c:pt>
                <c:pt idx="11">
                  <c:v>5.499765</c:v>
                </c:pt>
                <c:pt idx="12">
                  <c:v>5.0128410000000008</c:v>
                </c:pt>
                <c:pt idx="13">
                  <c:v>5.0128410000000008</c:v>
                </c:pt>
                <c:pt idx="14">
                  <c:v>4.9491160000000001</c:v>
                </c:pt>
                <c:pt idx="15">
                  <c:v>4.9491160000000001</c:v>
                </c:pt>
                <c:pt idx="16">
                  <c:v>4.9491160000000001</c:v>
                </c:pt>
                <c:pt idx="17">
                  <c:v>4.5111600000000003</c:v>
                </c:pt>
                <c:pt idx="18">
                  <c:v>4.4461599999999999</c:v>
                </c:pt>
                <c:pt idx="19">
                  <c:v>4.4461599999999999</c:v>
                </c:pt>
                <c:pt idx="20">
                  <c:v>3.1109059999999999</c:v>
                </c:pt>
                <c:pt idx="21">
                  <c:v>3.1109059999999999</c:v>
                </c:pt>
                <c:pt idx="22">
                  <c:v>0.96958</c:v>
                </c:pt>
                <c:pt idx="23">
                  <c:v>0</c:v>
                </c:pt>
              </c:numCache>
            </c:numRef>
          </c:val>
          <c:extLst>
            <c:ext xmlns:c16="http://schemas.microsoft.com/office/drawing/2014/chart" uri="{C3380CC4-5D6E-409C-BE32-E72D297353CC}">
              <c16:uniqueId val="{00000002-DF30-4F2B-8F38-A0DACD1A8F4B}"/>
            </c:ext>
          </c:extLst>
        </c:ser>
        <c:ser>
          <c:idx val="2"/>
          <c:order val="3"/>
          <c:tx>
            <c:strRef>
              <c:f>Arkusz3!$D$49</c:f>
              <c:strCache>
                <c:ptCount val="1"/>
                <c:pt idx="0">
                  <c:v>DSR</c:v>
                </c:pt>
              </c:strCache>
            </c:strRef>
          </c:tx>
          <c:spPr>
            <a:solidFill>
              <a:schemeClr val="accent3"/>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Arkusz3!$D$50:$D$73</c:f>
              <c:numCache>
                <c:formatCode>0.00</c:formatCode>
                <c:ptCount val="24"/>
                <c:pt idx="0">
                  <c:v>0.61460000000000004</c:v>
                </c:pt>
                <c:pt idx="1">
                  <c:v>0.76600000000000001</c:v>
                </c:pt>
                <c:pt idx="2">
                  <c:v>0.80100000000000005</c:v>
                </c:pt>
                <c:pt idx="3">
                  <c:v>1.0389999999999999</c:v>
                </c:pt>
                <c:pt idx="4">
                  <c:v>0.95899999999999996</c:v>
                </c:pt>
                <c:pt idx="5">
                  <c:v>1.5089999999999999</c:v>
                </c:pt>
                <c:pt idx="6">
                  <c:v>1.5389999999999999</c:v>
                </c:pt>
                <c:pt idx="7">
                  <c:v>0.98050000000000004</c:v>
                </c:pt>
                <c:pt idx="8">
                  <c:v>0.02</c:v>
                </c:pt>
                <c:pt idx="9">
                  <c:v>0.02</c:v>
                </c:pt>
                <c:pt idx="10">
                  <c:v>0.02</c:v>
                </c:pt>
                <c:pt idx="11">
                  <c:v>0.02</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3-DF30-4F2B-8F38-A0DACD1A8F4B}"/>
            </c:ext>
          </c:extLst>
        </c:ser>
        <c:ser>
          <c:idx val="3"/>
          <c:order val="4"/>
          <c:tx>
            <c:strRef>
              <c:f>Arkusz3!$E$49</c:f>
              <c:strCache>
                <c:ptCount val="1"/>
                <c:pt idx="0">
                  <c:v>ESP</c:v>
                </c:pt>
              </c:strCache>
            </c:strRef>
          </c:tx>
          <c:spPr>
            <a:solidFill>
              <a:schemeClr val="accent4"/>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Arkusz3!$E$50:$E$73</c:f>
              <c:numCache>
                <c:formatCode>0.00</c:formatCode>
                <c:ptCount val="24"/>
                <c:pt idx="0">
                  <c:v>1.5813810000000001</c:v>
                </c:pt>
                <c:pt idx="1">
                  <c:v>1.5813810000000001</c:v>
                </c:pt>
                <c:pt idx="2">
                  <c:v>0.94691900000000007</c:v>
                </c:pt>
                <c:pt idx="3">
                  <c:v>0.28490099999999996</c:v>
                </c:pt>
                <c:pt idx="4">
                  <c:v>0.28490300000000002</c:v>
                </c:pt>
                <c:pt idx="5">
                  <c:v>1.109167</c:v>
                </c:pt>
                <c:pt idx="6">
                  <c:v>0.58248299999999997</c:v>
                </c:pt>
                <c:pt idx="7">
                  <c:v>1.1269310000000001</c:v>
                </c:pt>
                <c:pt idx="8">
                  <c:v>0.40986900000000004</c:v>
                </c:pt>
                <c:pt idx="9">
                  <c:v>0.40986900000000004</c:v>
                </c:pt>
                <c:pt idx="10">
                  <c:v>0.40986900000000004</c:v>
                </c:pt>
                <c:pt idx="11">
                  <c:v>0.40986900000000004</c:v>
                </c:pt>
                <c:pt idx="12">
                  <c:v>0.36021500000000001</c:v>
                </c:pt>
                <c:pt idx="13">
                  <c:v>0.23897200000000002</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4-DF30-4F2B-8F38-A0DACD1A8F4B}"/>
            </c:ext>
          </c:extLst>
        </c:ser>
        <c:ser>
          <c:idx val="0"/>
          <c:order val="5"/>
          <c:tx>
            <c:strRef>
              <c:f>Arkusz3!$B$49</c:f>
              <c:strCache>
                <c:ptCount val="1"/>
                <c:pt idx="0">
                  <c:v>Magazyny elektrochemiczne</c:v>
                </c:pt>
              </c:strCache>
            </c:strRef>
          </c:tx>
          <c:spPr>
            <a:solidFill>
              <a:schemeClr val="accent1"/>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Arkusz3!$B$50:$B$73</c:f>
              <c:numCache>
                <c:formatCode>0.00</c:formatCode>
                <c:ptCount val="24"/>
                <c:pt idx="0">
                  <c:v>0</c:v>
                </c:pt>
                <c:pt idx="1">
                  <c:v>0</c:v>
                </c:pt>
                <c:pt idx="2">
                  <c:v>0</c:v>
                </c:pt>
                <c:pt idx="3">
                  <c:v>0</c:v>
                </c:pt>
                <c:pt idx="4">
                  <c:v>0</c:v>
                </c:pt>
                <c:pt idx="5">
                  <c:v>0</c:v>
                </c:pt>
                <c:pt idx="6">
                  <c:v>0.16078800000000001</c:v>
                </c:pt>
                <c:pt idx="7">
                  <c:v>1.8947400000000001</c:v>
                </c:pt>
                <c:pt idx="8">
                  <c:v>1.8947400000000001</c:v>
                </c:pt>
                <c:pt idx="9">
                  <c:v>1.8947400000000001</c:v>
                </c:pt>
                <c:pt idx="10">
                  <c:v>1.8947400000000001</c:v>
                </c:pt>
                <c:pt idx="11">
                  <c:v>1.8947400000000001</c:v>
                </c:pt>
                <c:pt idx="12">
                  <c:v>1.8947400000000001</c:v>
                </c:pt>
                <c:pt idx="13">
                  <c:v>1.8947400000000001</c:v>
                </c:pt>
                <c:pt idx="14">
                  <c:v>1.8947400000000001</c:v>
                </c:pt>
                <c:pt idx="15">
                  <c:v>1.8947400000000001</c:v>
                </c:pt>
                <c:pt idx="16">
                  <c:v>1.8947400000000001</c:v>
                </c:pt>
                <c:pt idx="17">
                  <c:v>1.8947400000000001</c:v>
                </c:pt>
                <c:pt idx="18">
                  <c:v>1.8947400000000001</c:v>
                </c:pt>
                <c:pt idx="19">
                  <c:v>1.8947400000000001</c:v>
                </c:pt>
                <c:pt idx="20">
                  <c:v>1.8947400000000001</c:v>
                </c:pt>
                <c:pt idx="21">
                  <c:v>1.8947400000000001</c:v>
                </c:pt>
                <c:pt idx="22">
                  <c:v>1.8947400000000001</c:v>
                </c:pt>
                <c:pt idx="23">
                  <c:v>1.7339519999999999</c:v>
                </c:pt>
              </c:numCache>
            </c:numRef>
          </c:val>
          <c:extLst>
            <c:ext xmlns:c16="http://schemas.microsoft.com/office/drawing/2014/chart" uri="{C3380CC4-5D6E-409C-BE32-E72D297353CC}">
              <c16:uniqueId val="{00000005-DF30-4F2B-8F38-A0DACD1A8F4B}"/>
            </c:ext>
          </c:extLst>
        </c:ser>
        <c:ser>
          <c:idx val="6"/>
          <c:order val="6"/>
          <c:tx>
            <c:strRef>
              <c:f>Arkusz3!$H$49</c:f>
              <c:strCache>
                <c:ptCount val="1"/>
                <c:pt idx="0">
                  <c:v>Elektrownie wodne pozostałe</c:v>
                </c:pt>
              </c:strCache>
            </c:strRef>
          </c:tx>
          <c:spPr>
            <a:solidFill>
              <a:schemeClr val="accent1">
                <a:lumMod val="60000"/>
              </a:schemeClr>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Arkusz3!$H$50:$H$73</c:f>
              <c:numCache>
                <c:formatCode>0.00</c:formatCode>
                <c:ptCount val="24"/>
                <c:pt idx="0">
                  <c:v>0.19941600000000007</c:v>
                </c:pt>
                <c:pt idx="1">
                  <c:v>0.19786500000000001</c:v>
                </c:pt>
                <c:pt idx="2">
                  <c:v>0.17520100000000002</c:v>
                </c:pt>
                <c:pt idx="3">
                  <c:v>0.20001299999999997</c:v>
                </c:pt>
                <c:pt idx="4">
                  <c:v>0.13367000000000001</c:v>
                </c:pt>
                <c:pt idx="5">
                  <c:v>0.12487499999999999</c:v>
                </c:pt>
                <c:pt idx="6">
                  <c:v>0.143433</c:v>
                </c:pt>
                <c:pt idx="7">
                  <c:v>0.23226600000000003</c:v>
                </c:pt>
                <c:pt idx="8">
                  <c:v>3.3676000000000005E-2</c:v>
                </c:pt>
                <c:pt idx="9">
                  <c:v>3.3676000000000005E-2</c:v>
                </c:pt>
                <c:pt idx="10">
                  <c:v>2.4736000000000001E-2</c:v>
                </c:pt>
                <c:pt idx="11">
                  <c:v>2.4736000000000001E-2</c:v>
                </c:pt>
                <c:pt idx="12">
                  <c:v>2.2154E-2</c:v>
                </c:pt>
                <c:pt idx="13">
                  <c:v>3.3860000000000001E-3</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6-DF30-4F2B-8F38-A0DACD1A8F4B}"/>
            </c:ext>
          </c:extLst>
        </c:ser>
        <c:ser>
          <c:idx val="1"/>
          <c:order val="7"/>
          <c:tx>
            <c:strRef>
              <c:f>Arkusz3!$C$49</c:f>
              <c:strCache>
                <c:ptCount val="1"/>
                <c:pt idx="0">
                  <c:v>Współspalanie biomasy</c:v>
                </c:pt>
              </c:strCache>
            </c:strRef>
          </c:tx>
          <c:spPr>
            <a:solidFill>
              <a:schemeClr val="accent2"/>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Arkusz3!$C$50:$C$73</c:f>
              <c:numCache>
                <c:formatCode>0.00</c:formatCode>
                <c:ptCount val="24"/>
                <c:pt idx="0">
                  <c:v>0</c:v>
                </c:pt>
                <c:pt idx="1">
                  <c:v>0</c:v>
                </c:pt>
                <c:pt idx="2">
                  <c:v>0</c:v>
                </c:pt>
                <c:pt idx="3">
                  <c:v>0</c:v>
                </c:pt>
                <c:pt idx="4">
                  <c:v>0</c:v>
                </c:pt>
                <c:pt idx="5">
                  <c:v>1.1396680000000001</c:v>
                </c:pt>
                <c:pt idx="6">
                  <c:v>1.206772</c:v>
                </c:pt>
                <c:pt idx="7">
                  <c:v>1.4287719999999999</c:v>
                </c:pt>
                <c:pt idx="8">
                  <c:v>0.193772</c:v>
                </c:pt>
                <c:pt idx="9">
                  <c:v>0.193772</c:v>
                </c:pt>
                <c:pt idx="10">
                  <c:v>0.193772</c:v>
                </c:pt>
                <c:pt idx="11">
                  <c:v>5.8381999999999996E-2</c:v>
                </c:pt>
                <c:pt idx="12">
                  <c:v>5.8381999999999996E-2</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7-DF30-4F2B-8F38-A0DACD1A8F4B}"/>
            </c:ext>
          </c:extLst>
        </c:ser>
        <c:ser>
          <c:idx val="9"/>
          <c:order val="8"/>
          <c:tx>
            <c:strRef>
              <c:f>Arkusz3!$K$49</c:f>
              <c:strCache>
                <c:ptCount val="1"/>
                <c:pt idx="0">
                  <c:v>Pozostałe</c:v>
                </c:pt>
              </c:strCache>
            </c:strRef>
          </c:tx>
          <c:spPr>
            <a:solidFill>
              <a:schemeClr val="accent4">
                <a:lumMod val="60000"/>
              </a:schemeClr>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Arkusz3!$K$50:$K$73</c:f>
              <c:numCache>
                <c:formatCode>0.00</c:formatCode>
                <c:ptCount val="24"/>
                <c:pt idx="0">
                  <c:v>1.8492000000000001E-2</c:v>
                </c:pt>
                <c:pt idx="1">
                  <c:v>1.2999999999999999E-2</c:v>
                </c:pt>
                <c:pt idx="2">
                  <c:v>1.2999999999999999E-2</c:v>
                </c:pt>
                <c:pt idx="3">
                  <c:v>5.2999999999999999E-2</c:v>
                </c:pt>
                <c:pt idx="4">
                  <c:v>4.8000000000000001E-2</c:v>
                </c:pt>
                <c:pt idx="5">
                  <c:v>4.8000000000000001E-2</c:v>
                </c:pt>
                <c:pt idx="6">
                  <c:v>4.8000000000000001E-2</c:v>
                </c:pt>
                <c:pt idx="7">
                  <c:v>0.04</c:v>
                </c:pt>
                <c:pt idx="8">
                  <c:v>0.04</c:v>
                </c:pt>
                <c:pt idx="9">
                  <c:v>0.04</c:v>
                </c:pt>
                <c:pt idx="10">
                  <c:v>0.04</c:v>
                </c:pt>
                <c:pt idx="11">
                  <c:v>0.04</c:v>
                </c:pt>
                <c:pt idx="12">
                  <c:v>0.04</c:v>
                </c:pt>
                <c:pt idx="13">
                  <c:v>0.04</c:v>
                </c:pt>
                <c:pt idx="14">
                  <c:v>0.04</c:v>
                </c:pt>
                <c:pt idx="15">
                  <c:v>0.04</c:v>
                </c:pt>
                <c:pt idx="16">
                  <c:v>0.04</c:v>
                </c:pt>
                <c:pt idx="17">
                  <c:v>0.04</c:v>
                </c:pt>
                <c:pt idx="18">
                  <c:v>0.04</c:v>
                </c:pt>
                <c:pt idx="19">
                  <c:v>0.04</c:v>
                </c:pt>
                <c:pt idx="20">
                  <c:v>0</c:v>
                </c:pt>
                <c:pt idx="21">
                  <c:v>0</c:v>
                </c:pt>
                <c:pt idx="22">
                  <c:v>0</c:v>
                </c:pt>
                <c:pt idx="23">
                  <c:v>0</c:v>
                </c:pt>
              </c:numCache>
            </c:numRef>
          </c:val>
          <c:extLst>
            <c:ext xmlns:c16="http://schemas.microsoft.com/office/drawing/2014/chart" uri="{C3380CC4-5D6E-409C-BE32-E72D297353CC}">
              <c16:uniqueId val="{00000008-DF30-4F2B-8F38-A0DACD1A8F4B}"/>
            </c:ext>
          </c:extLst>
        </c:ser>
        <c:ser>
          <c:idx val="7"/>
          <c:order val="9"/>
          <c:tx>
            <c:strRef>
              <c:f>Arkusz3!$I$49</c:f>
              <c:strCache>
                <c:ptCount val="1"/>
                <c:pt idx="0">
                  <c:v>Jednostki zagraniczne</c:v>
                </c:pt>
              </c:strCache>
            </c:strRef>
          </c:tx>
          <c:spPr>
            <a:solidFill>
              <a:schemeClr val="accent2">
                <a:lumMod val="60000"/>
              </a:schemeClr>
            </a:solidFill>
            <a:ln>
              <a:noFill/>
            </a:ln>
            <a:effectLst/>
          </c:spPr>
          <c:cat>
            <c:numRef>
              <c:f>Arkusz3!$A$50:$A$73</c:f>
              <c:numCache>
                <c:formatCode>General</c:formatCode>
                <c:ptCount val="2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pt idx="14">
                  <c:v>2035</c:v>
                </c:pt>
                <c:pt idx="15">
                  <c:v>2036</c:v>
                </c:pt>
                <c:pt idx="16">
                  <c:v>2037</c:v>
                </c:pt>
                <c:pt idx="17">
                  <c:v>2038</c:v>
                </c:pt>
                <c:pt idx="18">
                  <c:v>2039</c:v>
                </c:pt>
                <c:pt idx="19">
                  <c:v>2040</c:v>
                </c:pt>
                <c:pt idx="20">
                  <c:v>2041</c:v>
                </c:pt>
                <c:pt idx="21">
                  <c:v>2042</c:v>
                </c:pt>
                <c:pt idx="22">
                  <c:v>2043</c:v>
                </c:pt>
                <c:pt idx="23">
                  <c:v>2044</c:v>
                </c:pt>
              </c:numCache>
            </c:numRef>
          </c:cat>
          <c:val>
            <c:numRef>
              <c:f>Arkusz3!$I$50:$I$73</c:f>
              <c:numCache>
                <c:formatCode>0.00</c:formatCode>
                <c:ptCount val="24"/>
                <c:pt idx="0">
                  <c:v>0</c:v>
                </c:pt>
                <c:pt idx="1">
                  <c:v>0</c:v>
                </c:pt>
                <c:pt idx="2">
                  <c:v>0</c:v>
                </c:pt>
                <c:pt idx="3">
                  <c:v>0</c:v>
                </c:pt>
                <c:pt idx="4">
                  <c:v>0</c:v>
                </c:pt>
                <c:pt idx="5">
                  <c:v>0.35</c:v>
                </c:pt>
                <c:pt idx="6">
                  <c:v>0.55000000000000004</c:v>
                </c:pt>
                <c:pt idx="7">
                  <c:v>1.079</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9-DF30-4F2B-8F38-A0DACD1A8F4B}"/>
            </c:ext>
          </c:extLst>
        </c:ser>
        <c:dLbls>
          <c:showLegendKey val="0"/>
          <c:showVal val="0"/>
          <c:showCatName val="0"/>
          <c:showSerName val="0"/>
          <c:showPercent val="0"/>
          <c:showBubbleSize val="0"/>
        </c:dLbls>
        <c:axId val="1559251648"/>
        <c:axId val="1212650704"/>
      </c:areaChart>
      <c:catAx>
        <c:axId val="155925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2650704"/>
        <c:crosses val="autoZero"/>
        <c:auto val="1"/>
        <c:lblAlgn val="ctr"/>
        <c:lblOffset val="100"/>
        <c:noMultiLvlLbl val="0"/>
      </c:catAx>
      <c:valAx>
        <c:axId val="1212650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GW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592516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[weryfikacja_TB_DB.xlsx]OM SOM WSOM!Tabela przestawna5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'OM SOM WSOM'!$B$1</c:f>
              <c:strCache>
                <c:ptCount val="1"/>
                <c:pt idx="0">
                  <c:v>Obowiązek mocowy [MW]</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 SOM WSOM'!$A$2:$A$3</c:f>
              <c:strCache>
                <c:ptCount val="2"/>
                <c:pt idx="0">
                  <c:v>19:00 - 20:00</c:v>
                </c:pt>
                <c:pt idx="1">
                  <c:v>20:00 - 21:00</c:v>
                </c:pt>
              </c:strCache>
            </c:strRef>
          </c:cat>
          <c:val>
            <c:numRef>
              <c:f>'OM SOM WSOM'!$B$2:$B$3</c:f>
              <c:numCache>
                <c:formatCode>#\ ##0.000</c:formatCode>
                <c:ptCount val="2"/>
                <c:pt idx="0">
                  <c:v>23311.796000000009</c:v>
                </c:pt>
                <c:pt idx="1">
                  <c:v>23311.796000000009</c:v>
                </c:pt>
              </c:numCache>
            </c:numRef>
          </c:val>
          <c:extLst>
            <c:ext xmlns:c16="http://schemas.microsoft.com/office/drawing/2014/chart" uri="{C3380CC4-5D6E-409C-BE32-E72D297353CC}">
              <c16:uniqueId val="{00000000-7FA1-4B0C-9E48-79E5B55C0D4F}"/>
            </c:ext>
          </c:extLst>
        </c:ser>
        <c:ser>
          <c:idx val="1"/>
          <c:order val="1"/>
          <c:tx>
            <c:strRef>
              <c:f>'OM SOM WSOM'!$C$1</c:f>
              <c:strCache>
                <c:ptCount val="1"/>
                <c:pt idx="0">
                  <c:v>Skorygowany obowiązek mocowy [MW]</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 SOM WSOM'!$A$2:$A$3</c:f>
              <c:strCache>
                <c:ptCount val="2"/>
                <c:pt idx="0">
                  <c:v>19:00 - 20:00</c:v>
                </c:pt>
                <c:pt idx="1">
                  <c:v>20:00 - 21:00</c:v>
                </c:pt>
              </c:strCache>
            </c:strRef>
          </c:cat>
          <c:val>
            <c:numRef>
              <c:f>'OM SOM WSOM'!$C$2:$C$3</c:f>
              <c:numCache>
                <c:formatCode>#\ ##0.000</c:formatCode>
                <c:ptCount val="2"/>
                <c:pt idx="0">
                  <c:v>19796.611999999997</c:v>
                </c:pt>
                <c:pt idx="1">
                  <c:v>19660.040999999994</c:v>
                </c:pt>
              </c:numCache>
            </c:numRef>
          </c:val>
          <c:extLst>
            <c:ext xmlns:c16="http://schemas.microsoft.com/office/drawing/2014/chart" uri="{C3380CC4-5D6E-409C-BE32-E72D297353CC}">
              <c16:uniqueId val="{00000001-7FA1-4B0C-9E48-79E5B55C0D4F}"/>
            </c:ext>
          </c:extLst>
        </c:ser>
        <c:ser>
          <c:idx val="2"/>
          <c:order val="2"/>
          <c:tx>
            <c:strRef>
              <c:f>'OM SOM WSOM'!$D$1</c:f>
              <c:strCache>
                <c:ptCount val="1"/>
                <c:pt idx="0">
                  <c:v>Wykonanie skorygowanego obowiazku mocowego [MW]</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 SOM WSOM'!$A$2:$A$3</c:f>
              <c:strCache>
                <c:ptCount val="2"/>
                <c:pt idx="0">
                  <c:v>19:00 - 20:00</c:v>
                </c:pt>
                <c:pt idx="1">
                  <c:v>20:00 - 21:00</c:v>
                </c:pt>
              </c:strCache>
            </c:strRef>
          </c:cat>
          <c:val>
            <c:numRef>
              <c:f>'OM SOM WSOM'!$D$2:$D$3</c:f>
              <c:numCache>
                <c:formatCode>#\ ##0.000</c:formatCode>
                <c:ptCount val="2"/>
                <c:pt idx="0">
                  <c:v>22568.797999999999</c:v>
                </c:pt>
                <c:pt idx="1">
                  <c:v>22842.760000000006</c:v>
                </c:pt>
              </c:numCache>
            </c:numRef>
          </c:val>
          <c:extLst>
            <c:ext xmlns:c16="http://schemas.microsoft.com/office/drawing/2014/chart" uri="{C3380CC4-5D6E-409C-BE32-E72D297353CC}">
              <c16:uniqueId val="{00000002-7FA1-4B0C-9E48-79E5B55C0D4F}"/>
            </c:ext>
          </c:extLst>
        </c:ser>
        <c:dLbls>
          <c:showLegendKey val="0"/>
          <c:showVal val="0"/>
          <c:showCatName val="0"/>
          <c:showSerName val="0"/>
          <c:showPercent val="0"/>
          <c:showBubbleSize val="0"/>
        </c:dLbls>
        <c:gapWidth val="219"/>
        <c:overlap val="-27"/>
        <c:axId val="527448888"/>
        <c:axId val="527447248"/>
      </c:barChart>
      <c:catAx>
        <c:axId val="527448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crossAx val="527447248"/>
        <c:crosses val="autoZero"/>
        <c:auto val="1"/>
        <c:lblAlgn val="ctr"/>
        <c:lblOffset val="100"/>
        <c:noMultiLvlLbl val="0"/>
      </c:catAx>
      <c:valAx>
        <c:axId val="527447248"/>
        <c:scaling>
          <c:orientation val="minMax"/>
          <c:min val="0"/>
        </c:scaling>
        <c:delete val="1"/>
        <c:axPos val="l"/>
        <c:numFmt formatCode="#\ ##0.000" sourceLinked="1"/>
        <c:majorTickMark val="none"/>
        <c:minorTickMark val="none"/>
        <c:tickLblPos val="nextTo"/>
        <c:crossAx val="527448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rgbClr val="002F67"/>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rgbClr val="002F67"/>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FF351-7A66-463D-AF04-F3950CBF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13177</Words>
  <Characters>79063</Characters>
  <Application>Microsoft Office Word</Application>
  <DocSecurity>0</DocSecurity>
  <Lines>658</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2025-03-04T11:45:00Z</dcterms:created>
  <dcterms:modified xsi:type="dcterms:W3CDTF">2025-03-04T11:45:00Z</dcterms:modified>
</cp:coreProperties>
</file>