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B0" w:rsidRPr="00DD6A40" w:rsidRDefault="003C7DB0" w:rsidP="003C7D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6A40">
        <w:rPr>
          <w:rFonts w:ascii="Times New Roman" w:hAnsi="Times New Roman" w:cs="Times New Roman"/>
          <w:b/>
          <w:sz w:val="24"/>
          <w:szCs w:val="24"/>
        </w:rPr>
        <w:t xml:space="preserve">Załącznik do pisma </w:t>
      </w:r>
      <w:r w:rsidR="00D731CC" w:rsidRPr="00DD6A40">
        <w:rPr>
          <w:rFonts w:ascii="Times New Roman" w:hAnsi="Times New Roman" w:cs="Times New Roman"/>
          <w:b/>
          <w:sz w:val="24"/>
          <w:szCs w:val="24"/>
        </w:rPr>
        <w:t>ZPRM/9/2022</w:t>
      </w:r>
    </w:p>
    <w:tbl>
      <w:tblPr>
        <w:tblStyle w:val="Tabela-Siatka"/>
        <w:tblW w:w="144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706"/>
        <w:gridCol w:w="2495"/>
        <w:gridCol w:w="6421"/>
        <w:gridCol w:w="2976"/>
      </w:tblGrid>
      <w:tr w:rsidR="00AB2844" w:rsidRPr="00AB2844" w:rsidTr="00DA7E65">
        <w:tc>
          <w:tcPr>
            <w:tcW w:w="14449" w:type="dxa"/>
            <w:gridSpan w:val="5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844" w:rsidRPr="00AB2844" w:rsidRDefault="00AB2844" w:rsidP="00DD6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>Uwagi do projektu ustawy o zmianie ustawy – Kodeks pracy oraz niektórych innych ustaw (UC118)</w:t>
            </w:r>
          </w:p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6" w:type="dxa"/>
            <w:vAlign w:val="center"/>
          </w:tcPr>
          <w:p w:rsidR="00AB2844" w:rsidRPr="00AB2844" w:rsidRDefault="00AB2844" w:rsidP="00DA7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>Jednostka redakcyjna, której uwaga dotyczy/pkt Uzasadnienia/pkt OSR</w:t>
            </w:r>
          </w:p>
        </w:tc>
        <w:tc>
          <w:tcPr>
            <w:tcW w:w="2495" w:type="dxa"/>
            <w:vAlign w:val="center"/>
          </w:tcPr>
          <w:p w:rsidR="00AB2844" w:rsidRPr="00AB2844" w:rsidRDefault="00AB2844" w:rsidP="00DA7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  <w:tc>
          <w:tcPr>
            <w:tcW w:w="6421" w:type="dxa"/>
            <w:vAlign w:val="center"/>
          </w:tcPr>
          <w:p w:rsidR="00AB2844" w:rsidRPr="00AB2844" w:rsidRDefault="00AB2844" w:rsidP="00DA7E65">
            <w:pPr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>Uwaga</w:t>
            </w:r>
          </w:p>
        </w:tc>
        <w:tc>
          <w:tcPr>
            <w:tcW w:w="2976" w:type="dxa"/>
            <w:vAlign w:val="center"/>
          </w:tcPr>
          <w:p w:rsidR="00AB2844" w:rsidRPr="00AB2844" w:rsidRDefault="00AB2844" w:rsidP="00DA7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 przepisu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1706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 pkt 5 – dotyczy dodawanego art. 29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§ 1 i 2</w:t>
            </w:r>
          </w:p>
        </w:tc>
        <w:tc>
          <w:tcPr>
            <w:tcW w:w="2495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 art. 29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§ 2, wynika że pracodawca powinien, w miarę możliwości, uwzględnić wniosek pracownika, o którym mowa w § 1.</w:t>
            </w:r>
          </w:p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Czy w § 2 nie powinno być tu terminu na udzielenie pracownikowi odpowiedzi? Tym bardziej że pracownikowi będzie zależało na szybkiej odpowiedzi jeżeli będzie miał inne propozycje pracy.</w:t>
            </w:r>
          </w:p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Jakie w praktyce skutki prawne może przynieść taki miękki zapis? Czy w przypadku gdy pracodawca nie uwzględni takiego wniosku to pracownikowi przysługuje roszczenie? W § 4 jest termin tylko na uzasadnienie.</w:t>
            </w:r>
          </w:p>
        </w:tc>
        <w:tc>
          <w:tcPr>
            <w:tcW w:w="2976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Należy określić termin oraz zobowiązać pracodawcę do udzielenia odpowiedzi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zamiast stosować miękkie sformułowanie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że powinien się przychylić do wniosku pracownika.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1706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 pkt 17 – dotyczy dodawanego art. 173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§ 1</w:t>
            </w:r>
          </w:p>
        </w:tc>
        <w:tc>
          <w:tcPr>
            <w:tcW w:w="2495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Nie wiadomo czym są „poważne względy medyczne”</w:t>
            </w:r>
          </w:p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Czy to decyduje sam pracownik? Czy pracodawca ma prawo oceny, czy w danej sytuacji są poważne względy medyczne?</w:t>
            </w:r>
          </w:p>
        </w:tc>
        <w:tc>
          <w:tcPr>
            <w:tcW w:w="2976" w:type="dxa"/>
            <w:vAlign w:val="center"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Należy doprecyzować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zgodnie z uwagami.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1706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 pkt 17 – dotyczy dodawanego art. 173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§ 2 i 5</w:t>
            </w:r>
          </w:p>
        </w:tc>
        <w:tc>
          <w:tcPr>
            <w:tcW w:w="2495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Zgodnie z § 2 za członka rodziny, o którym mowa w § 1, uważa się syna, córkę, matkę, ojca lub  małżonka – nie uwzględnia to relacji typu kuratela lub  stosunków w rodzinie zastępczej (gdzie nie ma pokrewieństwa). Projektowane rozwiązanie dyskryminuje stosunki nieoparte na stosunku pokrewieństwa (§ 5). Wydaje się, że kategoria „osoby zamieszkującej w tym samym gospodarstwie domowym” nie jest w tym przypadku adekwatna.</w:t>
            </w:r>
          </w:p>
        </w:tc>
        <w:tc>
          <w:tcPr>
            <w:tcW w:w="2976" w:type="dxa"/>
            <w:vAlign w:val="center"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Należy uzupełnić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z uwagą.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1706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 pkt 17 – dotyczy dodawanego art. 173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§ 1 i 5</w:t>
            </w:r>
          </w:p>
        </w:tc>
        <w:tc>
          <w:tcPr>
            <w:tcW w:w="2495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173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§ 5 stanowi: ...... </w:t>
            </w:r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lub w przypadku osoby niebędącej członkiem rodziny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‒ adres zamieszkania tej osoby.</w:t>
            </w:r>
          </w:p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Natomiast w § 1 jest zapisane, że pracownikowi przysługuje urlop opiekuńczy w wymiarze do 5 dni w roku kalendarzowym w celu zapewnienia osobistej opieki lub wsparcia osobie będącej </w:t>
            </w:r>
            <w:r w:rsidRPr="00AB2844">
              <w:rPr>
                <w:rFonts w:ascii="Times New Roman" w:hAnsi="Times New Roman" w:cs="Times New Roman"/>
                <w:b/>
                <w:sz w:val="24"/>
                <w:szCs w:val="24"/>
              </w:rPr>
              <w:t>członkiem rodziny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lub zamieszkującej w tym samym gospodarstwie domowym, która wymaga znacznej opieki lub znacznego wsparcia z poważnych względów medycznych. Wydaje się, że kategoria „osoby zamieszkującej w tym samym gospodarstwie domowym” nie jest w tym przypadku adekwatna – gdyż nie chodzi tutaj o wspólne prowadzenie gospodarstwa domowego, a więc jakąś głębszą relację pomiędzy pracownikiem a osobą, którą się on zajmuje. Z brzmienia przepisu można wnioskować, że to może być każda osoba, która nawet krótkotrwale zamieszkuje z pracownikiem. Z tych względów regulacja ta może być nadużywana.</w:t>
            </w:r>
          </w:p>
        </w:tc>
        <w:tc>
          <w:tcPr>
            <w:tcW w:w="2976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Należ</w:t>
            </w:r>
            <w:r w:rsidR="00DA7E65">
              <w:rPr>
                <w:rFonts w:ascii="Times New Roman" w:hAnsi="Times New Roman" w:cs="Times New Roman"/>
                <w:sz w:val="24"/>
                <w:szCs w:val="24"/>
              </w:rPr>
              <w:t xml:space="preserve">y zapewnić spójność regulacji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zgodnie z uwagą.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2A0FAB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25 §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Brak określenia czasookresu możliwości wydłużenia umowy na czas próbny, co może powodować „wymuszanie” przez pracowników i chęć „sztucznego” wydłużanie umowy oraz niechęć pracodawców do umieszczania art. 25 §2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w zawieranych umowach.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DA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. Strony mogą uzgodnić w umowie o pracę, iż umowa o pracę na okres próbny przedłuża się o czas urlopu, a także o czas innej usprawiedliwionej nieobecności</w:t>
            </w:r>
          </w:p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pracownika w pracy, jeżeli wystąpią takie nieobecności </w:t>
            </w:r>
            <w:r w:rsidR="002A0FAB" w:rsidRPr="002A0FAB">
              <w:rPr>
                <w:rFonts w:ascii="Times New Roman" w:hAnsi="Times New Roman" w:cs="Times New Roman"/>
                <w:b/>
                <w:sz w:val="24"/>
                <w:szCs w:val="24"/>
              </w:rPr>
              <w:t>dopisać</w:t>
            </w:r>
            <w:r w:rsidR="002A0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AB2844">
              <w:rPr>
                <w:rFonts w:ascii="Times New Roman" w:hAnsi="Times New Roman" w:cs="Times New Roman"/>
                <w:i/>
                <w:sz w:val="24"/>
                <w:szCs w:val="24"/>
              </w:rPr>
              <w:t>jednak nie dłużej niż o 14 dni. Po tym czasie umowa rozwiązuje się zgodnie z art. 30 § 1 pkt 4.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2A0FAB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25 §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W czasie zawarcia umowy na okres próbny trudno przewidzieć zamiar pracodawcy, który nie wiedząc czy pracownik się sprawdzi, będzie planował na jaki okres zostanie zawarta z nim umowa, a zatem zapisy dodanego § 2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są zbędne.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2A0FAB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apis art.</w:t>
            </w:r>
            <w:r w:rsidR="00DA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25 § 2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należy wykreślić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2A0FAB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25 §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Skoro wyżej w uwadze zakwestionowano zasadność  dodanego przepisu to tym samym zapis należy wykreślić.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2A0FAB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 a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rt.</w:t>
            </w:r>
            <w:r w:rsidR="00DA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25§ 2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3.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należy wykreślić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</w:pPr>
          </w:p>
        </w:tc>
        <w:tc>
          <w:tcPr>
            <w:tcW w:w="1706" w:type="dxa"/>
            <w:vAlign w:val="center"/>
          </w:tcPr>
          <w:p w:rsidR="00AB2844" w:rsidRPr="00AB2844" w:rsidRDefault="00AB2844" w:rsidP="00DA7E65">
            <w:pPr>
              <w:spacing w:before="120"/>
              <w:ind w:right="-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25 §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5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Użycie określenia „ zamiaru” jest mało precyzyjnym i mało weryfikowalnym określeniem.</w:t>
            </w:r>
          </w:p>
        </w:tc>
        <w:tc>
          <w:tcPr>
            <w:tcW w:w="2976" w:type="dxa"/>
            <w:vAlign w:val="center"/>
          </w:tcPr>
          <w:p w:rsidR="00AB2844" w:rsidRPr="00AB2844" w:rsidRDefault="002A0FAB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Doprecyzować zapis zgodnie z uwagą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29 §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Pracodawca 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osoba fizyczna może być podmiotem gospodarczym wpisanym do CEDG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a tam wsk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azujemy adres siedziby podmiotu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 i według tych dan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ych podmiot jest wskazywany w są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dzie powszechnym. Taka treść niespójna m.in. z ordynacją podatkową będzie rodzić wątpliwości na etapie postępowania sądowego.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 </w:t>
            </w:r>
            <w:r w:rsidRPr="00DA7E65">
              <w:rPr>
                <w:rFonts w:ascii="Times New Roman" w:hAnsi="Times New Roman" w:cs="Times New Roman"/>
                <w:sz w:val="24"/>
                <w:szCs w:val="24"/>
              </w:rPr>
              <w:t>należy wykreślić.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29 §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3 k)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2A0FAB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rak podstawy prawnej do tworzenia przez p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racodawcę polityki szkoleniowej.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Wykreślić zdanie „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o polityce szkoleniowej pracodawcy”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Art.29 §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3 ust.2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Zbędny obowiązek przy jednoznaczności instytucji zabezpieczenia społecznego w Polsce. Nadmierny formalizm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kreślić ten zapis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Dostępne dla pracownika z możliwością ich wydrukowania oraz przechowania….czy to oznacza ,ż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e pracodawca ma odpowiadać za „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posiadanie przez pracownika drukarki, tus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zu i papieru a nadto szuflady.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kreśli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ten fragment zdania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§ 4,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br/>
              <w:t>art. 38</w:t>
            </w:r>
            <w:r w:rsidR="00664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§ 1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br/>
              <w:t>i 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64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W zaproponowanym przepisie zrównano skutki rozwiązania umowy zawartej na czas określony z umową zawartą na czas nieokreślony. Czym zatem umowy te będą się różniły? Pracodawca chcąc rozwiązać umowę zawartą na czas określony będzie musiał ją uzasadnić i skonsultować ze związkami zawodowymi. Ograniczy to swobodę prowadzenia polityki zatrudnienia pracodawcy.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W związku ze zgłoszoną uwagą należy pozostawić niezmienioną treść art. 30 § 4, art.38§ 1 i art.45§ 1.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Brak ws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kazania częstotliwości i rygoru.</w:t>
            </w:r>
          </w:p>
        </w:tc>
        <w:tc>
          <w:tcPr>
            <w:tcW w:w="2976" w:type="dxa"/>
            <w:vAlign w:val="center"/>
          </w:tcPr>
          <w:p w:rsidR="00AB2844" w:rsidRPr="00AB2844" w:rsidRDefault="006648C6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Należy doprecyzować zgodnie z uwagą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="002A0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6648C6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Ratownicy medyczni mają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obowiązek ustawicznego szkolenia, lekarze, pielęgniarki i radcowie prawni również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zy zatem obowiązek płynący z tego przepisu będzie zobowiązywał pracodawcę do pokrywania kosztów tych szkoleń a będą to zaiste szkolenia niezbędne z wykonywaniem określonego rodzaju pracy?</w:t>
            </w:r>
          </w:p>
        </w:tc>
        <w:tc>
          <w:tcPr>
            <w:tcW w:w="2976" w:type="dxa"/>
            <w:vAlign w:val="center"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6648C6">
              <w:rPr>
                <w:rFonts w:ascii="Times New Roman" w:hAnsi="Times New Roman" w:cs="Times New Roman"/>
                <w:sz w:val="24"/>
                <w:szCs w:val="24"/>
              </w:rPr>
              <w:t>kreślić ten zapis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  <w:hideMark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Art.148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664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W zaproponowanej zmianie przyznano pracownikowi dodatkowe dni wolne od pracy w wymiarze 2 dni albo 16 godzin w roku z powodu działania siły wyższej, w pilnych sprawach rodzinnych itp. Jednocześnie stwierdzono, że pracownik zachowuje prawo do wynagrodzenia w wysokości połowy wynagrodzenia. Jest to niewątpliwie obciążenie pracodawcy. Nie określono również, co uznaje się za siłę wyższą. Przepis ten w praktyce będzie budził wiele kontrowersji.</w:t>
            </w:r>
          </w:p>
        </w:tc>
        <w:tc>
          <w:tcPr>
            <w:tcW w:w="2976" w:type="dxa"/>
            <w:vAlign w:val="center"/>
            <w:hideMark/>
          </w:tcPr>
          <w:p w:rsidR="00AB2844" w:rsidRPr="00376B89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6648C6">
              <w:rPr>
                <w:rFonts w:ascii="Times New Roman" w:hAnsi="Times New Roman" w:cs="Times New Roman"/>
                <w:sz w:val="24"/>
                <w:szCs w:val="24"/>
              </w:rPr>
              <w:t>kreślić z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apis  art. 148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  <w:r w:rsidR="0037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  <w:p w:rsidR="00AB2844" w:rsidRPr="00AB2844" w:rsidRDefault="00AB2844" w:rsidP="00DA7E65">
            <w:pPr>
              <w:pStyle w:val="Akapitzlist"/>
              <w:jc w:val="both"/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148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Konieczność określenia pojęcia „siła wyższa” w kontekście kodeksu pracy i stosunku pracy. W chwili obecnej takie pojęcie funkcjonuje w kodeksie cywilnym i wykorzystywane jest w umowach cywilnych do zwolnienia z odpowiedzialności za nie wywiązanie się z umowy w wyniku działania „siły wyższej”.</w:t>
            </w:r>
          </w:p>
        </w:tc>
        <w:tc>
          <w:tcPr>
            <w:tcW w:w="2976" w:type="dxa"/>
            <w:vAlign w:val="center"/>
          </w:tcPr>
          <w:p w:rsidR="00AB2844" w:rsidRPr="00AB2844" w:rsidRDefault="00CA0F4E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Zapisać definicję siły wyższej.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148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Jeżeli zwolnienie od pracy zgodnie z art. 148 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 1 jest wynikiem nagłej nieprzewidzianej sytuacji rodzinnej, życiowej pracownika to wydaje się nie zasadne, aby pracownik musiał zaplanować wolne z tego art. To nie jest wolne tożsame np. z art 188 KP (opiek</w:t>
            </w:r>
            <w:r w:rsidR="006648C6">
              <w:rPr>
                <w:rFonts w:ascii="Times New Roman" w:hAnsi="Times New Roman" w:cs="Times New Roman"/>
                <w:sz w:val="24"/>
                <w:szCs w:val="24"/>
              </w:rPr>
              <w:t>a nad dzieckiem).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6648C6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eślić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apis</w:t>
            </w:r>
            <w:r w:rsidR="00CA0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  <w:rPr>
                <w:b/>
              </w:rPr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Art.148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§ 3 i 4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6648C6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Kiedy w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niosek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 być złożony - 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w dniu korzystania z urlopu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czy przed rozpoczęciem pracy  w danym dniu? Czy pracownik ma wskazać ilość godzin we wniosku?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ratownictwie medycznym obsada zespołu ratownictwa medycznego musi odpowiadać określonej liczbie pracowników by, zespół mógł realizować zlecenia wyjazdu. Złożenie wniosku bezpośrednio przed dyżurem będzie stwarzać zagrożenie dla ciągłości pracy ZRM.</w:t>
            </w:r>
          </w:p>
        </w:tc>
        <w:tc>
          <w:tcPr>
            <w:tcW w:w="2976" w:type="dxa"/>
            <w:vAlign w:val="center"/>
          </w:tcPr>
          <w:p w:rsidR="00AB2844" w:rsidRPr="00AB2844" w:rsidRDefault="00DA7E65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5">
              <w:rPr>
                <w:rFonts w:ascii="Times New Roman" w:hAnsi="Times New Roman" w:cs="Times New Roman"/>
                <w:sz w:val="24"/>
                <w:szCs w:val="24"/>
              </w:rPr>
              <w:t>Wykreślić zapis.</w:t>
            </w:r>
          </w:p>
        </w:tc>
      </w:tr>
      <w:tr w:rsidR="00AB2844" w:rsidRPr="00AB2844" w:rsidTr="00DA7E65">
        <w:tc>
          <w:tcPr>
            <w:tcW w:w="851" w:type="dxa"/>
            <w:vAlign w:val="center"/>
          </w:tcPr>
          <w:p w:rsidR="00AB2844" w:rsidRPr="00AB2844" w:rsidRDefault="00AB2844" w:rsidP="00DA7E65">
            <w:pPr>
              <w:pStyle w:val="Akapitzlist"/>
              <w:numPr>
                <w:ilvl w:val="0"/>
                <w:numId w:val="5"/>
              </w:numPr>
              <w:spacing w:before="120"/>
              <w:ind w:right="-534"/>
              <w:jc w:val="both"/>
            </w:pPr>
          </w:p>
        </w:tc>
        <w:tc>
          <w:tcPr>
            <w:tcW w:w="1706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Art. 148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§ 6</w:t>
            </w:r>
          </w:p>
        </w:tc>
        <w:tc>
          <w:tcPr>
            <w:tcW w:w="2495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Związek Pracodawców Ratownictwa Medycznego SP ZOZ</w:t>
            </w:r>
          </w:p>
        </w:tc>
        <w:tc>
          <w:tcPr>
            <w:tcW w:w="6421" w:type="dxa"/>
            <w:vAlign w:val="center"/>
            <w:hideMark/>
          </w:tcPr>
          <w:p w:rsidR="00AB2844" w:rsidRPr="00AB2844" w:rsidRDefault="00AB2844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>Odwołanie do art. 183</w:t>
            </w:r>
            <w:r w:rsidRPr="00AB28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B2844">
              <w:rPr>
                <w:rFonts w:ascii="Times New Roman" w:hAnsi="Times New Roman" w:cs="Times New Roman"/>
                <w:sz w:val="24"/>
                <w:szCs w:val="24"/>
              </w:rPr>
              <w:t xml:space="preserve"> jest bezzasadne, gdyż mowa jest tylko o krótkim okresie, jakim są 2 dni a nie tygodniach czy miesiącach.</w:t>
            </w:r>
          </w:p>
        </w:tc>
        <w:tc>
          <w:tcPr>
            <w:tcW w:w="2976" w:type="dxa"/>
            <w:vAlign w:val="center"/>
            <w:hideMark/>
          </w:tcPr>
          <w:p w:rsidR="00AB2844" w:rsidRPr="00AB2844" w:rsidRDefault="00CA0F4E" w:rsidP="00D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B2844" w:rsidRPr="00AB2844">
              <w:rPr>
                <w:rFonts w:ascii="Times New Roman" w:hAnsi="Times New Roman" w:cs="Times New Roman"/>
                <w:sz w:val="24"/>
                <w:szCs w:val="24"/>
              </w:rPr>
              <w:t>ykreślić</w:t>
            </w:r>
            <w:r w:rsidR="00DA7E65">
              <w:rPr>
                <w:rFonts w:ascii="Times New Roman" w:hAnsi="Times New Roman" w:cs="Times New Roman"/>
                <w:sz w:val="24"/>
                <w:szCs w:val="24"/>
              </w:rPr>
              <w:t xml:space="preserve"> zapis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B2844" w:rsidRPr="00AB2844" w:rsidRDefault="00AB2844" w:rsidP="00AB2844">
      <w:pPr>
        <w:rPr>
          <w:rFonts w:ascii="Times New Roman" w:hAnsi="Times New Roman" w:cs="Times New Roman"/>
          <w:sz w:val="24"/>
          <w:szCs w:val="24"/>
        </w:rPr>
      </w:pPr>
    </w:p>
    <w:p w:rsidR="00C279B8" w:rsidRPr="00AB2844" w:rsidRDefault="00C279B8" w:rsidP="00096E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79B8" w:rsidRPr="00AB2844" w:rsidSect="00A77B6E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07D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FF2"/>
    <w:multiLevelType w:val="hybridMultilevel"/>
    <w:tmpl w:val="C630AC6C"/>
    <w:lvl w:ilvl="0" w:tplc="82103F3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A43E6B"/>
    <w:multiLevelType w:val="hybridMultilevel"/>
    <w:tmpl w:val="A11AE578"/>
    <w:lvl w:ilvl="0" w:tplc="82103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B2E"/>
    <w:multiLevelType w:val="hybridMultilevel"/>
    <w:tmpl w:val="BC1AD4AC"/>
    <w:lvl w:ilvl="0" w:tplc="82103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C6072"/>
    <w:multiLevelType w:val="hybridMultilevel"/>
    <w:tmpl w:val="2C949D78"/>
    <w:lvl w:ilvl="0" w:tplc="9BBA9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C7B43"/>
    <w:multiLevelType w:val="hybridMultilevel"/>
    <w:tmpl w:val="BC1AD4AC"/>
    <w:lvl w:ilvl="0" w:tplc="82103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60A4"/>
    <w:multiLevelType w:val="hybridMultilevel"/>
    <w:tmpl w:val="D9BA6B28"/>
    <w:lvl w:ilvl="0" w:tplc="9BBA9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532A1"/>
    <w:multiLevelType w:val="hybridMultilevel"/>
    <w:tmpl w:val="F6328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5B"/>
    <w:rsid w:val="00014ADB"/>
    <w:rsid w:val="00044CD1"/>
    <w:rsid w:val="00096E5B"/>
    <w:rsid w:val="001033BB"/>
    <w:rsid w:val="002A0FAB"/>
    <w:rsid w:val="002E56BA"/>
    <w:rsid w:val="00376B89"/>
    <w:rsid w:val="003C2A78"/>
    <w:rsid w:val="003C7DB0"/>
    <w:rsid w:val="004F4AEF"/>
    <w:rsid w:val="005846D1"/>
    <w:rsid w:val="005A249E"/>
    <w:rsid w:val="00652957"/>
    <w:rsid w:val="006648C6"/>
    <w:rsid w:val="00794A3B"/>
    <w:rsid w:val="008D1EDB"/>
    <w:rsid w:val="00930823"/>
    <w:rsid w:val="00A441E7"/>
    <w:rsid w:val="00A77B6E"/>
    <w:rsid w:val="00AB2844"/>
    <w:rsid w:val="00BD3121"/>
    <w:rsid w:val="00C279B8"/>
    <w:rsid w:val="00CA0F4E"/>
    <w:rsid w:val="00D731CC"/>
    <w:rsid w:val="00DA7E65"/>
    <w:rsid w:val="00DD6A40"/>
    <w:rsid w:val="00E05A23"/>
    <w:rsid w:val="00ED72DF"/>
    <w:rsid w:val="00F1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2BF4A-98BF-4882-BDDB-22E5158E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72"/>
    <w:qFormat/>
    <w:rsid w:val="00794A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1204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Budziszewska-Makulska</dc:creator>
  <cp:keywords/>
  <dc:description/>
  <cp:lastModifiedBy>Małgorzata Bartochowska</cp:lastModifiedBy>
  <cp:revision>10</cp:revision>
  <cp:lastPrinted>2022-03-14T11:29:00Z</cp:lastPrinted>
  <dcterms:created xsi:type="dcterms:W3CDTF">2022-03-11T06:54:00Z</dcterms:created>
  <dcterms:modified xsi:type="dcterms:W3CDTF">2022-03-14T11:30:00Z</dcterms:modified>
</cp:coreProperties>
</file>